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07C6" w:rsidRDefault="002D07C6" w:rsidP="00D7417A">
      <w:pPr>
        <w:spacing w:after="240" w:line="240" w:lineRule="auto"/>
        <w:ind w:firstLine="0"/>
        <w:jc w:val="center"/>
        <w:rPr>
          <w:szCs w:val="24"/>
        </w:rPr>
      </w:pPr>
    </w:p>
    <w:p w:rsidR="002D07C6" w:rsidRDefault="00156B2A" w:rsidP="00D7417A">
      <w:pPr>
        <w:spacing w:after="240" w:line="240" w:lineRule="auto"/>
        <w:ind w:firstLine="0"/>
        <w:jc w:val="center"/>
        <w:rPr>
          <w:szCs w:val="24"/>
        </w:rPr>
      </w:pPr>
      <w:r>
        <w:rPr>
          <w:szCs w:val="24"/>
        </w:rPr>
        <w:t>Prescription Stimulant Use</w:t>
      </w:r>
      <w:r w:rsidR="002D07C6">
        <w:rPr>
          <w:szCs w:val="24"/>
        </w:rPr>
        <w:t xml:space="preserve"> by Graduate Students</w:t>
      </w:r>
    </w:p>
    <w:p w:rsidR="002D07C6" w:rsidRPr="00DA24C1" w:rsidRDefault="002D07C6" w:rsidP="00D7417A">
      <w:pPr>
        <w:spacing w:after="240" w:line="240" w:lineRule="auto"/>
        <w:ind w:firstLine="0"/>
        <w:rPr>
          <w:szCs w:val="24"/>
        </w:rPr>
      </w:pPr>
    </w:p>
    <w:p w:rsidR="002D07C6" w:rsidRDefault="002D07C6" w:rsidP="00D7417A">
      <w:pPr>
        <w:spacing w:after="240" w:line="240" w:lineRule="auto"/>
        <w:ind w:firstLine="0"/>
        <w:rPr>
          <w:szCs w:val="24"/>
        </w:rPr>
      </w:pPr>
    </w:p>
    <w:p w:rsidR="00D7417A" w:rsidRDefault="00D7417A" w:rsidP="00D7417A">
      <w:pPr>
        <w:spacing w:after="240" w:line="240" w:lineRule="auto"/>
        <w:ind w:firstLine="0"/>
        <w:rPr>
          <w:szCs w:val="24"/>
        </w:rPr>
      </w:pPr>
    </w:p>
    <w:p w:rsidR="00D7417A" w:rsidRDefault="00D7417A" w:rsidP="00D7417A">
      <w:pPr>
        <w:spacing w:after="240" w:line="240" w:lineRule="auto"/>
        <w:ind w:firstLine="0"/>
        <w:rPr>
          <w:szCs w:val="24"/>
        </w:rPr>
      </w:pPr>
    </w:p>
    <w:p w:rsidR="00D7417A" w:rsidRPr="00DA24C1" w:rsidRDefault="00D7417A" w:rsidP="00D7417A">
      <w:pPr>
        <w:spacing w:after="240" w:line="240" w:lineRule="auto"/>
        <w:ind w:firstLine="0"/>
        <w:rPr>
          <w:szCs w:val="24"/>
        </w:rPr>
      </w:pPr>
    </w:p>
    <w:p w:rsidR="00D7417A" w:rsidRPr="00DA24C1" w:rsidRDefault="00D7417A" w:rsidP="00D7417A">
      <w:pPr>
        <w:spacing w:after="240" w:line="240" w:lineRule="auto"/>
        <w:ind w:firstLine="0"/>
        <w:jc w:val="center"/>
        <w:rPr>
          <w:szCs w:val="24"/>
        </w:rPr>
      </w:pPr>
      <w:r>
        <w:rPr>
          <w:szCs w:val="24"/>
        </w:rPr>
        <w:t xml:space="preserve">A Doctoral Dissertation </w:t>
      </w:r>
      <w:r>
        <w:rPr>
          <w:szCs w:val="24"/>
        </w:rPr>
        <w:br/>
        <w:t>Presented for the</w:t>
      </w:r>
      <w:r>
        <w:rPr>
          <w:szCs w:val="24"/>
        </w:rPr>
        <w:br/>
        <w:t>Doctor of Philosophy Degree</w:t>
      </w:r>
      <w:r>
        <w:rPr>
          <w:szCs w:val="24"/>
        </w:rPr>
        <w:br/>
      </w:r>
      <w:proofErr w:type="gramStart"/>
      <w:r>
        <w:rPr>
          <w:szCs w:val="24"/>
        </w:rPr>
        <w:t>The</w:t>
      </w:r>
      <w:proofErr w:type="gramEnd"/>
      <w:r>
        <w:rPr>
          <w:szCs w:val="24"/>
        </w:rPr>
        <w:t xml:space="preserve"> University of Tennessee, Knoxville</w:t>
      </w:r>
    </w:p>
    <w:p w:rsidR="002D07C6" w:rsidRPr="00DA24C1" w:rsidRDefault="002D07C6" w:rsidP="00D7417A">
      <w:pPr>
        <w:spacing w:after="240" w:line="240" w:lineRule="auto"/>
        <w:ind w:firstLine="0"/>
        <w:rPr>
          <w:szCs w:val="24"/>
        </w:rPr>
      </w:pPr>
    </w:p>
    <w:p w:rsidR="002D07C6" w:rsidRPr="00DA24C1" w:rsidRDefault="002D07C6" w:rsidP="00D7417A">
      <w:pPr>
        <w:tabs>
          <w:tab w:val="left" w:pos="6705"/>
        </w:tabs>
        <w:spacing w:after="240" w:line="240" w:lineRule="auto"/>
        <w:ind w:firstLine="0"/>
        <w:rPr>
          <w:szCs w:val="24"/>
        </w:rPr>
      </w:pPr>
    </w:p>
    <w:p w:rsidR="002D07C6" w:rsidRPr="00DA24C1" w:rsidRDefault="002D07C6" w:rsidP="00D7417A">
      <w:pPr>
        <w:spacing w:after="240" w:line="240" w:lineRule="auto"/>
        <w:ind w:firstLine="0"/>
        <w:rPr>
          <w:szCs w:val="24"/>
        </w:rPr>
      </w:pPr>
    </w:p>
    <w:p w:rsidR="002D07C6" w:rsidRPr="00DA24C1" w:rsidRDefault="002D07C6" w:rsidP="00D7417A">
      <w:pPr>
        <w:spacing w:after="240" w:line="240" w:lineRule="auto"/>
        <w:ind w:firstLine="0"/>
        <w:rPr>
          <w:szCs w:val="24"/>
        </w:rPr>
      </w:pPr>
    </w:p>
    <w:p w:rsidR="002D07C6" w:rsidRDefault="002D07C6" w:rsidP="00D7417A">
      <w:pPr>
        <w:spacing w:after="240" w:line="240" w:lineRule="auto"/>
        <w:ind w:firstLine="0"/>
        <w:rPr>
          <w:szCs w:val="24"/>
        </w:rPr>
      </w:pPr>
    </w:p>
    <w:p w:rsidR="00D7417A" w:rsidRDefault="00D7417A" w:rsidP="00D7417A">
      <w:pPr>
        <w:spacing w:after="240" w:line="240" w:lineRule="auto"/>
        <w:ind w:firstLine="0"/>
        <w:rPr>
          <w:szCs w:val="24"/>
        </w:rPr>
      </w:pPr>
    </w:p>
    <w:p w:rsidR="00D7417A" w:rsidRDefault="00D7417A" w:rsidP="00D7417A">
      <w:pPr>
        <w:spacing w:after="240" w:line="240" w:lineRule="auto"/>
        <w:ind w:firstLine="0"/>
        <w:rPr>
          <w:szCs w:val="24"/>
        </w:rPr>
      </w:pPr>
    </w:p>
    <w:p w:rsidR="00D7417A" w:rsidRPr="00DA24C1" w:rsidRDefault="00D7417A" w:rsidP="00D7417A">
      <w:pPr>
        <w:spacing w:after="240" w:line="240" w:lineRule="auto"/>
        <w:ind w:firstLine="0"/>
        <w:jc w:val="center"/>
        <w:rPr>
          <w:szCs w:val="24"/>
        </w:rPr>
      </w:pPr>
      <w:r>
        <w:rPr>
          <w:szCs w:val="24"/>
        </w:rPr>
        <w:t>Matt</w:t>
      </w:r>
      <w:r w:rsidR="00203FEE">
        <w:rPr>
          <w:szCs w:val="24"/>
        </w:rPr>
        <w:t>hew</w:t>
      </w:r>
      <w:r>
        <w:rPr>
          <w:szCs w:val="24"/>
        </w:rPr>
        <w:t xml:space="preserve"> </w:t>
      </w:r>
      <w:r w:rsidR="00FE256D">
        <w:rPr>
          <w:szCs w:val="24"/>
        </w:rPr>
        <w:t xml:space="preserve">Donald </w:t>
      </w:r>
      <w:r>
        <w:rPr>
          <w:szCs w:val="24"/>
        </w:rPr>
        <w:t>Varga</w:t>
      </w:r>
      <w:r>
        <w:rPr>
          <w:szCs w:val="24"/>
        </w:rPr>
        <w:br/>
      </w:r>
      <w:r w:rsidR="00203FEE">
        <w:rPr>
          <w:szCs w:val="24"/>
        </w:rPr>
        <w:t>May 2012</w:t>
      </w:r>
    </w:p>
    <w:p w:rsidR="002D07C6" w:rsidRPr="00DA24C1" w:rsidRDefault="002D07C6" w:rsidP="002D07C6">
      <w:pPr>
        <w:spacing w:after="240"/>
        <w:rPr>
          <w:szCs w:val="24"/>
        </w:rPr>
      </w:pPr>
    </w:p>
    <w:p w:rsidR="002D07C6" w:rsidRDefault="002D07C6" w:rsidP="002D07C6">
      <w:pPr>
        <w:spacing w:after="240"/>
        <w:ind w:firstLine="0"/>
        <w:rPr>
          <w:szCs w:val="24"/>
        </w:rPr>
        <w:sectPr w:rsidR="002D07C6" w:rsidSect="002D07C6">
          <w:headerReference w:type="default" r:id="rId8"/>
          <w:pgSz w:w="12240" w:h="15840"/>
          <w:pgMar w:top="1440" w:right="1440" w:bottom="1440" w:left="1440" w:header="720" w:footer="720" w:gutter="0"/>
          <w:cols w:space="720"/>
          <w:docGrid w:linePitch="360"/>
        </w:sectPr>
      </w:pPr>
    </w:p>
    <w:p w:rsidR="00223278" w:rsidRDefault="00223278" w:rsidP="00223278">
      <w:pPr>
        <w:spacing w:line="240" w:lineRule="auto"/>
        <w:jc w:val="center"/>
        <w:rPr>
          <w:b/>
          <w:sz w:val="28"/>
          <w:szCs w:val="28"/>
        </w:rPr>
      </w:pPr>
    </w:p>
    <w:p w:rsidR="00223278" w:rsidRDefault="00223278" w:rsidP="00223278">
      <w:pPr>
        <w:spacing w:line="240" w:lineRule="auto"/>
        <w:jc w:val="center"/>
        <w:rPr>
          <w:b/>
          <w:sz w:val="28"/>
          <w:szCs w:val="28"/>
        </w:rPr>
      </w:pPr>
    </w:p>
    <w:p w:rsidR="00223278" w:rsidRDefault="00223278" w:rsidP="00223278">
      <w:pPr>
        <w:spacing w:line="240" w:lineRule="auto"/>
        <w:jc w:val="center"/>
        <w:rPr>
          <w:b/>
          <w:sz w:val="28"/>
          <w:szCs w:val="28"/>
        </w:rPr>
      </w:pPr>
    </w:p>
    <w:p w:rsidR="00223278" w:rsidRDefault="00223278" w:rsidP="00223278">
      <w:pPr>
        <w:spacing w:line="240" w:lineRule="auto"/>
        <w:jc w:val="center"/>
        <w:rPr>
          <w:b/>
          <w:sz w:val="28"/>
          <w:szCs w:val="28"/>
        </w:rPr>
      </w:pPr>
    </w:p>
    <w:p w:rsidR="00223278" w:rsidRDefault="00223278" w:rsidP="00223278">
      <w:pPr>
        <w:spacing w:line="240" w:lineRule="auto"/>
        <w:jc w:val="center"/>
      </w:pPr>
    </w:p>
    <w:p w:rsidR="00223278" w:rsidRDefault="00223278" w:rsidP="00223278">
      <w:pPr>
        <w:spacing w:line="240" w:lineRule="auto"/>
        <w:jc w:val="center"/>
      </w:pPr>
    </w:p>
    <w:p w:rsidR="00223278" w:rsidRDefault="00223278" w:rsidP="00223278">
      <w:pPr>
        <w:spacing w:line="240" w:lineRule="auto"/>
        <w:jc w:val="center"/>
      </w:pPr>
    </w:p>
    <w:p w:rsidR="00223278" w:rsidRDefault="00223278" w:rsidP="00223278">
      <w:pPr>
        <w:spacing w:line="240" w:lineRule="auto"/>
        <w:jc w:val="center"/>
      </w:pPr>
    </w:p>
    <w:p w:rsidR="00223278" w:rsidRDefault="00223278" w:rsidP="00223278">
      <w:pPr>
        <w:spacing w:line="240" w:lineRule="auto"/>
        <w:jc w:val="center"/>
      </w:pPr>
    </w:p>
    <w:p w:rsidR="00223278" w:rsidRDefault="00223278" w:rsidP="00223278">
      <w:pPr>
        <w:spacing w:line="240" w:lineRule="auto"/>
        <w:jc w:val="center"/>
      </w:pPr>
    </w:p>
    <w:p w:rsidR="00223278" w:rsidRDefault="00223278" w:rsidP="00223278">
      <w:pPr>
        <w:spacing w:line="240" w:lineRule="auto"/>
        <w:jc w:val="center"/>
      </w:pPr>
    </w:p>
    <w:p w:rsidR="00223278" w:rsidRDefault="00223278" w:rsidP="00223278">
      <w:pPr>
        <w:spacing w:line="240" w:lineRule="auto"/>
        <w:jc w:val="center"/>
      </w:pPr>
    </w:p>
    <w:p w:rsidR="00223278" w:rsidRDefault="00223278" w:rsidP="00223278">
      <w:pPr>
        <w:spacing w:line="240" w:lineRule="auto"/>
        <w:jc w:val="center"/>
      </w:pPr>
    </w:p>
    <w:p w:rsidR="00223278" w:rsidRDefault="00223278" w:rsidP="00223278">
      <w:pPr>
        <w:spacing w:line="240" w:lineRule="auto"/>
        <w:jc w:val="center"/>
      </w:pPr>
    </w:p>
    <w:p w:rsidR="00223278" w:rsidRDefault="00223278" w:rsidP="00223278">
      <w:pPr>
        <w:spacing w:line="240" w:lineRule="auto"/>
        <w:jc w:val="center"/>
      </w:pPr>
      <w:r>
        <w:t>Copyright © 2012 by Matthew D</w:t>
      </w:r>
      <w:r w:rsidR="00891541">
        <w:t>onald</w:t>
      </w:r>
      <w:r>
        <w:t xml:space="preserve"> Varga</w:t>
      </w:r>
    </w:p>
    <w:p w:rsidR="00223278" w:rsidRDefault="00223278" w:rsidP="00223278">
      <w:pPr>
        <w:spacing w:line="240" w:lineRule="auto"/>
        <w:jc w:val="center"/>
      </w:pPr>
    </w:p>
    <w:p w:rsidR="00223278" w:rsidRDefault="00223278" w:rsidP="00223278">
      <w:pPr>
        <w:spacing w:line="240" w:lineRule="auto"/>
        <w:jc w:val="center"/>
      </w:pPr>
      <w:r>
        <w:t>All rights reserved.</w:t>
      </w:r>
    </w:p>
    <w:p w:rsidR="00223278" w:rsidRDefault="00223278" w:rsidP="0048162A">
      <w:pPr>
        <w:pStyle w:val="TOC1"/>
        <w:sectPr w:rsidR="00223278" w:rsidSect="00FE256D">
          <w:headerReference w:type="default" r:id="rId9"/>
          <w:pgSz w:w="12240" w:h="15840"/>
          <w:pgMar w:top="1440" w:right="1440" w:bottom="1440" w:left="1440" w:header="1440" w:footer="1440" w:gutter="0"/>
          <w:pgNumType w:fmt="lowerRoman" w:start="2"/>
          <w:cols w:space="720"/>
          <w:docGrid w:linePitch="360"/>
        </w:sectPr>
      </w:pPr>
    </w:p>
    <w:p w:rsidR="00223278" w:rsidRPr="0048162A" w:rsidRDefault="00223278" w:rsidP="0048162A">
      <w:pPr>
        <w:pStyle w:val="Heading1"/>
        <w:rPr>
          <w:b w:val="0"/>
        </w:rPr>
      </w:pPr>
      <w:r w:rsidRPr="0048162A">
        <w:rPr>
          <w:b w:val="0"/>
        </w:rPr>
        <w:lastRenderedPageBreak/>
        <w:t>DEDICATION</w:t>
      </w:r>
    </w:p>
    <w:p w:rsidR="00223278" w:rsidRDefault="003D5894" w:rsidP="00223278">
      <w:r>
        <w:t xml:space="preserve">This dissertation is dedicated to my beautiful and wonderful wife, Mary Alice, my </w:t>
      </w:r>
      <w:r w:rsidR="00054FC6">
        <w:t>parents</w:t>
      </w:r>
      <w:r>
        <w:t>, Dave Varga</w:t>
      </w:r>
      <w:r w:rsidR="009B0B9A">
        <w:t xml:space="preserve"> and</w:t>
      </w:r>
      <w:r>
        <w:t xml:space="preserve"> Meg Varga, </w:t>
      </w:r>
      <w:r w:rsidR="009B0B9A">
        <w:t xml:space="preserve">my faculty advisor and inspiration, Dr. Norma T. Mertz, </w:t>
      </w:r>
      <w:r>
        <w:t xml:space="preserve">and my </w:t>
      </w:r>
      <w:r w:rsidR="00C9051F">
        <w:t>friend</w:t>
      </w:r>
      <w:r>
        <w:t xml:space="preserve"> Dr. James </w:t>
      </w:r>
      <w:proofErr w:type="spellStart"/>
      <w:r>
        <w:t>Gleaves</w:t>
      </w:r>
      <w:proofErr w:type="spellEnd"/>
      <w:r>
        <w:t>.</w:t>
      </w:r>
    </w:p>
    <w:p w:rsidR="003D5894" w:rsidRDefault="003D5894" w:rsidP="00223278">
      <w:r>
        <w:t xml:space="preserve">Mary Alice, there is nothing I </w:t>
      </w:r>
      <w:r w:rsidR="00BD36DF">
        <w:t>want you to know more tha</w:t>
      </w:r>
      <w:r>
        <w:t>n without your support and encouragement, this accomplishment would never have happened. Your patience has been that of an angel; your understanding has been that of a saint; and your support has been unfathomable. You have been, and always will be, the absolute best thing that has ever happened to me and I know, together, we can accomplish and overcome anything.</w:t>
      </w:r>
      <w:r w:rsidR="00C9051F">
        <w:t xml:space="preserve"> I hope I am as good to you as you have been to me in life and throughout this process.</w:t>
      </w:r>
      <w:r w:rsidR="00054FC6">
        <w:t xml:space="preserve"> I love you!</w:t>
      </w:r>
    </w:p>
    <w:p w:rsidR="003D5894" w:rsidRDefault="003D5894" w:rsidP="00223278">
      <w:r>
        <w:t>Mom and Dad (</w:t>
      </w:r>
      <w:r w:rsidR="00054FC6">
        <w:t>Dave</w:t>
      </w:r>
      <w:r>
        <w:t xml:space="preserve"> &amp; </w:t>
      </w:r>
      <w:r w:rsidR="00054FC6">
        <w:t>Meg</w:t>
      </w:r>
      <w:r>
        <w:t xml:space="preserve">), you raised me to be the man I am today. You taught me my drive, passion, and </w:t>
      </w:r>
      <w:r w:rsidR="009B0B9A">
        <w:t xml:space="preserve">most importantly my </w:t>
      </w:r>
      <w:r w:rsidR="00054FC6">
        <w:t>thirst</w:t>
      </w:r>
      <w:r w:rsidR="009B0B9A">
        <w:t xml:space="preserve"> for knowledge</w:t>
      </w:r>
      <w:r>
        <w:t xml:space="preserve">. Despite being told </w:t>
      </w:r>
      <w:r w:rsidR="009B0B9A">
        <w:t>in high school</w:t>
      </w:r>
      <w:r w:rsidR="00BD36DF">
        <w:t>,</w:t>
      </w:r>
      <w:r w:rsidR="009B0B9A">
        <w:t xml:space="preserve"> </w:t>
      </w:r>
      <w:r>
        <w:t xml:space="preserve">I was barely smart enough for community college, you </w:t>
      </w:r>
      <w:r w:rsidR="00C9051F">
        <w:t>showed me that was not true. You both supported me, and my efforts</w:t>
      </w:r>
      <w:r w:rsidR="00BD36DF">
        <w:t>,</w:t>
      </w:r>
      <w:r w:rsidR="00C9051F">
        <w:t xml:space="preserve"> throughout</w:t>
      </w:r>
      <w:r>
        <w:t xml:space="preserve"> higher education. Without your support and encouragement, I would</w:t>
      </w:r>
      <w:r w:rsidR="009B0B9A">
        <w:t xml:space="preserve"> not have accomplished this </w:t>
      </w:r>
      <w:r w:rsidR="00054FC6">
        <w:t>unbelievable</w:t>
      </w:r>
      <w:r w:rsidR="009B0B9A">
        <w:t xml:space="preserve"> goal.</w:t>
      </w:r>
    </w:p>
    <w:p w:rsidR="009B0B9A" w:rsidRDefault="009B0B9A" w:rsidP="00223278">
      <w:r>
        <w:t>Dr. Mertz, I truly believe you were sent from God to help me through this process, not just academically, but personally and emotionally. I always tried to work as hard as I could to make you proud</w:t>
      </w:r>
      <w:r w:rsidR="00BD36DF">
        <w:t>,</w:t>
      </w:r>
      <w:r>
        <w:t xml:space="preserve"> and even when I did not produce work to </w:t>
      </w:r>
      <w:r w:rsidR="00C9051F">
        <w:t>your</w:t>
      </w:r>
      <w:r>
        <w:t xml:space="preserve"> </w:t>
      </w:r>
      <w:r w:rsidR="00BD36DF">
        <w:t>satisfaction,</w:t>
      </w:r>
      <w:r>
        <w:t xml:space="preserve"> you never let me settle</w:t>
      </w:r>
      <w:r w:rsidR="00C9051F">
        <w:t xml:space="preserve"> and continued to push me</w:t>
      </w:r>
      <w:r>
        <w:t xml:space="preserve">. You </w:t>
      </w:r>
      <w:r w:rsidR="00C9051F">
        <w:t>ne</w:t>
      </w:r>
      <w:r>
        <w:t xml:space="preserve">ver let me quit even </w:t>
      </w:r>
      <w:r w:rsidR="00BD36DF">
        <w:t>when I wanted to,</w:t>
      </w:r>
      <w:r w:rsidR="00C9051F">
        <w:t xml:space="preserve"> and </w:t>
      </w:r>
      <w:r w:rsidR="00054FC6">
        <w:t xml:space="preserve">when I </w:t>
      </w:r>
      <w:r w:rsidR="00C9051F">
        <w:t xml:space="preserve">came very close to doing </w:t>
      </w:r>
      <w:r w:rsidR="00BD36DF">
        <w:t>so, you never gave up</w:t>
      </w:r>
      <w:r>
        <w:t>. You have made an impact on my life that I think you will never know, but please know that I am very grateful.</w:t>
      </w:r>
    </w:p>
    <w:p w:rsidR="003D5894" w:rsidRDefault="00C9051F" w:rsidP="00223278">
      <w:r>
        <w:lastRenderedPageBreak/>
        <w:t xml:space="preserve">Dr. James </w:t>
      </w:r>
      <w:proofErr w:type="spellStart"/>
      <w:r>
        <w:t>Gleaves</w:t>
      </w:r>
      <w:proofErr w:type="spellEnd"/>
      <w:r w:rsidR="00172D49">
        <w:t>, you have been so much more tha</w:t>
      </w:r>
      <w:r>
        <w:t xml:space="preserve">n a healthcare </w:t>
      </w:r>
      <w:proofErr w:type="gramStart"/>
      <w:r>
        <w:t>provider</w:t>
      </w:r>
      <w:proofErr w:type="gramEnd"/>
      <w:r>
        <w:t>. You have supported, encouraged, and helped me through a dark time in my life. I personally feel you saved my life. I am confident without your friendship this accomplishment could not have happened. You have left a mark on my life that I will forever and always be grateful for and remember.</w:t>
      </w:r>
    </w:p>
    <w:p w:rsidR="00C9051F" w:rsidRDefault="00C9051F" w:rsidP="00223278">
      <w:r>
        <w:t>Words will never adequately express what you all mean to me and how you all have contributed to this accomplishment. I am truly blessed for having each one of you in my life. Thank you all very much!</w:t>
      </w:r>
    </w:p>
    <w:p w:rsidR="00C9051F" w:rsidRDefault="00C9051F" w:rsidP="00223278"/>
    <w:p w:rsidR="00C9051F" w:rsidRPr="00223278" w:rsidRDefault="00C9051F" w:rsidP="00223278">
      <w:pPr>
        <w:sectPr w:rsidR="00C9051F" w:rsidRPr="00223278" w:rsidSect="00FE256D">
          <w:pgSz w:w="12240" w:h="15840"/>
          <w:pgMar w:top="1440" w:right="1440" w:bottom="1440" w:left="1440" w:header="1440" w:footer="1440" w:gutter="0"/>
          <w:pgNumType w:fmt="lowerRoman"/>
          <w:cols w:space="720"/>
          <w:docGrid w:linePitch="360"/>
        </w:sectPr>
      </w:pPr>
    </w:p>
    <w:p w:rsidR="00223278" w:rsidRPr="0048162A" w:rsidRDefault="00223278" w:rsidP="0048162A">
      <w:pPr>
        <w:pStyle w:val="Heading1"/>
        <w:rPr>
          <w:b w:val="0"/>
        </w:rPr>
      </w:pPr>
      <w:r w:rsidRPr="0048162A">
        <w:rPr>
          <w:b w:val="0"/>
        </w:rPr>
        <w:lastRenderedPageBreak/>
        <w:t>ACKNOWLEDGEMENTS</w:t>
      </w:r>
    </w:p>
    <w:p w:rsidR="00223278" w:rsidRDefault="00995E9C" w:rsidP="00223278">
      <w:r>
        <w:t xml:space="preserve">Completion of this dissertation would not have been possible without the incredible influence as well as support from many individuals to whom I owe the deepest appreciation and gratitude. It is not possible to name everyone that contributed to this success, please know that you </w:t>
      </w:r>
      <w:r w:rsidR="00054FC6">
        <w:t xml:space="preserve">all </w:t>
      </w:r>
      <w:r w:rsidR="00CD2E4D">
        <w:t xml:space="preserve">are </w:t>
      </w:r>
      <w:r>
        <w:t>certainly remembered. In addition, there have been a vast number of people that set me on this path in higher education and have helped me both personally and professionally. This acknowledgement is only a very small way to express my sincere thanks to several remarkable individuals.</w:t>
      </w:r>
    </w:p>
    <w:p w:rsidR="00046D33" w:rsidRDefault="00995E9C" w:rsidP="00995E9C">
      <w:r>
        <w:t xml:space="preserve">A special thanks to my entire dissertation committee for their support and work throughout this process. In particular, Dr. Norma Mertz, chair of my committee, for your patience, hard work, counsel, and guidance throughout the entire process. Dr. Gary Skolits, your help and encouragement throughout the process and for your support with the survey instrument. Dr. John Wodarski, your insight into this topic was </w:t>
      </w:r>
      <w:r w:rsidR="000D5A78">
        <w:t>in</w:t>
      </w:r>
      <w:r>
        <w:t xml:space="preserve">valuable </w:t>
      </w:r>
      <w:r w:rsidR="00046D33">
        <w:t>especially with obtaining IRB approval.</w:t>
      </w:r>
      <w:r>
        <w:t xml:space="preserve"> </w:t>
      </w:r>
      <w:r w:rsidR="00046D33">
        <w:t>Dr. Shawn Spurgeon, your support</w:t>
      </w:r>
      <w:r w:rsidR="00054FC6">
        <w:t>, contributions,</w:t>
      </w:r>
      <w:r w:rsidR="00046D33">
        <w:t xml:space="preserve"> and hard work did not go unnoticed</w:t>
      </w:r>
      <w:r w:rsidR="00054FC6">
        <w:t>; for your commitment, I thank you</w:t>
      </w:r>
      <w:r w:rsidR="00046D33">
        <w:t xml:space="preserve">. Thank you to all of you for your encouragement and support throughout the entire process. I could not have asked for a better committee. You all made my </w:t>
      </w:r>
      <w:r w:rsidR="00054FC6">
        <w:t xml:space="preserve">dissertation </w:t>
      </w:r>
      <w:r w:rsidR="00046D33">
        <w:t>experience a</w:t>
      </w:r>
      <w:r w:rsidR="00054FC6">
        <w:t xml:space="preserve"> pleasant one, or as pleasant as the dissertation process can be</w:t>
      </w:r>
      <w:r w:rsidR="007E15B8">
        <w:t>, for that matter</w:t>
      </w:r>
      <w:r w:rsidR="00046D33">
        <w:t>.</w:t>
      </w:r>
    </w:p>
    <w:p w:rsidR="00223278" w:rsidRDefault="00046D33" w:rsidP="00995E9C">
      <w:r>
        <w:t xml:space="preserve">Heartfelt thanks goes to several individuals who I have encountered over the years in higher education. Dr. Clarresa Morton, your support, encouragement, and mentorship have also been a driving factor in </w:t>
      </w:r>
      <w:r w:rsidR="00054FC6">
        <w:t xml:space="preserve">the </w:t>
      </w:r>
      <w:r>
        <w:t>completi</w:t>
      </w:r>
      <w:r w:rsidR="00054FC6">
        <w:t>o</w:t>
      </w:r>
      <w:r>
        <w:t xml:space="preserve">n </w:t>
      </w:r>
      <w:r w:rsidR="00054FC6">
        <w:t>of my</w:t>
      </w:r>
      <w:r>
        <w:t xml:space="preserve"> dissertation. You took a chance on a newly </w:t>
      </w:r>
      <w:r w:rsidR="00EC65E0">
        <w:t>graduated</w:t>
      </w:r>
      <w:r>
        <w:t xml:space="preserve"> </w:t>
      </w:r>
      <w:r w:rsidR="00EC65E0">
        <w:t>professional</w:t>
      </w:r>
      <w:r>
        <w:t xml:space="preserve"> seven and a half years ago</w:t>
      </w:r>
      <w:r w:rsidR="00EC65E0">
        <w:t xml:space="preserve">. The confidence you instilled in me </w:t>
      </w:r>
      <w:r w:rsidR="00EC65E0">
        <w:lastRenderedPageBreak/>
        <w:t>contributed to my belief that I could accomplish this goal</w:t>
      </w:r>
      <w:r w:rsidR="00054FC6">
        <w:t xml:space="preserve"> and much more</w:t>
      </w:r>
      <w:r w:rsidR="00EC65E0">
        <w:t xml:space="preserve">. Dr. </w:t>
      </w:r>
      <w:r w:rsidR="00054FC6">
        <w:t>Jason “</w:t>
      </w:r>
      <w:r w:rsidR="00EC65E0">
        <w:t>Jay</w:t>
      </w:r>
      <w:r w:rsidR="00054FC6">
        <w:t>”</w:t>
      </w:r>
      <w:r w:rsidR="00EC65E0">
        <w:t xml:space="preserve"> Lambert, your mentorship during my undergraduate experience also </w:t>
      </w:r>
      <w:r w:rsidR="00077CB3">
        <w:t>helped shape who I am today as a</w:t>
      </w:r>
      <w:r w:rsidR="00EC65E0">
        <w:t xml:space="preserve"> professional. I still remember </w:t>
      </w:r>
      <w:r w:rsidR="0082372C">
        <w:t xml:space="preserve">our first interaction. It was from there my path in higher education was </w:t>
      </w:r>
      <w:r w:rsidR="00054FC6">
        <w:t xml:space="preserve">ultimately </w:t>
      </w:r>
      <w:r w:rsidR="0082372C">
        <w:t>set.</w:t>
      </w:r>
      <w:r>
        <w:t xml:space="preserve"> </w:t>
      </w:r>
      <w:r w:rsidR="0082372C">
        <w:t>A special thank you goes to Mr. Jerry Adams, without your professional support, I would not have been able to complete this degree. Comp</w:t>
      </w:r>
      <w:r w:rsidR="007E15B8">
        <w:t>leting a dissertation as a full-</w:t>
      </w:r>
      <w:r w:rsidR="0082372C">
        <w:t>time staff member is difficult, but your support and encouragement made th</w:t>
      </w:r>
      <w:r w:rsidR="00874B9A">
        <w:t>is</w:t>
      </w:r>
      <w:r w:rsidR="0082372C">
        <w:t xml:space="preserve"> as easy as possible. I still remember your words “it’s just a big paper, get it done.” </w:t>
      </w:r>
    </w:p>
    <w:p w:rsidR="0082372C" w:rsidRDefault="0082372C" w:rsidP="00995E9C">
      <w:r>
        <w:t>Finally, I would like to thank my entire family. As ment</w:t>
      </w:r>
      <w:r w:rsidR="00914546">
        <w:t xml:space="preserve">ioned in my dedication, my soul </w:t>
      </w:r>
      <w:r>
        <w:t>mate, Mary Alice, my family Dave Varga, Meg Varga, and Ashley Varga, and the r</w:t>
      </w:r>
      <w:r w:rsidR="00077CB3">
        <w:t>est of the Varga and Snead clan</w:t>
      </w:r>
      <w:r>
        <w:t xml:space="preserve">s. You all have been absolutely wonderful and encouraging through this entire process; especially, listening to processes or explanations that were </w:t>
      </w:r>
      <w:r w:rsidR="007E15B8">
        <w:t xml:space="preserve">similar to listening to Greek. </w:t>
      </w:r>
      <w:r>
        <w:t>Thank you all very much and I love each and one of you!</w:t>
      </w:r>
    </w:p>
    <w:p w:rsidR="0082372C" w:rsidRDefault="0082372C" w:rsidP="00995E9C"/>
    <w:p w:rsidR="0082372C" w:rsidRPr="00223278" w:rsidRDefault="0082372C" w:rsidP="00995E9C">
      <w:pPr>
        <w:sectPr w:rsidR="0082372C" w:rsidRPr="00223278" w:rsidSect="00FE256D">
          <w:pgSz w:w="12240" w:h="15840"/>
          <w:pgMar w:top="1440" w:right="1440" w:bottom="1440" w:left="1440" w:header="1440" w:footer="1440" w:gutter="0"/>
          <w:pgNumType w:fmt="lowerRoman"/>
          <w:cols w:space="720"/>
          <w:docGrid w:linePitch="360"/>
        </w:sectPr>
      </w:pPr>
    </w:p>
    <w:p w:rsidR="00223278" w:rsidRPr="0048162A" w:rsidRDefault="00223278" w:rsidP="0048162A">
      <w:pPr>
        <w:pStyle w:val="Heading1"/>
        <w:rPr>
          <w:b w:val="0"/>
        </w:rPr>
      </w:pPr>
      <w:r w:rsidRPr="0048162A">
        <w:rPr>
          <w:b w:val="0"/>
        </w:rPr>
        <w:lastRenderedPageBreak/>
        <w:t>ABSTRACT</w:t>
      </w:r>
    </w:p>
    <w:p w:rsidR="0048162A" w:rsidRPr="00DA24C1" w:rsidRDefault="0048162A" w:rsidP="0048162A">
      <w:r w:rsidRPr="00DA24C1">
        <w:t xml:space="preserve">The purpose of this study </w:t>
      </w:r>
      <w:r>
        <w:t>was</w:t>
      </w:r>
      <w:r w:rsidRPr="00DA24C1">
        <w:t xml:space="preserve"> to </w:t>
      </w:r>
      <w:r>
        <w:t>measure graduate student prescription stimulant use by assessing the extent of use, reasons for use, and poly-substance use.</w:t>
      </w:r>
      <w:r w:rsidRPr="00DA24C1">
        <w:t xml:space="preserve"> </w:t>
      </w:r>
      <w:r>
        <w:t>Graduate students (</w:t>
      </w:r>
      <w:r>
        <w:rPr>
          <w:i/>
        </w:rPr>
        <w:t xml:space="preserve">n </w:t>
      </w:r>
      <w:r w:rsidRPr="00F16C07">
        <w:t>= 1,015</w:t>
      </w:r>
      <w:r>
        <w:t>) enrolled at a large Southeastern university completed the Student Life Survey. The data were analyzed using a variety of analytical techniques including descriptive statistics, frequencies, and a stepwise logistic regression in order to answer the research questions guiding this study:</w:t>
      </w:r>
    </w:p>
    <w:p w:rsidR="0048162A" w:rsidRPr="00DA24C1" w:rsidRDefault="0048162A" w:rsidP="0048162A">
      <w:pPr>
        <w:pStyle w:val="ListParagraph"/>
        <w:numPr>
          <w:ilvl w:val="0"/>
          <w:numId w:val="12"/>
        </w:numPr>
      </w:pPr>
      <w:r w:rsidRPr="00DA24C1">
        <w:t>What is the extent of prescri</w:t>
      </w:r>
      <w:r>
        <w:t xml:space="preserve">ption stimulant abuse among </w:t>
      </w:r>
      <w:r w:rsidRPr="00DA24C1">
        <w:t>graduate</w:t>
      </w:r>
      <w:r>
        <w:t xml:space="preserve"> students</w:t>
      </w:r>
      <w:r w:rsidRPr="00DA24C1">
        <w:t xml:space="preserve"> on college campuses?</w:t>
      </w:r>
    </w:p>
    <w:p w:rsidR="0048162A" w:rsidRPr="00DA24C1" w:rsidRDefault="0048162A" w:rsidP="0048162A">
      <w:pPr>
        <w:pStyle w:val="ListParagraph"/>
        <w:numPr>
          <w:ilvl w:val="0"/>
          <w:numId w:val="12"/>
        </w:numPr>
      </w:pPr>
      <w:r w:rsidRPr="00DA24C1">
        <w:t xml:space="preserve">What </w:t>
      </w:r>
      <w:r>
        <w:t xml:space="preserve">are the reasons for graduate </w:t>
      </w:r>
      <w:r w:rsidRPr="00DA24C1">
        <w:t>students’ illicit us</w:t>
      </w:r>
      <w:r>
        <w:t>e of</w:t>
      </w:r>
      <w:r w:rsidRPr="00DA24C1">
        <w:t xml:space="preserve"> prescription stimulants?</w:t>
      </w:r>
    </w:p>
    <w:p w:rsidR="0048162A" w:rsidRPr="00DA24C1" w:rsidRDefault="0048162A" w:rsidP="0048162A">
      <w:pPr>
        <w:pStyle w:val="ListParagraph"/>
        <w:numPr>
          <w:ilvl w:val="0"/>
          <w:numId w:val="12"/>
        </w:numPr>
      </w:pPr>
      <w:r>
        <w:t>Are graduate students who abuse prescription stimulants more likely to abuse other substances?</w:t>
      </w:r>
    </w:p>
    <w:p w:rsidR="0048162A" w:rsidRDefault="0048162A" w:rsidP="0048162A">
      <w:r>
        <w:t>The findings reveal that 15% of graduate students surveyed had illicitly used prescription stimulants in their lifetime, and 5.1% had used in the last 12 months. The primary reason they gave for illicitly using prescription stimulants included academics (67.5%), with recreational use occurring at a smaller rate (30.5%). Graduate students</w:t>
      </w:r>
      <w:r w:rsidR="007E15B8">
        <w:t>,</w:t>
      </w:r>
      <w:r>
        <w:t xml:space="preserve"> who illicitly used prescription stimulants in their lifetime, were found to be more likely to use other illegal drugs than those who had not done so. Specifically, graduate students who illicitly used prescription stimulants in their lifetime were 1.5 times more likely to use marijuana, 6.3 times more likely to use cocaine, and 2.4 times more likely to use ecstasy.</w:t>
      </w:r>
    </w:p>
    <w:p w:rsidR="00CA5095" w:rsidRDefault="00CA5095" w:rsidP="00CA5095">
      <w:pPr>
        <w:sectPr w:rsidR="00CA5095" w:rsidSect="00FE256D">
          <w:pgSz w:w="12240" w:h="15840"/>
          <w:pgMar w:top="1440" w:right="1440" w:bottom="1440" w:left="1440" w:header="1440" w:footer="720" w:gutter="0"/>
          <w:pgNumType w:fmt="lowerRoman"/>
          <w:cols w:space="720"/>
          <w:docGrid w:linePitch="360"/>
        </w:sectPr>
      </w:pPr>
    </w:p>
    <w:p w:rsidR="00A877A9" w:rsidRPr="0048162A" w:rsidRDefault="00A877A9" w:rsidP="0048162A">
      <w:pPr>
        <w:pStyle w:val="Heading1"/>
        <w:rPr>
          <w:b w:val="0"/>
        </w:rPr>
      </w:pPr>
      <w:r w:rsidRPr="0048162A">
        <w:rPr>
          <w:b w:val="0"/>
        </w:rPr>
        <w:lastRenderedPageBreak/>
        <w:t>TABLE OF CONTENTS</w:t>
      </w:r>
    </w:p>
    <w:p w:rsidR="00A877A9" w:rsidRDefault="00A877A9" w:rsidP="009243B2">
      <w:pPr>
        <w:tabs>
          <w:tab w:val="right" w:pos="9360"/>
        </w:tabs>
        <w:ind w:firstLine="0"/>
      </w:pPr>
      <w:r>
        <w:t>CHAPTER</w:t>
      </w:r>
      <w:r>
        <w:tab/>
        <w:t>PAGE</w:t>
      </w:r>
    </w:p>
    <w:p w:rsidR="00A877A9" w:rsidRDefault="00A877A9" w:rsidP="00A877A9">
      <w:pPr>
        <w:tabs>
          <w:tab w:val="left" w:pos="720"/>
          <w:tab w:val="right" w:leader="dot" w:pos="9360"/>
        </w:tabs>
        <w:ind w:firstLine="0"/>
      </w:pPr>
      <w:r>
        <w:t>I.</w:t>
      </w:r>
      <w:r>
        <w:tab/>
        <w:t>INTRODUCTION AND PURPOSE</w:t>
      </w:r>
      <w:r>
        <w:tab/>
        <w:t>1</w:t>
      </w:r>
    </w:p>
    <w:p w:rsidR="00A877A9" w:rsidRDefault="00A877A9" w:rsidP="00A877A9">
      <w:pPr>
        <w:tabs>
          <w:tab w:val="left" w:pos="720"/>
          <w:tab w:val="right" w:leader="dot" w:pos="9360"/>
        </w:tabs>
      </w:pPr>
      <w:r>
        <w:t>Statement of the Problem</w:t>
      </w:r>
      <w:r>
        <w:tab/>
        <w:t>7</w:t>
      </w:r>
    </w:p>
    <w:p w:rsidR="00A877A9" w:rsidRDefault="00A877A9" w:rsidP="00A877A9">
      <w:pPr>
        <w:tabs>
          <w:tab w:val="left" w:pos="720"/>
          <w:tab w:val="right" w:leader="dot" w:pos="9360"/>
        </w:tabs>
      </w:pPr>
      <w:r>
        <w:t>Purpose of the Study</w:t>
      </w:r>
      <w:r>
        <w:tab/>
        <w:t>8</w:t>
      </w:r>
    </w:p>
    <w:p w:rsidR="00A877A9" w:rsidRDefault="00A877A9" w:rsidP="00A877A9">
      <w:pPr>
        <w:tabs>
          <w:tab w:val="left" w:pos="720"/>
          <w:tab w:val="right" w:leader="dot" w:pos="9360"/>
        </w:tabs>
      </w:pPr>
      <w:r>
        <w:t>Research Questions</w:t>
      </w:r>
      <w:r>
        <w:tab/>
        <w:t>8</w:t>
      </w:r>
    </w:p>
    <w:p w:rsidR="00A877A9" w:rsidRDefault="00A877A9" w:rsidP="00A877A9">
      <w:pPr>
        <w:tabs>
          <w:tab w:val="left" w:pos="720"/>
          <w:tab w:val="right" w:leader="dot" w:pos="9360"/>
        </w:tabs>
      </w:pPr>
      <w:r>
        <w:t>Significance of the Study</w:t>
      </w:r>
      <w:r>
        <w:tab/>
        <w:t>8</w:t>
      </w:r>
    </w:p>
    <w:p w:rsidR="00A877A9" w:rsidRDefault="00A877A9" w:rsidP="00A877A9">
      <w:pPr>
        <w:tabs>
          <w:tab w:val="left" w:pos="720"/>
          <w:tab w:val="right" w:leader="dot" w:pos="9360"/>
        </w:tabs>
      </w:pPr>
      <w:r>
        <w:t>Preview of Method and Procedures</w:t>
      </w:r>
      <w:r>
        <w:tab/>
        <w:t>9</w:t>
      </w:r>
    </w:p>
    <w:p w:rsidR="00A877A9" w:rsidRDefault="00A877A9" w:rsidP="00A877A9">
      <w:pPr>
        <w:tabs>
          <w:tab w:val="left" w:pos="720"/>
          <w:tab w:val="right" w:leader="dot" w:pos="9360"/>
        </w:tabs>
      </w:pPr>
      <w:r>
        <w:t>Delimitations of the Study</w:t>
      </w:r>
      <w:r>
        <w:tab/>
        <w:t>9</w:t>
      </w:r>
    </w:p>
    <w:p w:rsidR="00A877A9" w:rsidRDefault="00A877A9" w:rsidP="00A877A9">
      <w:pPr>
        <w:tabs>
          <w:tab w:val="left" w:pos="720"/>
          <w:tab w:val="right" w:leader="dot" w:pos="9360"/>
        </w:tabs>
      </w:pPr>
      <w:r>
        <w:t>Limitations</w:t>
      </w:r>
      <w:r>
        <w:tab/>
        <w:t>9</w:t>
      </w:r>
    </w:p>
    <w:p w:rsidR="00A877A9" w:rsidRDefault="00A877A9" w:rsidP="00A877A9">
      <w:pPr>
        <w:tabs>
          <w:tab w:val="left" w:pos="720"/>
          <w:tab w:val="right" w:leader="dot" w:pos="9360"/>
        </w:tabs>
      </w:pPr>
      <w:r>
        <w:t>Conceptual Framework</w:t>
      </w:r>
      <w:r>
        <w:tab/>
      </w:r>
      <w:r w:rsidR="00303EAD">
        <w:t>10</w:t>
      </w:r>
    </w:p>
    <w:p w:rsidR="00A877A9" w:rsidRDefault="00303EAD" w:rsidP="00A877A9">
      <w:pPr>
        <w:tabs>
          <w:tab w:val="left" w:pos="720"/>
          <w:tab w:val="right" w:leader="dot" w:pos="9360"/>
        </w:tabs>
      </w:pPr>
      <w:r>
        <w:t>Organization of Study</w:t>
      </w:r>
      <w:r>
        <w:tab/>
        <w:t>11</w:t>
      </w:r>
    </w:p>
    <w:p w:rsidR="00A877A9" w:rsidRDefault="00A877A9" w:rsidP="00A877A9">
      <w:pPr>
        <w:tabs>
          <w:tab w:val="left" w:pos="720"/>
          <w:tab w:val="right" w:leader="dot" w:pos="9360"/>
        </w:tabs>
      </w:pPr>
      <w:r>
        <w:t>Definitions</w:t>
      </w:r>
      <w:r>
        <w:tab/>
        <w:t>11</w:t>
      </w:r>
    </w:p>
    <w:p w:rsidR="00A877A9" w:rsidRDefault="00303EAD" w:rsidP="00A877A9">
      <w:pPr>
        <w:tabs>
          <w:tab w:val="left" w:pos="720"/>
          <w:tab w:val="right" w:leader="dot" w:pos="9360"/>
        </w:tabs>
        <w:ind w:firstLine="0"/>
      </w:pPr>
      <w:r>
        <w:t>II.</w:t>
      </w:r>
      <w:r>
        <w:tab/>
        <w:t>REVIEW OF LITERATURE</w:t>
      </w:r>
      <w:r>
        <w:tab/>
        <w:t>14</w:t>
      </w:r>
    </w:p>
    <w:p w:rsidR="00A877A9" w:rsidRDefault="00303EAD" w:rsidP="00A877A9">
      <w:pPr>
        <w:tabs>
          <w:tab w:val="left" w:pos="720"/>
          <w:tab w:val="right" w:leader="dot" w:pos="9360"/>
        </w:tabs>
      </w:pPr>
      <w:r>
        <w:t>National Prevalence</w:t>
      </w:r>
      <w:r>
        <w:tab/>
        <w:t>14</w:t>
      </w:r>
    </w:p>
    <w:p w:rsidR="00A877A9" w:rsidRDefault="00A877A9" w:rsidP="00A877A9">
      <w:pPr>
        <w:tabs>
          <w:tab w:val="left" w:pos="720"/>
          <w:tab w:val="right" w:leader="dot" w:pos="9360"/>
        </w:tabs>
      </w:pPr>
      <w:r>
        <w:t>Exte</w:t>
      </w:r>
      <w:r w:rsidR="00303EAD">
        <w:t>nt of Use on College Campuses</w:t>
      </w:r>
      <w:r w:rsidR="00303EAD">
        <w:tab/>
        <w:t>23</w:t>
      </w:r>
    </w:p>
    <w:p w:rsidR="00A877A9" w:rsidRDefault="00303EAD" w:rsidP="00A877A9">
      <w:pPr>
        <w:tabs>
          <w:tab w:val="left" w:pos="720"/>
          <w:tab w:val="right" w:leader="dot" w:pos="9360"/>
        </w:tabs>
      </w:pPr>
      <w:r>
        <w:t>Student Related Issues</w:t>
      </w:r>
      <w:r>
        <w:tab/>
        <w:t>26</w:t>
      </w:r>
    </w:p>
    <w:p w:rsidR="00A877A9" w:rsidRDefault="00303EAD" w:rsidP="00A877A9">
      <w:pPr>
        <w:tabs>
          <w:tab w:val="left" w:pos="720"/>
          <w:tab w:val="right" w:leader="dot" w:pos="9360"/>
        </w:tabs>
      </w:pPr>
      <w:r>
        <w:t>Summary</w:t>
      </w:r>
      <w:r>
        <w:tab/>
        <w:t>45</w:t>
      </w:r>
    </w:p>
    <w:p w:rsidR="00A877A9" w:rsidRDefault="00303EAD" w:rsidP="00A877A9">
      <w:pPr>
        <w:tabs>
          <w:tab w:val="left" w:pos="720"/>
          <w:tab w:val="right" w:leader="dot" w:pos="9360"/>
        </w:tabs>
        <w:ind w:firstLine="0"/>
      </w:pPr>
      <w:r>
        <w:t>III.</w:t>
      </w:r>
      <w:r>
        <w:tab/>
        <w:t>METHODS AND PROCEDURES</w:t>
      </w:r>
      <w:r>
        <w:tab/>
        <w:t>46</w:t>
      </w:r>
    </w:p>
    <w:p w:rsidR="00A877A9" w:rsidRDefault="00303EAD" w:rsidP="00A877A9">
      <w:pPr>
        <w:tabs>
          <w:tab w:val="left" w:pos="720"/>
          <w:tab w:val="right" w:leader="dot" w:pos="9360"/>
        </w:tabs>
      </w:pPr>
      <w:r>
        <w:t>Design of the Study</w:t>
      </w:r>
      <w:r>
        <w:tab/>
        <w:t>46</w:t>
      </w:r>
    </w:p>
    <w:p w:rsidR="00A877A9" w:rsidRDefault="00303EAD" w:rsidP="00A877A9">
      <w:pPr>
        <w:tabs>
          <w:tab w:val="left" w:pos="720"/>
          <w:tab w:val="right" w:leader="dot" w:pos="9360"/>
        </w:tabs>
      </w:pPr>
      <w:r>
        <w:t>Instrumentation</w:t>
      </w:r>
      <w:r>
        <w:tab/>
        <w:t>47</w:t>
      </w:r>
    </w:p>
    <w:p w:rsidR="00A877A9" w:rsidRDefault="00303EAD" w:rsidP="00A877A9">
      <w:pPr>
        <w:tabs>
          <w:tab w:val="left" w:pos="720"/>
          <w:tab w:val="right" w:leader="dot" w:pos="9360"/>
        </w:tabs>
      </w:pPr>
      <w:r>
        <w:t>Procedures</w:t>
      </w:r>
      <w:r>
        <w:tab/>
        <w:t>49</w:t>
      </w:r>
    </w:p>
    <w:p w:rsidR="00A877A9" w:rsidRDefault="00303EAD" w:rsidP="00A877A9">
      <w:pPr>
        <w:tabs>
          <w:tab w:val="left" w:pos="720"/>
          <w:tab w:val="right" w:leader="dot" w:pos="9360"/>
        </w:tabs>
      </w:pPr>
      <w:r>
        <w:lastRenderedPageBreak/>
        <w:t>Data Analysis</w:t>
      </w:r>
      <w:r>
        <w:tab/>
        <w:t>51</w:t>
      </w:r>
    </w:p>
    <w:p w:rsidR="00A877A9" w:rsidRDefault="00303EAD" w:rsidP="00A877A9">
      <w:pPr>
        <w:tabs>
          <w:tab w:val="left" w:pos="720"/>
          <w:tab w:val="right" w:leader="dot" w:pos="9360"/>
        </w:tabs>
        <w:ind w:firstLine="0"/>
      </w:pPr>
      <w:r>
        <w:t>IV.</w:t>
      </w:r>
      <w:r>
        <w:tab/>
        <w:t>FINDINGS OF THE SUMMARY</w:t>
      </w:r>
      <w:r>
        <w:tab/>
        <w:t>53</w:t>
      </w:r>
    </w:p>
    <w:p w:rsidR="00A877A9" w:rsidRDefault="00303EAD" w:rsidP="00A877A9">
      <w:pPr>
        <w:tabs>
          <w:tab w:val="left" w:pos="720"/>
          <w:tab w:val="right" w:leader="dot" w:pos="9360"/>
        </w:tabs>
      </w:pPr>
      <w:r>
        <w:t>Demographic Data</w:t>
      </w:r>
      <w:r>
        <w:tab/>
        <w:t>53</w:t>
      </w:r>
    </w:p>
    <w:p w:rsidR="00A877A9" w:rsidRDefault="00303EAD" w:rsidP="00A877A9">
      <w:pPr>
        <w:tabs>
          <w:tab w:val="left" w:pos="720"/>
          <w:tab w:val="right" w:leader="dot" w:pos="9360"/>
        </w:tabs>
      </w:pPr>
      <w:r>
        <w:t>Findings</w:t>
      </w:r>
      <w:r>
        <w:tab/>
        <w:t>54</w:t>
      </w:r>
    </w:p>
    <w:p w:rsidR="00A877A9" w:rsidRDefault="00172D49" w:rsidP="00172D49">
      <w:pPr>
        <w:tabs>
          <w:tab w:val="left" w:pos="1080"/>
          <w:tab w:val="right" w:leader="dot" w:pos="9360"/>
        </w:tabs>
      </w:pPr>
      <w:r>
        <w:tab/>
      </w:r>
      <w:r w:rsidR="00303EAD">
        <w:t>Research Question #1</w:t>
      </w:r>
      <w:r w:rsidR="00303EAD">
        <w:tab/>
        <w:t>54</w:t>
      </w:r>
    </w:p>
    <w:p w:rsidR="00A877A9" w:rsidRDefault="00172D49" w:rsidP="00172D49">
      <w:pPr>
        <w:tabs>
          <w:tab w:val="left" w:pos="1080"/>
          <w:tab w:val="right" w:leader="dot" w:pos="9360"/>
        </w:tabs>
      </w:pPr>
      <w:r>
        <w:tab/>
      </w:r>
      <w:r w:rsidR="00303EAD">
        <w:t>Analysis</w:t>
      </w:r>
      <w:r w:rsidR="00303EAD">
        <w:tab/>
        <w:t>54</w:t>
      </w:r>
    </w:p>
    <w:p w:rsidR="00A877A9" w:rsidRDefault="00172D49" w:rsidP="00172D49">
      <w:pPr>
        <w:tabs>
          <w:tab w:val="left" w:pos="1080"/>
          <w:tab w:val="right" w:leader="dot" w:pos="9360"/>
        </w:tabs>
      </w:pPr>
      <w:r>
        <w:tab/>
      </w:r>
      <w:r w:rsidR="00303EAD">
        <w:t>Research Question #2</w:t>
      </w:r>
      <w:r w:rsidR="00303EAD">
        <w:tab/>
        <w:t>56</w:t>
      </w:r>
    </w:p>
    <w:p w:rsidR="00A877A9" w:rsidRDefault="00172D49" w:rsidP="00172D49">
      <w:pPr>
        <w:tabs>
          <w:tab w:val="left" w:pos="1080"/>
          <w:tab w:val="right" w:leader="dot" w:pos="9360"/>
        </w:tabs>
      </w:pPr>
      <w:r>
        <w:tab/>
      </w:r>
      <w:r w:rsidR="00303EAD">
        <w:t>Analysis</w:t>
      </w:r>
      <w:r w:rsidR="00303EAD">
        <w:tab/>
        <w:t>56</w:t>
      </w:r>
    </w:p>
    <w:p w:rsidR="00A877A9" w:rsidRDefault="00172D49" w:rsidP="00172D49">
      <w:pPr>
        <w:tabs>
          <w:tab w:val="left" w:pos="1080"/>
          <w:tab w:val="right" w:leader="dot" w:pos="9360"/>
        </w:tabs>
      </w:pPr>
      <w:r>
        <w:tab/>
      </w:r>
      <w:r w:rsidR="00303EAD">
        <w:t>Research Question #3</w:t>
      </w:r>
      <w:r w:rsidR="00303EAD">
        <w:tab/>
        <w:t>59</w:t>
      </w:r>
    </w:p>
    <w:p w:rsidR="00A877A9" w:rsidRDefault="00172D49" w:rsidP="00172D49">
      <w:pPr>
        <w:tabs>
          <w:tab w:val="left" w:pos="1080"/>
          <w:tab w:val="right" w:leader="dot" w:pos="9360"/>
        </w:tabs>
      </w:pPr>
      <w:r>
        <w:tab/>
      </w:r>
      <w:r w:rsidR="00303EAD">
        <w:t>Analysis</w:t>
      </w:r>
      <w:r w:rsidR="00303EAD">
        <w:tab/>
        <w:t>59</w:t>
      </w:r>
    </w:p>
    <w:p w:rsidR="00A877A9" w:rsidRDefault="00A877A9" w:rsidP="00A877A9">
      <w:pPr>
        <w:tabs>
          <w:tab w:val="left" w:pos="720"/>
          <w:tab w:val="right" w:leader="dot" w:pos="9360"/>
        </w:tabs>
        <w:ind w:firstLine="0"/>
      </w:pPr>
      <w:r>
        <w:t>V.</w:t>
      </w:r>
      <w:r>
        <w:tab/>
        <w:t>SUMMARY</w:t>
      </w:r>
      <w:r w:rsidR="00303EAD">
        <w:t>, DISCUSSION, AND CONCLUSIONS</w:t>
      </w:r>
      <w:r w:rsidR="00303EAD">
        <w:tab/>
        <w:t>62</w:t>
      </w:r>
    </w:p>
    <w:p w:rsidR="00A877A9" w:rsidRDefault="00303EAD" w:rsidP="00A877A9">
      <w:pPr>
        <w:tabs>
          <w:tab w:val="left" w:pos="720"/>
          <w:tab w:val="right" w:leader="dot" w:pos="9360"/>
        </w:tabs>
      </w:pPr>
      <w:r>
        <w:t>Summary of Findings</w:t>
      </w:r>
      <w:r>
        <w:tab/>
        <w:t>63</w:t>
      </w:r>
    </w:p>
    <w:p w:rsidR="00A877A9" w:rsidRDefault="00303EAD" w:rsidP="00A877A9">
      <w:pPr>
        <w:tabs>
          <w:tab w:val="left" w:pos="720"/>
          <w:tab w:val="right" w:leader="dot" w:pos="9360"/>
        </w:tabs>
      </w:pPr>
      <w:r>
        <w:t>Discussion</w:t>
      </w:r>
      <w:r>
        <w:tab/>
        <w:t>63</w:t>
      </w:r>
    </w:p>
    <w:p w:rsidR="00A877A9" w:rsidRDefault="00303EAD" w:rsidP="00A877A9">
      <w:pPr>
        <w:tabs>
          <w:tab w:val="left" w:pos="720"/>
          <w:tab w:val="right" w:leader="dot" w:pos="9360"/>
        </w:tabs>
      </w:pPr>
      <w:r>
        <w:t>Conclusion</w:t>
      </w:r>
      <w:r>
        <w:tab/>
      </w:r>
      <w:r w:rsidR="005900DC">
        <w:t>70</w:t>
      </w:r>
    </w:p>
    <w:p w:rsidR="00A877A9" w:rsidRDefault="005900DC" w:rsidP="00A877A9">
      <w:pPr>
        <w:tabs>
          <w:tab w:val="left" w:pos="720"/>
          <w:tab w:val="right" w:leader="dot" w:pos="9360"/>
        </w:tabs>
      </w:pPr>
      <w:r>
        <w:t>Implications of the Study</w:t>
      </w:r>
      <w:r>
        <w:tab/>
        <w:t>70</w:t>
      </w:r>
    </w:p>
    <w:p w:rsidR="00A877A9" w:rsidRDefault="00A877A9" w:rsidP="00A877A9">
      <w:pPr>
        <w:tabs>
          <w:tab w:val="left" w:pos="720"/>
          <w:tab w:val="right" w:leader="dot" w:pos="9360"/>
        </w:tabs>
      </w:pPr>
      <w:r>
        <w:t>Recomme</w:t>
      </w:r>
      <w:r w:rsidR="005900DC">
        <w:t>ndations for Further Research</w:t>
      </w:r>
      <w:r w:rsidR="005900DC">
        <w:tab/>
        <w:t>73</w:t>
      </w:r>
    </w:p>
    <w:p w:rsidR="00A877A9" w:rsidRDefault="005900DC" w:rsidP="00A877A9">
      <w:pPr>
        <w:tabs>
          <w:tab w:val="left" w:pos="720"/>
          <w:tab w:val="right" w:leader="dot" w:pos="9360"/>
        </w:tabs>
        <w:ind w:firstLine="0"/>
      </w:pPr>
      <w:r>
        <w:t>REFERENCES</w:t>
      </w:r>
      <w:r>
        <w:tab/>
        <w:t>75</w:t>
      </w:r>
    </w:p>
    <w:p w:rsidR="00A877A9" w:rsidRDefault="00A877A9" w:rsidP="00A877A9">
      <w:pPr>
        <w:tabs>
          <w:tab w:val="left" w:pos="720"/>
          <w:tab w:val="right" w:leader="dot" w:pos="9360"/>
        </w:tabs>
        <w:ind w:firstLine="0"/>
      </w:pPr>
      <w:r>
        <w:t>APPENDI</w:t>
      </w:r>
      <w:r w:rsidR="00203FEE">
        <w:t>X</w:t>
      </w:r>
      <w:r>
        <w:tab/>
      </w:r>
      <w:r w:rsidR="005900DC">
        <w:t>8</w:t>
      </w:r>
      <w:r w:rsidR="00DD10FB">
        <w:t>4</w:t>
      </w:r>
    </w:p>
    <w:p w:rsidR="00A877A9" w:rsidRDefault="00A877A9" w:rsidP="00A877A9">
      <w:pPr>
        <w:tabs>
          <w:tab w:val="left" w:pos="720"/>
          <w:tab w:val="right" w:leader="dot" w:pos="9360"/>
        </w:tabs>
      </w:pPr>
      <w:r>
        <w:t>Appendi</w:t>
      </w:r>
      <w:r w:rsidR="00203FEE">
        <w:t>x</w:t>
      </w:r>
      <w:r w:rsidR="005900DC">
        <w:t xml:space="preserve"> A: Student Life Survey (SLS)</w:t>
      </w:r>
      <w:r w:rsidR="005900DC">
        <w:tab/>
        <w:t>8</w:t>
      </w:r>
      <w:r w:rsidR="00DD10FB">
        <w:t>5</w:t>
      </w:r>
    </w:p>
    <w:p w:rsidR="00A877A9" w:rsidRDefault="00A877A9" w:rsidP="00A877A9">
      <w:pPr>
        <w:tabs>
          <w:tab w:val="left" w:pos="720"/>
          <w:tab w:val="right" w:leader="dot" w:pos="9360"/>
        </w:tabs>
      </w:pPr>
      <w:r>
        <w:t>Appendix B: Solic</w:t>
      </w:r>
      <w:r w:rsidR="00203FEE">
        <w:t>itation Email to Participants</w:t>
      </w:r>
      <w:r w:rsidR="00203FEE">
        <w:tab/>
      </w:r>
      <w:r w:rsidR="00E77063">
        <w:t>1</w:t>
      </w:r>
      <w:r w:rsidR="005900DC">
        <w:t>07</w:t>
      </w:r>
    </w:p>
    <w:p w:rsidR="00A877A9" w:rsidRDefault="00A877A9" w:rsidP="00A877A9">
      <w:pPr>
        <w:tabs>
          <w:tab w:val="left" w:pos="720"/>
          <w:tab w:val="right" w:leader="dot" w:pos="9360"/>
        </w:tabs>
      </w:pPr>
      <w:r>
        <w:t>Appendix C: Study Information Sheet</w:t>
      </w:r>
      <w:r>
        <w:tab/>
      </w:r>
      <w:r w:rsidR="00E77063">
        <w:t>10</w:t>
      </w:r>
      <w:r w:rsidR="005900DC">
        <w:t>8</w:t>
      </w:r>
    </w:p>
    <w:p w:rsidR="00A877A9" w:rsidRDefault="00A877A9" w:rsidP="00A877A9">
      <w:pPr>
        <w:tabs>
          <w:tab w:val="left" w:pos="720"/>
          <w:tab w:val="right" w:leader="dot" w:pos="9360"/>
        </w:tabs>
      </w:pPr>
      <w:r>
        <w:t>Appendix D: Solicitation Re</w:t>
      </w:r>
      <w:r w:rsidR="005900DC">
        <w:t>minder Email to Participants</w:t>
      </w:r>
      <w:r w:rsidR="005900DC">
        <w:tab/>
        <w:t>111</w:t>
      </w:r>
    </w:p>
    <w:p w:rsidR="00A877A9" w:rsidRDefault="00A877A9" w:rsidP="00A877A9">
      <w:pPr>
        <w:tabs>
          <w:tab w:val="left" w:pos="720"/>
          <w:tab w:val="right" w:leader="dot" w:pos="9360"/>
        </w:tabs>
      </w:pPr>
      <w:r>
        <w:lastRenderedPageBreak/>
        <w:t>Appendix E: IRB Approva</w:t>
      </w:r>
      <w:r w:rsidR="00E77063">
        <w:t>l Form: Institution of St</w:t>
      </w:r>
      <w:r w:rsidR="00303EAD">
        <w:t>udy</w:t>
      </w:r>
      <w:r w:rsidR="00303EAD">
        <w:tab/>
        <w:t>11</w:t>
      </w:r>
      <w:r w:rsidR="005900DC">
        <w:t>3</w:t>
      </w:r>
    </w:p>
    <w:p w:rsidR="00A877A9" w:rsidRDefault="00172D49" w:rsidP="00172D49">
      <w:pPr>
        <w:tabs>
          <w:tab w:val="right" w:leader="dot" w:pos="9360"/>
        </w:tabs>
        <w:ind w:firstLine="0"/>
      </w:pPr>
      <w:r>
        <w:t>VITA</w:t>
      </w:r>
      <w:r>
        <w:tab/>
      </w:r>
      <w:r w:rsidR="005900DC">
        <w:t>114</w:t>
      </w:r>
    </w:p>
    <w:p w:rsidR="002D07C6" w:rsidRDefault="002D07C6" w:rsidP="002D07C6">
      <w:pPr>
        <w:ind w:firstLine="0"/>
        <w:jc w:val="center"/>
        <w:rPr>
          <w:szCs w:val="24"/>
        </w:rPr>
      </w:pPr>
    </w:p>
    <w:p w:rsidR="006349DF" w:rsidRDefault="006349DF" w:rsidP="002D07C6">
      <w:pPr>
        <w:ind w:firstLine="0"/>
        <w:jc w:val="center"/>
        <w:rPr>
          <w:szCs w:val="24"/>
        </w:rPr>
        <w:sectPr w:rsidR="006349DF" w:rsidSect="00FE256D">
          <w:pgSz w:w="12240" w:h="15840"/>
          <w:pgMar w:top="1440" w:right="1440" w:bottom="1440" w:left="1440" w:header="1440" w:footer="720" w:gutter="0"/>
          <w:pgNumType w:fmt="lowerRoman"/>
          <w:cols w:space="720"/>
          <w:docGrid w:linePitch="360"/>
        </w:sectPr>
      </w:pPr>
    </w:p>
    <w:p w:rsidR="002D07C6" w:rsidRPr="009C4731" w:rsidRDefault="002D07C6" w:rsidP="009C4731">
      <w:pPr>
        <w:pStyle w:val="Heading1"/>
        <w:rPr>
          <w:b w:val="0"/>
        </w:rPr>
      </w:pPr>
      <w:r w:rsidRPr="009C4731">
        <w:rPr>
          <w:b w:val="0"/>
        </w:rPr>
        <w:lastRenderedPageBreak/>
        <w:t>CHAPTER I</w:t>
      </w:r>
    </w:p>
    <w:p w:rsidR="002D07C6" w:rsidRPr="0048162A" w:rsidRDefault="002D07C6" w:rsidP="0048162A">
      <w:pPr>
        <w:pStyle w:val="Heading1"/>
      </w:pPr>
      <w:r w:rsidRPr="0048162A">
        <w:t>Introduction and Purpose</w:t>
      </w:r>
    </w:p>
    <w:p w:rsidR="002D07C6" w:rsidRPr="00DA24C1" w:rsidRDefault="002D07C6" w:rsidP="002D07C6">
      <w:pPr>
        <w:rPr>
          <w:szCs w:val="24"/>
        </w:rPr>
      </w:pPr>
      <w:r w:rsidRPr="00DA24C1">
        <w:rPr>
          <w:szCs w:val="24"/>
        </w:rPr>
        <w:t>Prescription drug abuse is quickly becoming a</w:t>
      </w:r>
      <w:r>
        <w:rPr>
          <w:szCs w:val="24"/>
        </w:rPr>
        <w:t>n</w:t>
      </w:r>
      <w:r w:rsidRPr="00DA24C1">
        <w:rPr>
          <w:szCs w:val="24"/>
        </w:rPr>
        <w:t xml:space="preserve"> epidemic effect</w:t>
      </w:r>
      <w:r>
        <w:rPr>
          <w:szCs w:val="24"/>
        </w:rPr>
        <w:t>ing</w:t>
      </w:r>
      <w:r w:rsidRPr="00DA24C1">
        <w:rPr>
          <w:szCs w:val="24"/>
        </w:rPr>
        <w:t xml:space="preserve"> millions of Americans</w:t>
      </w:r>
      <w:r>
        <w:rPr>
          <w:szCs w:val="24"/>
        </w:rPr>
        <w:t xml:space="preserve"> </w:t>
      </w:r>
      <w:r w:rsidR="00550107">
        <w:rPr>
          <w:szCs w:val="24"/>
        </w:rPr>
        <w:fldChar w:fldCharType="begin"/>
      </w:r>
      <w:r>
        <w:rPr>
          <w:szCs w:val="24"/>
        </w:rPr>
        <w:instrText xml:space="preserve"> ADDIN EN.CITE &lt;EndNote&gt;&lt;Cite&gt;&lt;Author&gt;Johnston&lt;/Author&gt;&lt;Year&gt;2010&lt;/Year&gt;&lt;RecNum&gt;139&lt;/RecNum&gt;&lt;DisplayText&gt;(Johnston, O&amp;apos;Malley, Bachman, &amp;amp; Schulenberg, 2010; Substance Abuse and Mental Health Services Administration, 2010)&lt;/DisplayText&gt;&lt;record&gt;&lt;rec-number&gt;139&lt;/rec-number&gt;&lt;foreign-keys&gt;&lt;key app="EN" db-id="02dwfapew02tdked2f4p0xerwdapvw5vztpp"&gt;139&lt;/key&gt;&lt;key app="ENWeb" db-id="R1rfKArtmCQAAH0-ETQ"&gt;798&lt;/key&gt;&lt;/foreign-keys&gt;&lt;ref-type name="Government Document"&gt;46&lt;/ref-type&gt;&lt;contributors&gt;&lt;authors&gt;&lt;author&gt;Johnston, Lloyd&lt;/author&gt;&lt;author&gt;O&amp;apos;Malley, Patrick&lt;/author&gt;&lt;author&gt;Bachman, Jerald&lt;/author&gt;&lt;author&gt;Schulenberg, John&lt;/author&gt;&lt;/authors&gt;&lt;/contributors&gt;&lt;titles&gt;&lt;title&gt;Monitoring the Future national survey results on drug use, 1975-2009. Volume II: College students and adults ages 19-50&lt;/title&gt;&lt;/titles&gt;&lt;pages&gt;307&lt;/pages&gt;&lt;dates&gt;&lt;year&gt;2010&lt;/year&gt;&lt;/dates&gt;&lt;pub-location&gt;Bethesda, MD&lt;/pub-location&gt;&lt;publisher&gt;National Institute on Drug Abuse&lt;/publisher&gt;&lt;isbn&gt;NIH Publication No. 07-6206&lt;/isbn&gt;&lt;urls&gt;&lt;/urls&gt;&lt;/record&gt;&lt;/Cite&gt;&lt;Cite&gt;&lt;Author&gt;Substance Abuse and Mental Health Services Administration&lt;/Author&gt;&lt;Year&gt;2010&lt;/Year&gt;&lt;RecNum&gt;420&lt;/RecNum&gt;&lt;record&gt;&lt;rec-number&gt;420&lt;/rec-number&gt;&lt;foreign-keys&gt;&lt;key app="EN" db-id="02dwfapew02tdked2f4p0xerwdapvw5vztpp"&gt;420&lt;/key&gt;&lt;/foreign-keys&gt;&lt;ref-type name="Government Document"&gt;46&lt;/ref-type&gt;&lt;contributors&gt;&lt;authors&gt;&lt;author&gt;Substance Abuse and Mental Health Services Administration,&lt;/author&gt;&lt;/authors&gt;&lt;/contributors&gt;&lt;titles&gt;&lt;title&gt;Results from the 2009 National Survey on Drug Use and Health: Volume I. Summary of National Findings&lt;/title&gt;&lt;/titles&gt;&lt;dates&gt;&lt;year&gt;2010&lt;/year&gt;&lt;/dates&gt;&lt;pub-location&gt;Rockville, MD&lt;/pub-location&gt;&lt;isbn&gt;Office of Applied Studies, NSDUH Series H-38A, HHS Publication No. SMA 10-4586Findings&lt;/isbn&gt;&lt;urls&gt;&lt;/urls&gt;&lt;/record&gt;&lt;/Cite&gt;&lt;/EndNote&gt;</w:instrText>
      </w:r>
      <w:r w:rsidR="00550107">
        <w:rPr>
          <w:szCs w:val="24"/>
        </w:rPr>
        <w:fldChar w:fldCharType="separate"/>
      </w:r>
      <w:r>
        <w:rPr>
          <w:noProof/>
          <w:szCs w:val="24"/>
        </w:rPr>
        <w:t>(</w:t>
      </w:r>
      <w:hyperlink w:anchor="_ENREF_24" w:tooltip="Johnston, 2010 #139" w:history="1">
        <w:r w:rsidR="00D213F7">
          <w:rPr>
            <w:noProof/>
            <w:szCs w:val="24"/>
          </w:rPr>
          <w:t>Johnston, O'Malley, Bachman, &amp; Schulenberg, 2010</w:t>
        </w:r>
      </w:hyperlink>
      <w:r>
        <w:rPr>
          <w:noProof/>
          <w:szCs w:val="24"/>
        </w:rPr>
        <w:t xml:space="preserve">; </w:t>
      </w:r>
      <w:hyperlink w:anchor="_ENREF_53" w:tooltip="Substance Abuse and Mental Health Services Administration, 2010 #420" w:history="1">
        <w:r w:rsidR="00D213F7">
          <w:rPr>
            <w:noProof/>
            <w:szCs w:val="24"/>
          </w:rPr>
          <w:t>Substance Abuse and Mental Health Services Administration, 2010</w:t>
        </w:r>
      </w:hyperlink>
      <w:r>
        <w:rPr>
          <w:noProof/>
          <w:szCs w:val="24"/>
        </w:rPr>
        <w:t>)</w:t>
      </w:r>
      <w:r w:rsidR="00550107">
        <w:rPr>
          <w:szCs w:val="24"/>
        </w:rPr>
        <w:fldChar w:fldCharType="end"/>
      </w:r>
      <w:r w:rsidRPr="00DA24C1">
        <w:rPr>
          <w:szCs w:val="24"/>
        </w:rPr>
        <w:t xml:space="preserve">. The </w:t>
      </w:r>
      <w:r w:rsidR="00550107">
        <w:rPr>
          <w:szCs w:val="24"/>
        </w:rPr>
        <w:fldChar w:fldCharType="begin"/>
      </w:r>
      <w:r w:rsidR="001C4E0E">
        <w:rPr>
          <w:szCs w:val="24"/>
        </w:rPr>
        <w:instrText xml:space="preserve"> ADDIN EN.CITE &lt;EndNote&gt;&lt;Cite AuthorYear="1"&gt;&lt;Author&gt;National Center on Addiction and Substance Abuse&lt;/Author&gt;&lt;Year&gt;2005&lt;/Year&gt;&lt;RecNum&gt;104&lt;/RecNum&gt;&lt;DisplayText&gt;National Center on Addiction and Substance Abuse (2005)&lt;/DisplayText&gt;&lt;record&gt;&lt;rec-number&gt;104&lt;/rec-number&gt;&lt;foreign-keys&gt;&lt;key app="EN" db-id="02dwfapew02tdked2f4p0xerwdapvw5vztpp"&gt;104&lt;/key&gt;&lt;key app="ENWeb" db-id="R1rfKArtmCQAAH0-ETQ"&gt;682&lt;/key&gt;&lt;/foreign-keys&gt;&lt;ref-type name="Report"&gt;27&lt;/ref-type&gt;&lt;contributors&gt;&lt;authors&gt;&lt;author&gt;National Center on Addiction and Substance Abuse,&lt;/author&gt;&lt;/authors&gt;&lt;/contributors&gt;&lt;titles&gt;&lt;title&gt;Under the counter: The diversion and abuse of controlled prescription drugs in the United States&lt;/title&gt;&lt;/titles&gt;&lt;dates&gt;&lt;year&gt;2005&lt;/year&gt;&lt;pub-dates&gt;&lt;date&gt;July&lt;/date&gt;&lt;/pub-dates&gt;&lt;/dates&gt;&lt;pub-location&gt;New York&lt;/pub-location&gt;&lt;publisher&gt;Colombia University&lt;/publisher&gt;&lt;urls&gt;&lt;related-urls&gt;&lt;url&gt;http://www.casacolumbia.org/absolutenm/articlefiles/380-under_the_counter_-_diversion.pdf&lt;/url&gt;&lt;/related-urls&gt;&lt;/urls&gt;&lt;access-date&gt;December 10, 2007&lt;/access-date&gt;&lt;/record&gt;&lt;/Cite&gt;&lt;/EndNote&gt;</w:instrText>
      </w:r>
      <w:r w:rsidR="00550107">
        <w:rPr>
          <w:szCs w:val="24"/>
        </w:rPr>
        <w:fldChar w:fldCharType="separate"/>
      </w:r>
      <w:hyperlink w:anchor="_ENREF_41" w:tooltip="National Center on Addiction and Substance Abuse, 2005 #104" w:history="1">
        <w:r w:rsidR="00D213F7">
          <w:rPr>
            <w:noProof/>
            <w:szCs w:val="24"/>
          </w:rPr>
          <w:t>National Center on Addiction and Substance Abuse (2005</w:t>
        </w:r>
      </w:hyperlink>
      <w:r w:rsidR="001C4E0E">
        <w:rPr>
          <w:noProof/>
          <w:szCs w:val="24"/>
        </w:rPr>
        <w:t>)</w:t>
      </w:r>
      <w:r w:rsidR="00550107">
        <w:rPr>
          <w:szCs w:val="24"/>
        </w:rPr>
        <w:fldChar w:fldCharType="end"/>
      </w:r>
      <w:r w:rsidRPr="00DA24C1">
        <w:rPr>
          <w:szCs w:val="24"/>
        </w:rPr>
        <w:t>, which conducted the first national comprehensive analysis of prescription drug abuse in the United States, reported that 15.1 million people admitted abusing prescription drugs in 2003</w:t>
      </w:r>
      <w:r>
        <w:rPr>
          <w:szCs w:val="24"/>
        </w:rPr>
        <w:t xml:space="preserve">, </w:t>
      </w:r>
      <w:r w:rsidRPr="00DA24C1">
        <w:rPr>
          <w:szCs w:val="24"/>
        </w:rPr>
        <w:t>a 94% increase from 7.8 million in 1992</w:t>
      </w:r>
      <w:r>
        <w:rPr>
          <w:szCs w:val="24"/>
        </w:rPr>
        <w:t>. That increase in prescription drug abuse was twice the growth rate of</w:t>
      </w:r>
      <w:r w:rsidRPr="00DA24C1">
        <w:rPr>
          <w:szCs w:val="24"/>
        </w:rPr>
        <w:t xml:space="preserve"> marijuana use</w:t>
      </w:r>
      <w:r>
        <w:rPr>
          <w:szCs w:val="24"/>
        </w:rPr>
        <w:t xml:space="preserve">, </w:t>
      </w:r>
      <w:r w:rsidRPr="00DA24C1">
        <w:rPr>
          <w:szCs w:val="24"/>
        </w:rPr>
        <w:t>five times that of cocaine abuse</w:t>
      </w:r>
      <w:r>
        <w:rPr>
          <w:szCs w:val="24"/>
        </w:rPr>
        <w:t>,</w:t>
      </w:r>
      <w:r w:rsidRPr="00DA24C1">
        <w:rPr>
          <w:szCs w:val="24"/>
        </w:rPr>
        <w:t xml:space="preserve"> and sixty times that of heroin abuse</w:t>
      </w:r>
      <w:r>
        <w:rPr>
          <w:szCs w:val="24"/>
        </w:rPr>
        <w:t xml:space="preserve"> </w:t>
      </w:r>
      <w:r w:rsidR="00550107">
        <w:rPr>
          <w:szCs w:val="24"/>
        </w:rPr>
        <w:fldChar w:fldCharType="begin"/>
      </w:r>
      <w:r>
        <w:rPr>
          <w:szCs w:val="24"/>
        </w:rPr>
        <w:instrText xml:space="preserve"> ADDIN EN.CITE &lt;EndNote&gt;&lt;Cite&gt;&lt;Author&gt;National Center on Addiction and Substance Abuse&lt;/Author&gt;&lt;Year&gt;2005&lt;/Year&gt;&lt;RecNum&gt;104&lt;/RecNum&gt;&lt;DisplayText&gt;(National Center on Addiction and Substance Abuse, 2005)&lt;/DisplayText&gt;&lt;record&gt;&lt;rec-number&gt;104&lt;/rec-number&gt;&lt;foreign-keys&gt;&lt;key app="EN" db-id="02dwfapew02tdked2f4p0xerwdapvw5vztpp"&gt;104&lt;/key&gt;&lt;key app="ENWeb" db-id="R1rfKArtmCQAAH0-ETQ"&gt;682&lt;/key&gt;&lt;/foreign-keys&gt;&lt;ref-type name="Report"&gt;27&lt;/ref-type&gt;&lt;contributors&gt;&lt;authors&gt;&lt;author&gt;National Center on Addiction and Substance Abuse,&lt;/author&gt;&lt;/authors&gt;&lt;/contributors&gt;&lt;titles&gt;&lt;title&gt;Under the counter: The diversion and abuse of controlled prescription drugs in the United States&lt;/title&gt;&lt;/titles&gt;&lt;dates&gt;&lt;year&gt;2005&lt;/year&gt;&lt;pub-dates&gt;&lt;date&gt;July&lt;/date&gt;&lt;/pub-dates&gt;&lt;/dates&gt;&lt;pub-location&gt;New York&lt;/pub-location&gt;&lt;publisher&gt;Colombia University&lt;/publisher&gt;&lt;urls&gt;&lt;related-urls&gt;&lt;url&gt;http://www.casacolumbia.org/absolutenm/articlefiles/380-under_the_counter_-_diversion.pdf&lt;/url&gt;&lt;/related-urls&gt;&lt;/urls&gt;&lt;access-date&gt;December 10, 2007&lt;/access-date&gt;&lt;/record&gt;&lt;/Cite&gt;&lt;/EndNote&gt;</w:instrText>
      </w:r>
      <w:r w:rsidR="00550107">
        <w:rPr>
          <w:szCs w:val="24"/>
        </w:rPr>
        <w:fldChar w:fldCharType="separate"/>
      </w:r>
      <w:r>
        <w:rPr>
          <w:noProof/>
          <w:szCs w:val="24"/>
        </w:rPr>
        <w:t>(</w:t>
      </w:r>
      <w:hyperlink w:anchor="_ENREF_41" w:tooltip="National Center on Addiction and Substance Abuse, 2005 #104" w:history="1">
        <w:r w:rsidR="00D213F7">
          <w:rPr>
            <w:noProof/>
            <w:szCs w:val="24"/>
          </w:rPr>
          <w:t>National Center on Addiction and Substance Abuse, 2005</w:t>
        </w:r>
      </w:hyperlink>
      <w:r>
        <w:rPr>
          <w:noProof/>
          <w:szCs w:val="24"/>
        </w:rPr>
        <w:t>)</w:t>
      </w:r>
      <w:r w:rsidR="00550107">
        <w:rPr>
          <w:szCs w:val="24"/>
        </w:rPr>
        <w:fldChar w:fldCharType="end"/>
      </w:r>
      <w:r w:rsidRPr="00DA24C1">
        <w:rPr>
          <w:szCs w:val="24"/>
        </w:rPr>
        <w:t>. Furthermore, the 15.1 million prescription abusers account</w:t>
      </w:r>
      <w:r>
        <w:rPr>
          <w:szCs w:val="24"/>
        </w:rPr>
        <w:t>ed</w:t>
      </w:r>
      <w:r w:rsidRPr="00DA24C1">
        <w:rPr>
          <w:szCs w:val="24"/>
        </w:rPr>
        <w:t xml:space="preserve"> for more than the combined number of admitted abusers of cocaine (5.9 million), hallucinogens (4.0 million), inhalants (2.1 million), and heroin abusers</w:t>
      </w:r>
      <w:r>
        <w:rPr>
          <w:szCs w:val="24"/>
        </w:rPr>
        <w:t xml:space="preserve"> (</w:t>
      </w:r>
      <w:r w:rsidRPr="00DA24C1">
        <w:rPr>
          <w:szCs w:val="24"/>
        </w:rPr>
        <w:t>.3 million</w:t>
      </w:r>
      <w:r>
        <w:rPr>
          <w:szCs w:val="24"/>
        </w:rPr>
        <w:t xml:space="preserve">) </w:t>
      </w:r>
      <w:r w:rsidR="00550107">
        <w:rPr>
          <w:szCs w:val="24"/>
        </w:rPr>
        <w:fldChar w:fldCharType="begin"/>
      </w:r>
      <w:r>
        <w:rPr>
          <w:szCs w:val="24"/>
        </w:rPr>
        <w:instrText xml:space="preserve"> ADDIN EN.CITE &lt;EndNote&gt;&lt;Cite&gt;&lt;Author&gt;National Center on Addiction and Substance Abuse&lt;/Author&gt;&lt;Year&gt;2005&lt;/Year&gt;&lt;RecNum&gt;104&lt;/RecNum&gt;&lt;DisplayText&gt;(National Center on Addiction and Substance Abuse, 2005)&lt;/DisplayText&gt;&lt;record&gt;&lt;rec-number&gt;104&lt;/rec-number&gt;&lt;foreign-keys&gt;&lt;key app="EN" db-id="02dwfapew02tdked2f4p0xerwdapvw5vztpp"&gt;104&lt;/key&gt;&lt;key app="ENWeb" db-id="R1rfKArtmCQAAH0-ETQ"&gt;682&lt;/key&gt;&lt;/foreign-keys&gt;&lt;ref-type name="Report"&gt;27&lt;/ref-type&gt;&lt;contributors&gt;&lt;authors&gt;&lt;author&gt;National Center on Addiction and Substance Abuse,&lt;/author&gt;&lt;/authors&gt;&lt;/contributors&gt;&lt;titles&gt;&lt;title&gt;Under the counter: The diversion and abuse of controlled prescription drugs in the United States&lt;/title&gt;&lt;/titles&gt;&lt;dates&gt;&lt;year&gt;2005&lt;/year&gt;&lt;pub-dates&gt;&lt;date&gt;July&lt;/date&gt;&lt;/pub-dates&gt;&lt;/dates&gt;&lt;pub-location&gt;New York&lt;/pub-location&gt;&lt;publisher&gt;Colombia University&lt;/publisher&gt;&lt;urls&gt;&lt;related-urls&gt;&lt;url&gt;http://www.casacolumbia.org/absolutenm/articlefiles/380-under_the_counter_-_diversion.pdf&lt;/url&gt;&lt;/related-urls&gt;&lt;/urls&gt;&lt;access-date&gt;December 10, 2007&lt;/access-date&gt;&lt;/record&gt;&lt;/Cite&gt;&lt;/EndNote&gt;</w:instrText>
      </w:r>
      <w:r w:rsidR="00550107">
        <w:rPr>
          <w:szCs w:val="24"/>
        </w:rPr>
        <w:fldChar w:fldCharType="separate"/>
      </w:r>
      <w:r>
        <w:rPr>
          <w:noProof/>
          <w:szCs w:val="24"/>
        </w:rPr>
        <w:t>(</w:t>
      </w:r>
      <w:hyperlink w:anchor="_ENREF_41" w:tooltip="National Center on Addiction and Substance Abuse, 2005 #104" w:history="1">
        <w:r w:rsidR="00D213F7">
          <w:rPr>
            <w:noProof/>
            <w:szCs w:val="24"/>
          </w:rPr>
          <w:t>National Center on Addiction and Substance Abuse, 2005</w:t>
        </w:r>
      </w:hyperlink>
      <w:r>
        <w:rPr>
          <w:noProof/>
          <w:szCs w:val="24"/>
        </w:rPr>
        <w:t>)</w:t>
      </w:r>
      <w:r w:rsidR="00550107">
        <w:rPr>
          <w:szCs w:val="24"/>
        </w:rPr>
        <w:fldChar w:fldCharType="end"/>
      </w:r>
      <w:r w:rsidRPr="00DA24C1">
        <w:rPr>
          <w:szCs w:val="24"/>
        </w:rPr>
        <w:t xml:space="preserve">. One year later, 48 million people admitted abusing prescription drugs </w:t>
      </w:r>
      <w:r>
        <w:rPr>
          <w:szCs w:val="24"/>
        </w:rPr>
        <w:t>suggesting</w:t>
      </w:r>
      <w:r w:rsidRPr="00DA24C1">
        <w:rPr>
          <w:szCs w:val="24"/>
        </w:rPr>
        <w:t xml:space="preserve"> a rapid increase in </w:t>
      </w:r>
      <w:r>
        <w:rPr>
          <w:szCs w:val="24"/>
        </w:rPr>
        <w:t xml:space="preserve">the number of </w:t>
      </w:r>
      <w:r w:rsidRPr="00DA24C1">
        <w:rPr>
          <w:szCs w:val="24"/>
        </w:rPr>
        <w:t xml:space="preserve">prescription drug abusers </w:t>
      </w:r>
      <w:r w:rsidR="00550107">
        <w:rPr>
          <w:szCs w:val="24"/>
        </w:rPr>
        <w:fldChar w:fldCharType="begin"/>
      </w:r>
      <w:r>
        <w:rPr>
          <w:szCs w:val="24"/>
        </w:rPr>
        <w:instrText xml:space="preserve"> ADDIN EN.CITE &lt;EndNote&gt;&lt;Cite&gt;&lt;Author&gt;Substance Abuse and Mental Health Services Administration&lt;/Author&gt;&lt;Year&gt;2010&lt;/Year&gt;&lt;RecNum&gt;420&lt;/RecNum&gt;&lt;DisplayText&gt;(Substance Abuse and Mental Health Services Administration, 2010)&lt;/DisplayText&gt;&lt;record&gt;&lt;rec-number&gt;420&lt;/rec-number&gt;&lt;foreign-keys&gt;&lt;key app="EN" db-id="02dwfapew02tdked2f4p0xerwdapvw5vztpp"&gt;420&lt;/key&gt;&lt;/foreign-keys&gt;&lt;ref-type name="Government Document"&gt;46&lt;/ref-type&gt;&lt;contributors&gt;&lt;authors&gt;&lt;author&gt;Substance Abuse and Mental Health Services Administration,&lt;/author&gt;&lt;/authors&gt;&lt;/contributors&gt;&lt;titles&gt;&lt;title&gt;Results from the 2009 National Survey on Drug Use and Health: Volume I. Summary of National Findings&lt;/title&gt;&lt;/titles&gt;&lt;dates&gt;&lt;year&gt;2010&lt;/year&gt;&lt;/dates&gt;&lt;pub-location&gt;Rockville, MD&lt;/pub-location&gt;&lt;isbn&gt;Office of Applied Studies, NSDUH Series H-38A, HHS Publication No. SMA 10-4586Findings&lt;/isbn&gt;&lt;urls&gt;&lt;/urls&gt;&lt;/record&gt;&lt;/Cite&gt;&lt;/EndNote&gt;</w:instrText>
      </w:r>
      <w:r w:rsidR="00550107">
        <w:rPr>
          <w:szCs w:val="24"/>
        </w:rPr>
        <w:fldChar w:fldCharType="separate"/>
      </w:r>
      <w:r>
        <w:rPr>
          <w:noProof/>
          <w:szCs w:val="24"/>
        </w:rPr>
        <w:t>(</w:t>
      </w:r>
      <w:hyperlink w:anchor="_ENREF_53" w:tooltip="Substance Abuse and Mental Health Services Administration, 2010 #420" w:history="1">
        <w:r w:rsidR="00D213F7">
          <w:rPr>
            <w:noProof/>
            <w:szCs w:val="24"/>
          </w:rPr>
          <w:t>Substance Abuse and Mental Health Services Administration, 2010</w:t>
        </w:r>
      </w:hyperlink>
      <w:r>
        <w:rPr>
          <w:noProof/>
          <w:szCs w:val="24"/>
        </w:rPr>
        <w:t>)</w:t>
      </w:r>
      <w:r w:rsidR="00550107">
        <w:rPr>
          <w:szCs w:val="24"/>
        </w:rPr>
        <w:fldChar w:fldCharType="end"/>
      </w:r>
      <w:r>
        <w:rPr>
          <w:szCs w:val="24"/>
        </w:rPr>
        <w:t>.</w:t>
      </w:r>
    </w:p>
    <w:p w:rsidR="002D07C6" w:rsidRDefault="002D07C6" w:rsidP="002D07C6">
      <w:pPr>
        <w:rPr>
          <w:szCs w:val="24"/>
        </w:rPr>
      </w:pPr>
      <w:r w:rsidRPr="00DA24C1">
        <w:rPr>
          <w:szCs w:val="24"/>
        </w:rPr>
        <w:t>Prescription drug abusers compared to poly-substance abusers, are more likely to be married (59.3 percent vs. 25.8 percent), better educated (24.7 percent vs. 15.8 percent</w:t>
      </w:r>
      <w:r>
        <w:rPr>
          <w:szCs w:val="24"/>
        </w:rPr>
        <w:t>;</w:t>
      </w:r>
      <w:r w:rsidRPr="00DA24C1">
        <w:rPr>
          <w:szCs w:val="24"/>
        </w:rPr>
        <w:t xml:space="preserve"> have a bachelors degree or higher), and have higher incomes (81.7 percent vs. 72.8 percent) according to the </w:t>
      </w:r>
      <w:r w:rsidRPr="00DA24C1">
        <w:t>Substance Abuse and Mental Health Services Administration, a branch of the U</w:t>
      </w:r>
      <w:r>
        <w:t xml:space="preserve">nited </w:t>
      </w:r>
      <w:r w:rsidRPr="00DA24C1">
        <w:t>S</w:t>
      </w:r>
      <w:r>
        <w:t>tates</w:t>
      </w:r>
      <w:r w:rsidRPr="00DA24C1">
        <w:t xml:space="preserve"> Department of Health and Human Services </w:t>
      </w:r>
      <w:r w:rsidR="00550107" w:rsidRPr="00DA24C1">
        <w:rPr>
          <w:szCs w:val="24"/>
        </w:rPr>
        <w:fldChar w:fldCharType="begin"/>
      </w:r>
      <w:r>
        <w:rPr>
          <w:szCs w:val="24"/>
        </w:rPr>
        <w:instrText xml:space="preserve"> ADDIN EN.CITE &lt;EndNote&gt;&lt;Cite&gt;&lt;Author&gt;Substance Abuse and Mental Health Services Administration&lt;/Author&gt;&lt;Year&gt;2010&lt;/Year&gt;&lt;RecNum&gt;420&lt;/RecNum&gt;&lt;DisplayText&gt;(Substance Abuse and Mental Health Services Administration, 2010)&lt;/DisplayText&gt;&lt;record&gt;&lt;rec-number&gt;420&lt;/rec-number&gt;&lt;foreign-keys&gt;&lt;key app="EN" db-id="02dwfapew02tdked2f4p0xerwdapvw5vztpp"&gt;420&lt;/key&gt;&lt;/foreign-keys&gt;&lt;ref-type name="Government Document"&gt;46&lt;/ref-type&gt;&lt;contributors&gt;&lt;authors&gt;&lt;author&gt;Substance Abuse and Mental Health Services Administration,&lt;/author&gt;&lt;/authors&gt;&lt;/contributors&gt;&lt;titles&gt;&lt;title&gt;Results from the 2009 National Survey on Drug Use and Health: Volume I. Summary of National Findings&lt;/title&gt;&lt;/titles&gt;&lt;dates&gt;&lt;year&gt;2010&lt;/year&gt;&lt;/dates&gt;&lt;pub-location&gt;Rockville, MD&lt;/pub-location&gt;&lt;isbn&gt;Office of Applied Studies, NSDUH Series H-38A, HHS Publication No. SMA 10-4586Findings&lt;/isbn&gt;&lt;urls&gt;&lt;/urls&gt;&lt;/record&gt;&lt;/Cite&gt;&lt;/EndNote&gt;</w:instrText>
      </w:r>
      <w:r w:rsidR="00550107" w:rsidRPr="00DA24C1">
        <w:rPr>
          <w:szCs w:val="24"/>
        </w:rPr>
        <w:fldChar w:fldCharType="separate"/>
      </w:r>
      <w:r>
        <w:rPr>
          <w:noProof/>
          <w:szCs w:val="24"/>
        </w:rPr>
        <w:t>(</w:t>
      </w:r>
      <w:hyperlink w:anchor="_ENREF_53" w:tooltip="Substance Abuse and Mental Health Services Administration, 2010 #420" w:history="1">
        <w:r w:rsidR="00D213F7">
          <w:rPr>
            <w:noProof/>
            <w:szCs w:val="24"/>
          </w:rPr>
          <w:t>Substance Abuse and Mental Health Services Administration, 2010</w:t>
        </w:r>
      </w:hyperlink>
      <w:r>
        <w:rPr>
          <w:noProof/>
          <w:szCs w:val="24"/>
        </w:rPr>
        <w:t>)</w:t>
      </w:r>
      <w:r w:rsidR="00550107" w:rsidRPr="00DA24C1">
        <w:rPr>
          <w:szCs w:val="24"/>
        </w:rPr>
        <w:fldChar w:fldCharType="end"/>
      </w:r>
      <w:r w:rsidRPr="00DA24C1">
        <w:rPr>
          <w:szCs w:val="24"/>
        </w:rPr>
        <w:t xml:space="preserve">. These statistics represent the adult population abusing prescription drugs; however, </w:t>
      </w:r>
      <w:r>
        <w:rPr>
          <w:szCs w:val="24"/>
        </w:rPr>
        <w:t>young adults</w:t>
      </w:r>
      <w:r w:rsidRPr="00DA24C1">
        <w:rPr>
          <w:szCs w:val="24"/>
        </w:rPr>
        <w:t xml:space="preserve"> </w:t>
      </w:r>
      <w:r>
        <w:rPr>
          <w:szCs w:val="24"/>
        </w:rPr>
        <w:t>between the ages of 18</w:t>
      </w:r>
      <w:r w:rsidRPr="00DA24C1">
        <w:rPr>
          <w:szCs w:val="24"/>
        </w:rPr>
        <w:t xml:space="preserve"> and </w:t>
      </w:r>
      <w:r>
        <w:rPr>
          <w:szCs w:val="24"/>
        </w:rPr>
        <w:t xml:space="preserve">25 are </w:t>
      </w:r>
      <w:r w:rsidRPr="00DA24C1">
        <w:rPr>
          <w:szCs w:val="24"/>
        </w:rPr>
        <w:t xml:space="preserve">the primary abusers of prescription </w:t>
      </w:r>
      <w:r w:rsidRPr="00DA24C1">
        <w:rPr>
          <w:szCs w:val="24"/>
        </w:rPr>
        <w:lastRenderedPageBreak/>
        <w:t xml:space="preserve">drugs </w:t>
      </w:r>
      <w:r w:rsidR="00550107">
        <w:rPr>
          <w:szCs w:val="24"/>
        </w:rPr>
        <w:fldChar w:fldCharType="begin">
          <w:fldData xml:space="preserve">PEVuZE5vdGU+PENpdGU+PEF1dGhvcj5Kb2huc3RvbjwvQXV0aG9yPjxZZWFyPjIwMTA8L1llYXI+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</w:fldData>
        </w:fldChar>
      </w:r>
      <w:r>
        <w:rPr>
          <w:szCs w:val="24"/>
        </w:rPr>
        <w:instrText xml:space="preserve"> ADDIN EN.CITE </w:instrText>
      </w:r>
      <w:r w:rsidR="00550107">
        <w:rPr>
          <w:szCs w:val="24"/>
        </w:rPr>
        <w:fldChar w:fldCharType="begin">
          <w:fldData xml:space="preserve">PEVuZE5vdGU+PENpdGU+PEF1dGhvcj5Kb2huc3RvbjwvQXV0aG9yPjxZZWFyPjIwMTA8L1llYXI+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</w:fldData>
        </w:fldChar>
      </w:r>
      <w:r>
        <w:rPr>
          <w:szCs w:val="24"/>
        </w:rPr>
        <w:instrText xml:space="preserve"> ADDIN EN.CITE.DATA </w:instrText>
      </w:r>
      <w:r w:rsidR="00550107">
        <w:rPr>
          <w:szCs w:val="24"/>
        </w:rPr>
      </w:r>
      <w:r w:rsidR="00550107">
        <w:rPr>
          <w:szCs w:val="24"/>
        </w:rPr>
        <w:fldChar w:fldCharType="end"/>
      </w:r>
      <w:r w:rsidR="00550107">
        <w:rPr>
          <w:szCs w:val="24"/>
        </w:rPr>
      </w:r>
      <w:r w:rsidR="00550107">
        <w:rPr>
          <w:szCs w:val="24"/>
        </w:rPr>
        <w:fldChar w:fldCharType="separate"/>
      </w:r>
      <w:r>
        <w:rPr>
          <w:noProof/>
          <w:szCs w:val="24"/>
        </w:rPr>
        <w:t>(</w:t>
      </w:r>
      <w:hyperlink w:anchor="_ENREF_24" w:tooltip="Johnston, 2010 #139" w:history="1">
        <w:r w:rsidR="00D213F7">
          <w:rPr>
            <w:noProof/>
            <w:szCs w:val="24"/>
          </w:rPr>
          <w:t>Johnston et al., 2010</w:t>
        </w:r>
      </w:hyperlink>
      <w:r>
        <w:rPr>
          <w:noProof/>
          <w:szCs w:val="24"/>
        </w:rPr>
        <w:t xml:space="preserve">; </w:t>
      </w:r>
      <w:hyperlink w:anchor="_ENREF_41" w:tooltip="National Center on Addiction and Substance Abuse, 2005 #104" w:history="1">
        <w:r w:rsidR="00D213F7">
          <w:rPr>
            <w:noProof/>
            <w:szCs w:val="24"/>
          </w:rPr>
          <w:t>National Center on Addiction and Substance Abuse, 2005</w:t>
        </w:r>
      </w:hyperlink>
      <w:r>
        <w:rPr>
          <w:noProof/>
          <w:szCs w:val="24"/>
        </w:rPr>
        <w:t xml:space="preserve">; </w:t>
      </w:r>
      <w:hyperlink w:anchor="_ENREF_53" w:tooltip="Substance Abuse and Mental Health Services Administration, 2010 #420" w:history="1">
        <w:r w:rsidR="00D213F7">
          <w:rPr>
            <w:noProof/>
            <w:szCs w:val="24"/>
          </w:rPr>
          <w:t>Substance Abuse and Mental Health Services Administration, 2010</w:t>
        </w:r>
      </w:hyperlink>
      <w:r>
        <w:rPr>
          <w:noProof/>
          <w:szCs w:val="24"/>
        </w:rPr>
        <w:t>)</w:t>
      </w:r>
      <w:r w:rsidR="00550107">
        <w:rPr>
          <w:szCs w:val="24"/>
        </w:rPr>
        <w:fldChar w:fldCharType="end"/>
      </w:r>
      <w:r w:rsidRPr="00DA24C1">
        <w:rPr>
          <w:szCs w:val="24"/>
        </w:rPr>
        <w:t xml:space="preserve">. </w:t>
      </w:r>
      <w:r>
        <w:rPr>
          <w:szCs w:val="24"/>
        </w:rPr>
        <w:t xml:space="preserve">Second only to marijuana, prescription drugs (i.e., opiates and stimulants) are the most widely abused drugs for individuals between 18 and 25 </w:t>
      </w:r>
      <w:r w:rsidR="00550107">
        <w:rPr>
          <w:szCs w:val="24"/>
        </w:rPr>
        <w:fldChar w:fldCharType="begin"/>
      </w:r>
      <w:r>
        <w:rPr>
          <w:szCs w:val="24"/>
        </w:rPr>
        <w:instrText xml:space="preserve"> ADDIN EN.CITE &lt;EndNote&gt;&lt;Cite&gt;&lt;Author&gt;Johnston&lt;/Author&gt;&lt;Year&gt;2010&lt;/Year&gt;&lt;RecNum&gt;139&lt;/RecNum&gt;&lt;DisplayText&gt;(Johnston et al., 2010)&lt;/DisplayText&gt;&lt;record&gt;&lt;rec-number&gt;139&lt;/rec-number&gt;&lt;foreign-keys&gt;&lt;key app="EN" db-id="02dwfapew02tdked2f4p0xerwdapvw5vztpp"&gt;139&lt;/key&gt;&lt;key app="ENWeb" db-id="R1rfKArtmCQAAH0-ETQ"&gt;798&lt;/key&gt;&lt;/foreign-keys&gt;&lt;ref-type name="Government Document"&gt;46&lt;/ref-type&gt;&lt;contributors&gt;&lt;authors&gt;&lt;author&gt;Johnston, Lloyd&lt;/author&gt;&lt;author&gt;O&amp;apos;Malley, Patrick&lt;/author&gt;&lt;author&gt;Bachman, Jerald&lt;/author&gt;&lt;author&gt;Schulenberg, John&lt;/author&gt;&lt;/authors&gt;&lt;/contributors&gt;&lt;titles&gt;&lt;title&gt;Monitoring the Future national survey results on drug use, 1975-2009. Volume II: College students and adults ages 19-50&lt;/title&gt;&lt;/titles&gt;&lt;pages&gt;307&lt;/pages&gt;&lt;dates&gt;&lt;year&gt;2010&lt;/year&gt;&lt;/dates&gt;&lt;pub-location&gt;Bethesda, MD&lt;/pub-location&gt;&lt;publisher&gt;National Institute on Drug Abuse&lt;/publisher&gt;&lt;isbn&gt;NIH Publication No. 07-6206&lt;/isbn&gt;&lt;urls&gt;&lt;/urls&gt;&lt;/record&gt;&lt;/Cite&gt;&lt;/EndNote&gt;</w:instrText>
      </w:r>
      <w:r w:rsidR="00550107">
        <w:rPr>
          <w:szCs w:val="24"/>
        </w:rPr>
        <w:fldChar w:fldCharType="separate"/>
      </w:r>
      <w:r>
        <w:rPr>
          <w:noProof/>
          <w:szCs w:val="24"/>
        </w:rPr>
        <w:t>(</w:t>
      </w:r>
      <w:hyperlink w:anchor="_ENREF_24" w:tooltip="Johnston, 2010 #139" w:history="1">
        <w:r w:rsidR="00D213F7">
          <w:rPr>
            <w:noProof/>
            <w:szCs w:val="24"/>
          </w:rPr>
          <w:t>Johnston et al., 2010</w:t>
        </w:r>
      </w:hyperlink>
      <w:r>
        <w:rPr>
          <w:noProof/>
          <w:szCs w:val="24"/>
        </w:rPr>
        <w:t>)</w:t>
      </w:r>
      <w:r w:rsidR="00550107">
        <w:rPr>
          <w:szCs w:val="24"/>
        </w:rPr>
        <w:fldChar w:fldCharType="end"/>
      </w:r>
      <w:r>
        <w:rPr>
          <w:szCs w:val="24"/>
        </w:rPr>
        <w:t>.</w:t>
      </w:r>
    </w:p>
    <w:p w:rsidR="002D07C6" w:rsidRDefault="002D07C6" w:rsidP="002D07C6">
      <w:pPr>
        <w:rPr>
          <w:szCs w:val="24"/>
        </w:rPr>
      </w:pPr>
      <w:r>
        <w:rPr>
          <w:szCs w:val="24"/>
        </w:rPr>
        <w:t xml:space="preserve">The Drug </w:t>
      </w:r>
      <w:r w:rsidRPr="008A5B9F">
        <w:rPr>
          <w:szCs w:val="24"/>
        </w:rPr>
        <w:t xml:space="preserve">Enforcement Agency (2011) reported methylphenidate (e.g., Ritalin®) and </w:t>
      </w:r>
      <w:proofErr w:type="spellStart"/>
      <w:r w:rsidRPr="008A5B9F">
        <w:rPr>
          <w:szCs w:val="24"/>
        </w:rPr>
        <w:t>dextro</w:t>
      </w:r>
      <w:proofErr w:type="spellEnd"/>
      <w:r w:rsidRPr="008A5B9F">
        <w:rPr>
          <w:szCs w:val="24"/>
        </w:rPr>
        <w:t xml:space="preserve">-amphetamine (e.g., Adderall®) to be the most widely abused prescription stimulants. Methylphenidate is a Schedule II substance and includes generic and brand names drugs such as Ritalin®, Concerta®, and Methylin®. Also a schedule II drug with slight chemical differences are </w:t>
      </w:r>
      <w:proofErr w:type="spellStart"/>
      <w:r w:rsidRPr="008A5B9F">
        <w:rPr>
          <w:szCs w:val="24"/>
        </w:rPr>
        <w:t>dextro</w:t>
      </w:r>
      <w:proofErr w:type="spellEnd"/>
      <w:r w:rsidRPr="008A5B9F">
        <w:rPr>
          <w:szCs w:val="24"/>
        </w:rPr>
        <w:t xml:space="preserve">-amphetamines, which include the brand names </w:t>
      </w:r>
      <w:proofErr w:type="spellStart"/>
      <w:r w:rsidRPr="008A5B9F">
        <w:rPr>
          <w:szCs w:val="24"/>
        </w:rPr>
        <w:t>Dexdrine</w:t>
      </w:r>
      <w:proofErr w:type="spellEnd"/>
      <w:r w:rsidRPr="008A5B9F">
        <w:rPr>
          <w:szCs w:val="24"/>
        </w:rPr>
        <w:t xml:space="preserve">®, </w:t>
      </w:r>
      <w:proofErr w:type="spellStart"/>
      <w:r w:rsidRPr="008A5B9F">
        <w:rPr>
          <w:szCs w:val="24"/>
        </w:rPr>
        <w:t>Meirdia</w:t>
      </w:r>
      <w:proofErr w:type="spellEnd"/>
      <w:r w:rsidRPr="008A5B9F">
        <w:rPr>
          <w:szCs w:val="24"/>
        </w:rPr>
        <w:t>®, and Adderall® (Drug Enforcement Agency, 2011). The Controlled Substances Act classifies the aforementioned drugs as Schedule II drugs due to their high potential for addiction, medical/non-medical abuse, patient and non-patient self-medication, recreational use, and for selling to non-patients (Drug Enforcement Agency, 2011). Medically, these drugs are used for treating attention deficit disorder (ADD), attention deficit hyperactivity disorder (ADHD), narcolepsy, and weight loss (National Center on Addiction and Substance Abuse, 2005).</w:t>
      </w:r>
    </w:p>
    <w:p w:rsidR="002D07C6" w:rsidRPr="00DA24C1" w:rsidRDefault="002D07C6" w:rsidP="002D07C6">
      <w:pPr>
        <w:rPr>
          <w:szCs w:val="24"/>
        </w:rPr>
      </w:pPr>
      <w:r>
        <w:rPr>
          <w:szCs w:val="24"/>
        </w:rPr>
        <w:t xml:space="preserve">In an </w:t>
      </w:r>
      <w:r w:rsidRPr="00DA24C1">
        <w:rPr>
          <w:szCs w:val="24"/>
        </w:rPr>
        <w:t>ABC Nightline News broadcast</w:t>
      </w:r>
      <w:r>
        <w:rPr>
          <w:szCs w:val="24"/>
        </w:rPr>
        <w:t xml:space="preserve"> ominously titled</w:t>
      </w:r>
      <w:r w:rsidRPr="00DA24C1">
        <w:rPr>
          <w:szCs w:val="24"/>
        </w:rPr>
        <w:t xml:space="preserve"> </w:t>
      </w:r>
      <w:r w:rsidRPr="00DA24C1">
        <w:rPr>
          <w:i/>
          <w:szCs w:val="24"/>
        </w:rPr>
        <w:t xml:space="preserve">Teen Prescription Drug Abuse on the Rise </w:t>
      </w:r>
      <w:r w:rsidRPr="00DA24C1">
        <w:rPr>
          <w:szCs w:val="24"/>
        </w:rPr>
        <w:t>(2006)</w:t>
      </w:r>
      <w:r>
        <w:rPr>
          <w:szCs w:val="24"/>
        </w:rPr>
        <w:t>,</w:t>
      </w:r>
      <w:r w:rsidRPr="00DA24C1">
        <w:rPr>
          <w:szCs w:val="24"/>
        </w:rPr>
        <w:t xml:space="preserve"> </w:t>
      </w:r>
      <w:r>
        <w:rPr>
          <w:szCs w:val="24"/>
        </w:rPr>
        <w:t xml:space="preserve">they told a story about Jay, a seventeen year old </w:t>
      </w:r>
      <w:r w:rsidRPr="00DA24C1">
        <w:rPr>
          <w:szCs w:val="24"/>
        </w:rPr>
        <w:t>abus</w:t>
      </w:r>
      <w:r>
        <w:rPr>
          <w:szCs w:val="24"/>
        </w:rPr>
        <w:t>er of</w:t>
      </w:r>
      <w:r w:rsidRPr="00DA24C1">
        <w:rPr>
          <w:szCs w:val="24"/>
        </w:rPr>
        <w:t xml:space="preserve"> prescription drugs. “Jay was a nationally ranked tennis player, a good student, well-groomed. His parents had no idea he was g</w:t>
      </w:r>
      <w:r w:rsidR="002A6C7F">
        <w:rPr>
          <w:szCs w:val="24"/>
        </w:rPr>
        <w:t xml:space="preserve">oing to school and to practice – walking right past their faces – </w:t>
      </w:r>
      <w:r w:rsidRPr="00DA24C1">
        <w:rPr>
          <w:szCs w:val="24"/>
        </w:rPr>
        <w:t>stoned on prescription drugs”</w:t>
      </w:r>
      <w:r w:rsidR="002A6C7F">
        <w:rPr>
          <w:szCs w:val="24"/>
        </w:rPr>
        <w:t xml:space="preserve"> </w:t>
      </w:r>
      <w:r w:rsidR="00550107">
        <w:rPr>
          <w:szCs w:val="24"/>
        </w:rPr>
        <w:fldChar w:fldCharType="begin"/>
      </w:r>
      <w:r>
        <w:rPr>
          <w:szCs w:val="24"/>
        </w:rPr>
        <w:instrText xml:space="preserve"> ADDIN EN.CITE &lt;EndNote&gt;&lt;Cite&gt;&lt;Author&gt;American Broadcasting Company&lt;/Author&gt;&lt;Year&gt;2006&lt;/Year&gt;&lt;RecNum&gt;1&lt;/RecNum&gt;&lt;DisplayText&gt;(American Broadcasting Company, 2006)&lt;/DisplayText&gt;&lt;record&gt;&lt;rec-number&gt;1&lt;/rec-number&gt;&lt;foreign-keys&gt;&lt;key app="EN" db-id="02dwfapew02tdked2f4p0xerwdapvw5vztpp"&gt;1&lt;/key&gt;&lt;key app="ENWeb" db-id="R1rfKArtmCQAAH0-ETQ"&gt;842&lt;/key&gt;&lt;/foreign-keys&gt;&lt;ref-type name="Film or Broadcast"&gt;21&lt;/ref-type&gt;&lt;contributors&gt;&lt;authors&gt;&lt;author&gt;American Broadcasting Company,&lt;/author&gt;&lt;/authors&gt;&lt;/contributors&gt;&lt;titles&gt;&lt;title&gt;Teen prescription drug abuse on the rise&lt;/title&gt;&lt;secondary-title&gt;ABC Nightline News&lt;/secondary-title&gt;&lt;tertiary-title&gt;ABC Nightline News&lt;/tertiary-title&gt;&lt;/titles&gt;&lt;pages&gt;60 minutes&lt;/pages&gt;&lt;keywords&gt;&lt;keyword&gt;News Report&lt;/keyword&gt;&lt;keyword&gt;Example&lt;/keyword&gt;&lt;/keywords&gt;&lt;dates&gt;&lt;year&gt;2006&lt;/year&gt;&lt;pub-dates&gt;&lt;date&gt;March 14 2006&lt;/date&gt;&lt;/pub-dates&gt;&lt;/dates&gt;&lt;pub-location&gt;New York&lt;/pub-location&gt;&lt;publisher&gt;American Broadcasting Company&lt;/publisher&gt;&lt;urls&gt;&lt;related-urls&gt;&lt;url&gt;http://abcnews.go.com/nightline/print?id=1726349&lt;/url&gt;&lt;/related-urls&gt;&lt;/urls&gt;&lt;access-date&gt;December 6, 2006&lt;/access-date&gt;&lt;/record&gt;&lt;/Cite&gt;&lt;/EndNote&gt;</w:instrText>
      </w:r>
      <w:r w:rsidR="00550107">
        <w:rPr>
          <w:szCs w:val="24"/>
        </w:rPr>
        <w:fldChar w:fldCharType="separate"/>
      </w:r>
      <w:r>
        <w:rPr>
          <w:noProof/>
          <w:szCs w:val="24"/>
        </w:rPr>
        <w:t>(</w:t>
      </w:r>
      <w:hyperlink w:anchor="_ENREF_2" w:tooltip="American Broadcasting Company, 2006 #1" w:history="1">
        <w:r w:rsidR="00D213F7">
          <w:rPr>
            <w:noProof/>
            <w:szCs w:val="24"/>
          </w:rPr>
          <w:t>American Broadcasting Company, 2006</w:t>
        </w:r>
      </w:hyperlink>
      <w:r>
        <w:rPr>
          <w:noProof/>
          <w:szCs w:val="24"/>
        </w:rPr>
        <w:t>)</w:t>
      </w:r>
      <w:r w:rsidR="00550107">
        <w:rPr>
          <w:szCs w:val="24"/>
        </w:rPr>
        <w:fldChar w:fldCharType="end"/>
      </w:r>
      <w:r w:rsidRPr="00DA24C1">
        <w:rPr>
          <w:szCs w:val="24"/>
        </w:rPr>
        <w:t>. Beginning at the age of 13, Jay named Percocet</w:t>
      </w:r>
      <w:r>
        <w:rPr>
          <w:szCs w:val="24"/>
        </w:rPr>
        <w:t>®, OxyContin®</w:t>
      </w:r>
      <w:r w:rsidRPr="00DA24C1">
        <w:rPr>
          <w:szCs w:val="24"/>
        </w:rPr>
        <w:t>, Xanax</w:t>
      </w:r>
      <w:r>
        <w:rPr>
          <w:szCs w:val="24"/>
        </w:rPr>
        <w:t>®</w:t>
      </w:r>
      <w:r w:rsidRPr="00DA24C1">
        <w:rPr>
          <w:szCs w:val="24"/>
        </w:rPr>
        <w:t>, Vicodin</w:t>
      </w:r>
      <w:r>
        <w:rPr>
          <w:szCs w:val="24"/>
        </w:rPr>
        <w:t>®</w:t>
      </w:r>
      <w:r w:rsidRPr="00DA24C1">
        <w:rPr>
          <w:szCs w:val="24"/>
        </w:rPr>
        <w:t xml:space="preserve">, </w:t>
      </w:r>
      <w:r>
        <w:rPr>
          <w:szCs w:val="24"/>
        </w:rPr>
        <w:t>Ritalin®</w:t>
      </w:r>
      <w:r w:rsidRPr="00DA24C1">
        <w:rPr>
          <w:szCs w:val="24"/>
        </w:rPr>
        <w:t xml:space="preserve">, and </w:t>
      </w:r>
      <w:r>
        <w:rPr>
          <w:szCs w:val="24"/>
        </w:rPr>
        <w:t>Adderall®</w:t>
      </w:r>
      <w:r w:rsidRPr="00DA24C1">
        <w:rPr>
          <w:szCs w:val="24"/>
        </w:rPr>
        <w:t xml:space="preserve"> as just a few of the prescription drugs he abused. Four years later and pounds lighter</w:t>
      </w:r>
      <w:r>
        <w:rPr>
          <w:szCs w:val="24"/>
        </w:rPr>
        <w:t>,</w:t>
      </w:r>
      <w:r w:rsidRPr="00DA24C1">
        <w:rPr>
          <w:szCs w:val="24"/>
        </w:rPr>
        <w:t xml:space="preserve"> with black eyes, Jay resides </w:t>
      </w:r>
      <w:r w:rsidRPr="00DA24C1">
        <w:rPr>
          <w:szCs w:val="24"/>
        </w:rPr>
        <w:lastRenderedPageBreak/>
        <w:t>in a small drug and alcohol treatment clinic in Houston, T</w:t>
      </w:r>
      <w:r>
        <w:rPr>
          <w:szCs w:val="24"/>
        </w:rPr>
        <w:t>exas.</w:t>
      </w:r>
      <w:r w:rsidRPr="00DA24C1">
        <w:rPr>
          <w:szCs w:val="24"/>
        </w:rPr>
        <w:t xml:space="preserve"> One of the more alarming pieces of information provided by Jay was how he gained access to these drugs. Jay said it </w:t>
      </w:r>
      <w:r>
        <w:rPr>
          <w:szCs w:val="24"/>
        </w:rPr>
        <w:t>was</w:t>
      </w:r>
      <w:r w:rsidRPr="00DA24C1">
        <w:rPr>
          <w:szCs w:val="24"/>
        </w:rPr>
        <w:t xml:space="preserve"> as simple as roaming the halls or locating the “candy man”</w:t>
      </w:r>
      <w:r w:rsidR="002A6C7F">
        <w:rPr>
          <w:szCs w:val="24"/>
        </w:rPr>
        <w:t>.</w:t>
      </w:r>
    </w:p>
    <w:p w:rsidR="002D07C6" w:rsidRPr="00DA24C1" w:rsidRDefault="002D07C6" w:rsidP="002D07C6">
      <w:pPr>
        <w:rPr>
          <w:szCs w:val="24"/>
        </w:rPr>
      </w:pPr>
      <w:r w:rsidRPr="00DA24C1">
        <w:rPr>
          <w:szCs w:val="24"/>
        </w:rPr>
        <w:t xml:space="preserve">A similar story reported by ABC News involved an “A” student at a top university named Maggie, who </w:t>
      </w:r>
      <w:r>
        <w:rPr>
          <w:szCs w:val="24"/>
        </w:rPr>
        <w:t>was</w:t>
      </w:r>
      <w:r w:rsidRPr="00DA24C1">
        <w:rPr>
          <w:szCs w:val="24"/>
        </w:rPr>
        <w:t xml:space="preserve"> highly motivated and determined to do well </w:t>
      </w:r>
      <w:r w:rsidR="00550107" w:rsidRPr="00DA24C1">
        <w:rPr>
          <w:szCs w:val="24"/>
        </w:rPr>
        <w:fldChar w:fldCharType="begin"/>
      </w:r>
      <w:r>
        <w:rPr>
          <w:szCs w:val="24"/>
        </w:rPr>
        <w:instrText xml:space="preserve"> ADDIN EN.CITE &lt;EndNote&gt;&lt;Cite&gt;&lt;Year&gt;2005&lt;/Year&gt;&lt;RecNum&gt;74&lt;/RecNum&gt;&lt;DisplayText&gt;(American Broadcasting Company, 2005)&lt;/DisplayText&gt;&lt;record&gt;&lt;rec-number&gt;74&lt;/rec-number&gt;&lt;foreign-keys&gt;&lt;key app="EN" db-id="02dwfapew02tdked2f4p0xerwdapvw5vztpp"&gt;74&lt;/key&gt;&lt;key app="ENWeb" db-id="R1rfKArtmCQAAH0-ETQ"&gt;852&lt;/key&gt;&lt;/foreign-keys&gt;&lt;ref-type name="Film or Broadcast"&gt;21&lt;/ref-type&gt;&lt;contributors&gt;&lt;authors&gt;&lt;author&gt;American Broadcasting Company,&lt;/author&gt;&lt;/authors&gt;&lt;/contributors&gt;&lt;titles&gt;&lt;title&gt;Illicit &amp;apos;study drugs&amp;apos; tempting more students&lt;/title&gt;&lt;secondary-title&gt;ABC Primetime&lt;/secondary-title&gt;&lt;tertiary-title&gt;ABC Primetime&lt;/tertiary-title&gt;&lt;/titles&gt;&lt;dates&gt;&lt;year&gt;2005&lt;/year&gt;&lt;pub-dates&gt;&lt;date&gt;June 2&lt;/date&gt;&lt;/pub-dates&gt;&lt;/dates&gt;&lt;pub-location&gt;New York&lt;/pub-location&gt;&lt;publisher&gt;American Broadcasting Company&lt;/publisher&gt;&lt;urls&gt;&lt;related-urls&gt;&lt;url&gt;http://abcnews.go.com/Primetime/Health/story?id=814896&amp;amp;page=1&lt;/url&gt;&lt;/related-urls&gt;&lt;/urls&gt;&lt;access-date&gt;December 12, 2006&lt;/access-date&gt;&lt;/record&gt;&lt;/Cite&gt;&lt;/EndNote&gt;</w:instrText>
      </w:r>
      <w:r w:rsidR="00550107" w:rsidRPr="00DA24C1">
        <w:rPr>
          <w:szCs w:val="24"/>
        </w:rPr>
        <w:fldChar w:fldCharType="separate"/>
      </w:r>
      <w:r>
        <w:rPr>
          <w:noProof/>
          <w:szCs w:val="24"/>
        </w:rPr>
        <w:t>(</w:t>
      </w:r>
      <w:hyperlink w:anchor="_ENREF_1" w:tooltip="American Broadcasting Company, 2005 #74" w:history="1">
        <w:r w:rsidR="00D213F7">
          <w:rPr>
            <w:noProof/>
            <w:szCs w:val="24"/>
          </w:rPr>
          <w:t>American Broadcasting Company, 2005</w:t>
        </w:r>
      </w:hyperlink>
      <w:r>
        <w:rPr>
          <w:noProof/>
          <w:szCs w:val="24"/>
        </w:rPr>
        <w:t>)</w:t>
      </w:r>
      <w:r w:rsidR="00550107" w:rsidRPr="00DA24C1">
        <w:rPr>
          <w:szCs w:val="24"/>
        </w:rPr>
        <w:fldChar w:fldCharType="end"/>
      </w:r>
      <w:r>
        <w:rPr>
          <w:szCs w:val="24"/>
        </w:rPr>
        <w:t xml:space="preserve">, who used prescription drugs “as a way to boost grades”, something the report indicated was “sweeping colleges”. </w:t>
      </w:r>
      <w:r w:rsidRPr="00911ECE">
        <w:rPr>
          <w:i/>
          <w:szCs w:val="24"/>
        </w:rPr>
        <w:t>Primetime Live</w:t>
      </w:r>
      <w:r w:rsidRPr="00DA24C1">
        <w:rPr>
          <w:szCs w:val="24"/>
        </w:rPr>
        <w:t xml:space="preserve"> followed </w:t>
      </w:r>
      <w:r>
        <w:rPr>
          <w:szCs w:val="24"/>
        </w:rPr>
        <w:t>“</w:t>
      </w:r>
      <w:r w:rsidRPr="00DA24C1">
        <w:rPr>
          <w:szCs w:val="24"/>
        </w:rPr>
        <w:t>Maggie</w:t>
      </w:r>
      <w:r>
        <w:rPr>
          <w:szCs w:val="24"/>
        </w:rPr>
        <w:t>”</w:t>
      </w:r>
      <w:r w:rsidRPr="00DA24C1">
        <w:rPr>
          <w:szCs w:val="24"/>
        </w:rPr>
        <w:t xml:space="preserve"> during exam</w:t>
      </w:r>
      <w:r>
        <w:rPr>
          <w:szCs w:val="24"/>
        </w:rPr>
        <w:t>s,</w:t>
      </w:r>
      <w:r w:rsidRPr="00DA24C1">
        <w:rPr>
          <w:szCs w:val="24"/>
        </w:rPr>
        <w:t xml:space="preserve"> since she </w:t>
      </w:r>
      <w:r>
        <w:rPr>
          <w:szCs w:val="24"/>
        </w:rPr>
        <w:t>was</w:t>
      </w:r>
      <w:r w:rsidRPr="00DA24C1">
        <w:rPr>
          <w:szCs w:val="24"/>
        </w:rPr>
        <w:t xml:space="preserve"> part of “a fast-growing college subculture of study drugs – hardcore prescription medications that give students hours and hours of almost superhuman focus and concentration.” Maggie explained th</w:t>
      </w:r>
      <w:r>
        <w:rPr>
          <w:szCs w:val="24"/>
        </w:rPr>
        <w:t>at</w:t>
      </w:r>
      <w:r w:rsidRPr="00DA24C1">
        <w:rPr>
          <w:szCs w:val="24"/>
        </w:rPr>
        <w:t xml:space="preserve"> prescription stimulant drugs such as </w:t>
      </w:r>
      <w:r>
        <w:rPr>
          <w:szCs w:val="24"/>
        </w:rPr>
        <w:t xml:space="preserve">Ritalin® </w:t>
      </w:r>
      <w:r w:rsidRPr="00DA24C1">
        <w:rPr>
          <w:szCs w:val="24"/>
        </w:rPr>
        <w:t xml:space="preserve">and </w:t>
      </w:r>
      <w:r>
        <w:rPr>
          <w:szCs w:val="24"/>
        </w:rPr>
        <w:t xml:space="preserve">Adderall® </w:t>
      </w:r>
      <w:r w:rsidRPr="00DA24C1">
        <w:rPr>
          <w:szCs w:val="24"/>
        </w:rPr>
        <w:t xml:space="preserve">“just really makes [her] feel confident and peaceful with [her] studies and helps [her] retain the information that [she is] learning.” </w:t>
      </w:r>
    </w:p>
    <w:p w:rsidR="002D07C6" w:rsidRPr="00DA24C1" w:rsidRDefault="002D07C6" w:rsidP="002D07C6">
      <w:pPr>
        <w:rPr>
          <w:szCs w:val="24"/>
        </w:rPr>
      </w:pPr>
      <w:r w:rsidRPr="00DA24C1">
        <w:rPr>
          <w:i/>
          <w:szCs w:val="24"/>
        </w:rPr>
        <w:t>The New York Times</w:t>
      </w:r>
      <w:r w:rsidRPr="00DA24C1">
        <w:rPr>
          <w:szCs w:val="24"/>
        </w:rPr>
        <w:t xml:space="preserve"> printed an article about a student at Columbia University, Angela, who needed a miracle during finals week </w:t>
      </w:r>
      <w:r w:rsidR="00550107" w:rsidRPr="00DA24C1">
        <w:rPr>
          <w:szCs w:val="24"/>
        </w:rPr>
        <w:fldChar w:fldCharType="begin"/>
      </w:r>
      <w:r>
        <w:rPr>
          <w:szCs w:val="24"/>
        </w:rPr>
        <w:instrText xml:space="preserve"> ADDIN EN.CITE &lt;EndNote&gt;&lt;Cite&gt;&lt;Author&gt;Jacobs&lt;/Author&gt;&lt;Year&gt;2005&lt;/Year&gt;&lt;RecNum&gt;56&lt;/RecNum&gt;&lt;DisplayText&gt;(Jacobs, 2005)&lt;/DisplayText&gt;&lt;record&gt;&lt;rec-number&gt;56&lt;/rec-number&gt;&lt;foreign-keys&gt;&lt;key app="EN" db-id="02dwfapew02tdked2f4p0xerwdapvw5vztpp"&gt;56&lt;/key&gt;&lt;key app="ENWeb" db-id="R1rfKArtmCQAAH0-ETQ"&gt;849&lt;/key&gt;&lt;/foreign-keys&gt;&lt;ref-type name="Generic"&gt;13&lt;/ref-type&gt;&lt;contributors&gt;&lt;authors&gt;&lt;author&gt;Jacobs, A.&lt;/author&gt;&lt;/authors&gt;&lt;/contributors&gt;&lt;titles&gt;&lt;title&gt;The adderall advantage&lt;/title&gt;&lt;secondary-title&gt;The New York Times&lt;/secondary-title&gt;&lt;/titles&gt;&lt;pages&gt;4A&lt;/pages&gt;&lt;number&gt;4A&lt;/number&gt;&lt;dates&gt;&lt;year&gt;2005&lt;/year&gt;&lt;pub-dates&gt;&lt;date&gt;July 31&lt;/date&gt;&lt;/pub-dates&gt;&lt;/dates&gt;&lt;urls&gt;&lt;related-urls&gt;&lt;url&gt;http://global.factiva.com&lt;/url&gt;&lt;/related-urls&gt;&lt;/urls&gt;&lt;custom1&gt;Jacobs, A.&lt;/custom1&gt;&lt;access-date&gt;November 8, 2006&lt;/access-date&gt;&lt;/record&gt;&lt;/Cite&gt;&lt;/EndNote&gt;</w:instrText>
      </w:r>
      <w:r w:rsidR="00550107" w:rsidRPr="00DA24C1">
        <w:rPr>
          <w:szCs w:val="24"/>
        </w:rPr>
        <w:fldChar w:fldCharType="separate"/>
      </w:r>
      <w:r>
        <w:rPr>
          <w:noProof/>
          <w:szCs w:val="24"/>
        </w:rPr>
        <w:t>(</w:t>
      </w:r>
      <w:hyperlink w:anchor="_ENREF_20" w:tooltip="Jacobs, 2005 #56" w:history="1">
        <w:r w:rsidR="00D213F7">
          <w:rPr>
            <w:noProof/>
            <w:szCs w:val="24"/>
          </w:rPr>
          <w:t>Jacobs, 2005</w:t>
        </w:r>
      </w:hyperlink>
      <w:r>
        <w:rPr>
          <w:noProof/>
          <w:szCs w:val="24"/>
        </w:rPr>
        <w:t>)</w:t>
      </w:r>
      <w:r w:rsidR="00550107" w:rsidRPr="00DA24C1">
        <w:rPr>
          <w:szCs w:val="24"/>
        </w:rPr>
        <w:fldChar w:fldCharType="end"/>
      </w:r>
      <w:r w:rsidRPr="00DA24C1">
        <w:rPr>
          <w:szCs w:val="24"/>
        </w:rPr>
        <w:t xml:space="preserve">. </w:t>
      </w:r>
    </w:p>
    <w:p w:rsidR="002D07C6" w:rsidRPr="00DA24C1" w:rsidRDefault="002D07C6" w:rsidP="002D07C6">
      <w:pPr>
        <w:autoSpaceDE w:val="0"/>
        <w:autoSpaceDN w:val="0"/>
        <w:adjustRightInd w:val="0"/>
        <w:ind w:left="720" w:firstLine="0"/>
        <w:rPr>
          <w:szCs w:val="24"/>
        </w:rPr>
      </w:pPr>
      <w:r w:rsidRPr="00DA24C1">
        <w:rPr>
          <w:szCs w:val="24"/>
        </w:rPr>
        <w:t>Like many of her classmates, Angela, a bleary</w:t>
      </w:r>
      <w:r>
        <w:rPr>
          <w:szCs w:val="24"/>
        </w:rPr>
        <w:t>-</w:t>
      </w:r>
      <w:r w:rsidRPr="00DA24C1">
        <w:rPr>
          <w:szCs w:val="24"/>
        </w:rPr>
        <w:t>eyed junior, had already pulled a pair of all-nighters to get through a paper on ''</w:t>
      </w:r>
      <w:proofErr w:type="spellStart"/>
      <w:r w:rsidRPr="00DA24C1">
        <w:rPr>
          <w:szCs w:val="24"/>
        </w:rPr>
        <w:t>Finnegans</w:t>
      </w:r>
      <w:proofErr w:type="spellEnd"/>
      <w:r w:rsidRPr="00DA24C1">
        <w:rPr>
          <w:szCs w:val="24"/>
        </w:rPr>
        <w:t xml:space="preserve"> Wake,'' a French test and an exam for her music humanities class. All that remained was a Latin American literature final, but as midnight approached, her stamina was beginning to fade. ''This week is killing me,'' she said, taking a cigarette break in front of the school library. ''At this point, I could use a little help.'' Thanks to a friend, the tiny orange pill in her purse would provide the needed miracle. Angela, who asked that her last name not be published for fear of alarming her family and angering university officials, popped a 30-milligram tablet of </w:t>
      </w:r>
      <w:r w:rsidRPr="00DA24C1">
        <w:rPr>
          <w:szCs w:val="24"/>
        </w:rPr>
        <w:lastRenderedPageBreak/>
        <w:t xml:space="preserve">Adderall into her mouth, washed it down with coffee and headed back to the library for another night of cramming. The next morning, she sailed through the exam confidently and scored an A. ''I don't think I could keep a 3.9 average without this stuff,'' she said afterward </w:t>
      </w:r>
      <w:r w:rsidR="00550107" w:rsidRPr="00DA24C1">
        <w:rPr>
          <w:szCs w:val="24"/>
        </w:rPr>
        <w:fldChar w:fldCharType="begin"/>
      </w:r>
      <w:r>
        <w:rPr>
          <w:szCs w:val="24"/>
        </w:rPr>
        <w:instrText xml:space="preserve"> ADDIN EN.CITE &lt;EndNote&gt;&lt;Cite&gt;&lt;Author&gt;Jacobs&lt;/Author&gt;&lt;Year&gt;2005&lt;/Year&gt;&lt;RecNum&gt;56&lt;/RecNum&gt;&lt;Suffix&gt;`, para. 1&lt;/Suffix&gt;&lt;DisplayText&gt;(Jacobs, 2005, para. 1)&lt;/DisplayText&gt;&lt;record&gt;&lt;rec-number&gt;56&lt;/rec-number&gt;&lt;foreign-keys&gt;&lt;key app="EN" db-id="02dwfapew02tdked2f4p0xerwdapvw5vztpp"&gt;56&lt;/key&gt;&lt;key app="ENWeb" db-id="R1rfKArtmCQAAH0-ETQ"&gt;849&lt;/key&gt;&lt;/foreign-keys&gt;&lt;ref-type name="Generic"&gt;13&lt;/ref-type&gt;&lt;contributors&gt;&lt;authors&gt;&lt;author&gt;Jacobs, A.&lt;/author&gt;&lt;/authors&gt;&lt;/contributors&gt;&lt;titles&gt;&lt;title&gt;The adderall advantage&lt;/title&gt;&lt;secondary-title&gt;The New York Times&lt;/secondary-title&gt;&lt;/titles&gt;&lt;pages&gt;4A&lt;/pages&gt;&lt;number&gt;4A&lt;/number&gt;&lt;dates&gt;&lt;year&gt;2005&lt;/year&gt;&lt;pub-dates&gt;&lt;date&gt;July 31&lt;/date&gt;&lt;/pub-dates&gt;&lt;/dates&gt;&lt;urls&gt;&lt;related-urls&gt;&lt;url&gt;http://global.factiva.com&lt;/url&gt;&lt;/related-urls&gt;&lt;/urls&gt;&lt;custom1&gt;Jacobs, A.&lt;/custom1&gt;&lt;access-date&gt;November 8, 2006&lt;/access-date&gt;&lt;/record&gt;&lt;/Cite&gt;&lt;/EndNote&gt;</w:instrText>
      </w:r>
      <w:r w:rsidR="00550107" w:rsidRPr="00DA24C1">
        <w:rPr>
          <w:szCs w:val="24"/>
        </w:rPr>
        <w:fldChar w:fldCharType="separate"/>
      </w:r>
      <w:r>
        <w:rPr>
          <w:noProof/>
          <w:szCs w:val="24"/>
        </w:rPr>
        <w:t>(</w:t>
      </w:r>
      <w:hyperlink w:anchor="_ENREF_20" w:tooltip="Jacobs, 2005 #56" w:history="1">
        <w:r w:rsidR="00D213F7">
          <w:rPr>
            <w:noProof/>
            <w:szCs w:val="24"/>
          </w:rPr>
          <w:t>Jacobs, 2005, para. 1</w:t>
        </w:r>
      </w:hyperlink>
      <w:r>
        <w:rPr>
          <w:noProof/>
          <w:szCs w:val="24"/>
        </w:rPr>
        <w:t>)</w:t>
      </w:r>
      <w:r w:rsidR="00550107" w:rsidRPr="00DA24C1">
        <w:rPr>
          <w:szCs w:val="24"/>
        </w:rPr>
        <w:fldChar w:fldCharType="end"/>
      </w:r>
      <w:r w:rsidRPr="00DA24C1">
        <w:rPr>
          <w:szCs w:val="24"/>
        </w:rPr>
        <w:t>.</w:t>
      </w:r>
    </w:p>
    <w:p w:rsidR="002D07C6" w:rsidRPr="00DA24C1" w:rsidRDefault="002D07C6" w:rsidP="002D07C6">
      <w:pPr>
        <w:ind w:firstLine="0"/>
        <w:rPr>
          <w:szCs w:val="24"/>
        </w:rPr>
      </w:pPr>
      <w:r w:rsidRPr="00DA24C1">
        <w:rPr>
          <w:i/>
          <w:szCs w:val="24"/>
        </w:rPr>
        <w:t>The Chronicle of Higher Education</w:t>
      </w:r>
      <w:r w:rsidRPr="00DA24C1">
        <w:rPr>
          <w:szCs w:val="24"/>
        </w:rPr>
        <w:t xml:space="preserve"> reported a similar story </w:t>
      </w:r>
      <w:r>
        <w:rPr>
          <w:szCs w:val="24"/>
        </w:rPr>
        <w:t xml:space="preserve">about </w:t>
      </w:r>
      <w:r w:rsidRPr="00DA24C1">
        <w:rPr>
          <w:szCs w:val="24"/>
        </w:rPr>
        <w:t xml:space="preserve">Chris </w:t>
      </w:r>
      <w:proofErr w:type="spellStart"/>
      <w:r w:rsidRPr="00DA24C1">
        <w:rPr>
          <w:szCs w:val="24"/>
        </w:rPr>
        <w:t>Langely</w:t>
      </w:r>
      <w:proofErr w:type="spellEnd"/>
      <w:r w:rsidRPr="00DA24C1">
        <w:rPr>
          <w:szCs w:val="24"/>
        </w:rPr>
        <w:t>, a student</w:t>
      </w:r>
      <w:r>
        <w:rPr>
          <w:szCs w:val="24"/>
        </w:rPr>
        <w:t xml:space="preserve"> previously</w:t>
      </w:r>
      <w:r w:rsidRPr="00DA24C1">
        <w:rPr>
          <w:szCs w:val="24"/>
        </w:rPr>
        <w:t xml:space="preserve"> at</w:t>
      </w:r>
      <w:r>
        <w:rPr>
          <w:szCs w:val="24"/>
        </w:rPr>
        <w:t>tending</w:t>
      </w:r>
      <w:r w:rsidRPr="00DA24C1">
        <w:rPr>
          <w:szCs w:val="24"/>
        </w:rPr>
        <w:t xml:space="preserve"> The University of Maryland at College Park </w:t>
      </w:r>
      <w:r w:rsidR="00550107" w:rsidRPr="00DA24C1">
        <w:rPr>
          <w:szCs w:val="24"/>
        </w:rPr>
        <w:fldChar w:fldCharType="begin"/>
      </w:r>
      <w:r>
        <w:rPr>
          <w:szCs w:val="24"/>
        </w:rPr>
        <w:instrText xml:space="preserve"> ADDIN EN.CITE &lt;EndNote&gt;&lt;Cite&gt;&lt;Author&gt;Nichols&lt;/Author&gt;&lt;Year&gt;2004&lt;/Year&gt;&lt;RecNum&gt;76&lt;/RecNum&gt;&lt;DisplayText&gt;(Nichols, 2004)&lt;/DisplayText&gt;&lt;record&gt;&lt;rec-number&gt;76&lt;/rec-number&gt;&lt;foreign-keys&gt;&lt;key app="EN" db-id="02dwfapew02tdked2f4p0xerwdapvw5vztpp"&gt;76&lt;/key&gt;&lt;key app="ENWeb" db-id="R1rfKArtmCQAAH0-ETQ"&gt;854&lt;/key&gt;&lt;/foreign-keys&gt;&lt;ref-type name="Newspaper Article"&gt;23&lt;/ref-type&gt;&lt;contributors&gt;&lt;authors&gt;&lt;author&gt;Nichols, Kendra &lt;/author&gt;&lt;/authors&gt;&lt;/contributors&gt;&lt;titles&gt;&lt;title&gt;The other performance-enhancing drugs&lt;/title&gt;&lt;secondary-title&gt;The Chronicle of Higher Education&lt;/secondary-title&gt;&lt;/titles&gt;&lt;pages&gt;A41-A42&lt;/pages&gt;&lt;volume&gt;51&lt;/volume&gt;&lt;dates&gt;&lt;year&gt;2004&lt;/year&gt;&lt;pub-dates&gt;&lt;date&gt;December 17&lt;/date&gt;&lt;/pub-dates&gt;&lt;/dates&gt;&lt;urls&gt;&lt;related-urls&gt;&lt;url&gt;http://chronicle.com/weekly/v51/i17/17a04101.htm&lt;/url&gt;&lt;/related-urls&gt;&lt;/urls&gt;&lt;access-date&gt;November 6, 2006&lt;/access-date&gt;&lt;/record&gt;&lt;/Cite&gt;&lt;/EndNote&gt;</w:instrText>
      </w:r>
      <w:r w:rsidR="00550107" w:rsidRPr="00DA24C1">
        <w:rPr>
          <w:szCs w:val="24"/>
        </w:rPr>
        <w:fldChar w:fldCharType="separate"/>
      </w:r>
      <w:r>
        <w:rPr>
          <w:noProof/>
          <w:szCs w:val="24"/>
        </w:rPr>
        <w:t>(</w:t>
      </w:r>
      <w:hyperlink w:anchor="_ENREF_44" w:tooltip="Nichols, 2004 #76" w:history="1">
        <w:r w:rsidR="00D213F7">
          <w:rPr>
            <w:noProof/>
            <w:szCs w:val="24"/>
          </w:rPr>
          <w:t>Nichols, 2004</w:t>
        </w:r>
      </w:hyperlink>
      <w:r>
        <w:rPr>
          <w:noProof/>
          <w:szCs w:val="24"/>
        </w:rPr>
        <w:t>)</w:t>
      </w:r>
      <w:r w:rsidR="00550107" w:rsidRPr="00DA24C1">
        <w:rPr>
          <w:szCs w:val="24"/>
        </w:rPr>
        <w:fldChar w:fldCharType="end"/>
      </w:r>
      <w:r w:rsidRPr="00DA24C1">
        <w:rPr>
          <w:szCs w:val="24"/>
        </w:rPr>
        <w:t xml:space="preserve">. </w:t>
      </w:r>
    </w:p>
    <w:p w:rsidR="002D07C6" w:rsidRPr="00DA24C1" w:rsidRDefault="002D07C6" w:rsidP="002D07C6">
      <w:pPr>
        <w:autoSpaceDE w:val="0"/>
        <w:autoSpaceDN w:val="0"/>
        <w:adjustRightInd w:val="0"/>
        <w:ind w:left="720" w:firstLine="0"/>
        <w:rPr>
          <w:i/>
          <w:szCs w:val="24"/>
        </w:rPr>
      </w:pPr>
      <w:r w:rsidRPr="00DA24C1">
        <w:rPr>
          <w:szCs w:val="24"/>
        </w:rPr>
        <w:t xml:space="preserve">At 8 p.m. the night before his psychology midterm, Chris Langley found himself at a familiar crossroads. Should he open his thick textbook and start studying, knowing that his mind would soon drift elsewhere? Or should he first visit a friend who, he knew, had something that could help him meet the seemingly insurmountable task? That night in October, Mr. Langley, a senior majoring in English at the University of Maryland at </w:t>
      </w:r>
      <w:r w:rsidRPr="00DA24C1">
        <w:rPr>
          <w:bCs/>
          <w:iCs/>
          <w:szCs w:val="24"/>
        </w:rPr>
        <w:t xml:space="preserve">College </w:t>
      </w:r>
      <w:r w:rsidRPr="00DA24C1">
        <w:rPr>
          <w:szCs w:val="24"/>
        </w:rPr>
        <w:t xml:space="preserve">Park, chose the latter option. He walked over to visit a friend who had been diagnosed with attention-deficit hyperactivity disorder, or ADHD, and who had a bottle full of </w:t>
      </w:r>
      <w:r w:rsidRPr="00DA24C1">
        <w:rPr>
          <w:bCs/>
          <w:iCs/>
          <w:szCs w:val="24"/>
        </w:rPr>
        <w:t>Adderall</w:t>
      </w:r>
      <w:r w:rsidRPr="00DA24C1">
        <w:rPr>
          <w:szCs w:val="24"/>
        </w:rPr>
        <w:t>, a prescription stimulant that can increase a person's ability to concentrate whether he has the disorder or not. After popping one of his friend's 10-milligram pills, a relatively low dose of the amphetamine-based drug, Mr. Langley felt "zoned in." He read 100 pages of his textbook in three hours, a task that normally would have taken him much longer, he says. And the information stuck in his head: he got a 92 on the exam. "It's almost like drinking a lot of coffee, but to a higher degree," he says. "</w:t>
      </w:r>
      <w:r w:rsidRPr="00DA24C1">
        <w:rPr>
          <w:bCs/>
          <w:iCs/>
          <w:szCs w:val="24"/>
        </w:rPr>
        <w:t xml:space="preserve">Adderall </w:t>
      </w:r>
      <w:r w:rsidRPr="00DA24C1">
        <w:rPr>
          <w:szCs w:val="24"/>
        </w:rPr>
        <w:t xml:space="preserve">is a ... stronger way of getting me to concentrate. It almost makes it like you don't mind studying" </w:t>
      </w:r>
      <w:r w:rsidR="00550107" w:rsidRPr="00DA24C1">
        <w:rPr>
          <w:szCs w:val="24"/>
        </w:rPr>
        <w:fldChar w:fldCharType="begin"/>
      </w:r>
      <w:r>
        <w:rPr>
          <w:szCs w:val="24"/>
        </w:rPr>
        <w:instrText xml:space="preserve"> ADDIN EN.CITE &lt;EndNote&gt;&lt;Cite&gt;&lt;Author&gt;Nichols&lt;/Author&gt;&lt;Year&gt;2004&lt;/Year&gt;&lt;RecNum&gt;76&lt;/RecNum&gt;&lt;Suffix&gt;`, para. 1&lt;/Suffix&gt;&lt;DisplayText&gt;(Nichols, 2004, para. 1)&lt;/DisplayText&gt;&lt;record&gt;&lt;rec-number&gt;76&lt;/rec-number&gt;&lt;foreign-keys&gt;&lt;key app="EN" db-id="02dwfapew02tdked2f4p0xerwdapvw5vztpp"&gt;76&lt;/key&gt;&lt;key app="ENWeb" db-id="R1rfKArtmCQAAH0-ETQ"&gt;854&lt;/key&gt;&lt;/foreign-keys&gt;&lt;ref-type name="Newspaper Article"&gt;23&lt;/ref-type&gt;&lt;contributors&gt;&lt;authors&gt;&lt;author&gt;Nichols, Kendra &lt;/author&gt;&lt;/authors&gt;&lt;/contributors&gt;&lt;titles&gt;&lt;title&gt;The other performance-enhancing drugs&lt;/title&gt;&lt;secondary-title&gt;The Chronicle of Higher Education&lt;/secondary-title&gt;&lt;/titles&gt;&lt;pages&gt;A41-A42&lt;/pages&gt;&lt;volume&gt;51&lt;/volume&gt;&lt;dates&gt;&lt;year&gt;2004&lt;/year&gt;&lt;pub-dates&gt;&lt;date&gt;December 17&lt;/date&gt;&lt;/pub-dates&gt;&lt;/dates&gt;&lt;urls&gt;&lt;related-urls&gt;&lt;url&gt;http://chronicle.com/weekly/v51/i17/17a04101.htm&lt;/url&gt;&lt;/related-urls&gt;&lt;/urls&gt;&lt;access-date&gt;November 6, 2006&lt;/access-date&gt;&lt;/record&gt;&lt;/Cite&gt;&lt;/EndNote&gt;</w:instrText>
      </w:r>
      <w:r w:rsidR="00550107" w:rsidRPr="00DA24C1">
        <w:rPr>
          <w:szCs w:val="24"/>
        </w:rPr>
        <w:fldChar w:fldCharType="separate"/>
      </w:r>
      <w:r>
        <w:rPr>
          <w:noProof/>
          <w:szCs w:val="24"/>
        </w:rPr>
        <w:t>(</w:t>
      </w:r>
      <w:hyperlink w:anchor="_ENREF_44" w:tooltip="Nichols, 2004 #76" w:history="1">
        <w:r w:rsidR="00D213F7">
          <w:rPr>
            <w:noProof/>
            <w:szCs w:val="24"/>
          </w:rPr>
          <w:t>Nichols, 2004, para. 1</w:t>
        </w:r>
      </w:hyperlink>
      <w:r>
        <w:rPr>
          <w:noProof/>
          <w:szCs w:val="24"/>
        </w:rPr>
        <w:t>)</w:t>
      </w:r>
      <w:r w:rsidR="00550107" w:rsidRPr="00DA24C1">
        <w:rPr>
          <w:szCs w:val="24"/>
        </w:rPr>
        <w:fldChar w:fldCharType="end"/>
      </w:r>
      <w:r w:rsidRPr="00DA24C1">
        <w:rPr>
          <w:szCs w:val="24"/>
        </w:rPr>
        <w:t>.</w:t>
      </w:r>
    </w:p>
    <w:p w:rsidR="002D07C6" w:rsidRPr="00DA24C1" w:rsidRDefault="002D07C6" w:rsidP="002D07C6">
      <w:pPr>
        <w:autoSpaceDE w:val="0"/>
        <w:autoSpaceDN w:val="0"/>
        <w:adjustRightInd w:val="0"/>
        <w:ind w:firstLine="0"/>
        <w:rPr>
          <w:szCs w:val="24"/>
        </w:rPr>
      </w:pPr>
      <w:r w:rsidRPr="00DA24C1">
        <w:rPr>
          <w:szCs w:val="24"/>
        </w:rPr>
        <w:lastRenderedPageBreak/>
        <w:t>In the same article,</w:t>
      </w:r>
      <w:r w:rsidRPr="00DA24C1">
        <w:rPr>
          <w:i/>
          <w:szCs w:val="24"/>
        </w:rPr>
        <w:t xml:space="preserve"> The Chronicle of Higher Education </w:t>
      </w:r>
      <w:r w:rsidRPr="00DA24C1">
        <w:rPr>
          <w:szCs w:val="24"/>
        </w:rPr>
        <w:t>reported that one out of five students at the University of Wisconsin at Madison admitted having taken prescription stimulants without a prescription</w:t>
      </w:r>
      <w:r>
        <w:rPr>
          <w:szCs w:val="24"/>
        </w:rPr>
        <w:t xml:space="preserve"> </w:t>
      </w:r>
      <w:r w:rsidR="00550107">
        <w:rPr>
          <w:szCs w:val="24"/>
        </w:rPr>
        <w:fldChar w:fldCharType="begin"/>
      </w:r>
      <w:r>
        <w:rPr>
          <w:szCs w:val="24"/>
        </w:rPr>
        <w:instrText xml:space="preserve"> ADDIN EN.CITE &lt;EndNote&gt;&lt;Cite&gt;&lt;Author&gt;Nichols&lt;/Author&gt;&lt;Year&gt;2004&lt;/Year&gt;&lt;RecNum&gt;76&lt;/RecNum&gt;&lt;DisplayText&gt;(Nichols, 2004)&lt;/DisplayText&gt;&lt;record&gt;&lt;rec-number&gt;76&lt;/rec-number&gt;&lt;foreign-keys&gt;&lt;key app="EN" db-id="02dwfapew02tdked2f4p0xerwdapvw5vztpp"&gt;76&lt;/key&gt;&lt;key app="ENWeb" db-id="R1rfKArtmCQAAH0-ETQ"&gt;854&lt;/key&gt;&lt;/foreign-keys&gt;&lt;ref-type name="Newspaper Article"&gt;23&lt;/ref-type&gt;&lt;contributors&gt;&lt;authors&gt;&lt;author&gt;Nichols, Kendra &lt;/author&gt;&lt;/authors&gt;&lt;/contributors&gt;&lt;titles&gt;&lt;title&gt;The other performance-enhancing drugs&lt;/title&gt;&lt;secondary-title&gt;The Chronicle of Higher Education&lt;/secondary-title&gt;&lt;/titles&gt;&lt;pages&gt;A41-A42&lt;/pages&gt;&lt;volume&gt;51&lt;/volume&gt;&lt;dates&gt;&lt;year&gt;2004&lt;/year&gt;&lt;pub-dates&gt;&lt;date&gt;December 17&lt;/date&gt;&lt;/pub-dates&gt;&lt;/dates&gt;&lt;urls&gt;&lt;related-urls&gt;&lt;url&gt;http://chronicle.com/weekly/v51/i17/17a04101.htm&lt;/url&gt;&lt;/related-urls&gt;&lt;/urls&gt;&lt;access-date&gt;November 6, 2006&lt;/access-date&gt;&lt;/record&gt;&lt;/Cite&gt;&lt;/EndNote&gt;</w:instrText>
      </w:r>
      <w:r w:rsidR="00550107">
        <w:rPr>
          <w:szCs w:val="24"/>
        </w:rPr>
        <w:fldChar w:fldCharType="separate"/>
      </w:r>
      <w:r>
        <w:rPr>
          <w:noProof/>
          <w:szCs w:val="24"/>
        </w:rPr>
        <w:t>(</w:t>
      </w:r>
      <w:hyperlink w:anchor="_ENREF_44" w:tooltip="Nichols, 2004 #76" w:history="1">
        <w:r w:rsidR="00D213F7">
          <w:rPr>
            <w:noProof/>
            <w:szCs w:val="24"/>
          </w:rPr>
          <w:t>Nichols, 2004</w:t>
        </w:r>
      </w:hyperlink>
      <w:r>
        <w:rPr>
          <w:noProof/>
          <w:szCs w:val="24"/>
        </w:rPr>
        <w:t>)</w:t>
      </w:r>
      <w:r w:rsidR="00550107">
        <w:rPr>
          <w:szCs w:val="24"/>
        </w:rPr>
        <w:fldChar w:fldCharType="end"/>
      </w:r>
      <w:r w:rsidRPr="00DA24C1">
        <w:rPr>
          <w:szCs w:val="24"/>
        </w:rPr>
        <w:t>.</w:t>
      </w:r>
    </w:p>
    <w:p w:rsidR="002D07C6" w:rsidRPr="00DA24C1" w:rsidRDefault="002D07C6" w:rsidP="002D07C6">
      <w:pPr>
        <w:ind w:firstLine="0"/>
      </w:pPr>
      <w:r w:rsidRPr="00DA24C1">
        <w:rPr>
          <w:szCs w:val="24"/>
        </w:rPr>
        <w:tab/>
        <w:t xml:space="preserve">The behavior of college students illicitly taking narcotic prescription drugs for academic improvement shows </w:t>
      </w:r>
      <w:r>
        <w:rPr>
          <w:szCs w:val="24"/>
        </w:rPr>
        <w:t xml:space="preserve">few </w:t>
      </w:r>
      <w:r w:rsidRPr="00DA24C1">
        <w:rPr>
          <w:szCs w:val="24"/>
        </w:rPr>
        <w:t>signs of slowing down</w:t>
      </w:r>
      <w:r>
        <w:rPr>
          <w:szCs w:val="24"/>
        </w:rPr>
        <w:t>,</w:t>
      </w:r>
      <w:r w:rsidRPr="00DA24C1">
        <w:rPr>
          <w:szCs w:val="24"/>
        </w:rPr>
        <w:t xml:space="preserve"> since</w:t>
      </w:r>
      <w:r w:rsidRPr="00DA24C1">
        <w:t xml:space="preserve"> 2.3 million middle and high school students</w:t>
      </w:r>
      <w:r>
        <w:t xml:space="preserve"> </w:t>
      </w:r>
      <w:r w:rsidR="00550107">
        <w:fldChar w:fldCharType="begin"/>
      </w:r>
      <w:r>
        <w:instrText xml:space="preserve"> ADDIN EN.CITE &lt;EndNote&gt;&lt;Cite&gt;&lt;Author&gt;Substance Abuse and Mental Health Services Administration&lt;/Author&gt;&lt;Year&gt;2010&lt;/Year&gt;&lt;RecNum&gt;420&lt;/RecNum&gt;&lt;DisplayText&gt;(Substance Abuse and Mental Health Services Administration, 2010)&lt;/DisplayText&gt;&lt;record&gt;&lt;rec-number&gt;420&lt;/rec-number&gt;&lt;foreign-keys&gt;&lt;key app="EN" db-id="02dwfapew02tdked2f4p0xerwdapvw5vztpp"&gt;420&lt;/key&gt;&lt;/foreign-keys&gt;&lt;ref-type name="Government Document"&gt;46&lt;/ref-type&gt;&lt;contributors&gt;&lt;authors&gt;&lt;author&gt;Substance Abuse and Mental Health Services Administration,&lt;/author&gt;&lt;/authors&gt;&lt;/contributors&gt;&lt;titles&gt;&lt;title&gt;Results from the 2009 National Survey on Drug Use and Health: Volume I. Summary of National Findings&lt;/title&gt;&lt;/titles&gt;&lt;dates&gt;&lt;year&gt;2010&lt;/year&gt;&lt;/dates&gt;&lt;pub-location&gt;Rockville, MD&lt;/pub-location&gt;&lt;isbn&gt;Office of Applied Studies, NSDUH Series H-38A, HHS Publication No. SMA 10-4586Findings&lt;/isbn&gt;&lt;urls&gt;&lt;/urls&gt;&lt;/record&gt;&lt;/Cite&gt;&lt;/EndNote&gt;</w:instrText>
      </w:r>
      <w:r w:rsidR="00550107">
        <w:fldChar w:fldCharType="separate"/>
      </w:r>
      <w:r>
        <w:rPr>
          <w:noProof/>
        </w:rPr>
        <w:t>(</w:t>
      </w:r>
      <w:hyperlink w:anchor="_ENREF_53" w:tooltip="Substance Abuse and Mental Health Services Administration, 2010 #420" w:history="1">
        <w:r w:rsidR="00D213F7">
          <w:rPr>
            <w:noProof/>
          </w:rPr>
          <w:t>Substance Abuse and Mental Health Services Administration, 2010</w:t>
        </w:r>
      </w:hyperlink>
      <w:r>
        <w:rPr>
          <w:noProof/>
        </w:rPr>
        <w:t>)</w:t>
      </w:r>
      <w:r w:rsidR="00550107">
        <w:fldChar w:fldCharType="end"/>
      </w:r>
      <w:r>
        <w:t>,</w:t>
      </w:r>
      <w:r w:rsidRPr="00DA24C1">
        <w:t xml:space="preserve"> and roughly 16 percent of college students </w:t>
      </w:r>
      <w:r w:rsidR="00550107" w:rsidRPr="00DA24C1">
        <w:fldChar w:fldCharType="begin"/>
      </w:r>
      <w:r>
        <w:instrText xml:space="preserve"> ADDIN EN.CITE &lt;EndNote&gt;&lt;Cite&gt;&lt;Author&gt;Babcock&lt;/Author&gt;&lt;Year&gt;2000&lt;/Year&gt;&lt;RecNum&gt;21&lt;/RecNum&gt;&lt;DisplayText&gt;(Babcock &amp;amp; Byrne, 2000; McCabe, Teter, &amp;amp; Boyd, 2006b)&lt;/DisplayText&gt;&lt;record&gt;&lt;rec-number&gt;21&lt;/rec-number&gt;&lt;foreign-keys&gt;&lt;key app="EN" db-id="02dwfapew02tdked2f4p0xerwdapvw5vztpp"&gt;21&lt;/key&gt;&lt;key app="ENWeb" db-id="R1rfKArtmCQAAH0-ETQ"&gt;844&lt;/key&gt;&lt;/foreign-keys&gt;&lt;ref-type name="Journal Article"&gt;17&lt;/ref-type&gt;&lt;contributors&gt;&lt;authors&gt;&lt;author&gt;Babcock, Quinton&lt;/author&gt;&lt;author&gt;Byrne, Tom&lt;/author&gt;&lt;/authors&gt;&lt;/contributors&gt;&lt;titles&gt;&lt;title&gt;Student perceptions of methylphenidate abuse at a public liberal arts college&lt;/title&gt;&lt;secondary-title&gt;Journal of American College Health&lt;/secondary-title&gt;&lt;/titles&gt;&lt;periodical&gt;&lt;full-title&gt;Journal of American College Health&lt;/full-title&gt;&lt;/periodical&gt;&lt;pages&gt;143-145&lt;/pages&gt;&lt;volume&gt;49&lt;/volume&gt;&lt;number&gt;3&lt;/number&gt;&lt;dates&gt;&lt;year&gt;2000&lt;/year&gt;&lt;/dates&gt;&lt;urls&gt;&lt;/urls&gt;&lt;electronic-resource-num&gt;10.1080/07448480009596296&lt;/electronic-resource-num&gt;&lt;/record&gt;&lt;/Cite&gt;&lt;Cite&gt;&lt;Author&gt;McCabe&lt;/Author&gt;&lt;Year&gt;2006&lt;/Year&gt;&lt;RecNum&gt;71&lt;/RecNum&gt;&lt;record&gt;&lt;rec-number&gt;71&lt;/rec-number&gt;&lt;foreign-keys&gt;&lt;key app="EN" db-id="02dwfapew02tdked2f4p0xerwdapvw5vztpp"&gt;71&lt;/key&gt;&lt;key app="ENWeb" db-id="R1rfKArtmCQAAH0-ETQ"&gt;851&lt;/key&gt;&lt;/foreign-keys&gt;&lt;ref-type name="Journal Article"&gt;17&lt;/ref-type&gt;&lt;contributors&gt;&lt;authors&gt;&lt;author&gt;McCabe, S&lt;/author&gt;&lt;author&gt;Teter, CJ&lt;/author&gt;&lt;author&gt;Boyd, CJ&lt;/author&gt;&lt;/authors&gt;&lt;/contributors&gt;&lt;titles&gt;&lt;title&gt;Medical use, illicit use, and diversion of abusable prescription drugs&lt;/title&gt;&lt;secondary-title&gt;Journal of American College Health&lt;/secondary-title&gt;&lt;/titles&gt;&lt;periodical&gt;&lt;full-title&gt;Journal of American College Health&lt;/full-title&gt;&lt;/periodical&gt;&lt;pages&gt;269-278&lt;/pages&gt;&lt;volume&gt;54&lt;/volume&gt;&lt;number&gt;5&lt;/number&gt;&lt;dates&gt;&lt;year&gt;2006&lt;/year&gt;&lt;/dates&gt;&lt;urls&gt;&lt;/urls&gt;&lt;electronic-resource-num&gt;10.3200/JACH.54.5.269-278&lt;/electronic-resource-num&gt;&lt;/record&gt;&lt;/Cite&gt;&lt;/EndNote&gt;</w:instrText>
      </w:r>
      <w:r w:rsidR="00550107" w:rsidRPr="00DA24C1">
        <w:fldChar w:fldCharType="separate"/>
      </w:r>
      <w:r>
        <w:rPr>
          <w:noProof/>
        </w:rPr>
        <w:t>(</w:t>
      </w:r>
      <w:hyperlink w:anchor="_ENREF_5" w:tooltip="Babcock, 2000 #21" w:history="1">
        <w:r w:rsidR="00D213F7">
          <w:rPr>
            <w:noProof/>
          </w:rPr>
          <w:t>Babcock &amp; Byrne, 2000</w:t>
        </w:r>
      </w:hyperlink>
      <w:r>
        <w:rPr>
          <w:noProof/>
        </w:rPr>
        <w:t xml:space="preserve">; </w:t>
      </w:r>
      <w:hyperlink w:anchor="_ENREF_38" w:tooltip="McCabe, 2006 #71" w:history="1">
        <w:r w:rsidR="00D213F7">
          <w:rPr>
            <w:noProof/>
          </w:rPr>
          <w:t>McCabe, Teter, &amp; Boyd, 2006b</w:t>
        </w:r>
      </w:hyperlink>
      <w:r>
        <w:rPr>
          <w:noProof/>
        </w:rPr>
        <w:t>)</w:t>
      </w:r>
      <w:r w:rsidR="00550107" w:rsidRPr="00DA24C1">
        <w:fldChar w:fldCharType="end"/>
      </w:r>
      <w:r w:rsidRPr="00DA24C1">
        <w:t xml:space="preserve"> are reputed to self-medicate with </w:t>
      </w:r>
      <w:r>
        <w:t xml:space="preserve">the </w:t>
      </w:r>
      <w:r w:rsidRPr="00DA24C1">
        <w:t>generic and brand name prescription stimulant drugs Adderall® and Ritalin®. Despite the limited mental health disorders for which stimulants are prescribed as a treatment, diagnoses of these disorders, specifically Attention Deficit Disorder (ADD) and ADHD, have increased significantly over the past ten to fifteen years</w:t>
      </w:r>
      <w:r>
        <w:t>,</w:t>
      </w:r>
      <w:r w:rsidRPr="00DA24C1">
        <w:t xml:space="preserve"> and show little signs of </w:t>
      </w:r>
      <w:r>
        <w:t>declining</w:t>
      </w:r>
      <w:r w:rsidRPr="00DA24C1">
        <w:t xml:space="preserve"> </w:t>
      </w:r>
      <w:r w:rsidR="00550107">
        <w:fldChar w:fldCharType="begin"/>
      </w:r>
      <w:r>
        <w:instrText xml:space="preserve"> ADDIN EN.CITE &lt;EndNote&gt;&lt;Cite&gt;&lt;Author&gt;Kessler&lt;/Author&gt;&lt;Year&gt;2006&lt;/Year&gt;&lt;RecNum&gt;370&lt;/RecNum&gt;&lt;DisplayText&gt;(Kessler et al., 2006)&lt;/DisplayText&gt;&lt;record&gt;&lt;rec-number&gt;370&lt;/rec-number&gt;&lt;foreign-keys&gt;&lt;key app="EN" db-id="02dwfapew02tdked2f4p0xerwdapvw5vztpp"&gt;370&lt;/key&gt;&lt;key app="ENWeb" db-id="R1rfKArtmCQAAH0-ETQ"&gt;586&lt;/key&gt;&lt;/foreign-keys&gt;&lt;ref-type name="Journal Article"&gt;17&lt;/ref-type&gt;&lt;contributors&gt;&lt;authors&gt;&lt;author&gt;Kessler, RC&lt;/author&gt;&lt;author&gt;Adler, L&lt;/author&gt;&lt;author&gt;Barkley, R&lt;/author&gt;&lt;author&gt;Biederman, J&lt;/author&gt;&lt;author&gt;Conners, CK&lt;/author&gt;&lt;author&gt;Demler, O&lt;/author&gt;&lt;author&gt;Faraone, SV&lt;/author&gt;&lt;author&gt;Greenhill, LL&lt;/author&gt;&lt;author&gt;Howes, MJ&lt;/author&gt;&lt;author&gt;Secnik, K&lt;/author&gt;&lt;author&gt;Spencer, T&lt;/author&gt;&lt;author&gt;Ustun, TB&lt;/author&gt;&lt;author&gt;Walters, EE&lt;/author&gt;&lt;author&gt;Zaslavsky, AM&lt;/author&gt;&lt;/authors&gt;&lt;/contributors&gt;&lt;titles&gt;&lt;title&gt;The prevalence and correlates of adult ADHD in the United States: Results from the National Comorbidity Survey Replication&lt;/title&gt;&lt;secondary-title&gt;American Journal of Psychiatry&lt;/secondary-title&gt;&lt;/titles&gt;&lt;periodical&gt;&lt;full-title&gt;American Journal of Psychiatry&lt;/full-title&gt;&lt;/periodical&gt;&lt;pages&gt;716 - 723&lt;/pages&gt;&lt;volume&gt;163&lt;/volume&gt;&lt;number&gt;4&lt;/number&gt;&lt;dates&gt;&lt;year&gt;2006&lt;/year&gt;&lt;/dates&gt;&lt;accession-num&gt;doi:10.1176/appi.ajp.163.4.716&lt;/accession-num&gt;&lt;urls&gt;&lt;/urls&gt;&lt;electronic-resource-num&gt;10.1176/appi.ajp.163.4.716&lt;/electronic-resource-num&gt;&lt;/record&gt;&lt;/Cite&gt;&lt;/EndNote&gt;</w:instrText>
      </w:r>
      <w:r w:rsidR="00550107">
        <w:fldChar w:fldCharType="separate"/>
      </w:r>
      <w:r>
        <w:rPr>
          <w:noProof/>
        </w:rPr>
        <w:t>(</w:t>
      </w:r>
      <w:hyperlink w:anchor="_ENREF_26" w:tooltip="Kessler, 2006 #370" w:history="1">
        <w:r w:rsidR="00D213F7">
          <w:rPr>
            <w:noProof/>
          </w:rPr>
          <w:t>Kessler et al., 2006</w:t>
        </w:r>
      </w:hyperlink>
      <w:r>
        <w:rPr>
          <w:noProof/>
        </w:rPr>
        <w:t>)</w:t>
      </w:r>
      <w:r w:rsidR="00550107">
        <w:fldChar w:fldCharType="end"/>
      </w:r>
      <w:r w:rsidRPr="00DA24C1">
        <w:t>; consequently, prescriptions for stimulants have also increased during the same time</w:t>
      </w:r>
      <w:r>
        <w:t xml:space="preserve"> period</w:t>
      </w:r>
      <w:r w:rsidRPr="00DA24C1">
        <w:t xml:space="preserve"> </w:t>
      </w:r>
      <w:r w:rsidR="00550107" w:rsidRPr="00DA24C1">
        <w:fldChar w:fldCharType="begin"/>
      </w:r>
      <w:r>
        <w:instrText xml:space="preserve"> ADDIN EN.CITE &lt;EndNote&gt;&lt;Cite&gt;&lt;Author&gt;Olfson&lt;/Author&gt;&lt;Year&gt;2003&lt;/Year&gt;&lt;RecNum&gt;303&lt;/RecNum&gt;&lt;DisplayText&gt;(Olfson, Marcus, &amp;amp; Jensen, 2003)&lt;/DisplayText&gt;&lt;record&gt;&lt;rec-number&gt;303&lt;/rec-number&gt;&lt;foreign-keys&gt;&lt;key app="EN" db-id="02dwfapew02tdked2f4p0xerwdapvw5vztpp"&gt;303&lt;/key&gt;&lt;key app="ENWeb" db-id="R1rfKArtmCQAAH0-ETQ"&gt;592&lt;/key&gt;&lt;/foreign-keys&gt;&lt;ref-type name="Journal Article"&gt;17&lt;/ref-type&gt;&lt;contributors&gt;&lt;authors&gt;&lt;author&gt;Olfson, M&amp;#xD;Gameroff, M&lt;/author&gt;&lt;author&gt;Marcus, S&lt;/author&gt;&lt;author&gt;Jensen, P&lt;/author&gt;&lt;/authors&gt;&lt;/contributors&gt;&lt;titles&gt;&lt;title&gt;National trends in the treatment of attention deficit hyperactivity disorder&lt;/title&gt;&lt;secondary-title&gt;The American journal of psychiatry&lt;/secondary-title&gt;&lt;/titles&gt;&lt;pages&gt;1071-1077&lt;/pages&gt;&lt;volume&gt;160&lt;/volume&gt;&lt;dates&gt;&lt;year&gt;2003&lt;/year&gt;&lt;/dates&gt;&lt;urls&gt;&lt;/urls&gt;&lt;/record&gt;&lt;/Cite&gt;&lt;/EndNote&gt;</w:instrText>
      </w:r>
      <w:r w:rsidR="00550107" w:rsidRPr="00DA24C1">
        <w:fldChar w:fldCharType="separate"/>
      </w:r>
      <w:r>
        <w:rPr>
          <w:noProof/>
        </w:rPr>
        <w:t>(</w:t>
      </w:r>
      <w:hyperlink w:anchor="_ENREF_46" w:tooltip="Olfson, 2003 #303" w:history="1">
        <w:r w:rsidR="00D213F7">
          <w:rPr>
            <w:noProof/>
          </w:rPr>
          <w:t>Olfson, Marcus, &amp; Jensen, 2003</w:t>
        </w:r>
      </w:hyperlink>
      <w:r>
        <w:rPr>
          <w:noProof/>
        </w:rPr>
        <w:t>)</w:t>
      </w:r>
      <w:r w:rsidR="00550107" w:rsidRPr="00DA24C1">
        <w:fldChar w:fldCharType="end"/>
      </w:r>
      <w:r w:rsidRPr="00DA24C1">
        <w:t>. The number of</w:t>
      </w:r>
      <w:r>
        <w:t xml:space="preserve"> written</w:t>
      </w:r>
      <w:r w:rsidRPr="00DA24C1">
        <w:t xml:space="preserve"> prescriptions for stimulants increased 368.5 percent from 1992 to 2002 </w:t>
      </w:r>
      <w:r w:rsidR="00550107">
        <w:fldChar w:fldCharType="begin"/>
      </w:r>
      <w:r>
        <w:instrText xml:space="preserve"> ADDIN EN.CITE &lt;EndNote&gt;&lt;Cite&gt;&lt;Author&gt;National Center on Addiction and Substance Abuse&lt;/Author&gt;&lt;Year&gt;2005&lt;/Year&gt;&lt;RecNum&gt;104&lt;/RecNum&gt;&lt;DisplayText&gt;(National Center on Addiction and Substance Abuse, 2005)&lt;/DisplayText&gt;&lt;record&gt;&lt;rec-number&gt;104&lt;/rec-number&gt;&lt;foreign-keys&gt;&lt;key app="EN" db-id="02dwfapew02tdked2f4p0xerwdapvw5vztpp"&gt;104&lt;/key&gt;&lt;key app="ENWeb" db-id="R1rfKArtmCQAAH0-ETQ"&gt;682&lt;/key&gt;&lt;/foreign-keys&gt;&lt;ref-type name="Report"&gt;27&lt;/ref-type&gt;&lt;contributors&gt;&lt;authors&gt;&lt;author&gt;National Center on Addiction and Substance Abuse,&lt;/author&gt;&lt;/authors&gt;&lt;/contributors&gt;&lt;titles&gt;&lt;title&gt;Under the counter: The diversion and abuse of controlled prescription drugs in the United States&lt;/title&gt;&lt;/titles&gt;&lt;dates&gt;&lt;year&gt;2005&lt;/year&gt;&lt;pub-dates&gt;&lt;date&gt;July&lt;/date&gt;&lt;/pub-dates&gt;&lt;/dates&gt;&lt;pub-location&gt;New York&lt;/pub-location&gt;&lt;publisher&gt;Colombia University&lt;/publisher&gt;&lt;urls&gt;&lt;related-urls&gt;&lt;url&gt;http://www.casacolumbia.org/absolutenm/articlefiles/380-under_the_counter_-_diversion.pdf&lt;/url&gt;&lt;/related-urls&gt;&lt;/urls&gt;&lt;access-date&gt;December 10, 2007&lt;/access-date&gt;&lt;/record&gt;&lt;/Cite&gt;&lt;/EndNote&gt;</w:instrText>
      </w:r>
      <w:r w:rsidR="00550107">
        <w:fldChar w:fldCharType="separate"/>
      </w:r>
      <w:r>
        <w:rPr>
          <w:noProof/>
        </w:rPr>
        <w:t>(</w:t>
      </w:r>
      <w:hyperlink w:anchor="_ENREF_41" w:tooltip="National Center on Addiction and Substance Abuse, 2005 #104" w:history="1">
        <w:r w:rsidR="00D213F7">
          <w:rPr>
            <w:noProof/>
          </w:rPr>
          <w:t>National Center on Addiction and Substance Abuse, 2005</w:t>
        </w:r>
      </w:hyperlink>
      <w:r>
        <w:rPr>
          <w:noProof/>
        </w:rPr>
        <w:t>)</w:t>
      </w:r>
      <w:r w:rsidR="00550107">
        <w:fldChar w:fldCharType="end"/>
      </w:r>
      <w:r w:rsidRPr="00DA24C1">
        <w:t xml:space="preserve">. An increase in </w:t>
      </w:r>
      <w:r>
        <w:t xml:space="preserve">Adderall® </w:t>
      </w:r>
      <w:r w:rsidRPr="00DA24C1">
        <w:t>production naturally followed increased demand</w:t>
      </w:r>
      <w:r>
        <w:t>,</w:t>
      </w:r>
      <w:r w:rsidRPr="00DA24C1">
        <w:t xml:space="preserve"> resulting in production growing approximately 9,008</w:t>
      </w:r>
      <w:r>
        <w:t>%</w:t>
      </w:r>
      <w:r w:rsidRPr="00DA24C1">
        <w:t xml:space="preserve"> in ten years</w:t>
      </w:r>
      <w:r>
        <w:t xml:space="preserve"> (numbers are in the ‘000s). In 2005, Adderall® wa</w:t>
      </w:r>
      <w:r w:rsidRPr="00DA24C1">
        <w:t xml:space="preserve">s the most widely prescribed stimulant, second only to </w:t>
      </w:r>
      <w:r>
        <w:t xml:space="preserve">Ritalin®, </w:t>
      </w:r>
      <w:r w:rsidRPr="00DA24C1">
        <w:t xml:space="preserve">with 12,881,000 prescriptions </w:t>
      </w:r>
      <w:r>
        <w:t xml:space="preserve">written </w:t>
      </w:r>
      <w:r w:rsidRPr="00DA24C1">
        <w:t xml:space="preserve">from 1992 to 2002 </w:t>
      </w:r>
      <w:r w:rsidR="00550107">
        <w:fldChar w:fldCharType="begin"/>
      </w:r>
      <w:r>
        <w:instrText xml:space="preserve"> ADDIN EN.CITE &lt;EndNote&gt;&lt;Cite&gt;&lt;Author&gt;National Center on Addiction and Substance Abuse&lt;/Author&gt;&lt;Year&gt;2005&lt;/Year&gt;&lt;RecNum&gt;104&lt;/RecNum&gt;&lt;DisplayText&gt;(National Center on Addiction and Substance Abuse, 2005)&lt;/DisplayText&gt;&lt;record&gt;&lt;rec-number&gt;104&lt;/rec-number&gt;&lt;foreign-keys&gt;&lt;key app="EN" db-id="02dwfapew02tdked2f4p0xerwdapvw5vztpp"&gt;104&lt;/key&gt;&lt;key app="ENWeb" db-id="R1rfKArtmCQAAH0-ETQ"&gt;682&lt;/key&gt;&lt;/foreign-keys&gt;&lt;ref-type name="Report"&gt;27&lt;/ref-type&gt;&lt;contributors&gt;&lt;authors&gt;&lt;author&gt;National Center on Addiction and Substance Abuse,&lt;/author&gt;&lt;/authors&gt;&lt;/contributors&gt;&lt;titles&gt;&lt;title&gt;Under the counter: The diversion and abuse of controlled prescription drugs in the United States&lt;/title&gt;&lt;/titles&gt;&lt;dates&gt;&lt;year&gt;2005&lt;/year&gt;&lt;pub-dates&gt;&lt;date&gt;July&lt;/date&gt;&lt;/pub-dates&gt;&lt;/dates&gt;&lt;pub-location&gt;New York&lt;/pub-location&gt;&lt;publisher&gt;Colombia University&lt;/publisher&gt;&lt;urls&gt;&lt;related-urls&gt;&lt;url&gt;http://www.casacolumbia.org/absolutenm/articlefiles/380-under_the_counter_-_diversion.pdf&lt;/url&gt;&lt;/related-urls&gt;&lt;/urls&gt;&lt;access-date&gt;December 10, 2007&lt;/access-date&gt;&lt;/record&gt;&lt;/Cite&gt;&lt;/EndNote&gt;</w:instrText>
      </w:r>
      <w:r w:rsidR="00550107">
        <w:fldChar w:fldCharType="separate"/>
      </w:r>
      <w:r>
        <w:rPr>
          <w:noProof/>
        </w:rPr>
        <w:t>(</w:t>
      </w:r>
      <w:hyperlink w:anchor="_ENREF_41" w:tooltip="National Center on Addiction and Substance Abuse, 2005 #104" w:history="1">
        <w:r w:rsidR="00D213F7">
          <w:rPr>
            <w:noProof/>
          </w:rPr>
          <w:t>National Center on Addiction and Substance Abuse, 2005</w:t>
        </w:r>
      </w:hyperlink>
      <w:r>
        <w:rPr>
          <w:noProof/>
        </w:rPr>
        <w:t>)</w:t>
      </w:r>
      <w:r w:rsidR="00550107">
        <w:fldChar w:fldCharType="end"/>
      </w:r>
      <w:r w:rsidRPr="00DA24C1">
        <w:t>.</w:t>
      </w:r>
    </w:p>
    <w:p w:rsidR="002D07C6" w:rsidRPr="00DA24C1" w:rsidRDefault="002D07C6" w:rsidP="002D07C6">
      <w:r w:rsidRPr="00DA24C1">
        <w:t xml:space="preserve">The dramatic increase in </w:t>
      </w:r>
      <w:r>
        <w:t xml:space="preserve">Adderall® </w:t>
      </w:r>
      <w:r w:rsidRPr="00DA24C1">
        <w:t xml:space="preserve">and </w:t>
      </w:r>
      <w:r>
        <w:t xml:space="preserve">Ritalin® </w:t>
      </w:r>
      <w:r w:rsidRPr="00DA24C1">
        <w:t xml:space="preserve">production is suggestive of widespread use of these prescription medications. </w:t>
      </w:r>
      <w:r>
        <w:t>There have been attempts to assess</w:t>
      </w:r>
      <w:r w:rsidRPr="00DA24C1">
        <w:t xml:space="preserve"> the levels of stimulant abuse on campuses </w:t>
      </w:r>
      <w:r w:rsidR="00550107" w:rsidRPr="00DA24C1">
        <w:fldChar w:fldCharType="begin">
          <w:fldData xml:space="preserve">PEVuZE5vdGU+PENpdGU+PEF1dGhvcj5CYWJjb2NrPC9BdXRob3I+PFllYXI+MjAwMDwvWWVhcj48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=
</w:fldData>
        </w:fldChar>
      </w:r>
      <w:r>
        <w:instrText xml:space="preserve"> ADDIN EN.CITE </w:instrText>
      </w:r>
      <w:r w:rsidR="00550107">
        <w:fldChar w:fldCharType="begin">
          <w:fldData xml:space="preserve">PEVuZE5vdGU+PENpdGU+PEF1dGhvcj5CYWJjb2NrPC9BdXRob3I+PFllYXI+MjAwMDwvWWVhcj48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=
</w:fldData>
        </w:fldChar>
      </w:r>
      <w:r>
        <w:instrText xml:space="preserve"> ADDIN EN.CITE.DATA </w:instrText>
      </w:r>
      <w:r w:rsidR="00550107">
        <w:fldChar w:fldCharType="end"/>
      </w:r>
      <w:r w:rsidR="00550107" w:rsidRPr="00DA24C1">
        <w:fldChar w:fldCharType="separate"/>
      </w:r>
      <w:r>
        <w:rPr>
          <w:noProof/>
        </w:rPr>
        <w:t>(</w:t>
      </w:r>
      <w:hyperlink w:anchor="_ENREF_5" w:tooltip="Babcock, 2000 #21" w:history="1">
        <w:r w:rsidR="00D213F7">
          <w:rPr>
            <w:noProof/>
          </w:rPr>
          <w:t>Babcock &amp; Byrne, 2000</w:t>
        </w:r>
      </w:hyperlink>
      <w:r>
        <w:rPr>
          <w:noProof/>
        </w:rPr>
        <w:t xml:space="preserve">; </w:t>
      </w:r>
      <w:hyperlink w:anchor="_ENREF_18" w:tooltip="Hall, 2005 #51" w:history="1">
        <w:r w:rsidR="00D213F7">
          <w:rPr>
            <w:noProof/>
          </w:rPr>
          <w:t xml:space="preserve">Hall, Irwin, Bowman, Frankenberger, &amp; Jewett, </w:t>
        </w:r>
        <w:r w:rsidR="00D213F7">
          <w:rPr>
            <w:noProof/>
          </w:rPr>
          <w:lastRenderedPageBreak/>
          <w:t>2005</w:t>
        </w:r>
      </w:hyperlink>
      <w:r>
        <w:rPr>
          <w:noProof/>
        </w:rPr>
        <w:t xml:space="preserve">; </w:t>
      </w:r>
      <w:hyperlink w:anchor="_ENREF_57" w:tooltip="Teter, 2005 #86" w:history="1">
        <w:r w:rsidR="00D213F7">
          <w:rPr>
            <w:noProof/>
          </w:rPr>
          <w:t>Teter, McCabe, Cranford, Boyd, &amp; Guthrie, 2005</w:t>
        </w:r>
      </w:hyperlink>
      <w:r>
        <w:rPr>
          <w:noProof/>
        </w:rPr>
        <w:t>)</w:t>
      </w:r>
      <w:r w:rsidR="00550107" w:rsidRPr="00DA24C1">
        <w:fldChar w:fldCharType="end"/>
      </w:r>
      <w:r w:rsidRPr="00DA24C1">
        <w:t xml:space="preserve">. Surprisingly, the studies suggest comparable percentages of </w:t>
      </w:r>
      <w:r>
        <w:t xml:space="preserve">undergraduate </w:t>
      </w:r>
      <w:r w:rsidRPr="00DA24C1">
        <w:t>students self-reporting their illicit use. Averaging the respective percentages reported, approximately 20</w:t>
      </w:r>
      <w:r>
        <w:t>%</w:t>
      </w:r>
      <w:r w:rsidRPr="00DA24C1">
        <w:t xml:space="preserve"> of </w:t>
      </w:r>
      <w:r>
        <w:t xml:space="preserve">undergraduate </w:t>
      </w:r>
      <w:r w:rsidRPr="00DA24C1">
        <w:t xml:space="preserve">students abuse prescription stimulants, specifically </w:t>
      </w:r>
      <w:r>
        <w:t xml:space="preserve">Adderall® </w:t>
      </w:r>
      <w:r w:rsidRPr="00DA24C1">
        <w:t xml:space="preserve">and/or </w:t>
      </w:r>
      <w:r>
        <w:t xml:space="preserve">Ritalin® </w:t>
      </w:r>
      <w:r w:rsidRPr="00DA24C1">
        <w:t>(</w:t>
      </w:r>
      <w:r w:rsidRPr="00DA24C1">
        <w:rPr>
          <w:noProof/>
        </w:rPr>
        <w:t>Babcock &amp; Byrne, 2000; Hall, Irwin, Bowman, Frankenberger, &amp; Jewett, 2005; McCabe, Teter, &amp; Boyd, 2006; White, Becker-Blease, &amp; Grace-Bishop, 2005)</w:t>
      </w:r>
      <w:r w:rsidRPr="00DA24C1">
        <w:t xml:space="preserve">. </w:t>
      </w:r>
    </w:p>
    <w:p w:rsidR="002D07C6" w:rsidRDefault="002D07C6" w:rsidP="002D07C6">
      <w:r w:rsidRPr="00DA24C1">
        <w:t>Anecdotal reports from pr</w:t>
      </w:r>
      <w:r>
        <w:t>ofessionals who work with undergraduate</w:t>
      </w:r>
      <w:r w:rsidRPr="00DA24C1">
        <w:t xml:space="preserve"> students affirm those studies indicting prescription stimulant abuse not only occurs, but also increases with greater academic pressures. For example, one student affairs professional who assists a small group of student-athletes manage and balance their academic responsibilities with their athletic</w:t>
      </w:r>
      <w:r>
        <w:t xml:space="preserve"> </w:t>
      </w:r>
      <w:proofErr w:type="gramStart"/>
      <w:r>
        <w:t>responsibilities,</w:t>
      </w:r>
      <w:proofErr w:type="gramEnd"/>
      <w:r w:rsidRPr="00DA24C1">
        <w:t xml:space="preserve"> reported a student’s eagerness to take </w:t>
      </w:r>
      <w:r w:rsidR="002A6C7F">
        <w:t>Adderall®</w:t>
      </w:r>
      <w:r w:rsidRPr="00DA24C1">
        <w:t>. The professional explained that one night he was reviewing a student-athlete’s upcoming academic week</w:t>
      </w:r>
      <w:r>
        <w:t xml:space="preserve"> with the student-athlete</w:t>
      </w:r>
      <w:r w:rsidRPr="00DA24C1">
        <w:t>, which included reading three books and studying for an exam, an essay, and a quiz</w:t>
      </w:r>
      <w:r>
        <w:t>.</w:t>
      </w:r>
      <w:r w:rsidRPr="00DA24C1">
        <w:t xml:space="preserve"> </w:t>
      </w:r>
      <w:r>
        <w:t>T</w:t>
      </w:r>
      <w:r w:rsidRPr="00DA24C1">
        <w:t>he professional reported that the student-athlete broke down, crying in fear of failing her classes and losing NCAA eligibility. The professional and student reviewed the assignments</w:t>
      </w:r>
      <w:r>
        <w:t>,</w:t>
      </w:r>
      <w:r w:rsidRPr="00DA24C1">
        <w:t xml:space="preserve"> breaking them down into daily tasks. The student was then asked about the upcoming week. She responded, “I feel better; besides, I will get Adderall from my friend and just pump it out.” The response was incredibly carefree, and the only concern she had was completing her assignments and maintaining eligibility. Unfortunately, this mindset is </w:t>
      </w:r>
      <w:r>
        <w:t xml:space="preserve">reportedly </w:t>
      </w:r>
      <w:r w:rsidRPr="00DA24C1">
        <w:t>co</w:t>
      </w:r>
      <w:r>
        <w:t>mmon among undergraduate</w:t>
      </w:r>
      <w:r w:rsidRPr="00DA24C1">
        <w:t xml:space="preserve"> students striving for success, both academically and professionally </w:t>
      </w:r>
      <w:r w:rsidR="00550107">
        <w:fldChar w:fldCharType="begin"/>
      </w:r>
      <w:r>
        <w:instrText xml:space="preserve"> ADDIN EN.CITE &lt;EndNote&gt;&lt;Cite&gt;&lt;Author&gt;Babcock&lt;/Author&gt;&lt;Year&gt;2000&lt;/Year&gt;&lt;RecNum&gt;21&lt;/RecNum&gt;&lt;DisplayText&gt;(Babcock &amp;amp; Byrne, 2000; Ford &amp;amp; Schroeder, 2009)&lt;/DisplayText&gt;&lt;record&gt;&lt;rec-number&gt;21&lt;/rec-number&gt;&lt;foreign-keys&gt;&lt;key app="EN" db-id="02dwfapew02tdked2f4p0xerwdapvw5vztpp"&gt;21&lt;/key&gt;&lt;key app="ENWeb" db-id="R1rfKArtmCQAAH0-ETQ"&gt;844&lt;/key&gt;&lt;/foreign-keys&gt;&lt;ref-type name="Journal Article"&gt;17&lt;/ref-type&gt;&lt;contributors&gt;&lt;authors&gt;&lt;author&gt;Babcock, Quinton&lt;/author&gt;&lt;author&gt;Byrne, Tom&lt;/author&gt;&lt;/authors&gt;&lt;/contributors&gt;&lt;titles&gt;&lt;title&gt;Student perceptions of methylphenidate abuse at a public liberal arts college&lt;/title&gt;&lt;secondary-title&gt;Journal of American College Health&lt;/secondary-title&gt;&lt;/titles&gt;&lt;periodical&gt;&lt;full-title&gt;Journal of American College Health&lt;/full-title&gt;&lt;/periodical&gt;&lt;pages&gt;143-145&lt;/pages&gt;&lt;volume&gt;49&lt;/volume&gt;&lt;number&gt;3&lt;/number&gt;&lt;dates&gt;&lt;year&gt;2000&lt;/year&gt;&lt;/dates&gt;&lt;urls&gt;&lt;/urls&gt;&lt;electronic-resource-num&gt;10.1080/07448480009596296&lt;/electronic-resource-num&gt;&lt;/record&gt;&lt;/Cite&gt;&lt;Cite&gt;&lt;Author&gt;Ford&lt;/Author&gt;&lt;Year&gt;2009&lt;/Year&gt;&lt;RecNum&gt;418&lt;/RecNum&gt;&lt;record&gt;&lt;rec-number&gt;418&lt;/rec-number&gt;&lt;foreign-keys&gt;&lt;key app="EN" db-id="02dwfapew02tdked2f4p0xerwdapvw5vztpp"&gt;418&lt;/key&gt;&lt;/foreign-keys&gt;&lt;ref-type name="Journal Article"&gt;17&lt;/ref-type&gt;&lt;contributors&gt;&lt;authors&gt;&lt;author&gt;Ford, J&lt;/author&gt;&lt;author&gt;Schroeder, R&lt;/author&gt;&lt;/authors&gt;&lt;/contributors&gt;&lt;titles&gt;&lt;title&gt;Academic Strain and Non-Medical Use of Prescription Stimulants among College Students&lt;/title&gt;&lt;secondary-title&gt;Deviant Behavior&lt;/secondary-title&gt;&lt;/titles&gt;&lt;periodical&gt;&lt;full-title&gt;Deviant Behavior&lt;/full-title&gt;&lt;/periodical&gt;&lt;pages&gt;26-53&lt;/pages&gt;&lt;volume&gt;30&lt;/volume&gt;&lt;dates&gt;&lt;year&gt;2009&lt;/year&gt;&lt;/dates&gt;&lt;urls&gt;&lt;related-urls&gt;&lt;url&gt;http://www.ingentaconnect.com/content/routledg/udbh/2009/00000030/00000001/art00002&lt;/url&gt;&lt;url&gt;http://dx.doi.org/10.1080/01639620802049900&lt;/url&gt;&lt;/related-urls&gt;&lt;/urls&gt;&lt;electronic-resource-num&gt;10.1080/01639620802049900&lt;/electronic-resource-num&gt;&lt;/record&gt;&lt;/Cite&gt;&lt;/EndNote&gt;</w:instrText>
      </w:r>
      <w:r w:rsidR="00550107">
        <w:fldChar w:fldCharType="separate"/>
      </w:r>
      <w:r>
        <w:rPr>
          <w:noProof/>
        </w:rPr>
        <w:t>(</w:t>
      </w:r>
      <w:hyperlink w:anchor="_ENREF_5" w:tooltip="Babcock, 2000 #21" w:history="1">
        <w:r w:rsidR="00D213F7">
          <w:rPr>
            <w:noProof/>
          </w:rPr>
          <w:t>Babcock &amp; Byrne, 2000</w:t>
        </w:r>
      </w:hyperlink>
      <w:r>
        <w:rPr>
          <w:noProof/>
        </w:rPr>
        <w:t xml:space="preserve">; </w:t>
      </w:r>
      <w:hyperlink w:anchor="_ENREF_16" w:tooltip="Ford, 2009 #418" w:history="1">
        <w:r w:rsidR="00D213F7">
          <w:rPr>
            <w:noProof/>
          </w:rPr>
          <w:t>Ford &amp; Schroeder, 2009</w:t>
        </w:r>
      </w:hyperlink>
      <w:r>
        <w:rPr>
          <w:noProof/>
        </w:rPr>
        <w:t>)</w:t>
      </w:r>
      <w:r w:rsidR="00550107">
        <w:fldChar w:fldCharType="end"/>
      </w:r>
      <w:r w:rsidRPr="00DA24C1">
        <w:t xml:space="preserve">. This example </w:t>
      </w:r>
      <w:r>
        <w:t>also affirms</w:t>
      </w:r>
      <w:r w:rsidRPr="00DA24C1">
        <w:t xml:space="preserve"> the presence </w:t>
      </w:r>
      <w:r>
        <w:t xml:space="preserve">and availability </w:t>
      </w:r>
      <w:r w:rsidRPr="00DA24C1">
        <w:t xml:space="preserve">of prescription </w:t>
      </w:r>
      <w:r w:rsidRPr="00DA24C1">
        <w:lastRenderedPageBreak/>
        <w:t>stimulant</w:t>
      </w:r>
      <w:r>
        <w:t>s</w:t>
      </w:r>
      <w:r w:rsidRPr="00DA24C1">
        <w:t xml:space="preserve"> to </w:t>
      </w:r>
      <w:r>
        <w:t xml:space="preserve">undergraduate </w:t>
      </w:r>
      <w:r w:rsidRPr="00DA24C1">
        <w:t xml:space="preserve">students’ </w:t>
      </w:r>
      <w:r>
        <w:t xml:space="preserve">as well as their </w:t>
      </w:r>
      <w:r w:rsidRPr="00DA24C1">
        <w:t xml:space="preserve">carefree attitude </w:t>
      </w:r>
      <w:r>
        <w:t>toward</w:t>
      </w:r>
      <w:r w:rsidRPr="00DA24C1">
        <w:t xml:space="preserve"> abusing the narcotic. </w:t>
      </w:r>
    </w:p>
    <w:p w:rsidR="002D07C6" w:rsidRDefault="002D07C6" w:rsidP="002D07C6">
      <w:r>
        <w:t xml:space="preserve">While the research suggests undergraduate students are illicitly using prescription stimulants at an alarming rate, particularly for academic and recreational reasons, as well as concomitantly using these drugs with other illegal substances, we know very little about graduate students’ illicit use of prescription stimulants. Clearly, graduate students are in the age category for higher rates of abuse, and operate under enormous academic pressure, both of which are risk factors for undergraduate students. However, given the absence of research, it is unclear whether graduate students have a similar rate of abuse as undergraduate students, or if their reasons for using prescription stimulants and poly-substance behavior is similar. </w:t>
      </w:r>
    </w:p>
    <w:p w:rsidR="002D07C6" w:rsidRPr="00DA24C1" w:rsidRDefault="002D07C6" w:rsidP="002D07C6">
      <w:pPr>
        <w:pStyle w:val="Heading1"/>
      </w:pPr>
      <w:bookmarkStart w:id="0" w:name="_Toc315010438"/>
      <w:r w:rsidRPr="00DA24C1">
        <w:t>Statement of the Problem</w:t>
      </w:r>
      <w:bookmarkEnd w:id="0"/>
    </w:p>
    <w:p w:rsidR="002D07C6" w:rsidRPr="00DA24C1" w:rsidRDefault="002D07C6" w:rsidP="002D07C6">
      <w:r w:rsidRPr="00DA24C1">
        <w:t xml:space="preserve">As prescription drug abuse remains a problem among adults, it has become a growing problem for </w:t>
      </w:r>
      <w:r>
        <w:t>students between the ages of 18 and 25.</w:t>
      </w:r>
      <w:r w:rsidRPr="00DA24C1">
        <w:t xml:space="preserve"> Evidence suggests </w:t>
      </w:r>
      <w:r>
        <w:t xml:space="preserve">that college students, ages 18 to 25, </w:t>
      </w:r>
      <w:r w:rsidRPr="00DA24C1">
        <w:t xml:space="preserve">are abusing prescription stimulants on college campuses </w:t>
      </w:r>
      <w:r>
        <w:t>and are using them for recreational and/or academic reasons.</w:t>
      </w:r>
      <w:r w:rsidRPr="00DA24C1">
        <w:t xml:space="preserve"> Students tak</w:t>
      </w:r>
      <w:r>
        <w:t>ing prescription stimulants,</w:t>
      </w:r>
      <w:r w:rsidRPr="00DA24C1">
        <w:t xml:space="preserve"> </w:t>
      </w:r>
      <w:r>
        <w:t xml:space="preserve">although </w:t>
      </w:r>
      <w:r w:rsidRPr="00DA24C1">
        <w:t xml:space="preserve">not diagnosed </w:t>
      </w:r>
      <w:r>
        <w:t xml:space="preserve">with </w:t>
      </w:r>
      <w:r w:rsidRPr="00DA24C1">
        <w:t>ADHD</w:t>
      </w:r>
      <w:r>
        <w:t>,</w:t>
      </w:r>
      <w:r w:rsidRPr="00DA24C1">
        <w:t xml:space="preserve"> experience a chemical effect almost identical to cocaine. Thus, the likelihood of be</w:t>
      </w:r>
      <w:r>
        <w:t>coming</w:t>
      </w:r>
      <w:r w:rsidRPr="00DA24C1">
        <w:t xml:space="preserve"> addicted to prescription stimulants is high</w:t>
      </w:r>
      <w:r>
        <w:t xml:space="preserve"> </w:t>
      </w:r>
      <w:r w:rsidR="00550107">
        <w:fldChar w:fldCharType="begin"/>
      </w:r>
      <w:r>
        <w:instrText xml:space="preserve"> ADDIN EN.CITE &lt;EndNote&gt;&lt;Cite&gt;&lt;Author&gt;Compton&lt;/Author&gt;&lt;Year&gt;2006&lt;/Year&gt;&lt;RecNum&gt;429&lt;/RecNum&gt;&lt;DisplayText&gt;(Compton &amp;amp; Volkow, 2006)&lt;/DisplayText&gt;&lt;record&gt;&lt;rec-number&gt;429&lt;/rec-number&gt;&lt;foreign-keys&gt;&lt;key app="EN" db-id="02dwfapew02tdked2f4p0xerwdapvw5vztpp"&gt;429&lt;/key&gt;&lt;/foreign-keys&gt;&lt;ref-type name="Journal Article"&gt;17&lt;/ref-type&gt;&lt;contributors&gt;&lt;authors&gt;&lt;author&gt;Compton, Wilson M.&lt;/author&gt;&lt;author&gt;Volkow, Nora D.&lt;/author&gt;&lt;/authors&gt;&lt;/contributors&gt;&lt;titles&gt;&lt;title&gt;Abuse of prescription drugs and the risk of addiction&lt;/title&gt;&lt;secondary-title&gt;Drug and Alcohol Dependence&lt;/secondary-title&gt;&lt;/titles&gt;&lt;periodical&gt;&lt;full-title&gt;Drug and Alcohol Dependence&lt;/full-title&gt;&lt;/periodical&gt;&lt;pages&gt;S4-S7&lt;/pages&gt;&lt;volume&gt;83&lt;/volume&gt;&lt;number&gt;Supplement 1&lt;/number&gt;&lt;keywords&gt;&lt;keyword&gt;Prescription drug abuse&lt;/keyword&gt;&lt;keyword&gt;Drug dependence&lt;/keyword&gt;&lt;keyword&gt;Addiction&lt;/keyword&gt;&lt;keyword&gt;Opioid analgesic&lt;/keyword&gt;&lt;/keywords&gt;&lt;dates&gt;&lt;year&gt;2006&lt;/year&gt;&lt;/dates&gt;&lt;isbn&gt;0376-8716&lt;/isbn&gt;&lt;urls&gt;&lt;related-urls&gt;&lt;url&gt;http://www.sciencedirect.com/science/article/pii/S037687160600055X&lt;/url&gt;&lt;/related-urls&gt;&lt;/urls&gt;&lt;electronic-resource-num&gt;10.1016/j.drugalcdep.2005.10.020&lt;/electronic-resource-num&gt;&lt;/record&gt;&lt;/Cite&gt;&lt;/EndNote&gt;</w:instrText>
      </w:r>
      <w:r w:rsidR="00550107">
        <w:fldChar w:fldCharType="separate"/>
      </w:r>
      <w:r>
        <w:rPr>
          <w:noProof/>
        </w:rPr>
        <w:t>(</w:t>
      </w:r>
      <w:hyperlink w:anchor="_ENREF_12" w:tooltip="Compton, 2006 #429" w:history="1">
        <w:r w:rsidR="00D213F7">
          <w:rPr>
            <w:noProof/>
          </w:rPr>
          <w:t>Compton &amp; Volkow, 2006</w:t>
        </w:r>
      </w:hyperlink>
      <w:r>
        <w:rPr>
          <w:noProof/>
        </w:rPr>
        <w:t>)</w:t>
      </w:r>
      <w:r w:rsidR="00550107">
        <w:fldChar w:fldCharType="end"/>
      </w:r>
      <w:r w:rsidRPr="00DA24C1">
        <w:t xml:space="preserve">. </w:t>
      </w:r>
      <w:r>
        <w:t xml:space="preserve">Additionally, prescription stimulants increase the body temperature, cause dehydration, and are known to cause seizures </w:t>
      </w:r>
      <w:r w:rsidR="00550107">
        <w:fldChar w:fldCharType="begin"/>
      </w:r>
      <w:r>
        <w:instrText xml:space="preserve"> ADDIN EN.CITE &lt;EndNote&gt;&lt;Cite&gt;&lt;Author&gt;National Institute on Drug Abuse&lt;/Author&gt;&lt;Year&gt;2009&lt;/Year&gt;&lt;RecNum&gt;105&lt;/RecNum&gt;&lt;DisplayText&gt;(National Institute on Drug Abuse, 2009)&lt;/DisplayText&gt;&lt;record&gt;&lt;rec-number&gt;105&lt;/rec-number&gt;&lt;foreign-keys&gt;&lt;key app="EN" db-id="02dwfapew02tdked2f4p0xerwdapvw5vztpp"&gt;105&lt;/key&gt;&lt;key app="ENWeb" db-id="R1rfKArtmCQAAH0-ETQ"&gt;766&lt;/key&gt;&lt;/foreign-keys&gt;&lt;ref-type name="Government Document"&gt;46&lt;/ref-type&gt;&lt;contributors&gt;&lt;authors&gt;&lt;author&gt;National Institute on Drug Abuse,&lt;/author&gt;&lt;/authors&gt;&lt;/contributors&gt;&lt;titles&gt;&lt;title&gt;Methylphenidate (ritalin)&lt;/title&gt;&lt;secondary-title&gt;InfoFacts&lt;/secondary-title&gt;&lt;/titles&gt;&lt;dates&gt;&lt;year&gt;2009&lt;/year&gt;&lt;pub-dates&gt;&lt;date&gt;May&lt;/date&gt;&lt;/pub-dates&gt;&lt;/dates&gt;&lt;urls&gt;&lt;related-urls&gt;&lt;url&gt;http://www.drugabuse.gov&lt;/url&gt;&lt;/related-urls&gt;&lt;/urls&gt;&lt;custom1&gt;National Institute on Drug Abuse&lt;/custom1&gt;&lt;access-date&gt;November 13, 2007&lt;/access-date&gt;&lt;/record&gt;&lt;/Cite&gt;&lt;/EndNote&gt;</w:instrText>
      </w:r>
      <w:r w:rsidR="00550107">
        <w:fldChar w:fldCharType="separate"/>
      </w:r>
      <w:r>
        <w:rPr>
          <w:noProof/>
        </w:rPr>
        <w:t>(</w:t>
      </w:r>
      <w:hyperlink w:anchor="_ENREF_43" w:tooltip="National Institute on Drug Abuse, 2009 #105" w:history="1">
        <w:r w:rsidR="00D213F7">
          <w:rPr>
            <w:noProof/>
          </w:rPr>
          <w:t>National Institute on Drug Abuse, 2009</w:t>
        </w:r>
      </w:hyperlink>
      <w:r>
        <w:rPr>
          <w:noProof/>
        </w:rPr>
        <w:t>)</w:t>
      </w:r>
      <w:r w:rsidR="00550107">
        <w:fldChar w:fldCharType="end"/>
      </w:r>
      <w:r>
        <w:t xml:space="preserve">, psychosis </w:t>
      </w:r>
      <w:r w:rsidR="00550107">
        <w:fldChar w:fldCharType="begin"/>
      </w:r>
      <w:r>
        <w:instrText xml:space="preserve"> ADDIN EN.CITE &lt;EndNote&gt;&lt;Cite&gt;&lt;Author&gt;Surles&lt;/Author&gt;&lt;Year&gt;2002&lt;/Year&gt;&lt;RecNum&gt;381&lt;/RecNum&gt;&lt;DisplayText&gt;(Surles, May, &amp;amp; Garry, 2002)&lt;/DisplayText&gt;&lt;record&gt;&lt;rec-number&gt;381&lt;/rec-number&gt;&lt;foreign-keys&gt;&lt;key app="EN" db-id="02dwfapew02tdked2f4p0xerwdapvw5vztpp"&gt;381&lt;/key&gt;&lt;key app="ENWeb" db-id="R1rfKArtmCQAAH0-ETQ"&gt;872&lt;/key&gt;&lt;/foreign-keys&gt;&lt;ref-type name="Journal Article"&gt;17&lt;/ref-type&gt;&lt;contributors&gt;&lt;authors&gt;&lt;author&gt;Surles, L&lt;/author&gt;&lt;author&gt;May, H&lt;/author&gt;&lt;author&gt;Garry, J&lt;/author&gt;&lt;/authors&gt;&lt;/contributors&gt;&lt;titles&gt;&lt;title&gt;Adderall-induced psychosis in an adolescent&lt;/title&gt;&lt;secondary-title&gt;The Journal of the American Board of Family Practice&lt;/secondary-title&gt;&lt;/titles&gt;&lt;periodical&gt;&lt;full-title&gt;The Journal of the American Board of Family Practice&lt;/full-title&gt;&lt;/periodical&gt;&lt;pages&gt;498-500&lt;/pages&gt;&lt;volume&gt;15&lt;/volume&gt;&lt;number&gt;6&lt;/number&gt;&lt;section&gt;498&lt;/section&gt;&lt;dates&gt;&lt;year&gt;2002&lt;/year&gt;&lt;/dates&gt;&lt;urls&gt;&lt;/urls&gt;&lt;/record&gt;&lt;/Cite&gt;&lt;/EndNote&gt;</w:instrText>
      </w:r>
      <w:r w:rsidR="00550107">
        <w:fldChar w:fldCharType="separate"/>
      </w:r>
      <w:r>
        <w:rPr>
          <w:noProof/>
        </w:rPr>
        <w:t>(</w:t>
      </w:r>
      <w:hyperlink w:anchor="_ENREF_54" w:tooltip="Surles, 2002 #381" w:history="1">
        <w:r w:rsidR="00D213F7">
          <w:rPr>
            <w:noProof/>
          </w:rPr>
          <w:t>Surles, May, &amp; Garry, 2002</w:t>
        </w:r>
      </w:hyperlink>
      <w:r>
        <w:rPr>
          <w:noProof/>
        </w:rPr>
        <w:t>)</w:t>
      </w:r>
      <w:r w:rsidR="00550107">
        <w:fldChar w:fldCharType="end"/>
      </w:r>
      <w:r>
        <w:t xml:space="preserve">, and death </w:t>
      </w:r>
      <w:r w:rsidR="00550107">
        <w:fldChar w:fldCharType="begin"/>
      </w:r>
      <w:r>
        <w:instrText xml:space="preserve"> ADDIN EN.CITE &lt;EndNote&gt;&lt;Cite&gt;&lt;Author&gt;Massello&lt;/Author&gt;&lt;Year&gt;1999&lt;/Year&gt;&lt;RecNum&gt;437&lt;/RecNum&gt;&lt;DisplayText&gt;(Massello &amp;amp; Carpenter, 1999)&lt;/DisplayText&gt;&lt;record&gt;&lt;rec-number&gt;437&lt;/rec-number&gt;&lt;foreign-keys&gt;&lt;key app="EN" db-id="02dwfapew02tdked2f4p0xerwdapvw5vztpp"&gt;437&lt;/key&gt;&lt;/foreign-keys&gt;&lt;ref-type name="Journal Article"&gt;17&lt;/ref-type&gt;&lt;contributors&gt;&lt;authors&gt;&lt;author&gt;Massello, W&lt;/author&gt;&lt;author&gt;Carpenter, D&lt;/author&gt;&lt;/authors&gt;&lt;/contributors&gt;&lt;titles&gt;&lt;title&gt;A Fatality Due to the Intranasal Abuse of Methylphenidate (Ritalin®)&lt;/title&gt;&lt;secondary-title&gt;Journal of Forensic Sciences&lt;/secondary-title&gt;&lt;/titles&gt;&lt;periodical&gt;&lt;full-title&gt;Journal of Forensic Sciences&lt;/full-title&gt;&lt;/periodical&gt;&lt;pages&gt;220-221&lt;/pages&gt;&lt;volume&gt;44&lt;/volume&gt;&lt;number&gt;1&lt;/number&gt;&lt;dates&gt;&lt;year&gt;1999&lt;/year&gt;&lt;/dates&gt;&lt;urls&gt;&lt;/urls&gt;&lt;electronic-resource-num&gt;10.1520/JFS14440J &lt;/electronic-resource-num&gt;&lt;/record&gt;&lt;/Cite&gt;&lt;/EndNote&gt;</w:instrText>
      </w:r>
      <w:r w:rsidR="00550107">
        <w:fldChar w:fldCharType="separate"/>
      </w:r>
      <w:r>
        <w:rPr>
          <w:noProof/>
        </w:rPr>
        <w:t>(</w:t>
      </w:r>
      <w:hyperlink w:anchor="_ENREF_29" w:tooltip="Massello, 1999 #437" w:history="1">
        <w:r w:rsidR="00D213F7">
          <w:rPr>
            <w:noProof/>
          </w:rPr>
          <w:t>Massello &amp; Carpenter, 1999</w:t>
        </w:r>
      </w:hyperlink>
      <w:r>
        <w:rPr>
          <w:noProof/>
        </w:rPr>
        <w:t>)</w:t>
      </w:r>
      <w:r w:rsidR="00550107">
        <w:fldChar w:fldCharType="end"/>
      </w:r>
      <w:r>
        <w:t xml:space="preserve">. Illicit use of prescription stimulants also account for 8% of emergency room visits among students between 20 and 25 years of age </w:t>
      </w:r>
      <w:r w:rsidR="00550107">
        <w:fldChar w:fldCharType="begin"/>
      </w:r>
      <w:r>
        <w:instrText xml:space="preserve"> ADDIN EN.CITE &lt;EndNote&gt;&lt;Cite&gt;&lt;Author&gt;Substance Abuse and Mental Health Services Administration&lt;/Author&gt;&lt;Year&gt;2008&lt;/Year&gt;&lt;RecNum&gt;425&lt;/RecNum&gt;&lt;DisplayText&gt;(Substance Abuse and Mental Health Services Administration, 2008)&lt;/DisplayText&gt;&lt;record&gt;&lt;rec-number&gt;425&lt;/rec-number&gt;&lt;foreign-keys&gt;&lt;key app="EN" db-id="02dwfapew02tdked2f4p0xerwdapvw5vztpp"&gt;425&lt;/key&gt;&lt;/foreign-keys&gt;&lt;ref-type name="Web Page"&gt;12&lt;/ref-type&gt;&lt;contributors&gt;&lt;authors&gt;&lt;author&gt;Substance Abuse and Mental Health Services Administration,&lt;/author&gt;&lt;/authors&gt;&lt;/contributors&gt;&lt;titles&gt;&lt;title&gt;Substance abuse treatment admissions by primary substance of abuse according to sex, age group, race, and ethnicity, 2008&lt;/title&gt;&lt;/titles&gt;&lt;volume&gt;2011&lt;/volume&gt;&lt;number&gt;June 10&lt;/number&gt;&lt;dates&gt;&lt;year&gt;2008&lt;/year&gt;&lt;/dates&gt;&lt;urls&gt;&lt;related-urls&gt;&lt;url&gt;http://wwwdasis.samhsa.gov/webt/quicklink/US08.htm&lt;/url&gt;&lt;/related-urls&gt;&lt;/urls&gt;&lt;/record&gt;&lt;/Cite&gt;&lt;/EndNote&gt;</w:instrText>
      </w:r>
      <w:r w:rsidR="00550107">
        <w:fldChar w:fldCharType="separate"/>
      </w:r>
      <w:r>
        <w:rPr>
          <w:noProof/>
        </w:rPr>
        <w:t>(</w:t>
      </w:r>
      <w:hyperlink w:anchor="_ENREF_52" w:tooltip="Substance Abuse and Mental Health Services Administration, 2008 #425" w:history="1">
        <w:r w:rsidR="00D213F7">
          <w:rPr>
            <w:noProof/>
          </w:rPr>
          <w:t>Substance Abuse and Mental Health Services Administration, 2008</w:t>
        </w:r>
      </w:hyperlink>
      <w:r>
        <w:rPr>
          <w:noProof/>
        </w:rPr>
        <w:t>)</w:t>
      </w:r>
      <w:r w:rsidR="00550107">
        <w:fldChar w:fldCharType="end"/>
      </w:r>
      <w:r>
        <w:t>.</w:t>
      </w:r>
    </w:p>
    <w:p w:rsidR="002D07C6" w:rsidRDefault="002D07C6" w:rsidP="002D07C6">
      <w:r>
        <w:lastRenderedPageBreak/>
        <w:t>While what we know about stimulant abuse in this age category is based on research on undergraduates, we do not know if the same behaviors and use are characteristic of graduate students. In the absence of such knowledge, we are forced to apply what is known about a different group, or to draw conclusions without a basis in fact. The truth is we do not know if the same problem as has been found with the use of prescription stimulants is descriptive of graduate students, and if it is, whether it is for the same reasons. Thus, we are without a sound basis for addressing the problem, if it is such.</w:t>
      </w:r>
    </w:p>
    <w:p w:rsidR="002D07C6" w:rsidRPr="00DA24C1" w:rsidRDefault="002D07C6" w:rsidP="002D07C6">
      <w:pPr>
        <w:pStyle w:val="Heading1"/>
      </w:pPr>
      <w:bookmarkStart w:id="1" w:name="_Toc315010439"/>
      <w:r w:rsidRPr="00DA24C1">
        <w:t>Purpose of the Study</w:t>
      </w:r>
      <w:bookmarkEnd w:id="1"/>
    </w:p>
    <w:p w:rsidR="002D07C6" w:rsidRPr="00DA24C1" w:rsidRDefault="002D07C6" w:rsidP="002D07C6">
      <w:r w:rsidRPr="00DA24C1">
        <w:t xml:space="preserve">The purpose of this study is to </w:t>
      </w:r>
      <w:r w:rsidR="002A6C7F">
        <w:t>measure</w:t>
      </w:r>
      <w:r>
        <w:t xml:space="preserve"> graduate s</w:t>
      </w:r>
      <w:r w:rsidR="00DE27A6">
        <w:t xml:space="preserve">tudent prescription stimulant </w:t>
      </w:r>
      <w:r>
        <w:t xml:space="preserve">use by </w:t>
      </w:r>
      <w:r w:rsidR="002A6C7F">
        <w:t>assessing</w:t>
      </w:r>
      <w:r>
        <w:t xml:space="preserve"> the extent of use, reasons for use, and poly-substance use.</w:t>
      </w:r>
      <w:r w:rsidRPr="00DA24C1">
        <w:t xml:space="preserve"> </w:t>
      </w:r>
    </w:p>
    <w:p w:rsidR="002D07C6" w:rsidRPr="00DA24C1" w:rsidRDefault="002D07C6" w:rsidP="002D07C6">
      <w:pPr>
        <w:pStyle w:val="Heading1"/>
      </w:pPr>
      <w:bookmarkStart w:id="2" w:name="_Toc315010440"/>
      <w:r w:rsidRPr="00DA24C1">
        <w:t>Research Questions</w:t>
      </w:r>
      <w:bookmarkEnd w:id="2"/>
    </w:p>
    <w:p w:rsidR="002D07C6" w:rsidRPr="00DA24C1" w:rsidRDefault="002D07C6" w:rsidP="002D07C6">
      <w:r w:rsidRPr="00DA24C1">
        <w:t>The research questions which guided the study were:</w:t>
      </w:r>
    </w:p>
    <w:p w:rsidR="002D07C6" w:rsidRPr="00DA24C1" w:rsidRDefault="002D07C6" w:rsidP="002D07C6">
      <w:pPr>
        <w:pStyle w:val="ListParagraph"/>
        <w:numPr>
          <w:ilvl w:val="0"/>
          <w:numId w:val="1"/>
        </w:numPr>
      </w:pPr>
      <w:r w:rsidRPr="00DA24C1">
        <w:t>What is the extent of prescri</w:t>
      </w:r>
      <w:r>
        <w:t xml:space="preserve">ption stimulant abuse among </w:t>
      </w:r>
      <w:r w:rsidRPr="00DA24C1">
        <w:t>graduate</w:t>
      </w:r>
      <w:r>
        <w:t xml:space="preserve"> students</w:t>
      </w:r>
      <w:r w:rsidRPr="00DA24C1">
        <w:t xml:space="preserve"> on college campuses?</w:t>
      </w:r>
    </w:p>
    <w:p w:rsidR="002D07C6" w:rsidRPr="00DA24C1" w:rsidRDefault="002D07C6" w:rsidP="002D07C6">
      <w:pPr>
        <w:pStyle w:val="ListParagraph"/>
        <w:numPr>
          <w:ilvl w:val="0"/>
          <w:numId w:val="1"/>
        </w:numPr>
      </w:pPr>
      <w:r w:rsidRPr="00DA24C1">
        <w:t xml:space="preserve">What </w:t>
      </w:r>
      <w:r>
        <w:t xml:space="preserve">are the reasons for graduate </w:t>
      </w:r>
      <w:r w:rsidRPr="00DA24C1">
        <w:t>students’ illicit us</w:t>
      </w:r>
      <w:r>
        <w:t>e of</w:t>
      </w:r>
      <w:r w:rsidRPr="00DA24C1">
        <w:t xml:space="preserve"> prescription stimulants?</w:t>
      </w:r>
    </w:p>
    <w:p w:rsidR="002D07C6" w:rsidRPr="00DA24C1" w:rsidRDefault="002D07C6" w:rsidP="002D07C6">
      <w:pPr>
        <w:pStyle w:val="ListParagraph"/>
        <w:numPr>
          <w:ilvl w:val="0"/>
          <w:numId w:val="1"/>
        </w:numPr>
      </w:pPr>
      <w:r>
        <w:t>Are graduate students who abuse prescription stimulants more likely to abuse other substances?</w:t>
      </w:r>
    </w:p>
    <w:p w:rsidR="002D07C6" w:rsidRPr="00DA24C1" w:rsidRDefault="002D07C6" w:rsidP="002D07C6">
      <w:pPr>
        <w:pStyle w:val="Heading1"/>
      </w:pPr>
      <w:bookmarkStart w:id="3" w:name="_Toc315010441"/>
      <w:r w:rsidRPr="00DA24C1">
        <w:t>Significance of the Study</w:t>
      </w:r>
      <w:bookmarkEnd w:id="3"/>
    </w:p>
    <w:p w:rsidR="002D07C6" w:rsidRDefault="002D07C6" w:rsidP="00B30629">
      <w:r>
        <w:t>T</w:t>
      </w:r>
      <w:r w:rsidRPr="00DA24C1">
        <w:t xml:space="preserve">his study could provide valuable information about </w:t>
      </w:r>
      <w:r>
        <w:t>graduate student behavior regarding prescription drug use, information which will fill a gap in the research.</w:t>
      </w:r>
      <w:r w:rsidRPr="00DA24C1">
        <w:t xml:space="preserve"> </w:t>
      </w:r>
      <w:r>
        <w:t>Furthermore, u</w:t>
      </w:r>
      <w:r w:rsidRPr="00DA24C1">
        <w:t xml:space="preserve">nderstanding </w:t>
      </w:r>
      <w:r>
        <w:t xml:space="preserve">more about </w:t>
      </w:r>
      <w:r w:rsidRPr="00DA24C1">
        <w:t xml:space="preserve">the </w:t>
      </w:r>
      <w:r>
        <w:t xml:space="preserve">abuse of stimulants among graduate students may assist administrators and healthcare professionals to determine if there is a need to develop new </w:t>
      </w:r>
      <w:r>
        <w:lastRenderedPageBreak/>
        <w:t>programs and interventions to serve this particular population, rather than relying on existing programs directed to undergraduate students.</w:t>
      </w:r>
      <w:r w:rsidRPr="00DA24C1">
        <w:t xml:space="preserve"> By understanding the factors that </w:t>
      </w:r>
      <w:r>
        <w:t xml:space="preserve">may </w:t>
      </w:r>
      <w:r w:rsidRPr="00DA24C1">
        <w:t xml:space="preserve">promote the illicit behavior </w:t>
      </w:r>
      <w:r>
        <w:t xml:space="preserve">among graduate students, </w:t>
      </w:r>
      <w:r w:rsidRPr="00DA24C1">
        <w:t xml:space="preserve">health care workers, school administrators, and faculty may be </w:t>
      </w:r>
      <w:r>
        <w:t>better</w:t>
      </w:r>
      <w:r w:rsidRPr="00DA24C1">
        <w:t xml:space="preserve"> equip</w:t>
      </w:r>
      <w:r>
        <w:t>ped</w:t>
      </w:r>
      <w:r w:rsidRPr="00DA24C1">
        <w:t xml:space="preserve"> to identify students suffering from or likely to begin abusing prescription stimulants. </w:t>
      </w:r>
    </w:p>
    <w:p w:rsidR="002D07C6" w:rsidRPr="00C75D20" w:rsidRDefault="002D07C6" w:rsidP="002D07C6">
      <w:pPr>
        <w:pStyle w:val="Heading1"/>
      </w:pPr>
      <w:bookmarkStart w:id="4" w:name="_Toc315010442"/>
      <w:r w:rsidRPr="00C75D20">
        <w:t>Preview of Method and Procedures</w:t>
      </w:r>
      <w:bookmarkEnd w:id="4"/>
    </w:p>
    <w:p w:rsidR="002D07C6" w:rsidRPr="00C75D20" w:rsidRDefault="002D07C6" w:rsidP="002D07C6">
      <w:r w:rsidRPr="00C75D20">
        <w:t>This study will utilize a quantitative methodology</w:t>
      </w:r>
      <w:r>
        <w:t>. A</w:t>
      </w:r>
      <w:r w:rsidRPr="00C75D20">
        <w:t xml:space="preserve"> survey </w:t>
      </w:r>
      <w:r>
        <w:t>will be used to learn about the use of prescription stimulants by graduate students</w:t>
      </w:r>
      <w:r w:rsidRPr="00C75D20">
        <w:t xml:space="preserve"> </w:t>
      </w:r>
      <w:r>
        <w:t xml:space="preserve">on one college campus, </w:t>
      </w:r>
      <w:r w:rsidR="00403969">
        <w:t>assessing</w:t>
      </w:r>
      <w:r w:rsidRPr="00C75D20">
        <w:t xml:space="preserve"> </w:t>
      </w:r>
      <w:r>
        <w:t xml:space="preserve">the </w:t>
      </w:r>
      <w:r w:rsidRPr="00C75D20">
        <w:t>extent of use</w:t>
      </w:r>
      <w:r>
        <w:t>, reasons for illicitly using, and poly-substance use</w:t>
      </w:r>
      <w:r w:rsidRPr="00C75D20">
        <w:t>.</w:t>
      </w:r>
    </w:p>
    <w:p w:rsidR="002D07C6" w:rsidRPr="00C75D20" w:rsidRDefault="002D07C6" w:rsidP="002D07C6">
      <w:pPr>
        <w:pStyle w:val="Heading1"/>
      </w:pPr>
      <w:bookmarkStart w:id="5" w:name="_Toc315010443"/>
      <w:r w:rsidRPr="00C75D20">
        <w:t>Delimitations of the Study</w:t>
      </w:r>
      <w:bookmarkEnd w:id="5"/>
    </w:p>
    <w:p w:rsidR="002D07C6" w:rsidRPr="00C75D20" w:rsidRDefault="002D07C6" w:rsidP="002D07C6">
      <w:r w:rsidRPr="00C75D20">
        <w:t>This study wa</w:t>
      </w:r>
      <w:r>
        <w:t xml:space="preserve">s delimited to </w:t>
      </w:r>
      <w:r w:rsidRPr="00C75D20">
        <w:t>graduate students at</w:t>
      </w:r>
      <w:r w:rsidR="00F87F24">
        <w:t xml:space="preserve"> one Southeastern institution. </w:t>
      </w:r>
      <w:r w:rsidRPr="00C75D20">
        <w:t>By utilizing only one campus population, the findings may not speak to experiences at other institutions</w:t>
      </w:r>
      <w:r>
        <w:t xml:space="preserve"> or to the experiences of all graduate students.</w:t>
      </w:r>
      <w:r w:rsidRPr="00C75D20">
        <w:t xml:space="preserve"> </w:t>
      </w:r>
    </w:p>
    <w:p w:rsidR="002D07C6" w:rsidRPr="00C75D20" w:rsidRDefault="002D07C6" w:rsidP="002D07C6">
      <w:pPr>
        <w:pStyle w:val="Heading1"/>
      </w:pPr>
      <w:bookmarkStart w:id="6" w:name="_Toc315010444"/>
      <w:r w:rsidRPr="00C75D20">
        <w:t>Limitations</w:t>
      </w:r>
      <w:bookmarkEnd w:id="6"/>
    </w:p>
    <w:p w:rsidR="002D07C6" w:rsidRDefault="002D07C6" w:rsidP="002D07C6">
      <w:r>
        <w:t>Since the survey involve</w:t>
      </w:r>
      <w:r w:rsidR="00BD1133">
        <w:t>d</w:t>
      </w:r>
      <w:r>
        <w:t xml:space="preserve"> </w:t>
      </w:r>
      <w:r w:rsidRPr="00C75D20">
        <w:t xml:space="preserve">self-reports, the accuracy of the information </w:t>
      </w:r>
      <w:r>
        <w:t xml:space="preserve">obtained </w:t>
      </w:r>
      <w:r w:rsidRPr="00C75D20">
        <w:t xml:space="preserve">depends heavily on the students’ willingness to admit illegal activity. This open acknowledgement may prevent </w:t>
      </w:r>
      <w:r>
        <w:t>some</w:t>
      </w:r>
      <w:r w:rsidRPr="00C75D20">
        <w:t xml:space="preserve"> students from admitting </w:t>
      </w:r>
      <w:r>
        <w:t xml:space="preserve">to the </w:t>
      </w:r>
      <w:r w:rsidRPr="00C75D20">
        <w:t xml:space="preserve">use </w:t>
      </w:r>
      <w:r>
        <w:t xml:space="preserve">of such drugs, for example, </w:t>
      </w:r>
      <w:r w:rsidRPr="00C75D20">
        <w:t xml:space="preserve">students </w:t>
      </w:r>
      <w:r>
        <w:t xml:space="preserve">who </w:t>
      </w:r>
      <w:r w:rsidRPr="00C75D20">
        <w:t>used it once and are fearful of getting in</w:t>
      </w:r>
      <w:r>
        <w:t>to</w:t>
      </w:r>
      <w:r w:rsidRPr="00C75D20">
        <w:t xml:space="preserve"> trouble. </w:t>
      </w:r>
      <w:r>
        <w:t xml:space="preserve">Thus, the findings may not provide a valid picture of prescription drug abuse among the respondents. </w:t>
      </w:r>
      <w:r w:rsidRPr="00C75D20">
        <w:t xml:space="preserve">The clandestine nature of this topic </w:t>
      </w:r>
      <w:r>
        <w:t xml:space="preserve">thus imposes </w:t>
      </w:r>
      <w:r w:rsidRPr="00C75D20">
        <w:t xml:space="preserve">limitations on the study. </w:t>
      </w:r>
    </w:p>
    <w:p w:rsidR="006349DF" w:rsidRDefault="006349DF" w:rsidP="002D07C6"/>
    <w:p w:rsidR="006349DF" w:rsidRPr="001F17CC" w:rsidRDefault="006349DF" w:rsidP="002D07C6"/>
    <w:p w:rsidR="002D07C6" w:rsidRPr="00DA24C1" w:rsidRDefault="002D07C6" w:rsidP="002D07C6">
      <w:pPr>
        <w:pStyle w:val="Heading1"/>
      </w:pPr>
      <w:bookmarkStart w:id="7" w:name="_Toc315010445"/>
      <w:r w:rsidRPr="00DA24C1">
        <w:lastRenderedPageBreak/>
        <w:t>Conceptual Framework</w:t>
      </w:r>
      <w:bookmarkEnd w:id="7"/>
    </w:p>
    <w:p w:rsidR="002D07C6" w:rsidRDefault="002D07C6" w:rsidP="002D07C6">
      <w:r w:rsidRPr="00DA24C1">
        <w:t>The theoretical framework guiding this study is the</w:t>
      </w:r>
      <w:r w:rsidRPr="00DA24C1">
        <w:rPr>
          <w:i/>
        </w:rPr>
        <w:t xml:space="preserve"> </w:t>
      </w:r>
      <w:r w:rsidRPr="00C75D20">
        <w:t>Problem Behavior Theory</w:t>
      </w:r>
      <w:r>
        <w:t>,</w:t>
      </w:r>
      <w:r w:rsidRPr="00C75D20">
        <w:t xml:space="preserve"> </w:t>
      </w:r>
      <w:r w:rsidRPr="00DA24C1">
        <w:t xml:space="preserve">originally constructed by Jessor and Jessor </w:t>
      </w:r>
      <w:r w:rsidR="00550107" w:rsidRPr="00DA24C1">
        <w:fldChar w:fldCharType="begin"/>
      </w:r>
      <w:r>
        <w:instrText xml:space="preserve"> ADDIN EN.CITE &lt;EndNote&gt;&lt;Cite ExcludeAuth="1"&gt;&lt;Author&gt;Jessor&lt;/Author&gt;&lt;Year&gt;1977&lt;/Year&gt;&lt;RecNum&gt;307&lt;/RecNum&gt;&lt;DisplayText&gt;(1977)&lt;/DisplayText&gt;&lt;record&gt;&lt;rec-number&gt;307&lt;/rec-number&gt;&lt;foreign-keys&gt;&lt;key app="EN" db-id="02dwfapew02tdked2f4p0xerwdapvw5vztpp"&gt;307&lt;/key&gt;&lt;key app="ENWeb" db-id="R1rfKArtmCQAAH0-ETQ"&gt;787&lt;/key&gt;&lt;/foreign-keys&gt;&lt;ref-type name="Book"&gt;6&lt;/ref-type&gt;&lt;contributors&gt;&lt;authors&gt;&lt;author&gt;Jessor, Richard&lt;/author&gt;&lt;author&gt;Jessor, S. L.&lt;/author&gt;&lt;/authors&gt;&lt;/contributors&gt;&lt;titles&gt;&lt;title&gt;Problem behavior and psychosocial development: A longitudinal study of youth&lt;/title&gt;&lt;/titles&gt;&lt;dates&gt;&lt;year&gt;1977&lt;/year&gt;&lt;/dates&gt;&lt;pub-location&gt;New York&lt;/pub-location&gt;&lt;publisher&gt;Academic Press&lt;/publisher&gt;&lt;urls&gt;&lt;/urls&gt;&lt;/record&gt;&lt;/Cite&gt;&lt;/EndNote&gt;</w:instrText>
      </w:r>
      <w:r w:rsidR="00550107" w:rsidRPr="00DA24C1">
        <w:fldChar w:fldCharType="separate"/>
      </w:r>
      <w:r>
        <w:rPr>
          <w:noProof/>
        </w:rPr>
        <w:t>(</w:t>
      </w:r>
      <w:hyperlink w:anchor="_ENREF_22" w:tooltip="Jessor, 1977 #307" w:history="1">
        <w:r w:rsidR="00D213F7">
          <w:rPr>
            <w:noProof/>
          </w:rPr>
          <w:t>1977</w:t>
        </w:r>
      </w:hyperlink>
      <w:r>
        <w:rPr>
          <w:noProof/>
        </w:rPr>
        <w:t>)</w:t>
      </w:r>
      <w:r w:rsidR="00550107" w:rsidRPr="00DA24C1">
        <w:fldChar w:fldCharType="end"/>
      </w:r>
      <w:r w:rsidRPr="00DA24C1">
        <w:t xml:space="preserve"> and augmented by Jessor, Donovan, and Costa </w:t>
      </w:r>
      <w:r w:rsidR="00550107" w:rsidRPr="00DA24C1">
        <w:fldChar w:fldCharType="begin"/>
      </w:r>
      <w:r>
        <w:instrText xml:space="preserve"> ADDIN EN.CITE &lt;EndNote&gt;&lt;Cite ExcludeAuth="1"&gt;&lt;Author&gt;Jessor&lt;/Author&gt;&lt;Year&gt;1991&lt;/Year&gt;&lt;RecNum&gt;308&lt;/RecNum&gt;&lt;DisplayText&gt;(1991)&lt;/DisplayText&gt;&lt;record&gt;&lt;rec-number&gt;308&lt;/rec-number&gt;&lt;foreign-keys&gt;&lt;key app="EN" db-id="02dwfapew02tdked2f4p0xerwdapvw5vztpp"&gt;308&lt;/key&gt;&lt;key app="ENWeb" db-id="R1rfKArtmCQAAH0-ETQ"&gt;788&lt;/key&gt;&lt;/foreign-keys&gt;&lt;ref-type name="Book"&gt;6&lt;/ref-type&gt;&lt;contributors&gt;&lt;authors&gt;&lt;author&gt;Jessor, Richard&lt;/author&gt;&lt;author&gt;Donovan, John E.&lt;/author&gt;&lt;author&gt;Costa, Frances M.&lt;/author&gt;&lt;/authors&gt;&lt;/contributors&gt;&lt;titles&gt;&lt;title&gt;Beyond adolescence: Problem behavior and young adult development&lt;/title&gt;&lt;/titles&gt;&lt;dates&gt;&lt;year&gt;1991&lt;/year&gt;&lt;/dates&gt;&lt;pub-location&gt;New York&lt;/pub-location&gt;&lt;publisher&gt;Cambridge Press&lt;/publisher&gt;&lt;urls&gt;&lt;/urls&gt;&lt;/record&gt;&lt;/Cite&gt;&lt;/EndNote&gt;</w:instrText>
      </w:r>
      <w:r w:rsidR="00550107" w:rsidRPr="00DA24C1">
        <w:fldChar w:fldCharType="separate"/>
      </w:r>
      <w:r>
        <w:rPr>
          <w:noProof/>
        </w:rPr>
        <w:t>(</w:t>
      </w:r>
      <w:hyperlink w:anchor="_ENREF_21" w:tooltip="Jessor, 1991 #308" w:history="1">
        <w:r w:rsidR="00D213F7">
          <w:rPr>
            <w:noProof/>
          </w:rPr>
          <w:t>1991</w:t>
        </w:r>
      </w:hyperlink>
      <w:r>
        <w:rPr>
          <w:noProof/>
        </w:rPr>
        <w:t>)</w:t>
      </w:r>
      <w:r w:rsidR="00550107" w:rsidRPr="00DA24C1">
        <w:fldChar w:fldCharType="end"/>
      </w:r>
      <w:r w:rsidRPr="00DA24C1">
        <w:t xml:space="preserve">. Problem Behavior Theory holds </w:t>
      </w:r>
      <w:r>
        <w:t xml:space="preserve">that </w:t>
      </w:r>
      <w:r w:rsidRPr="00DA24C1">
        <w:t>all behavior is the result of person-environment interaction</w:t>
      </w:r>
      <w:r>
        <w:t xml:space="preserve"> and clusters around other problem behaviors, which means individuals are more likely to engage in problematic behavior if they have already engaged in another deviant behavior</w:t>
      </w:r>
      <w:r w:rsidRPr="00DA24C1">
        <w:t xml:space="preserve">. </w:t>
      </w:r>
      <w:r>
        <w:t xml:space="preserve">For example, students that are binge drinkers are more likely to engage in other deviant behaviors because they already binge drink. Additionally, variables can serve as instigators or controls on behavior. Instigating variables encourage the problem behavior, whereas controlling variables serve as inhibiting factors </w:t>
      </w:r>
      <w:r w:rsidR="00550107">
        <w:fldChar w:fldCharType="begin"/>
      </w:r>
      <w:r>
        <w:instrText xml:space="preserve"> ADDIN EN.CITE &lt;EndNote&gt;&lt;Cite&gt;&lt;Author&gt;Jessor&lt;/Author&gt;&lt;Year&gt;1991&lt;/Year&gt;&lt;RecNum&gt;308&lt;/RecNum&gt;&lt;DisplayText&gt;(Jessor et al., 1991)&lt;/DisplayText&gt;&lt;record&gt;&lt;rec-number&gt;308&lt;/rec-number&gt;&lt;foreign-keys&gt;&lt;key app="EN" db-id="02dwfapew02tdked2f4p0xerwdapvw5vztpp"&gt;308&lt;/key&gt;&lt;key app="ENWeb" db-id="R1rfKArtmCQAAH0-ETQ"&gt;788&lt;/key&gt;&lt;/foreign-keys&gt;&lt;ref-type name="Book"&gt;6&lt;/ref-type&gt;&lt;contributors&gt;&lt;authors&gt;&lt;author&gt;Jessor, Richard&lt;/author&gt;&lt;author&gt;Donovan, John E.&lt;/author&gt;&lt;author&gt;Costa, Frances M.&lt;/author&gt;&lt;/authors&gt;&lt;/contributors&gt;&lt;titles&gt;&lt;title&gt;Beyond adolescence: Problem behavior and young adult development&lt;/title&gt;&lt;/titles&gt;&lt;dates&gt;&lt;year&gt;1991&lt;/year&gt;&lt;/dates&gt;&lt;pub-location&gt;New York&lt;/pub-location&gt;&lt;publisher&gt;Cambridge Press&lt;/publisher&gt;&lt;urls&gt;&lt;/urls&gt;&lt;/record&gt;&lt;/Cite&gt;&lt;/EndNote&gt;</w:instrText>
      </w:r>
      <w:r w:rsidR="00550107">
        <w:fldChar w:fldCharType="separate"/>
      </w:r>
      <w:r>
        <w:rPr>
          <w:noProof/>
        </w:rPr>
        <w:t>(</w:t>
      </w:r>
      <w:hyperlink w:anchor="_ENREF_21" w:tooltip="Jessor, 1991 #308" w:history="1">
        <w:r w:rsidR="00D213F7">
          <w:rPr>
            <w:noProof/>
          </w:rPr>
          <w:t>Jessor et al., 1991</w:t>
        </w:r>
      </w:hyperlink>
      <w:r>
        <w:rPr>
          <w:noProof/>
        </w:rPr>
        <w:t>)</w:t>
      </w:r>
      <w:r w:rsidR="00550107">
        <w:fldChar w:fldCharType="end"/>
      </w:r>
      <w:r>
        <w:t>. The balance among the perceived environment, personality, and social environment and the comprising variables determines the overall likelihood an individual will engage in problematic behavior. The greater the number of variables that have an instigating and proximal relationship, the more likely the students will engage in a problematic behavior. Once an individual engages in deviant behavior, this serves as the greatest predictor for other deviant behaviors, such as poly-substance use. Therefore, as an individual engages in problematic behavior, other deviant behavior may follow, resulting in a cluster of dangerous and deviant behaviors.</w:t>
      </w:r>
    </w:p>
    <w:p w:rsidR="002D07C6" w:rsidRDefault="002D07C6" w:rsidP="002D07C6">
      <w:r>
        <w:t>The Problem Behavior Theory influenced the study by</w:t>
      </w:r>
      <w:r w:rsidR="002A6C7F">
        <w:t xml:space="preserve"> creating the foundation for the study and helped establish the need for conducting the study. Additionally, the conceptual framework assisted in</w:t>
      </w:r>
      <w:r>
        <w:t xml:space="preserve"> framing the focus of the research questions. Determining whether graduate students are illicitly engaging in prescription drug use may be an indicator of other deviant behaviors such as poly-substance use. Furthermore, Problem Behavior Theory suggests </w:t>
      </w:r>
      <w:r>
        <w:lastRenderedPageBreak/>
        <w:t xml:space="preserve">individuals with high controlling factors such as valuing achievement and </w:t>
      </w:r>
      <w:proofErr w:type="gramStart"/>
      <w:r>
        <w:t>independence,</w:t>
      </w:r>
      <w:proofErr w:type="gramEnd"/>
      <w:r>
        <w:t xml:space="preserve"> inhibit students’ willingness to engage in deviant behavior. By focusing on the reasons for use, it could be determined if graduate students who use prescription stimulants recreationally may be at greater risk for engaging in other deviant behaviors than those who use for academic reasons. </w:t>
      </w:r>
    </w:p>
    <w:p w:rsidR="002D07C6" w:rsidRPr="00DA24C1" w:rsidRDefault="002D07C6" w:rsidP="002D07C6">
      <w:pPr>
        <w:pStyle w:val="Heading1"/>
      </w:pPr>
      <w:bookmarkStart w:id="8" w:name="_Toc315010446"/>
      <w:r w:rsidRPr="00DA24C1">
        <w:t>Organization of Study</w:t>
      </w:r>
      <w:bookmarkEnd w:id="8"/>
    </w:p>
    <w:p w:rsidR="002D07C6" w:rsidRPr="00DA24C1" w:rsidRDefault="002D07C6" w:rsidP="002D07C6">
      <w:pPr>
        <w:rPr>
          <w:szCs w:val="24"/>
        </w:rPr>
      </w:pPr>
      <w:r w:rsidRPr="00DA24C1">
        <w:rPr>
          <w:szCs w:val="24"/>
        </w:rPr>
        <w:t xml:space="preserve">The study is organized into </w:t>
      </w:r>
      <w:r>
        <w:rPr>
          <w:szCs w:val="24"/>
        </w:rPr>
        <w:t>five</w:t>
      </w:r>
      <w:r w:rsidRPr="00DA24C1">
        <w:rPr>
          <w:szCs w:val="24"/>
        </w:rPr>
        <w:t xml:space="preserve"> chapters.</w:t>
      </w:r>
    </w:p>
    <w:p w:rsidR="002D07C6" w:rsidRPr="00DA24C1" w:rsidRDefault="002D07C6" w:rsidP="002D07C6">
      <w:pPr>
        <w:rPr>
          <w:szCs w:val="24"/>
        </w:rPr>
      </w:pPr>
      <w:r w:rsidRPr="00DA24C1">
        <w:rPr>
          <w:szCs w:val="24"/>
        </w:rPr>
        <w:t xml:space="preserve">Chapter 1 introduces the study and includes the following sections: the statement of the problem, purpose of the study, research questions, significance of the study, </w:t>
      </w:r>
      <w:r>
        <w:rPr>
          <w:szCs w:val="24"/>
        </w:rPr>
        <w:t>preview</w:t>
      </w:r>
      <w:r w:rsidRPr="00DA24C1">
        <w:rPr>
          <w:szCs w:val="24"/>
        </w:rPr>
        <w:t xml:space="preserve"> of the method, </w:t>
      </w:r>
      <w:r>
        <w:rPr>
          <w:szCs w:val="24"/>
        </w:rPr>
        <w:t xml:space="preserve">limitations of the study, the theoretical framework for the study, </w:t>
      </w:r>
      <w:r w:rsidRPr="00DA24C1">
        <w:rPr>
          <w:szCs w:val="24"/>
        </w:rPr>
        <w:t>and this organizational plan of study.</w:t>
      </w:r>
    </w:p>
    <w:p w:rsidR="002D07C6" w:rsidRPr="00DA24C1" w:rsidRDefault="002D07C6" w:rsidP="002D07C6">
      <w:pPr>
        <w:rPr>
          <w:szCs w:val="24"/>
        </w:rPr>
      </w:pPr>
      <w:r w:rsidRPr="00DA24C1">
        <w:rPr>
          <w:szCs w:val="24"/>
        </w:rPr>
        <w:t xml:space="preserve">Chapter 2 provides a </w:t>
      </w:r>
      <w:r>
        <w:rPr>
          <w:szCs w:val="24"/>
        </w:rPr>
        <w:t xml:space="preserve">critical </w:t>
      </w:r>
      <w:r w:rsidRPr="00DA24C1">
        <w:rPr>
          <w:szCs w:val="24"/>
        </w:rPr>
        <w:t>review of the research and liter</w:t>
      </w:r>
      <w:r>
        <w:rPr>
          <w:szCs w:val="24"/>
        </w:rPr>
        <w:t>ature related to the study and a</w:t>
      </w:r>
      <w:r w:rsidRPr="00DA24C1">
        <w:rPr>
          <w:szCs w:val="24"/>
        </w:rPr>
        <w:t>n explication of the theoretical framework of the study.</w:t>
      </w:r>
    </w:p>
    <w:p w:rsidR="002D07C6" w:rsidRPr="00DA24C1" w:rsidRDefault="002D07C6" w:rsidP="002D07C6">
      <w:pPr>
        <w:rPr>
          <w:szCs w:val="24"/>
        </w:rPr>
      </w:pPr>
      <w:r w:rsidRPr="00DA24C1">
        <w:rPr>
          <w:szCs w:val="24"/>
        </w:rPr>
        <w:t>In Chapter 3 the method</w:t>
      </w:r>
      <w:r>
        <w:rPr>
          <w:szCs w:val="24"/>
        </w:rPr>
        <w:t>s</w:t>
      </w:r>
      <w:r w:rsidRPr="00DA24C1">
        <w:rPr>
          <w:szCs w:val="24"/>
        </w:rPr>
        <w:t xml:space="preserve"> and procedure used in the conduct of the study are detailed.</w:t>
      </w:r>
    </w:p>
    <w:p w:rsidR="002D07C6" w:rsidRPr="00DA24C1" w:rsidRDefault="002D07C6" w:rsidP="002D07C6">
      <w:pPr>
        <w:rPr>
          <w:szCs w:val="24"/>
        </w:rPr>
      </w:pPr>
      <w:r w:rsidRPr="00DA24C1">
        <w:rPr>
          <w:szCs w:val="24"/>
        </w:rPr>
        <w:t>Chapter 4 detail</w:t>
      </w:r>
      <w:r>
        <w:rPr>
          <w:szCs w:val="24"/>
        </w:rPr>
        <w:t>s</w:t>
      </w:r>
      <w:r w:rsidRPr="00DA24C1">
        <w:rPr>
          <w:szCs w:val="24"/>
        </w:rPr>
        <w:t xml:space="preserve"> the findings of the study</w:t>
      </w:r>
      <w:r w:rsidR="009C5658">
        <w:rPr>
          <w:szCs w:val="24"/>
        </w:rPr>
        <w:t>.</w:t>
      </w:r>
      <w:r w:rsidRPr="00DA24C1">
        <w:rPr>
          <w:szCs w:val="24"/>
        </w:rPr>
        <w:t xml:space="preserve"> </w:t>
      </w:r>
    </w:p>
    <w:p w:rsidR="002D07C6" w:rsidRDefault="002D07C6" w:rsidP="002D07C6">
      <w:pPr>
        <w:rPr>
          <w:szCs w:val="24"/>
        </w:rPr>
      </w:pPr>
      <w:r w:rsidRPr="00DA24C1">
        <w:rPr>
          <w:szCs w:val="24"/>
        </w:rPr>
        <w:t xml:space="preserve">Chapter </w:t>
      </w:r>
      <w:r>
        <w:rPr>
          <w:szCs w:val="24"/>
        </w:rPr>
        <w:t>5</w:t>
      </w:r>
      <w:r w:rsidRPr="00DA24C1">
        <w:rPr>
          <w:szCs w:val="24"/>
        </w:rPr>
        <w:t xml:space="preserve"> </w:t>
      </w:r>
      <w:r>
        <w:rPr>
          <w:szCs w:val="24"/>
        </w:rPr>
        <w:t>concludes with a review of the study and its findings,</w:t>
      </w:r>
      <w:r w:rsidRPr="00DA24C1">
        <w:rPr>
          <w:szCs w:val="24"/>
        </w:rPr>
        <w:t xml:space="preserve"> a discussion of those findings, conclusions, and implications of the study for administrators, educators, and policy makers, as well as recommendations for future research.</w:t>
      </w:r>
    </w:p>
    <w:p w:rsidR="00E900E1" w:rsidRDefault="00E900E1" w:rsidP="00E900E1">
      <w:pPr>
        <w:pStyle w:val="Heading1"/>
      </w:pPr>
      <w:bookmarkStart w:id="9" w:name="_Toc315010447"/>
      <w:r>
        <w:t>Definitions</w:t>
      </w:r>
      <w:bookmarkEnd w:id="9"/>
    </w:p>
    <w:p w:rsidR="00AE7149" w:rsidRDefault="00E900E1" w:rsidP="00AE7149">
      <w:pPr>
        <w:pStyle w:val="Heading2"/>
      </w:pPr>
      <w:bookmarkStart w:id="10" w:name="_Toc315010448"/>
      <w:r>
        <w:t>Adderall®</w:t>
      </w:r>
      <w:bookmarkEnd w:id="10"/>
    </w:p>
    <w:p w:rsidR="00E900E1" w:rsidRDefault="00E900E1" w:rsidP="00AE7149">
      <w:r>
        <w:t>A prescription stimulant used to treat attention deficit disorder, attention deficit hyperactivity disorder, narcolepsy, and weight loss.</w:t>
      </w:r>
      <w:r w:rsidR="00D740A2">
        <w:t xml:space="preserve"> It is also referred to as </w:t>
      </w:r>
      <w:proofErr w:type="spellStart"/>
      <w:r w:rsidR="00D740A2">
        <w:t>dextro</w:t>
      </w:r>
      <w:proofErr w:type="spellEnd"/>
      <w:r w:rsidR="00D740A2">
        <w:t xml:space="preserve">-amphetamine </w:t>
      </w:r>
      <w:r w:rsidR="00D740A2">
        <w:fldChar w:fldCharType="begin"/>
      </w:r>
      <w:r w:rsidR="00D740A2">
        <w:instrText xml:space="preserve"> ADDIN EN.CITE &lt;EndNote&gt;&lt;Cite&gt;&lt;Author&gt;Drug Enforcement Agency&lt;/Author&gt;&lt;Year&gt;2011&lt;/Year&gt;&lt;RecNum&gt;436&lt;/RecNum&gt;&lt;DisplayText&gt;(Drug Enforcement Agency, 2011)&lt;/DisplayText&gt;&lt;record&gt;&lt;rec-number&gt;436&lt;/rec-number&gt;&lt;foreign-keys&gt;&lt;key app="EN" db-id="02dwfapew02tdked2f4p0xerwdapvw5vztpp"&gt;436&lt;/key&gt;&lt;/foreign-keys&gt;&lt;ref-type name="Book"&gt;6&lt;/ref-type&gt;&lt;contributors&gt;&lt;authors&gt;&lt;author&gt;Drug Enforcement Agency,&lt;/author&gt;&lt;/authors&gt;&lt;/contributors&gt;&lt;titles&gt;&lt;title&gt;Drugs of Abuse&lt;/title&gt;&lt;/titles&gt;&lt;dates&gt;&lt;year&gt;2011&lt;/year&gt;&lt;/dates&gt;&lt;pub-location&gt;Washington D.C.&lt;/pub-location&gt;&lt;publisher&gt;United States Department of Justice&lt;/publisher&gt;&lt;urls&gt;&lt;/urls&gt;&lt;/record&gt;&lt;/Cite&gt;&lt;/EndNote&gt;</w:instrText>
      </w:r>
      <w:r w:rsidR="00D740A2">
        <w:fldChar w:fldCharType="separate"/>
      </w:r>
      <w:r w:rsidR="00D740A2">
        <w:rPr>
          <w:noProof/>
        </w:rPr>
        <w:t>(</w:t>
      </w:r>
      <w:hyperlink w:anchor="_ENREF_15" w:tooltip="Drug Enforcement Agency, 2011 #436" w:history="1">
        <w:r w:rsidR="00D213F7">
          <w:rPr>
            <w:noProof/>
          </w:rPr>
          <w:t>Drug Enforcement Agency, 2011</w:t>
        </w:r>
      </w:hyperlink>
      <w:r w:rsidR="00D740A2">
        <w:rPr>
          <w:noProof/>
        </w:rPr>
        <w:t>)</w:t>
      </w:r>
      <w:r w:rsidR="00D740A2">
        <w:fldChar w:fldCharType="end"/>
      </w:r>
      <w:r w:rsidR="00D740A2">
        <w:t>.</w:t>
      </w:r>
    </w:p>
    <w:p w:rsidR="00AE7149" w:rsidRDefault="00D740A2" w:rsidP="00AE7149">
      <w:pPr>
        <w:pStyle w:val="Heading2"/>
      </w:pPr>
      <w:bookmarkStart w:id="11" w:name="_Toc315010449"/>
      <w:r>
        <w:lastRenderedPageBreak/>
        <w:t>Illicit Drug Use</w:t>
      </w:r>
      <w:bookmarkEnd w:id="11"/>
    </w:p>
    <w:p w:rsidR="00D740A2" w:rsidRDefault="00AE7149" w:rsidP="00D740A2">
      <w:r>
        <w:t>Illicit drug use is described as u</w:t>
      </w:r>
      <w:r w:rsidR="00D740A2">
        <w:t xml:space="preserve">sing </w:t>
      </w:r>
      <w:r>
        <w:t xml:space="preserve">illegal </w:t>
      </w:r>
      <w:r w:rsidR="00D740A2">
        <w:t xml:space="preserve">drugs </w:t>
      </w:r>
      <w:r>
        <w:t xml:space="preserve">that have no widely accepted medical use </w:t>
      </w:r>
      <w:r w:rsidR="00D740A2">
        <w:t>including</w:t>
      </w:r>
      <w:r>
        <w:t>,</w:t>
      </w:r>
      <w:r w:rsidR="00D740A2">
        <w:t xml:space="preserve"> but not limited to</w:t>
      </w:r>
      <w:r>
        <w:t>,</w:t>
      </w:r>
      <w:r w:rsidR="00D740A2">
        <w:t xml:space="preserve"> marijuana, hallucinogens, cocaine, crack, ecstasy, and heroin </w:t>
      </w:r>
      <w:r w:rsidR="00D740A2">
        <w:fldChar w:fldCharType="begin"/>
      </w:r>
      <w:r w:rsidR="00D740A2">
        <w:instrText xml:space="preserve"> ADDIN EN.CITE &lt;EndNote&gt;&lt;Cite&gt;&lt;Author&gt;National Center on Addiction and Substance Abuse&lt;/Author&gt;&lt;Year&gt;2007&lt;/Year&gt;&lt;RecNum&gt;426&lt;/RecNum&gt;&lt;DisplayText&gt;(National Center on Addiction and Substance Abuse, 2007)&lt;/DisplayText&gt;&lt;record&gt;&lt;rec-number&gt;426&lt;/rec-number&gt;&lt;foreign-keys&gt;&lt;key app="EN" db-id="02dwfapew02tdked2f4p0xerwdapvw5vztpp"&gt;426&lt;/key&gt;&lt;/foreign-keys&gt;&lt;ref-type name="Report"&gt;27&lt;/ref-type&gt;&lt;contributors&gt;&lt;authors&gt;&lt;author&gt;National Center on Addiction and Substance Abuse,&lt;/author&gt;&lt;/authors&gt;&lt;/contributors&gt;&lt;titles&gt;&lt;title&gt;Wasting the best and the brightest: Substance abuse at America&amp;apos;s Colleges and Universities&lt;/title&gt;&lt;/titles&gt;&lt;dates&gt;&lt;year&gt;2007&lt;/year&gt;&lt;pub-dates&gt;&lt;date&gt;July&lt;/date&gt;&lt;/pub-dates&gt;&lt;/dates&gt;&lt;pub-location&gt;New York&lt;/pub-location&gt;&lt;publisher&gt;Colombia University&lt;/publisher&gt;&lt;urls&gt;&lt;related-urls&gt;&lt;url&gt;http://www.casacolumbia.org/articlefiles/380-Wasting%20the%20Best%20and%20the%20Brightest.pdf&lt;/url&gt;&lt;/related-urls&gt;&lt;/urls&gt;&lt;access-date&gt;December 10, 2007&lt;/access-date&gt;&lt;/record&gt;&lt;/Cite&gt;&lt;/EndNote&gt;</w:instrText>
      </w:r>
      <w:r w:rsidR="00D740A2">
        <w:fldChar w:fldCharType="separate"/>
      </w:r>
      <w:r w:rsidR="00D740A2">
        <w:rPr>
          <w:noProof/>
        </w:rPr>
        <w:t>(</w:t>
      </w:r>
      <w:hyperlink w:anchor="_ENREF_42" w:tooltip="National Center on Addiction and Substance Abuse, 2007 #426" w:history="1">
        <w:r w:rsidR="00D213F7">
          <w:rPr>
            <w:noProof/>
          </w:rPr>
          <w:t>National Center on Addiction and Substance Abuse, 2007</w:t>
        </w:r>
      </w:hyperlink>
      <w:r w:rsidR="00D740A2">
        <w:rPr>
          <w:noProof/>
        </w:rPr>
        <w:t>)</w:t>
      </w:r>
      <w:r w:rsidR="00D740A2">
        <w:fldChar w:fldCharType="end"/>
      </w:r>
      <w:r w:rsidR="00D740A2">
        <w:t>.</w:t>
      </w:r>
    </w:p>
    <w:p w:rsidR="00E66811" w:rsidRDefault="00B75497" w:rsidP="00AE7149">
      <w:pPr>
        <w:pStyle w:val="Heading2"/>
      </w:pPr>
      <w:bookmarkStart w:id="12" w:name="_Toc315010450"/>
      <w:r>
        <w:t>Poly-substance Abuser</w:t>
      </w:r>
    </w:p>
    <w:p w:rsidR="00E66811" w:rsidRDefault="00E66811" w:rsidP="00E66811">
      <w:r>
        <w:t xml:space="preserve">A poly-substance abuser </w:t>
      </w:r>
      <w:proofErr w:type="gramStart"/>
      <w:r>
        <w:t>is described</w:t>
      </w:r>
      <w:proofErr w:type="gramEnd"/>
      <w:r>
        <w:t xml:space="preserve"> as an individual using multiple substances concomitantly to increase the sensation. One example includes </w:t>
      </w:r>
      <w:r w:rsidR="00B75497">
        <w:t>an individual</w:t>
      </w:r>
      <w:r>
        <w:t xml:space="preserve"> consuming alcohol with a prescription drug </w:t>
      </w:r>
      <w:r>
        <w:fldChar w:fldCharType="begin"/>
      </w:r>
      <w:r>
        <w:instrText xml:space="preserve"> ADDIN EN.CITE &lt;EndNote&gt;&lt;Cite&gt;&lt;Author&gt;National Center on Addiction and Substance Abuse&lt;/Author&gt;&lt;Year&gt;2005&lt;/Year&gt;&lt;RecNum&gt;104&lt;/RecNum&gt;&lt;DisplayText&gt;(National Center on Addiction and Substance Abuse, 2005)&lt;/DisplayText&gt;&lt;record&gt;&lt;rec-number&gt;104&lt;/rec-number&gt;&lt;foreign-keys&gt;&lt;key app="EN" db-id="02dwfapew02tdked2f4p0xerwdapvw5vztpp"&gt;104&lt;/key&gt;&lt;key app="ENWeb" db-id="R1rfKArtmCQAAH0-ETQ"&gt;682&lt;/key&gt;&lt;/foreign-keys&gt;&lt;ref-type name="Report"&gt;27&lt;/ref-type&gt;&lt;contributors&gt;&lt;authors&gt;&lt;author&gt;National Center on Addiction and Substance Abuse,&lt;/author&gt;&lt;/authors&gt;&lt;/contributors&gt;&lt;titles&gt;&lt;title&gt;Under the counter: The diversion and abuse of controlled prescription drugs in the United States&lt;/title&gt;&lt;/titles&gt;&lt;dates&gt;&lt;year&gt;2005&lt;/year&gt;&lt;pub-dates&gt;&lt;date&gt;July&lt;/date&gt;&lt;/pub-dates&gt;&lt;/dates&gt;&lt;pub-location&gt;New York&lt;/pub-location&gt;&lt;publisher&gt;Colombia University&lt;/publisher&gt;&lt;urls&gt;&lt;related-urls&gt;&lt;url&gt;http://www.casacolumbia.org/absolutenm/articlefiles/380-under_the_counter_-_diversion.pdf&lt;/url&gt;&lt;/related-urls&gt;&lt;/urls&gt;&lt;access-date&gt;December 10, 2007&lt;/access-date&gt;&lt;/record&gt;&lt;/Cite&gt;&lt;/EndNote&gt;</w:instrText>
      </w:r>
      <w:r>
        <w:fldChar w:fldCharType="separate"/>
      </w:r>
      <w:r>
        <w:rPr>
          <w:noProof/>
        </w:rPr>
        <w:t>(</w:t>
      </w:r>
      <w:hyperlink w:anchor="_ENREF_41" w:tooltip="National Center on Addiction and Substance Abuse, 2005 #104" w:history="1">
        <w:r>
          <w:rPr>
            <w:noProof/>
          </w:rPr>
          <w:t>National Center on Addiction and Substance Abuse, 2005</w:t>
        </w:r>
      </w:hyperlink>
      <w:r>
        <w:rPr>
          <w:noProof/>
        </w:rPr>
        <w:t>)</w:t>
      </w:r>
      <w:r>
        <w:fldChar w:fldCharType="end"/>
      </w:r>
      <w:r>
        <w:t>.</w:t>
      </w:r>
    </w:p>
    <w:p w:rsidR="00AE7149" w:rsidRDefault="00F23E3C" w:rsidP="00AE7149">
      <w:pPr>
        <w:pStyle w:val="Heading2"/>
      </w:pPr>
      <w:r>
        <w:t>Poly-substance Use</w:t>
      </w:r>
      <w:bookmarkEnd w:id="12"/>
    </w:p>
    <w:p w:rsidR="00F23E3C" w:rsidRDefault="00AE7149" w:rsidP="00E900E1">
      <w:r>
        <w:t xml:space="preserve">Poly-substance use </w:t>
      </w:r>
      <w:proofErr w:type="gramStart"/>
      <w:r>
        <w:t>is described</w:t>
      </w:r>
      <w:proofErr w:type="gramEnd"/>
      <w:r>
        <w:t xml:space="preserve"> as u</w:t>
      </w:r>
      <w:r w:rsidR="00F23E3C">
        <w:t>sing multiple substances concomitantly</w:t>
      </w:r>
      <w:r w:rsidR="00D740A2">
        <w:t xml:space="preserve"> to increase the sensation</w:t>
      </w:r>
      <w:r w:rsidR="00F23E3C">
        <w:t>.</w:t>
      </w:r>
      <w:r w:rsidR="00D740A2">
        <w:t xml:space="preserve"> One example includes</w:t>
      </w:r>
      <w:r w:rsidR="00F23E3C">
        <w:t xml:space="preserve"> consuming alcohol with </w:t>
      </w:r>
      <w:r w:rsidR="00D740A2">
        <w:t xml:space="preserve">a </w:t>
      </w:r>
      <w:r w:rsidR="00F23E3C">
        <w:t>prescription drug</w:t>
      </w:r>
      <w:r w:rsidR="00D740A2">
        <w:t xml:space="preserve"> </w:t>
      </w:r>
      <w:r w:rsidR="00D740A2">
        <w:fldChar w:fldCharType="begin"/>
      </w:r>
      <w:r w:rsidR="00D740A2">
        <w:instrText xml:space="preserve"> ADDIN EN.CITE &lt;EndNote&gt;&lt;Cite&gt;&lt;Author&gt;National Center on Addiction and Substance Abuse&lt;/Author&gt;&lt;Year&gt;2005&lt;/Year&gt;&lt;RecNum&gt;104&lt;/RecNum&gt;&lt;DisplayText&gt;(National Center on Addiction and Substance Abuse, 2005)&lt;/DisplayText&gt;&lt;record&gt;&lt;rec-number&gt;104&lt;/rec-number&gt;&lt;foreign-keys&gt;&lt;key app="EN" db-id="02dwfapew02tdked2f4p0xerwdapvw5vztpp"&gt;104&lt;/key&gt;&lt;key app="ENWeb" db-id="R1rfKArtmCQAAH0-ETQ"&gt;682&lt;/key&gt;&lt;/foreign-keys&gt;&lt;ref-type name="Report"&gt;27&lt;/ref-type&gt;&lt;contributors&gt;&lt;authors&gt;&lt;author&gt;National Center on Addiction and Substance Abuse,&lt;/author&gt;&lt;/authors&gt;&lt;/contributors&gt;&lt;titles&gt;&lt;title&gt;Under the counter: The diversion and abuse of controlled prescription drugs in the United States&lt;/title&gt;&lt;/titles&gt;&lt;dates&gt;&lt;year&gt;2005&lt;/year&gt;&lt;pub-dates&gt;&lt;date&gt;July&lt;/date&gt;&lt;/pub-dates&gt;&lt;/dates&gt;&lt;pub-location&gt;New York&lt;/pub-location&gt;&lt;publisher&gt;Colombia University&lt;/publisher&gt;&lt;urls&gt;&lt;related-urls&gt;&lt;url&gt;http://www.casacolumbia.org/absolutenm/articlefiles/380-under_the_counter_-_diversion.pdf&lt;/url&gt;&lt;/related-urls&gt;&lt;/urls&gt;&lt;access-date&gt;December 10, 2007&lt;/access-date&gt;&lt;/record&gt;&lt;/Cite&gt;&lt;/EndNote&gt;</w:instrText>
      </w:r>
      <w:r w:rsidR="00D740A2">
        <w:fldChar w:fldCharType="separate"/>
      </w:r>
      <w:r w:rsidR="00D740A2">
        <w:rPr>
          <w:noProof/>
        </w:rPr>
        <w:t>(</w:t>
      </w:r>
      <w:hyperlink w:anchor="_ENREF_41" w:tooltip="National Center on Addiction and Substance Abuse, 2005 #104" w:history="1">
        <w:r w:rsidR="00D213F7">
          <w:rPr>
            <w:noProof/>
          </w:rPr>
          <w:t>National Center on Addiction and Substance Abuse, 2005</w:t>
        </w:r>
      </w:hyperlink>
      <w:r w:rsidR="00D740A2">
        <w:rPr>
          <w:noProof/>
        </w:rPr>
        <w:t>)</w:t>
      </w:r>
      <w:r w:rsidR="00D740A2">
        <w:fldChar w:fldCharType="end"/>
      </w:r>
      <w:r w:rsidR="00F23E3C">
        <w:t>.</w:t>
      </w:r>
    </w:p>
    <w:p w:rsidR="00AE7149" w:rsidRDefault="00D740A2" w:rsidP="00AE7149">
      <w:pPr>
        <w:pStyle w:val="Heading2"/>
      </w:pPr>
      <w:bookmarkStart w:id="13" w:name="_Toc315010451"/>
      <w:r>
        <w:t>Prescription Drug Abuse</w:t>
      </w:r>
      <w:bookmarkEnd w:id="13"/>
    </w:p>
    <w:p w:rsidR="00D740A2" w:rsidRDefault="00AE7149" w:rsidP="00D740A2">
      <w:r>
        <w:t>Prescription drug abuse is described as u</w:t>
      </w:r>
      <w:r w:rsidR="00D740A2">
        <w:t xml:space="preserve">sing a prescription drug not under a doctor’s order; not prescribed for the person using the prescription; or solely for the sensation or experience caused by taking the prescription </w:t>
      </w:r>
      <w:r w:rsidR="00D740A2">
        <w:fldChar w:fldCharType="begin"/>
      </w:r>
      <w:r w:rsidR="00D740A2">
        <w:instrText xml:space="preserve"> ADDIN EN.CITE &lt;EndNote&gt;&lt;Cite&gt;&lt;Author&gt;National Center on Addiction and Substance Abuse&lt;/Author&gt;&lt;Year&gt;2007&lt;/Year&gt;&lt;RecNum&gt;426&lt;/RecNum&gt;&lt;DisplayText&gt;(National Center on Addiction and Substance Abuse, 2005, 2007)&lt;/DisplayText&gt;&lt;record&gt;&lt;rec-number&gt;426&lt;/rec-number&gt;&lt;foreign-keys&gt;&lt;key app="EN" db-id="02dwfapew02tdked2f4p0xerwdapvw5vztpp"&gt;426&lt;/key&gt;&lt;/foreign-keys&gt;&lt;ref-type name="Report"&gt;27&lt;/ref-type&gt;&lt;contributors&gt;&lt;authors&gt;&lt;author&gt;National Center on Addiction and Substance Abuse,&lt;/author&gt;&lt;/authors&gt;&lt;/contributors&gt;&lt;titles&gt;&lt;title&gt;Wasting the best and the brightest: Substance abuse at America&amp;apos;s Colleges and Universities&lt;/title&gt;&lt;/titles&gt;&lt;dates&gt;&lt;year&gt;2007&lt;/year&gt;&lt;pub-dates&gt;&lt;date&gt;July&lt;/date&gt;&lt;/pub-dates&gt;&lt;/dates&gt;&lt;pub-location&gt;New York&lt;/pub-location&gt;&lt;publisher&gt;Colombia University&lt;/publisher&gt;&lt;urls&gt;&lt;related-urls&gt;&lt;url&gt;http://www.casacolumbia.org/articlefiles/380-Wasting%20the%20Best%20and%20the%20Brightest.pdf&lt;/url&gt;&lt;/related-urls&gt;&lt;/urls&gt;&lt;access-date&gt;December 10, 2007&lt;/access-date&gt;&lt;/record&gt;&lt;/Cite&gt;&lt;Cite&gt;&lt;Author&gt;National Center on Addiction and Substance Abuse&lt;/Author&gt;&lt;Year&gt;2005&lt;/Year&gt;&lt;RecNum&gt;104&lt;/RecNum&gt;&lt;record&gt;&lt;rec-number&gt;104&lt;/rec-number&gt;&lt;foreign-keys&gt;&lt;key app="EN" db-id="02dwfapew02tdked2f4p0xerwdapvw5vztpp"&gt;104&lt;/key&gt;&lt;key app="ENWeb" db-id="R1rfKArtmCQAAH0-ETQ"&gt;682&lt;/key&gt;&lt;/foreign-keys&gt;&lt;ref-type name="Report"&gt;27&lt;/ref-type&gt;&lt;contributors&gt;&lt;authors&gt;&lt;author&gt;National Center on Addiction and Substance Abuse,&lt;/author&gt;&lt;/authors&gt;&lt;/contributors&gt;&lt;titles&gt;&lt;title&gt;Under the counter: The diversion and abuse of controlled prescription drugs in the United States&lt;/title&gt;&lt;/titles&gt;&lt;dates&gt;&lt;year&gt;2005&lt;/year&gt;&lt;pub-dates&gt;&lt;date&gt;July&lt;/date&gt;&lt;/pub-dates&gt;&lt;/dates&gt;&lt;pub-location&gt;New York&lt;/pub-location&gt;&lt;publisher&gt;Colombia University&lt;/publisher&gt;&lt;urls&gt;&lt;related-urls&gt;&lt;url&gt;http://www.casacolumbia.org/absolutenm/articlefiles/380-under_the_counter_-_diversion.pdf&lt;/url&gt;&lt;/related-urls&gt;&lt;/urls&gt;&lt;access-date&gt;December 10, 2007&lt;/access-date&gt;&lt;/record&gt;&lt;/Cite&gt;&lt;/EndNote&gt;</w:instrText>
      </w:r>
      <w:r w:rsidR="00D740A2">
        <w:fldChar w:fldCharType="separate"/>
      </w:r>
      <w:r w:rsidR="00D740A2">
        <w:rPr>
          <w:noProof/>
        </w:rPr>
        <w:t>(</w:t>
      </w:r>
      <w:hyperlink w:anchor="_ENREF_41" w:tooltip="National Center on Addiction and Substance Abuse, 2005 #104" w:history="1">
        <w:r w:rsidR="00D213F7">
          <w:rPr>
            <w:noProof/>
          </w:rPr>
          <w:t>National Center on Addiction and Substance Abuse, 2005</w:t>
        </w:r>
      </w:hyperlink>
      <w:r w:rsidR="00D740A2">
        <w:rPr>
          <w:noProof/>
        </w:rPr>
        <w:t xml:space="preserve">, </w:t>
      </w:r>
      <w:hyperlink w:anchor="_ENREF_42" w:tooltip="National Center on Addiction and Substance Abuse, 2007 #426" w:history="1">
        <w:r w:rsidR="00D213F7">
          <w:rPr>
            <w:noProof/>
          </w:rPr>
          <w:t>2007</w:t>
        </w:r>
      </w:hyperlink>
      <w:r w:rsidR="00D740A2">
        <w:rPr>
          <w:noProof/>
        </w:rPr>
        <w:t>)</w:t>
      </w:r>
      <w:r w:rsidR="00D740A2">
        <w:fldChar w:fldCharType="end"/>
      </w:r>
      <w:r w:rsidR="00D740A2">
        <w:t>.</w:t>
      </w:r>
    </w:p>
    <w:p w:rsidR="00AE7149" w:rsidRDefault="00F23E3C" w:rsidP="00AE7149">
      <w:pPr>
        <w:pStyle w:val="Heading2"/>
      </w:pPr>
      <w:bookmarkStart w:id="14" w:name="_Toc315010452"/>
      <w:r>
        <w:t>Prescription Stimulants</w:t>
      </w:r>
      <w:bookmarkEnd w:id="14"/>
    </w:p>
    <w:p w:rsidR="00F23E3C" w:rsidRPr="00E900E1" w:rsidRDefault="00AE7149" w:rsidP="00E900E1">
      <w:r>
        <w:t>Prescription stimulants are a</w:t>
      </w:r>
      <w:r w:rsidR="00F23E3C">
        <w:t xml:space="preserve"> classification of prescription drugs that enhances brain activity resulting in an increase in alertness, attention, energy</w:t>
      </w:r>
      <w:r w:rsidR="00D740A2">
        <w:t>,</w:t>
      </w:r>
      <w:r w:rsidR="00F23E3C">
        <w:t xml:space="preserve"> </w:t>
      </w:r>
      <w:r w:rsidR="00D740A2">
        <w:t xml:space="preserve">and an </w:t>
      </w:r>
      <w:r w:rsidR="00F23E3C">
        <w:t>elevated blood pressure</w:t>
      </w:r>
      <w:r w:rsidR="00D740A2">
        <w:t xml:space="preserve">. Other effects include an increase in heart rate and respiration. The clinical use of stimulants </w:t>
      </w:r>
      <w:r w:rsidR="00D740A2">
        <w:lastRenderedPageBreak/>
        <w:t xml:space="preserve">includes attention deficit hyperactivity disorder, narcolepsy, and in some cases depression </w:t>
      </w:r>
      <w:r w:rsidR="00D740A2">
        <w:fldChar w:fldCharType="begin"/>
      </w:r>
      <w:r w:rsidR="00D740A2">
        <w:instrText xml:space="preserve"> ADDIN EN.CITE &lt;EndNote&gt;&lt;Cite&gt;&lt;Author&gt;National Center on Addiction and Substance Abuse&lt;/Author&gt;&lt;Year&gt;2005&lt;/Year&gt;&lt;RecNum&gt;104&lt;/RecNum&gt;&lt;DisplayText&gt;(National Center on Addiction and Substance Abuse, 2005)&lt;/DisplayText&gt;&lt;record&gt;&lt;rec-number&gt;104&lt;/rec-number&gt;&lt;foreign-keys&gt;&lt;key app="EN" db-id="02dwfapew02tdked2f4p0xerwdapvw5vztpp"&gt;104&lt;/key&gt;&lt;key app="ENWeb" db-id="R1rfKArtmCQAAH0-ETQ"&gt;682&lt;/key&gt;&lt;/foreign-keys&gt;&lt;ref-type name="Report"&gt;27&lt;/ref-type&gt;&lt;contributors&gt;&lt;authors&gt;&lt;author&gt;National Center on Addiction and Substance Abuse,&lt;/author&gt;&lt;/authors&gt;&lt;/contributors&gt;&lt;titles&gt;&lt;title&gt;Under the counter: The diversion and abuse of controlled prescription drugs in the United States&lt;/title&gt;&lt;/titles&gt;&lt;dates&gt;&lt;year&gt;2005&lt;/year&gt;&lt;pub-dates&gt;&lt;date&gt;July&lt;/date&gt;&lt;/pub-dates&gt;&lt;/dates&gt;&lt;pub-location&gt;New York&lt;/pub-location&gt;&lt;publisher&gt;Colombia University&lt;/publisher&gt;&lt;urls&gt;&lt;related-urls&gt;&lt;url&gt;http://www.casacolumbia.org/absolutenm/articlefiles/380-under_the_counter_-_diversion.pdf&lt;/url&gt;&lt;/related-urls&gt;&lt;/urls&gt;&lt;access-date&gt;December 10, 2007&lt;/access-date&gt;&lt;/record&gt;&lt;/Cite&gt;&lt;/EndNote&gt;</w:instrText>
      </w:r>
      <w:r w:rsidR="00D740A2">
        <w:fldChar w:fldCharType="separate"/>
      </w:r>
      <w:r w:rsidR="00D740A2">
        <w:rPr>
          <w:noProof/>
        </w:rPr>
        <w:t>(</w:t>
      </w:r>
      <w:hyperlink w:anchor="_ENREF_41" w:tooltip="National Center on Addiction and Substance Abuse, 2005 #104" w:history="1">
        <w:r w:rsidR="00D213F7">
          <w:rPr>
            <w:noProof/>
          </w:rPr>
          <w:t>National Center on Addiction and Substance Abuse, 2005</w:t>
        </w:r>
      </w:hyperlink>
      <w:r w:rsidR="00D740A2">
        <w:rPr>
          <w:noProof/>
        </w:rPr>
        <w:t>)</w:t>
      </w:r>
      <w:r w:rsidR="00D740A2">
        <w:fldChar w:fldCharType="end"/>
      </w:r>
      <w:r w:rsidR="00D740A2">
        <w:t>.</w:t>
      </w:r>
    </w:p>
    <w:p w:rsidR="00AE7149" w:rsidRDefault="00D740A2" w:rsidP="00AE7149">
      <w:pPr>
        <w:pStyle w:val="Heading2"/>
      </w:pPr>
      <w:bookmarkStart w:id="15" w:name="_Toc315010453"/>
      <w:r>
        <w:t>Ritalin®</w:t>
      </w:r>
      <w:bookmarkEnd w:id="15"/>
    </w:p>
    <w:p w:rsidR="00D740A2" w:rsidRDefault="00AE7149" w:rsidP="00D740A2">
      <w:r>
        <w:t xml:space="preserve">Ritalin® is a </w:t>
      </w:r>
      <w:r w:rsidR="00D740A2">
        <w:t>prescription stimulant used to treat attention deficit disorder, attention deficit hyperactivity disorder, narcolepsy, and weight loss. It is a</w:t>
      </w:r>
      <w:r w:rsidR="00DD10FB">
        <w:t>lso</w:t>
      </w:r>
      <w:r w:rsidR="00D740A2">
        <w:t xml:space="preserve"> referred to as </w:t>
      </w:r>
      <w:r w:rsidR="00D740A2" w:rsidRPr="008A5B9F">
        <w:rPr>
          <w:szCs w:val="24"/>
        </w:rPr>
        <w:t>methylphenidate</w:t>
      </w:r>
      <w:r w:rsidR="00D740A2">
        <w:rPr>
          <w:szCs w:val="24"/>
        </w:rPr>
        <w:t xml:space="preserve"> </w:t>
      </w:r>
      <w:r w:rsidR="00D740A2">
        <w:rPr>
          <w:szCs w:val="24"/>
        </w:rPr>
        <w:fldChar w:fldCharType="begin"/>
      </w:r>
      <w:r w:rsidR="00D740A2">
        <w:rPr>
          <w:szCs w:val="24"/>
        </w:rPr>
        <w:instrText xml:space="preserve"> ADDIN EN.CITE &lt;EndNote&gt;&lt;Cite&gt;&lt;Author&gt;Drug Enforcement Agency&lt;/Author&gt;&lt;Year&gt;2011&lt;/Year&gt;&lt;RecNum&gt;436&lt;/RecNum&gt;&lt;DisplayText&gt;(Drug Enforcement Agency, 2011)&lt;/DisplayText&gt;&lt;record&gt;&lt;rec-number&gt;436&lt;/rec-number&gt;&lt;foreign-keys&gt;&lt;key app="EN" db-id="02dwfapew02tdked2f4p0xerwdapvw5vztpp"&gt;436&lt;/key&gt;&lt;/foreign-keys&gt;&lt;ref-type name="Book"&gt;6&lt;/ref-type&gt;&lt;contributors&gt;&lt;authors&gt;&lt;author&gt;Drug Enforcement Agency,&lt;/author&gt;&lt;/authors&gt;&lt;/contributors&gt;&lt;titles&gt;&lt;title&gt;Drugs of Abuse&lt;/title&gt;&lt;/titles&gt;&lt;dates&gt;&lt;year&gt;2011&lt;/year&gt;&lt;/dates&gt;&lt;pub-location&gt;Washington D.C.&lt;/pub-location&gt;&lt;publisher&gt;United States Department of Justice&lt;/publisher&gt;&lt;urls&gt;&lt;/urls&gt;&lt;/record&gt;&lt;/Cite&gt;&lt;/EndNote&gt;</w:instrText>
      </w:r>
      <w:r w:rsidR="00D740A2">
        <w:rPr>
          <w:szCs w:val="24"/>
        </w:rPr>
        <w:fldChar w:fldCharType="separate"/>
      </w:r>
      <w:r w:rsidR="00D740A2">
        <w:rPr>
          <w:noProof/>
          <w:szCs w:val="24"/>
        </w:rPr>
        <w:t>(</w:t>
      </w:r>
      <w:hyperlink w:anchor="_ENREF_15" w:tooltip="Drug Enforcement Agency, 2011 #436" w:history="1">
        <w:r w:rsidR="00D213F7">
          <w:rPr>
            <w:noProof/>
            <w:szCs w:val="24"/>
          </w:rPr>
          <w:t>Drug Enforcement Agency, 2011</w:t>
        </w:r>
      </w:hyperlink>
      <w:r w:rsidR="00D740A2">
        <w:rPr>
          <w:noProof/>
          <w:szCs w:val="24"/>
        </w:rPr>
        <w:t>)</w:t>
      </w:r>
      <w:r w:rsidR="00D740A2">
        <w:rPr>
          <w:szCs w:val="24"/>
        </w:rPr>
        <w:fldChar w:fldCharType="end"/>
      </w:r>
      <w:r w:rsidR="00D740A2">
        <w:rPr>
          <w:szCs w:val="24"/>
        </w:rPr>
        <w:t>.</w:t>
      </w:r>
    </w:p>
    <w:p w:rsidR="00AE7149" w:rsidRDefault="00D740A2" w:rsidP="00AE7149">
      <w:pPr>
        <w:pStyle w:val="Heading2"/>
      </w:pPr>
      <w:bookmarkStart w:id="16" w:name="_Toc315010454"/>
      <w:r>
        <w:t>Schedule II Drugs</w:t>
      </w:r>
      <w:bookmarkEnd w:id="16"/>
    </w:p>
    <w:p w:rsidR="00D740A2" w:rsidRDefault="00D740A2" w:rsidP="00D740A2">
      <w:r w:rsidRPr="008A5B9F">
        <w:rPr>
          <w:szCs w:val="24"/>
        </w:rPr>
        <w:t>The Controlled Substances Act</w:t>
      </w:r>
      <w:r>
        <w:rPr>
          <w:szCs w:val="24"/>
        </w:rPr>
        <w:t xml:space="preserve"> of 1970</w:t>
      </w:r>
      <w:r w:rsidRPr="008A5B9F">
        <w:rPr>
          <w:szCs w:val="24"/>
        </w:rPr>
        <w:t xml:space="preserve"> classifies </w:t>
      </w:r>
      <w:r>
        <w:rPr>
          <w:szCs w:val="24"/>
        </w:rPr>
        <w:t xml:space="preserve">all types of </w:t>
      </w:r>
      <w:r w:rsidRPr="008A5B9F">
        <w:rPr>
          <w:szCs w:val="24"/>
        </w:rPr>
        <w:t>drugs</w:t>
      </w:r>
      <w:r>
        <w:rPr>
          <w:szCs w:val="24"/>
        </w:rPr>
        <w:t xml:space="preserve"> into five </w:t>
      </w:r>
      <w:r w:rsidR="00B75497">
        <w:rPr>
          <w:szCs w:val="24"/>
        </w:rPr>
        <w:t>categories</w:t>
      </w:r>
      <w:r>
        <w:rPr>
          <w:szCs w:val="24"/>
        </w:rPr>
        <w:t xml:space="preserve"> referred to as schedules. Drugs</w:t>
      </w:r>
      <w:r w:rsidR="00AE7149">
        <w:rPr>
          <w:szCs w:val="24"/>
        </w:rPr>
        <w:t xml:space="preserve"> that</w:t>
      </w:r>
      <w:r>
        <w:rPr>
          <w:szCs w:val="24"/>
        </w:rPr>
        <w:t xml:space="preserve"> are classified as </w:t>
      </w:r>
      <w:r w:rsidRPr="008A5B9F">
        <w:rPr>
          <w:szCs w:val="24"/>
        </w:rPr>
        <w:t xml:space="preserve">Schedule II </w:t>
      </w:r>
      <w:r w:rsidR="00AE7149">
        <w:rPr>
          <w:szCs w:val="24"/>
        </w:rPr>
        <w:t xml:space="preserve">are considered to </w:t>
      </w:r>
      <w:r>
        <w:rPr>
          <w:szCs w:val="24"/>
        </w:rPr>
        <w:t>have a</w:t>
      </w:r>
      <w:r w:rsidRPr="008A5B9F">
        <w:rPr>
          <w:szCs w:val="24"/>
        </w:rPr>
        <w:t xml:space="preserve"> high potential for addiction, medical/non-medical abuse, patient and non-patient self-medication, recreational use, and for selling to non-patients (Drug Enforcement Agency, 2011).</w:t>
      </w:r>
    </w:p>
    <w:p w:rsidR="00E900E1" w:rsidRDefault="00E900E1" w:rsidP="00E900E1"/>
    <w:p w:rsidR="006349DF" w:rsidRPr="00E900E1" w:rsidRDefault="006349DF" w:rsidP="00E900E1">
      <w:pPr>
        <w:sectPr w:rsidR="006349DF" w:rsidRPr="00E900E1" w:rsidSect="00FE256D">
          <w:headerReference w:type="default" r:id="rId10"/>
          <w:pgSz w:w="12240" w:h="15840"/>
          <w:pgMar w:top="1440" w:right="1440" w:bottom="1440" w:left="1440" w:header="1440" w:footer="720" w:gutter="0"/>
          <w:pgNumType w:start="1"/>
          <w:cols w:space="720"/>
          <w:docGrid w:linePitch="360"/>
        </w:sectPr>
      </w:pPr>
    </w:p>
    <w:p w:rsidR="00EB3FDC" w:rsidRPr="009C4731" w:rsidRDefault="00FF53C1" w:rsidP="009C4731">
      <w:pPr>
        <w:pStyle w:val="Heading1"/>
        <w:rPr>
          <w:b w:val="0"/>
        </w:rPr>
      </w:pPr>
      <w:r w:rsidRPr="009C4731">
        <w:rPr>
          <w:b w:val="0"/>
        </w:rPr>
        <w:lastRenderedPageBreak/>
        <w:t>CHAPTER II</w:t>
      </w:r>
    </w:p>
    <w:p w:rsidR="003F6BB5" w:rsidRDefault="002D07C6" w:rsidP="009243B2">
      <w:pPr>
        <w:pStyle w:val="Heading1"/>
      </w:pPr>
      <w:r>
        <w:t>Review of Literature</w:t>
      </w:r>
    </w:p>
    <w:p w:rsidR="00F97B61" w:rsidRDefault="00F97B61" w:rsidP="00F97B61">
      <w:r>
        <w:t xml:space="preserve">The purpose </w:t>
      </w:r>
      <w:r w:rsidR="00E96FF4">
        <w:t>of this study is to examine graduate students</w:t>
      </w:r>
      <w:r w:rsidR="00BA67F4">
        <w:t>’</w:t>
      </w:r>
      <w:r w:rsidR="00E96FF4">
        <w:t xml:space="preserve"> illicit use of prescription stimulants. </w:t>
      </w:r>
      <w:r w:rsidR="00A46B21">
        <w:t xml:space="preserve">This chapter contains a critical review of the literature related to the present study. </w:t>
      </w:r>
      <w:r w:rsidR="00EB3FDC">
        <w:t xml:space="preserve">It </w:t>
      </w:r>
      <w:r>
        <w:t xml:space="preserve">is organized in terms of three primary topics: </w:t>
      </w:r>
      <w:r w:rsidR="00E96FF4">
        <w:t>national prevalence and extent of use, prevalence rates among college and universit</w:t>
      </w:r>
      <w:r w:rsidR="00BD1E9F">
        <w:t>y students</w:t>
      </w:r>
      <w:r>
        <w:t xml:space="preserve">, and student </w:t>
      </w:r>
      <w:r w:rsidR="00BA67F4">
        <w:t>related factors</w:t>
      </w:r>
      <w:r w:rsidR="00106DD5">
        <w:t xml:space="preserve"> such as modes of</w:t>
      </w:r>
      <w:r w:rsidR="00D46B1F">
        <w:t xml:space="preserve"> acquisition, initiation,</w:t>
      </w:r>
      <w:r w:rsidR="003645C7">
        <w:t xml:space="preserve"> characteristics</w:t>
      </w:r>
      <w:r>
        <w:t xml:space="preserve"> of use, perceptions, beliefs, </w:t>
      </w:r>
      <w:r w:rsidR="002311AD">
        <w:t>reasons for use</w:t>
      </w:r>
      <w:r>
        <w:t>, and risk and protective factors</w:t>
      </w:r>
      <w:r w:rsidR="003645C7">
        <w:t xml:space="preserve"> f</w:t>
      </w:r>
      <w:r w:rsidR="00E046A6">
        <w:t>or</w:t>
      </w:r>
      <w:r w:rsidR="003645C7">
        <w:t xml:space="preserve"> prescription stimulant abuse</w:t>
      </w:r>
      <w:r>
        <w:t xml:space="preserve">. </w:t>
      </w:r>
    </w:p>
    <w:p w:rsidR="00180760" w:rsidRDefault="00421B6F" w:rsidP="005755C9">
      <w:pPr>
        <w:pStyle w:val="Heading1"/>
      </w:pPr>
      <w:bookmarkStart w:id="17" w:name="_Toc315010455"/>
      <w:r>
        <w:t>National Prevalence</w:t>
      </w:r>
      <w:bookmarkEnd w:id="17"/>
    </w:p>
    <w:p w:rsidR="00A54A49" w:rsidRDefault="00196BC4" w:rsidP="00F97B61">
      <w:r>
        <w:t>National drug surveillance assessments allow health institutions, re</w:t>
      </w:r>
      <w:r w:rsidR="00E046A6">
        <w:t xml:space="preserve">searchers, and others </w:t>
      </w:r>
      <w:r w:rsidR="00EB3FDC">
        <w:t xml:space="preserve">to </w:t>
      </w:r>
      <w:r w:rsidR="00E046A6">
        <w:t xml:space="preserve">track drug abuse </w:t>
      </w:r>
      <w:r>
        <w:t xml:space="preserve">trends in the United States. </w:t>
      </w:r>
      <w:r w:rsidR="002311AD">
        <w:t>There</w:t>
      </w:r>
      <w:r>
        <w:t xml:space="preserve"> are two primary national surveillance studies o</w:t>
      </w:r>
      <w:r w:rsidR="00512B15">
        <w:t>n drug use in the United States:</w:t>
      </w:r>
      <w:r>
        <w:t xml:space="preserve"> </w:t>
      </w:r>
      <w:r w:rsidR="00512B15">
        <w:t>t</w:t>
      </w:r>
      <w:r>
        <w:t>he Monitoring the Future</w:t>
      </w:r>
      <w:r w:rsidR="00BA67F4">
        <w:t xml:space="preserve"> survey</w:t>
      </w:r>
      <w:r>
        <w:t xml:space="preserve"> </w:t>
      </w:r>
      <w:r w:rsidR="00550107">
        <w:fldChar w:fldCharType="begin"/>
      </w:r>
      <w:r w:rsidR="002D07C6">
        <w:instrText xml:space="preserve"> ADDIN EN.CITE &lt;EndNote&gt;&lt;Cite&gt;&lt;Author&gt;Johnston&lt;/Author&gt;&lt;Year&gt;2010&lt;/Year&gt;&lt;RecNum&gt;139&lt;/RecNum&gt;&lt;DisplayText&gt;(Johnston et al., 2010)&lt;/DisplayText&gt;&lt;record&gt;&lt;rec-number&gt;139&lt;/rec-number&gt;&lt;foreign-keys&gt;&lt;key app="EN" db-id="02dwfapew02tdked2f4p0xerwdapvw5vztpp"&gt;139&lt;/key&gt;&lt;key app="ENWeb" db-id="R1rfKArtmCQAAH0-ETQ"&gt;798&lt;/key&gt;&lt;/foreign-keys&gt;&lt;ref-type name="Government Document"&gt;46&lt;/ref-type&gt;&lt;contributors&gt;&lt;authors&gt;&lt;author&gt;Johnston, Lloyd&lt;/author&gt;&lt;author&gt;O&amp;apos;Malley, Patrick&lt;/author&gt;&lt;author&gt;Bachman, Jerald&lt;/author&gt;&lt;author&gt;Schulenberg, John&lt;/author&gt;&lt;/authors&gt;&lt;/contributors&gt;&lt;titles&gt;&lt;title&gt;Monitoring the Future national survey results on drug use, 1975-2009. Volume II: College students and adults ages 19-50&lt;/title&gt;&lt;/titles&gt;&lt;pages&gt;307&lt;/pages&gt;&lt;dates&gt;&lt;year&gt;2010&lt;/year&gt;&lt;/dates&gt;&lt;pub-location&gt;Bethesda, MD&lt;/pub-location&gt;&lt;publisher&gt;National Institute on Drug Abuse&lt;/publisher&gt;&lt;isbn&gt;NIH Publication No. 07-6206&lt;/isbn&gt;&lt;urls&gt;&lt;/urls&gt;&lt;/record&gt;&lt;/Cite&gt;&lt;/EndNote&gt;</w:instrText>
      </w:r>
      <w:r w:rsidR="00550107">
        <w:fldChar w:fldCharType="separate"/>
      </w:r>
      <w:r w:rsidR="002D07C6">
        <w:rPr>
          <w:noProof/>
        </w:rPr>
        <w:t>(</w:t>
      </w:r>
      <w:hyperlink w:anchor="_ENREF_24" w:tooltip="Johnston, 2010 #139" w:history="1">
        <w:r w:rsidR="00D213F7">
          <w:rPr>
            <w:noProof/>
          </w:rPr>
          <w:t>Johnston et al., 2010</w:t>
        </w:r>
      </w:hyperlink>
      <w:r w:rsidR="002D07C6">
        <w:rPr>
          <w:noProof/>
        </w:rPr>
        <w:t>)</w:t>
      </w:r>
      <w:r w:rsidR="00550107">
        <w:fldChar w:fldCharType="end"/>
      </w:r>
      <w:r>
        <w:t xml:space="preserve"> and the National Survey on Drug Use and Health </w:t>
      </w:r>
      <w:r w:rsidR="00550107">
        <w:fldChar w:fldCharType="begin"/>
      </w:r>
      <w:r>
        <w:instrText xml:space="preserve"> ADDIN EN.CITE &lt;EndNote&gt;&lt;Cite&gt;&lt;Author&gt;Substance Abuse and Mental Health Services Administration&lt;/Author&gt;&lt;Year&gt;2010&lt;/Year&gt;&lt;RecNum&gt;420&lt;/RecNum&gt;&lt;DisplayText&gt;(Substance Abuse and Mental Health Services Administration, 2010)&lt;/DisplayText&gt;&lt;record&gt;&lt;rec-number&gt;420&lt;/rec-number&gt;&lt;foreign-keys&gt;&lt;key app="EN" db-id="02dwfapew02tdked2f4p0xerwdapvw5vztpp"&gt;420&lt;/key&gt;&lt;/foreign-keys&gt;&lt;ref-type name="Government Document"&gt;46&lt;/ref-type&gt;&lt;contributors&gt;&lt;authors&gt;&lt;author&gt;Substance Abuse and Mental Health Services Administration,&lt;/author&gt;&lt;/authors&gt;&lt;/contributors&gt;&lt;titles&gt;&lt;title&gt;Results from the 2009 National Survey on Drug Use and Health: Volume I. Summary of National Findings&lt;/title&gt;&lt;/titles&gt;&lt;dates&gt;&lt;year&gt;2010&lt;/year&gt;&lt;/dates&gt;&lt;pub-location&gt;Rockville, MD&lt;/pub-location&gt;&lt;isbn&gt;Office of Applied Studies, NSDUH Series H-38A, HHS Publication No. SMA 10-4586Findings&lt;/isbn&gt;&lt;urls&gt;&lt;/urls&gt;&lt;/record&gt;&lt;/Cite&gt;&lt;/EndNote&gt;</w:instrText>
      </w:r>
      <w:r w:rsidR="00550107">
        <w:fldChar w:fldCharType="separate"/>
      </w:r>
      <w:r>
        <w:rPr>
          <w:noProof/>
        </w:rPr>
        <w:t>(</w:t>
      </w:r>
      <w:hyperlink w:anchor="_ENREF_53" w:tooltip="Substance Abuse and Mental Health Services Administration, 2010 #420" w:history="1">
        <w:r w:rsidR="00D213F7">
          <w:rPr>
            <w:noProof/>
          </w:rPr>
          <w:t>Substance Abuse and Mental Health Services Administration, 2010</w:t>
        </w:r>
      </w:hyperlink>
      <w:r>
        <w:rPr>
          <w:noProof/>
        </w:rPr>
        <w:t>)</w:t>
      </w:r>
      <w:r w:rsidR="00550107">
        <w:fldChar w:fldCharType="end"/>
      </w:r>
      <w:r>
        <w:t xml:space="preserve">. The Monitoring the Future (MTF) survey is conducted </w:t>
      </w:r>
      <w:r w:rsidR="00E96FF4">
        <w:t>by</w:t>
      </w:r>
      <w:r>
        <w:t xml:space="preserve"> the University of Michigan’s Institute for Socia</w:t>
      </w:r>
      <w:r w:rsidR="00E046A6">
        <w:t>l R</w:t>
      </w:r>
      <w:r>
        <w:t>esearch</w:t>
      </w:r>
      <w:r w:rsidR="002311AD">
        <w:t>, which is</w:t>
      </w:r>
      <w:r>
        <w:t xml:space="preserve"> funded primarily by research grants from the National Institute on Drug Abuse. The National Survey on Drug Use and Health (NSDUH) is sponsored by the Substance Abuse and Mental Health Services Administration (SAMHSA), which is a government agency dedicated to reducing substance abuse and mental illness in the United States.</w:t>
      </w:r>
      <w:r w:rsidR="0035672B">
        <w:t xml:space="preserve"> </w:t>
      </w:r>
    </w:p>
    <w:p w:rsidR="006D753B" w:rsidRDefault="006D753B" w:rsidP="006D753B">
      <w:r>
        <w:t>Currently in its 35</w:t>
      </w:r>
      <w:r>
        <w:rPr>
          <w:vertAlign w:val="superscript"/>
        </w:rPr>
        <w:t>th</w:t>
      </w:r>
      <w:r>
        <w:t xml:space="preserve"> year, the MTF survey </w:t>
      </w:r>
      <w:r w:rsidR="00A46B21">
        <w:t xml:space="preserve">identifies the social trends occurring within the United States. </w:t>
      </w:r>
      <w:r>
        <w:t xml:space="preserve">Additionally, the MTF survey helps accurately characterize the levels and trends of certain illicit behaviors, such as substance abuse, attitudes, beliefs, and environmental </w:t>
      </w:r>
      <w:r>
        <w:lastRenderedPageBreak/>
        <w:t>conditions</w:t>
      </w:r>
      <w:r w:rsidR="00C91AA3">
        <w:t xml:space="preserve"> that ma</w:t>
      </w:r>
      <w:r w:rsidR="00FF53C1">
        <w:t>y</w:t>
      </w:r>
      <w:r w:rsidR="00C91AA3">
        <w:t xml:space="preserve"> affect drug use</w:t>
      </w:r>
      <w:r>
        <w:t xml:space="preserve">. Finally, the MTF survey attempts to understand why and how social changes are occurring with substance use among those 12 and older. The MTF survey incorporates multiple surveys into one single survey, thus enhancing the analytical power of the data. At the end of each academic year, the survey is distributed to students across the country measuring alcohol use, drug use for prescription and illicit drugs, social attitudes, behaviors, perceptions, and general demographics </w:t>
      </w:r>
      <w:r w:rsidR="00550107">
        <w:fldChar w:fldCharType="begin"/>
      </w:r>
      <w:r w:rsidR="00E96A70">
        <w:instrText xml:space="preserve"> ADDIN EN.CITE &lt;EndNote&gt;&lt;Cite&gt;&lt;Author&gt;Johnston&lt;/Author&gt;&lt;Year&gt;2010&lt;/Year&gt;&lt;RecNum&gt;139&lt;/RecNum&gt;&lt;DisplayText&gt;(Johnston et al., 2010)&lt;/DisplayText&gt;&lt;record&gt;&lt;rec-number&gt;139&lt;/rec-number&gt;&lt;foreign-keys&gt;&lt;key app="EN" db-id="02dwfapew02tdked2f4p0xerwdapvw5vztpp"&gt;139&lt;/key&gt;&lt;key app="ENWeb" db-id="R1rfKArtmCQAAH0-ETQ"&gt;798&lt;/key&gt;&lt;/foreign-keys&gt;&lt;ref-type name="Government Document"&gt;46&lt;/ref-type&gt;&lt;contributors&gt;&lt;authors&gt;&lt;author&gt;Johnston, Lloyd&lt;/author&gt;&lt;author&gt;O&amp;apos;Malley, Patrick&lt;/author&gt;&lt;author&gt;Bachman, Jerald&lt;/author&gt;&lt;author&gt;Schulenberg, John&lt;/author&gt;&lt;/authors&gt;&lt;/contributors&gt;&lt;titles&gt;&lt;title&gt;Monitoring the Future national survey results on drug use, 1975-2009. Volume II: College students and adults ages 19-50&lt;/title&gt;&lt;/titles&gt;&lt;pages&gt;307&lt;/pages&gt;&lt;dates&gt;&lt;year&gt;2010&lt;/year&gt;&lt;/dates&gt;&lt;pub-location&gt;Bethesda, MD&lt;/pub-location&gt;&lt;publisher&gt;National Institute on Drug Abuse&lt;/publisher&gt;&lt;isbn&gt;NIH Publication No. 07-6206&lt;/isbn&gt;&lt;urls&gt;&lt;/urls&gt;&lt;/record&gt;&lt;/Cite&gt;&lt;/EndNote&gt;</w:instrText>
      </w:r>
      <w:r w:rsidR="00550107">
        <w:fldChar w:fldCharType="separate"/>
      </w:r>
      <w:r w:rsidR="00E96A70">
        <w:rPr>
          <w:noProof/>
        </w:rPr>
        <w:t>(</w:t>
      </w:r>
      <w:hyperlink w:anchor="_ENREF_24" w:tooltip="Johnston, 2010 #139" w:history="1">
        <w:r w:rsidR="00D213F7">
          <w:rPr>
            <w:noProof/>
          </w:rPr>
          <w:t>Johnston et al., 2010</w:t>
        </w:r>
      </w:hyperlink>
      <w:r w:rsidR="00E96A70">
        <w:rPr>
          <w:noProof/>
        </w:rPr>
        <w:t>)</w:t>
      </w:r>
      <w:r w:rsidR="00550107">
        <w:fldChar w:fldCharType="end"/>
      </w:r>
      <w:r>
        <w:t>.</w:t>
      </w:r>
    </w:p>
    <w:p w:rsidR="006D753B" w:rsidRDefault="006D753B" w:rsidP="006D753B">
      <w:r>
        <w:t>The survey is a self-report</w:t>
      </w:r>
      <w:r w:rsidR="00A46B21">
        <w:t xml:space="preserve"> instrument</w:t>
      </w:r>
      <w:r>
        <w:t xml:space="preserve">, </w:t>
      </w:r>
      <w:r w:rsidR="00BD1E9F">
        <w:t>h</w:t>
      </w:r>
      <w:r>
        <w:t>owever, 35 years of consistent data suggest a solid validity and reliability rating for the survey</w:t>
      </w:r>
      <w:r w:rsidR="00A46B21">
        <w:t xml:space="preserve"> </w:t>
      </w:r>
      <w:r w:rsidR="00550107">
        <w:fldChar w:fldCharType="begin"/>
      </w:r>
      <w:r w:rsidR="00E96A70">
        <w:instrText xml:space="preserve"> ADDIN EN.CITE &lt;EndNote&gt;&lt;Cite&gt;&lt;Author&gt;Johnston&lt;/Author&gt;&lt;Year&gt;2010&lt;/Year&gt;&lt;RecNum&gt;139&lt;/RecNum&gt;&lt;DisplayText&gt;(Johnston et al., 2010)&lt;/DisplayText&gt;&lt;record&gt;&lt;rec-number&gt;139&lt;/rec-number&gt;&lt;foreign-keys&gt;&lt;key app="EN" db-id="02dwfapew02tdked2f4p0xerwdapvw5vztpp"&gt;139&lt;/key&gt;&lt;key app="ENWeb" db-id="R1rfKArtmCQAAH0-ETQ"&gt;798&lt;/key&gt;&lt;/foreign-keys&gt;&lt;ref-type name="Government Document"&gt;46&lt;/ref-type&gt;&lt;contributors&gt;&lt;authors&gt;&lt;author&gt;Johnston, Lloyd&lt;/author&gt;&lt;author&gt;O&amp;apos;Malley, Patrick&lt;/author&gt;&lt;author&gt;Bachman, Jerald&lt;/author&gt;&lt;author&gt;Schulenberg, John&lt;/author&gt;&lt;/authors&gt;&lt;/contributors&gt;&lt;titles&gt;&lt;title&gt;Monitoring the Future national survey results on drug use, 1975-2009. Volume II: College students and adults ages 19-50&lt;/title&gt;&lt;/titles&gt;&lt;pages&gt;307&lt;/pages&gt;&lt;dates&gt;&lt;year&gt;2010&lt;/year&gt;&lt;/dates&gt;&lt;pub-location&gt;Bethesda, MD&lt;/pub-location&gt;&lt;publisher&gt;National Institute on Drug Abuse&lt;/publisher&gt;&lt;isbn&gt;NIH Publication No. 07-6206&lt;/isbn&gt;&lt;urls&gt;&lt;/urls&gt;&lt;/record&gt;&lt;/Cite&gt;&lt;/EndNote&gt;</w:instrText>
      </w:r>
      <w:r w:rsidR="00550107">
        <w:fldChar w:fldCharType="separate"/>
      </w:r>
      <w:r w:rsidR="00E96A70">
        <w:rPr>
          <w:noProof/>
        </w:rPr>
        <w:t>(</w:t>
      </w:r>
      <w:hyperlink w:anchor="_ENREF_24" w:tooltip="Johnston, 2010 #139" w:history="1">
        <w:r w:rsidR="00D213F7">
          <w:rPr>
            <w:noProof/>
          </w:rPr>
          <w:t>Johnston et al., 2010</w:t>
        </w:r>
      </w:hyperlink>
      <w:r w:rsidR="00E96A70">
        <w:rPr>
          <w:noProof/>
        </w:rPr>
        <w:t>)</w:t>
      </w:r>
      <w:r w:rsidR="00550107">
        <w:fldChar w:fldCharType="end"/>
      </w:r>
      <w:r>
        <w:t xml:space="preserve">. Additionally, the trend analysis for </w:t>
      </w:r>
      <w:r w:rsidR="00F87F24">
        <w:t xml:space="preserve">35 years of </w:t>
      </w:r>
      <w:r>
        <w:t xml:space="preserve">data provides a sensitive mechanism for detecting changes in the drug culture in the United States. Analysis of the survey consists primarily of cross-sectional analyses among subpopulations and prevalence reports. The data </w:t>
      </w:r>
      <w:proofErr w:type="gramStart"/>
      <w:r w:rsidR="00BD1E9F">
        <w:t>are</w:t>
      </w:r>
      <w:r>
        <w:t xml:space="preserve"> provided</w:t>
      </w:r>
      <w:proofErr w:type="gramEnd"/>
      <w:r>
        <w:t xml:space="preserve"> to researchers for conducting more powerful statistical analyses.</w:t>
      </w:r>
    </w:p>
    <w:p w:rsidR="00AF2E2F" w:rsidRDefault="00A54A49" w:rsidP="00F97B61">
      <w:r>
        <w:t xml:space="preserve">The most recent results </w:t>
      </w:r>
      <w:r w:rsidR="00E96FF4">
        <w:t>from the M</w:t>
      </w:r>
      <w:r w:rsidR="00E96A70">
        <w:t>TF</w:t>
      </w:r>
      <w:r w:rsidR="00E96FF4">
        <w:t xml:space="preserve"> study </w:t>
      </w:r>
      <w:r>
        <w:t xml:space="preserve">indicate a disturbing trend </w:t>
      </w:r>
      <w:r w:rsidR="00BD1E9F">
        <w:t xml:space="preserve">in the use of </w:t>
      </w:r>
      <w:r>
        <w:t>prescription stimulants among college students one to four years beyond high school</w:t>
      </w:r>
      <w:r w:rsidR="00A46B21">
        <w:t xml:space="preserve"> </w:t>
      </w:r>
      <w:r w:rsidR="00550107">
        <w:fldChar w:fldCharType="begin"/>
      </w:r>
      <w:r w:rsidR="00E96A70">
        <w:instrText xml:space="preserve"> ADDIN EN.CITE &lt;EndNote&gt;&lt;Cite&gt;&lt;Author&gt;Johnston&lt;/Author&gt;&lt;Year&gt;2010&lt;/Year&gt;&lt;RecNum&gt;139&lt;/RecNum&gt;&lt;DisplayText&gt;(Johnston et al., 2010)&lt;/DisplayText&gt;&lt;record&gt;&lt;rec-number&gt;139&lt;/rec-number&gt;&lt;foreign-keys&gt;&lt;key app="EN" db-id="02dwfapew02tdked2f4p0xerwdapvw5vztpp"&gt;139&lt;/key&gt;&lt;key app="ENWeb" db-id="R1rfKArtmCQAAH0-ETQ"&gt;798&lt;/key&gt;&lt;/foreign-keys&gt;&lt;ref-type name="Government Document"&gt;46&lt;/ref-type&gt;&lt;contributors&gt;&lt;authors&gt;&lt;author&gt;Johnston, Lloyd&lt;/author&gt;&lt;author&gt;O&amp;apos;Malley, Patrick&lt;/author&gt;&lt;author&gt;Bachman, Jerald&lt;/author&gt;&lt;author&gt;Schulenberg, John&lt;/author&gt;&lt;/authors&gt;&lt;/contributors&gt;&lt;titles&gt;&lt;title&gt;Monitoring the Future national survey results on drug use, 1975-2009. Volume II: College students and adults ages 19-50&lt;/title&gt;&lt;/titles&gt;&lt;pages&gt;307&lt;/pages&gt;&lt;dates&gt;&lt;year&gt;2010&lt;/year&gt;&lt;/dates&gt;&lt;pub-location&gt;Bethesda, MD&lt;/pub-location&gt;&lt;publisher&gt;National Institute on Drug Abuse&lt;/publisher&gt;&lt;isbn&gt;NIH Publication No. 07-6206&lt;/isbn&gt;&lt;urls&gt;&lt;/urls&gt;&lt;/record&gt;&lt;/Cite&gt;&lt;/EndNote&gt;</w:instrText>
      </w:r>
      <w:r w:rsidR="00550107">
        <w:fldChar w:fldCharType="separate"/>
      </w:r>
      <w:r w:rsidR="00E96A70">
        <w:rPr>
          <w:noProof/>
        </w:rPr>
        <w:t>(</w:t>
      </w:r>
      <w:hyperlink w:anchor="_ENREF_24" w:tooltip="Johnston, 2010 #139" w:history="1">
        <w:r w:rsidR="00D213F7">
          <w:rPr>
            <w:noProof/>
          </w:rPr>
          <w:t>Johnston et al., 2010</w:t>
        </w:r>
      </w:hyperlink>
      <w:r w:rsidR="00E96A70">
        <w:rPr>
          <w:noProof/>
        </w:rPr>
        <w:t>)</w:t>
      </w:r>
      <w:r w:rsidR="00550107">
        <w:fldChar w:fldCharType="end"/>
      </w:r>
      <w:r>
        <w:t>. The survey measures two specific prescription stimulants Ritalin® and Addera</w:t>
      </w:r>
      <w:r w:rsidR="003645C7">
        <w:t xml:space="preserve">ll®. Ritalin® has </w:t>
      </w:r>
      <w:r w:rsidR="00EB3FDC">
        <w:t xml:space="preserve">been part of </w:t>
      </w:r>
      <w:r w:rsidR="003645C7">
        <w:t>t</w:t>
      </w:r>
      <w:r>
        <w:t>he survey since 2002 and Adderall® was introduced to the survey in 2009</w:t>
      </w:r>
      <w:r w:rsidR="00EB3FDC">
        <w:t>.</w:t>
      </w:r>
      <w:r>
        <w:t xml:space="preserve"> In 2002, 5.7</w:t>
      </w:r>
      <w:r w:rsidR="003645C7">
        <w:t>% of</w:t>
      </w:r>
      <w:r>
        <w:t xml:space="preserve"> </w:t>
      </w:r>
      <w:r w:rsidR="00EB3FDC">
        <w:t xml:space="preserve">college </w:t>
      </w:r>
      <w:r>
        <w:t>students reported illicit</w:t>
      </w:r>
      <w:r w:rsidR="002311AD">
        <w:t>ly</w:t>
      </w:r>
      <w:r>
        <w:t xml:space="preserve"> us</w:t>
      </w:r>
      <w:r w:rsidR="002311AD">
        <w:t>ing</w:t>
      </w:r>
      <w:r>
        <w:t xml:space="preserve"> the prescription drug Ritalin®. However, </w:t>
      </w:r>
      <w:r w:rsidR="00BD1E9F">
        <w:t xml:space="preserve">over the next few years, </w:t>
      </w:r>
      <w:r>
        <w:t xml:space="preserve">the illicit use of the drug declined </w:t>
      </w:r>
      <w:r w:rsidR="00EB3FDC">
        <w:t xml:space="preserve">steadily </w:t>
      </w:r>
      <w:r>
        <w:t>by approximately .5% annually</w:t>
      </w:r>
      <w:r w:rsidR="00EB3FDC">
        <w:t xml:space="preserve">. The decline increased </w:t>
      </w:r>
      <w:r>
        <w:t>in 2009</w:t>
      </w:r>
      <w:r w:rsidR="00EB3FDC">
        <w:t>,</w:t>
      </w:r>
      <w:r>
        <w:t xml:space="preserve"> with 1.7% being reported by college students. Adderall® debuted with a rate of 7.9%, which suggests the popularity of Adderall® </w:t>
      </w:r>
      <w:r w:rsidR="00EB3FDC">
        <w:t xml:space="preserve">may have </w:t>
      </w:r>
      <w:r w:rsidR="00AF2E2F">
        <w:t>affected</w:t>
      </w:r>
      <w:r>
        <w:t xml:space="preserve"> the decline </w:t>
      </w:r>
      <w:r w:rsidR="00EB3FDC">
        <w:t xml:space="preserve">in the reported use </w:t>
      </w:r>
      <w:r>
        <w:t>of Ritalin®.</w:t>
      </w:r>
      <w:r w:rsidR="00AF2E2F">
        <w:t xml:space="preserve"> </w:t>
      </w:r>
      <w:r w:rsidR="00EB3FDC">
        <w:t>I</w:t>
      </w:r>
      <w:r w:rsidR="00AF2E2F">
        <w:t>n 2009, prescription stimulants w</w:t>
      </w:r>
      <w:r w:rsidR="00EB3FDC">
        <w:t>ere</w:t>
      </w:r>
      <w:r w:rsidR="00AF2E2F">
        <w:t xml:space="preserve"> the </w:t>
      </w:r>
      <w:r w:rsidR="00AF2E2F">
        <w:lastRenderedPageBreak/>
        <w:t xml:space="preserve">third most abused drug </w:t>
      </w:r>
      <w:r w:rsidR="00EB3FDC">
        <w:t xml:space="preserve">among college students </w:t>
      </w:r>
      <w:r w:rsidR="00AF2E2F">
        <w:t>behind marijuana (32.8%) and prescription opioids such as OxyContin® (7.3%) and Vicodin® (8.4%</w:t>
      </w:r>
      <w:r w:rsidR="006928DD">
        <w:t xml:space="preserve">) </w:t>
      </w:r>
      <w:r w:rsidR="00550107">
        <w:fldChar w:fldCharType="begin"/>
      </w:r>
      <w:r w:rsidR="00E96A70">
        <w:instrText xml:space="preserve"> ADDIN EN.CITE &lt;EndNote&gt;&lt;Cite&gt;&lt;Author&gt;Johnston&lt;/Author&gt;&lt;Year&gt;2010&lt;/Year&gt;&lt;RecNum&gt;139&lt;/RecNum&gt;&lt;DisplayText&gt;(Johnston et al., 2010)&lt;/DisplayText&gt;&lt;record&gt;&lt;rec-number&gt;139&lt;/rec-number&gt;&lt;foreign-keys&gt;&lt;key app="EN" db-id="02dwfapew02tdked2f4p0xerwdapvw5vztpp"&gt;139&lt;/key&gt;&lt;key app="ENWeb" db-id="R1rfKArtmCQAAH0-ETQ"&gt;798&lt;/key&gt;&lt;/foreign-keys&gt;&lt;ref-type name="Government Document"&gt;46&lt;/ref-type&gt;&lt;contributors&gt;&lt;authors&gt;&lt;author&gt;Johnston, Lloyd&lt;/author&gt;&lt;author&gt;O&amp;apos;Malley, Patrick&lt;/author&gt;&lt;author&gt;Bachman, Jerald&lt;/author&gt;&lt;author&gt;Schulenberg, John&lt;/author&gt;&lt;/authors&gt;&lt;/contributors&gt;&lt;titles&gt;&lt;title&gt;Monitoring the Future national survey results on drug use, 1975-2009. Volume II: College students and adults ages 19-50&lt;/title&gt;&lt;/titles&gt;&lt;pages&gt;307&lt;/pages&gt;&lt;dates&gt;&lt;year&gt;2010&lt;/year&gt;&lt;/dates&gt;&lt;pub-location&gt;Bethesda, MD&lt;/pub-location&gt;&lt;publisher&gt;National Institute on Drug Abuse&lt;/publisher&gt;&lt;isbn&gt;NIH Publication No. 07-6206&lt;/isbn&gt;&lt;urls&gt;&lt;/urls&gt;&lt;/record&gt;&lt;/Cite&gt;&lt;/EndNote&gt;</w:instrText>
      </w:r>
      <w:r w:rsidR="00550107">
        <w:fldChar w:fldCharType="separate"/>
      </w:r>
      <w:r w:rsidR="00E96A70">
        <w:rPr>
          <w:noProof/>
        </w:rPr>
        <w:t>(</w:t>
      </w:r>
      <w:hyperlink w:anchor="_ENREF_24" w:tooltip="Johnston, 2010 #139" w:history="1">
        <w:r w:rsidR="00D213F7">
          <w:rPr>
            <w:noProof/>
          </w:rPr>
          <w:t>Johnston et al., 2010</w:t>
        </w:r>
      </w:hyperlink>
      <w:r w:rsidR="00E96A70">
        <w:rPr>
          <w:noProof/>
        </w:rPr>
        <w:t>)</w:t>
      </w:r>
      <w:r w:rsidR="00550107">
        <w:fldChar w:fldCharType="end"/>
      </w:r>
      <w:r w:rsidR="00AF2E2F">
        <w:t xml:space="preserve">. </w:t>
      </w:r>
    </w:p>
    <w:p w:rsidR="00A54A49" w:rsidRDefault="00AF2E2F" w:rsidP="00F97B61">
      <w:r>
        <w:t xml:space="preserve">It is </w:t>
      </w:r>
      <w:r w:rsidR="006928DD">
        <w:t>evident</w:t>
      </w:r>
      <w:r>
        <w:t xml:space="preserve"> </w:t>
      </w:r>
      <w:r w:rsidR="00421B6F">
        <w:t xml:space="preserve">that college </w:t>
      </w:r>
      <w:r>
        <w:t>students are engaging in the illicit use of prescri</w:t>
      </w:r>
      <w:r w:rsidR="003645C7">
        <w:t xml:space="preserve">ption stimulants, but whether Adderall® </w:t>
      </w:r>
      <w:r>
        <w:t>is growing, remaining stagnant, or declining</w:t>
      </w:r>
      <w:r w:rsidR="00421B6F">
        <w:t>,</w:t>
      </w:r>
      <w:r>
        <w:t xml:space="preserve"> is </w:t>
      </w:r>
      <w:r w:rsidR="006928DD">
        <w:t xml:space="preserve">yet </w:t>
      </w:r>
      <w:r>
        <w:t>unclear</w:t>
      </w:r>
      <w:r w:rsidR="00687805">
        <w:t>,</w:t>
      </w:r>
      <w:r w:rsidR="003645C7">
        <w:t xml:space="preserve"> </w:t>
      </w:r>
      <w:r w:rsidR="00421B6F">
        <w:t xml:space="preserve">since only one year of data on Adderall use is available. </w:t>
      </w:r>
      <w:r>
        <w:t>Furthermore, other</w:t>
      </w:r>
      <w:r w:rsidR="00421B6F">
        <w:t>, newer</w:t>
      </w:r>
      <w:r>
        <w:t xml:space="preserve"> stimulants</w:t>
      </w:r>
      <w:r w:rsidR="00421B6F">
        <w:t xml:space="preserve"> have come onto </w:t>
      </w:r>
      <w:r w:rsidR="00272D6D">
        <w:t xml:space="preserve">the market or </w:t>
      </w:r>
      <w:r w:rsidR="00421B6F">
        <w:t xml:space="preserve">are </w:t>
      </w:r>
      <w:r w:rsidR="00272D6D">
        <w:t xml:space="preserve">being introduced </w:t>
      </w:r>
      <w:r>
        <w:t>such as Concerta®</w:t>
      </w:r>
      <w:r w:rsidR="00272D6D">
        <w:t xml:space="preserve"> and Vyvanse®</w:t>
      </w:r>
      <w:r w:rsidR="006928DD">
        <w:t>,</w:t>
      </w:r>
      <w:r w:rsidR="00272D6D">
        <w:t xml:space="preserve"> </w:t>
      </w:r>
      <w:r w:rsidR="00E96FF4">
        <w:t>that are not a</w:t>
      </w:r>
      <w:r w:rsidR="00421B6F">
        <w:t xml:space="preserve"> </w:t>
      </w:r>
      <w:r w:rsidR="00E96FF4">
        <w:t>part of</w:t>
      </w:r>
      <w:r w:rsidR="006928DD">
        <w:t xml:space="preserve"> the MTF survey</w:t>
      </w:r>
      <w:r w:rsidR="00272D6D">
        <w:t xml:space="preserve"> </w:t>
      </w:r>
      <w:r w:rsidR="00550107">
        <w:fldChar w:fldCharType="begin"/>
      </w:r>
      <w:r w:rsidR="00272D6D">
        <w:instrText xml:space="preserve"> ADDIN EN.CITE &lt;EndNote&gt;&lt;Cite&gt;&lt;Author&gt;National Center for Biotechnology Information&lt;/Author&gt;&lt;Year&gt;2010&lt;/Year&gt;&lt;RecNum&gt;433&lt;/RecNum&gt;&lt;DisplayText&gt;(Drug Enforcement Agency, 2011; National Center for Biotechnology Information, 2010)&lt;/DisplayText&gt;&lt;record&gt;&lt;rec-number&gt;433&lt;/rec-number&gt;&lt;foreign-keys&gt;&lt;key app="EN" db-id="02dwfapew02tdked2f4p0xerwdapvw5vztpp"&gt;433&lt;/key&gt;&lt;/foreign-keys&gt;&lt;ref-type name="Web Page"&gt;12&lt;/ref-type&gt;&lt;contributors&gt;&lt;authors&gt;&lt;author&gt;National Center for Biotechnology Information,&lt;/author&gt;&lt;/authors&gt;&lt;/contributors&gt;&lt;titles&gt;&lt;title&gt;Lisdexamfetamine&lt;/title&gt;&lt;/titles&gt;&lt;volume&gt;2011&lt;/volume&gt;&lt;number&gt;June 17th&lt;/number&gt;&lt;dates&gt;&lt;year&gt;2010&lt;/year&gt;&lt;/dates&gt;&lt;pub-location&gt;Rockville, MD&lt;/pub-location&gt;&lt;urls&gt;&lt;related-urls&gt;&lt;url&gt;http://www.ncbi.nlm.nih.gov/pubmedhealth/PMH0000397/&lt;/url&gt;&lt;/related-urls&gt;&lt;/urls&gt;&lt;/record&gt;&lt;/Cite&gt;&lt;Cite&gt;&lt;Author&gt;Drug Enforcement Agency&lt;/Author&gt;&lt;Year&gt;2011&lt;/Year&gt;&lt;RecNum&gt;436&lt;/RecNum&gt;&lt;record&gt;&lt;rec-number&gt;436&lt;/rec-number&gt;&lt;foreign-keys&gt;&lt;key app="EN" db-id="02dwfapew02tdked2f4p0xerwdapvw5vztpp"&gt;436&lt;/key&gt;&lt;/foreign-keys&gt;&lt;ref-type name="Book"&gt;6&lt;/ref-type&gt;&lt;contributors&gt;&lt;authors&gt;&lt;author&gt;Drug Enforcement Agency,&lt;/author&gt;&lt;/authors&gt;&lt;/contributors&gt;&lt;titles&gt;&lt;title&gt;Drugs of Abuse&lt;/title&gt;&lt;/titles&gt;&lt;dates&gt;&lt;year&gt;2011&lt;/year&gt;&lt;/dates&gt;&lt;pub-location&gt;Washington D.C.&lt;/pub-location&gt;&lt;publisher&gt;United States Department of Justice&lt;/publisher&gt;&lt;urls&gt;&lt;/urls&gt;&lt;/record&gt;&lt;/Cite&gt;&lt;/EndNote&gt;</w:instrText>
      </w:r>
      <w:r w:rsidR="00550107">
        <w:fldChar w:fldCharType="separate"/>
      </w:r>
      <w:r w:rsidR="00272D6D">
        <w:rPr>
          <w:noProof/>
        </w:rPr>
        <w:t>(</w:t>
      </w:r>
      <w:hyperlink w:anchor="_ENREF_15" w:tooltip="Drug Enforcement Agency, 2011 #436" w:history="1">
        <w:r w:rsidR="00D213F7">
          <w:rPr>
            <w:noProof/>
          </w:rPr>
          <w:t>Drug Enforcement Agency, 2011</w:t>
        </w:r>
      </w:hyperlink>
      <w:r w:rsidR="00272D6D">
        <w:rPr>
          <w:noProof/>
        </w:rPr>
        <w:t xml:space="preserve">; </w:t>
      </w:r>
      <w:hyperlink w:anchor="_ENREF_40" w:tooltip="National Center for Biotechnology Information, 2010 #433" w:history="1">
        <w:r w:rsidR="00D213F7">
          <w:rPr>
            <w:noProof/>
          </w:rPr>
          <w:t>National Center for Biotechnology Information, 2010</w:t>
        </w:r>
      </w:hyperlink>
      <w:r w:rsidR="00272D6D">
        <w:rPr>
          <w:noProof/>
        </w:rPr>
        <w:t>)</w:t>
      </w:r>
      <w:r w:rsidR="00550107">
        <w:fldChar w:fldCharType="end"/>
      </w:r>
      <w:r w:rsidR="00272D6D">
        <w:t xml:space="preserve">. Therefore, the overall rate of prescription stimulant use </w:t>
      </w:r>
      <w:r w:rsidR="00FD30A4">
        <w:t xml:space="preserve">by college students </w:t>
      </w:r>
      <w:r w:rsidR="00A46B21">
        <w:t xml:space="preserve">remains </w:t>
      </w:r>
      <w:r w:rsidR="00272D6D">
        <w:t>unclear</w:t>
      </w:r>
      <w:r w:rsidR="00FD30A4">
        <w:t>.</w:t>
      </w:r>
    </w:p>
    <w:p w:rsidR="006D753B" w:rsidRDefault="006D753B" w:rsidP="006D753B">
      <w:r>
        <w:t>The N</w:t>
      </w:r>
      <w:r w:rsidR="00B5750D">
        <w:t xml:space="preserve">ational </w:t>
      </w:r>
      <w:r>
        <w:t>S</w:t>
      </w:r>
      <w:r w:rsidR="00B5750D">
        <w:t xml:space="preserve">urvey on </w:t>
      </w:r>
      <w:r>
        <w:t>D</w:t>
      </w:r>
      <w:r w:rsidR="00B5750D">
        <w:t xml:space="preserve">rug </w:t>
      </w:r>
      <w:r>
        <w:t>U</w:t>
      </w:r>
      <w:r w:rsidR="00B5750D">
        <w:t xml:space="preserve">se and </w:t>
      </w:r>
      <w:r>
        <w:t>H</w:t>
      </w:r>
      <w:r w:rsidR="00B5750D">
        <w:t>ealth</w:t>
      </w:r>
      <w:r w:rsidR="00E60BEC">
        <w:t xml:space="preserve"> (NSDUH)</w:t>
      </w:r>
      <w:r>
        <w:t xml:space="preserve"> is </w:t>
      </w:r>
      <w:r w:rsidR="00A46B21">
        <w:t>another</w:t>
      </w:r>
      <w:r>
        <w:t xml:space="preserve"> national drug surveillance survey </w:t>
      </w:r>
      <w:r w:rsidR="00A46B21">
        <w:t xml:space="preserve">that </w:t>
      </w:r>
      <w:r w:rsidR="00E60BEC">
        <w:t>evaluates</w:t>
      </w:r>
      <w:r>
        <w:t xml:space="preserve"> national estimates of </w:t>
      </w:r>
      <w:r w:rsidR="00E60BEC">
        <w:t xml:space="preserve">drug </w:t>
      </w:r>
      <w:r>
        <w:t xml:space="preserve">use, </w:t>
      </w:r>
      <w:r w:rsidR="00E60BEC">
        <w:t>prevalence rates</w:t>
      </w:r>
      <w:r>
        <w:t xml:space="preserve">, and </w:t>
      </w:r>
      <w:r w:rsidR="00E60BEC">
        <w:t>other factors</w:t>
      </w:r>
      <w:r>
        <w:t xml:space="preserve"> related to the illicit use of prescription and illegal drugs</w:t>
      </w:r>
      <w:r w:rsidR="00E60BEC">
        <w:t xml:space="preserve"> including</w:t>
      </w:r>
      <w:r>
        <w:t xml:space="preserve"> alcohol. The primary purpose of the NSDUH is to compare data from previous years </w:t>
      </w:r>
      <w:r w:rsidR="00BA67F4">
        <w:t>f</w:t>
      </w:r>
      <w:r w:rsidR="00A46B21">
        <w:t>o</w:t>
      </w:r>
      <w:r w:rsidR="00BA67F4">
        <w:t>r</w:t>
      </w:r>
      <w:r w:rsidR="00A46B21">
        <w:t xml:space="preserve"> evaluat</w:t>
      </w:r>
      <w:r w:rsidR="00BA67F4">
        <w:t>ing</w:t>
      </w:r>
      <w:r w:rsidR="00A46B21">
        <w:t xml:space="preserve"> and identify</w:t>
      </w:r>
      <w:r w:rsidR="00BA67F4">
        <w:t>ing</w:t>
      </w:r>
      <w:r>
        <w:t xml:space="preserve"> national trends. The most recent report compares data from 2008 to 2009</w:t>
      </w:r>
      <w:r w:rsidR="00A46B21">
        <w:t>. The data were</w:t>
      </w:r>
      <w:r>
        <w:t xml:space="preserve"> acquired from surveying all noninstitutional populations, military bases, households, residence halls, shelters, and rooming houses </w:t>
      </w:r>
      <w:r w:rsidR="00550107">
        <w:fldChar w:fldCharType="begin"/>
      </w:r>
      <w:r>
        <w:instrText xml:space="preserve"> ADDIN EN.CITE &lt;EndNote&gt;&lt;Cite&gt;&lt;Author&gt;Substance Abuse and Mental Health Services Administration&lt;/Author&gt;&lt;Year&gt;2010&lt;/Year&gt;&lt;RecNum&gt;420&lt;/RecNum&gt;&lt;DisplayText&gt;(Substance Abuse and Mental Health Services Administration, 2010)&lt;/DisplayText&gt;&lt;record&gt;&lt;rec-number&gt;420&lt;/rec-number&gt;&lt;foreign-keys&gt;&lt;key app="EN" db-id="02dwfapew02tdked2f4p0xerwdapvw5vztpp"&gt;420&lt;/key&gt;&lt;/foreign-keys&gt;&lt;ref-type name="Government Document"&gt;46&lt;/ref-type&gt;&lt;contributors&gt;&lt;authors&gt;&lt;author&gt;Substance Abuse and Mental Health Services Administration,&lt;/author&gt;&lt;/authors&gt;&lt;/contributors&gt;&lt;titles&gt;&lt;title&gt;Results from the 2009 National Survey on Drug Use and Health: Volume I. Summary of National Findings&lt;/title&gt;&lt;/titles&gt;&lt;dates&gt;&lt;year&gt;2010&lt;/year&gt;&lt;/dates&gt;&lt;pub-location&gt;Rockville, MD&lt;/pub-location&gt;&lt;isbn&gt;Office of Applied Studies, NSDUH Series H-38A, HHS Publication No. SMA 10-4586Findings&lt;/isbn&gt;&lt;urls&gt;&lt;/urls&gt;&lt;/record&gt;&lt;/Cite&gt;&lt;/EndNote&gt;</w:instrText>
      </w:r>
      <w:r w:rsidR="00550107">
        <w:fldChar w:fldCharType="separate"/>
      </w:r>
      <w:r>
        <w:rPr>
          <w:noProof/>
        </w:rPr>
        <w:t>(</w:t>
      </w:r>
      <w:hyperlink w:anchor="_ENREF_53" w:tooltip="Substance Abuse and Mental Health Services Administration, 2010 #420" w:history="1">
        <w:r w:rsidR="00D213F7">
          <w:rPr>
            <w:noProof/>
          </w:rPr>
          <w:t>Substance Abuse and Mental Health Services Administration, 2010</w:t>
        </w:r>
      </w:hyperlink>
      <w:r>
        <w:rPr>
          <w:noProof/>
        </w:rPr>
        <w:t>)</w:t>
      </w:r>
      <w:r w:rsidR="00550107">
        <w:fldChar w:fldCharType="end"/>
      </w:r>
      <w:r>
        <w:t xml:space="preserve">. </w:t>
      </w:r>
    </w:p>
    <w:p w:rsidR="006D753B" w:rsidRDefault="006D753B" w:rsidP="006D753B">
      <w:r>
        <w:t xml:space="preserve">The </w:t>
      </w:r>
      <w:r w:rsidR="00B5750D">
        <w:t>N</w:t>
      </w:r>
      <w:r w:rsidR="00E96A70">
        <w:t>SDUH</w:t>
      </w:r>
      <w:r>
        <w:t xml:space="preserve"> employs a state based design</w:t>
      </w:r>
      <w:r w:rsidR="002E5F54">
        <w:t xml:space="preserve"> </w:t>
      </w:r>
      <w:r w:rsidR="00C91AA3">
        <w:t>throughout</w:t>
      </w:r>
      <w:r w:rsidR="002E5F54">
        <w:t xml:space="preserve"> the nation, but</w:t>
      </w:r>
      <w:r>
        <w:t xml:space="preserve"> focuses on the eight states with the largest population</w:t>
      </w:r>
      <w:r w:rsidR="00BD1E9F">
        <w:t>s, which</w:t>
      </w:r>
      <w:r>
        <w:t xml:space="preserve"> also comprise half of the national population. A total of 3,600 residents </w:t>
      </w:r>
      <w:proofErr w:type="gramStart"/>
      <w:r>
        <w:t>are surveyed</w:t>
      </w:r>
      <w:proofErr w:type="gramEnd"/>
      <w:r>
        <w:t xml:space="preserve"> from each of the eight states</w:t>
      </w:r>
      <w:r w:rsidR="00A46B21">
        <w:t>.</w:t>
      </w:r>
      <w:r>
        <w:t xml:space="preserve"> </w:t>
      </w:r>
      <w:r w:rsidR="002E5F54">
        <w:t xml:space="preserve">A sample of 900 is drawn from the </w:t>
      </w:r>
      <w:r>
        <w:t>remaining 42 states</w:t>
      </w:r>
      <w:r w:rsidR="002E5F54">
        <w:t>.</w:t>
      </w:r>
      <w:r>
        <w:t xml:space="preserve"> The purpose of this design is </w:t>
      </w:r>
      <w:r w:rsidR="002E5F54">
        <w:t xml:space="preserve">to </w:t>
      </w:r>
      <w:r>
        <w:t>distribut</w:t>
      </w:r>
      <w:r w:rsidR="002E5F54">
        <w:t>e</w:t>
      </w:r>
      <w:r>
        <w:t xml:space="preserve"> the sample in a manner comparable to the population distribution of the United States. The surveys are conducted via </w:t>
      </w:r>
      <w:r>
        <w:lastRenderedPageBreak/>
        <w:t xml:space="preserve">computer-assisted interviewing and audio-computer assisted interviewing. </w:t>
      </w:r>
      <w:r w:rsidR="00F87F24">
        <w:t xml:space="preserve">In </w:t>
      </w:r>
      <w:r w:rsidR="00C91AA3">
        <w:t>2010</w:t>
      </w:r>
      <w:r w:rsidR="002E5F54">
        <w:t xml:space="preserve"> t</w:t>
      </w:r>
      <w:r>
        <w:t xml:space="preserve">he 143,565 surveys </w:t>
      </w:r>
      <w:r w:rsidR="002E5F54">
        <w:t xml:space="preserve">were completed, </w:t>
      </w:r>
      <w:r>
        <w:t>and 68,700 interviews</w:t>
      </w:r>
      <w:r w:rsidR="002E5F54">
        <w:t xml:space="preserve"> conducted</w:t>
      </w:r>
      <w:r>
        <w:t xml:space="preserve">, which were </w:t>
      </w:r>
      <w:r w:rsidR="002E5F54">
        <w:t xml:space="preserve">equated to </w:t>
      </w:r>
      <w:r>
        <w:t xml:space="preserve">88.8% and 75.7% response rates respectively </w:t>
      </w:r>
      <w:r w:rsidR="00550107">
        <w:fldChar w:fldCharType="begin"/>
      </w:r>
      <w:r>
        <w:instrText xml:space="preserve"> ADDIN EN.CITE &lt;EndNote&gt;&lt;Cite&gt;&lt;Author&gt;Substance Abuse and Mental Health Services Administration&lt;/Author&gt;&lt;Year&gt;2010&lt;/Year&gt;&lt;RecNum&gt;420&lt;/RecNum&gt;&lt;DisplayText&gt;(Substance Abuse and Mental Health Services Administration, 2010)&lt;/DisplayText&gt;&lt;record&gt;&lt;rec-number&gt;420&lt;/rec-number&gt;&lt;foreign-keys&gt;&lt;key app="EN" db-id="02dwfapew02tdked2f4p0xerwdapvw5vztpp"&gt;420&lt;/key&gt;&lt;/foreign-keys&gt;&lt;ref-type name="Government Document"&gt;46&lt;/ref-type&gt;&lt;contributors&gt;&lt;authors&gt;&lt;author&gt;Substance Abuse and Mental Health Services Administration,&lt;/author&gt;&lt;/authors&gt;&lt;/contributors&gt;&lt;titles&gt;&lt;title&gt;Results from the 2009 National Survey on Drug Use and Health: Volume I. Summary of National Findings&lt;/title&gt;&lt;/titles&gt;&lt;dates&gt;&lt;year&gt;2010&lt;/year&gt;&lt;/dates&gt;&lt;pub-location&gt;Rockville, MD&lt;/pub-location&gt;&lt;isbn&gt;Office of Applied Studies, NSDUH Series H-38A, HHS Publication No. SMA 10-4586Findings&lt;/isbn&gt;&lt;urls&gt;&lt;/urls&gt;&lt;/record&gt;&lt;/Cite&gt;&lt;/EndNote&gt;</w:instrText>
      </w:r>
      <w:r w:rsidR="00550107">
        <w:fldChar w:fldCharType="separate"/>
      </w:r>
      <w:r>
        <w:rPr>
          <w:noProof/>
        </w:rPr>
        <w:t>(</w:t>
      </w:r>
      <w:hyperlink w:anchor="_ENREF_53" w:tooltip="Substance Abuse and Mental Health Services Administration, 2010 #420" w:history="1">
        <w:r w:rsidR="00D213F7">
          <w:rPr>
            <w:noProof/>
          </w:rPr>
          <w:t>Substance Abuse and Mental Health Services Administration, 2010</w:t>
        </w:r>
      </w:hyperlink>
      <w:r>
        <w:rPr>
          <w:noProof/>
        </w:rPr>
        <w:t>)</w:t>
      </w:r>
      <w:r w:rsidR="00550107">
        <w:fldChar w:fldCharType="end"/>
      </w:r>
      <w:r>
        <w:t>.</w:t>
      </w:r>
    </w:p>
    <w:p w:rsidR="002311AD" w:rsidRDefault="002311AD" w:rsidP="00863BB2">
      <w:r>
        <w:t xml:space="preserve">The </w:t>
      </w:r>
      <w:r w:rsidR="00B5750D">
        <w:t>N</w:t>
      </w:r>
      <w:r w:rsidR="00E96A70">
        <w:t>SDUH</w:t>
      </w:r>
      <w:r w:rsidR="00B5750D" w:rsidDel="00B5750D">
        <w:t xml:space="preserve"> </w:t>
      </w:r>
      <w:r>
        <w:t xml:space="preserve">presents </w:t>
      </w:r>
      <w:r w:rsidR="00FD30A4">
        <w:t>findings</w:t>
      </w:r>
      <w:r>
        <w:t xml:space="preserve"> </w:t>
      </w:r>
      <w:r w:rsidR="002E5F54">
        <w:t>similar to</w:t>
      </w:r>
      <w:r w:rsidR="00C91AA3">
        <w:t xml:space="preserve"> </w:t>
      </w:r>
      <w:r w:rsidR="002E5F54">
        <w:t xml:space="preserve">those derived from the </w:t>
      </w:r>
      <w:r>
        <w:t>MTF</w:t>
      </w:r>
      <w:r w:rsidR="006D753B">
        <w:t>,</w:t>
      </w:r>
      <w:r w:rsidR="00FD30A4">
        <w:t xml:space="preserve"> although it presents </w:t>
      </w:r>
      <w:r w:rsidR="002E5F54">
        <w:t xml:space="preserve">findings based on </w:t>
      </w:r>
      <w:r w:rsidR="00E60BEC">
        <w:t>individuals between 12 and 49</w:t>
      </w:r>
      <w:r w:rsidR="002E5F54">
        <w:t xml:space="preserve"> in age, rather than </w:t>
      </w:r>
      <w:r w:rsidR="00C91AA3">
        <w:t>individuals attending an educational institution between 12 and 50 years of age</w:t>
      </w:r>
      <w:r w:rsidR="006D753B">
        <w:t xml:space="preserve">. </w:t>
      </w:r>
      <w:r w:rsidR="00FD30A4">
        <w:t>The survey affirms that p</w:t>
      </w:r>
      <w:r>
        <w:t>rescription drug abuse is on the rise</w:t>
      </w:r>
      <w:r w:rsidR="00FD30A4">
        <w:t xml:space="preserve"> among</w:t>
      </w:r>
      <w:r w:rsidR="00E60BEC">
        <w:t xml:space="preserve"> individuals between 12 and 49, but individuals between 18 and 25 are at a greater risk</w:t>
      </w:r>
      <w:r>
        <w:t xml:space="preserve">. </w:t>
      </w:r>
      <w:r w:rsidR="002E5F54">
        <w:t>T</w:t>
      </w:r>
      <w:r>
        <w:t>he NSDUH does not specify types of prescription drugs</w:t>
      </w:r>
      <w:r w:rsidR="00FD30A4">
        <w:t xml:space="preserve"> being used,</w:t>
      </w:r>
      <w:r>
        <w:t xml:space="preserve"> and class</w:t>
      </w:r>
      <w:r w:rsidR="003F3634">
        <w:t>ifies</w:t>
      </w:r>
      <w:r>
        <w:t xml:space="preserve"> all drugs in the stimulant category. This makes trending data for specific drugs such as Adderall® and Ritalin® difficult. Regardless of the limitations</w:t>
      </w:r>
      <w:r w:rsidR="002E5F54">
        <w:t xml:space="preserve"> of the study</w:t>
      </w:r>
      <w:r>
        <w:t xml:space="preserve">, the data presented indicates </w:t>
      </w:r>
      <w:r w:rsidR="002E5F54">
        <w:t xml:space="preserve">stimulant abuse to be </w:t>
      </w:r>
      <w:r>
        <w:t xml:space="preserve">a national problem for individuals 18 to 25 </w:t>
      </w:r>
      <w:r w:rsidR="00550107">
        <w:fldChar w:fldCharType="begin"/>
      </w:r>
      <w:r>
        <w:instrText xml:space="preserve"> ADDIN EN.CITE &lt;EndNote&gt;&lt;Cite&gt;&lt;Author&gt;Substance Abuse and Mental Health Services Administration&lt;/Author&gt;&lt;Year&gt;2010&lt;/Year&gt;&lt;RecNum&gt;420&lt;/RecNum&gt;&lt;DisplayText&gt;(Substance Abuse and Mental Health Services Administration, 2010)&lt;/DisplayText&gt;&lt;record&gt;&lt;rec-number&gt;420&lt;/rec-number&gt;&lt;foreign-keys&gt;&lt;key app="EN" db-id="02dwfapew02tdked2f4p0xerwdapvw5vztpp"&gt;420&lt;/key&gt;&lt;/foreign-keys&gt;&lt;ref-type name="Government Document"&gt;46&lt;/ref-type&gt;&lt;contributors&gt;&lt;authors&gt;&lt;author&gt;Substance Abuse and Mental Health Services Administration,&lt;/author&gt;&lt;/authors&gt;&lt;/contributors&gt;&lt;titles&gt;&lt;title&gt;Results from the 2009 National Survey on Drug Use and Health: Volume I. Summary of National Findings&lt;/title&gt;&lt;/titles&gt;&lt;dates&gt;&lt;year&gt;2010&lt;/year&gt;&lt;/dates&gt;&lt;pub-location&gt;Rockville, MD&lt;/pub-location&gt;&lt;isbn&gt;Office of Applied Studies, NSDUH Series H-38A, HHS Publication No. SMA 10-4586Findings&lt;/isbn&gt;&lt;urls&gt;&lt;/urls&gt;&lt;/record&gt;&lt;/Cite&gt;&lt;/EndNote&gt;</w:instrText>
      </w:r>
      <w:r w:rsidR="00550107">
        <w:fldChar w:fldCharType="separate"/>
      </w:r>
      <w:r>
        <w:rPr>
          <w:noProof/>
        </w:rPr>
        <w:t>(</w:t>
      </w:r>
      <w:hyperlink w:anchor="_ENREF_53" w:tooltip="Substance Abuse and Mental Health Services Administration, 2010 #420" w:history="1">
        <w:r w:rsidR="00D213F7">
          <w:rPr>
            <w:noProof/>
          </w:rPr>
          <w:t>Substance Abuse and Mental Health Services Administration, 2010</w:t>
        </w:r>
      </w:hyperlink>
      <w:r>
        <w:rPr>
          <w:noProof/>
        </w:rPr>
        <w:t>)</w:t>
      </w:r>
      <w:r w:rsidR="00550107">
        <w:fldChar w:fldCharType="end"/>
      </w:r>
      <w:r>
        <w:t>.</w:t>
      </w:r>
    </w:p>
    <w:p w:rsidR="007521D6" w:rsidRDefault="00FF4EB5" w:rsidP="00863BB2">
      <w:r>
        <w:t>The analys</w:t>
      </w:r>
      <w:r w:rsidR="006D753B">
        <w:t>i</w:t>
      </w:r>
      <w:r>
        <w:t>s</w:t>
      </w:r>
      <w:r w:rsidR="006D753B">
        <w:t xml:space="preserve"> of the </w:t>
      </w:r>
      <w:r w:rsidR="002E5F54">
        <w:t xml:space="preserve">2009 </w:t>
      </w:r>
      <w:r w:rsidR="00756C35">
        <w:t>NSDUH</w:t>
      </w:r>
      <w:r w:rsidR="006D753B">
        <w:t xml:space="preserve"> data</w:t>
      </w:r>
      <w:r>
        <w:t xml:space="preserve"> revealed, </w:t>
      </w:r>
      <w:r w:rsidR="00863BB2">
        <w:t xml:space="preserve">28.6% of </w:t>
      </w:r>
      <w:r w:rsidR="00B37D36">
        <w:t>drug users</w:t>
      </w:r>
      <w:r w:rsidR="00863BB2">
        <w:t xml:space="preserve"> 12 and older were initiated </w:t>
      </w:r>
      <w:r w:rsidR="00FD30A4">
        <w:t xml:space="preserve">to drug use </w:t>
      </w:r>
      <w:r w:rsidR="00863BB2">
        <w:t xml:space="preserve">via prescription drugs. Of that percentage, 2.0% attributed </w:t>
      </w:r>
      <w:r w:rsidR="00FD30A4">
        <w:t xml:space="preserve">their overall illicit drug use to the use of </w:t>
      </w:r>
      <w:r w:rsidR="00863BB2">
        <w:t xml:space="preserve">prescription stimulants. </w:t>
      </w:r>
      <w:r w:rsidR="005D2364">
        <w:t>The study also reported</w:t>
      </w:r>
      <w:r w:rsidR="00863BB2">
        <w:t xml:space="preserve"> a rise in general prescription drug abuse</w:t>
      </w:r>
      <w:r w:rsidR="005D2364">
        <w:t xml:space="preserve"> from 2008 to 2009</w:t>
      </w:r>
      <w:r w:rsidR="00863BB2">
        <w:t xml:space="preserve">, </w:t>
      </w:r>
      <w:r w:rsidR="005D2364">
        <w:t xml:space="preserve">from </w:t>
      </w:r>
      <w:r w:rsidR="00863BB2">
        <w:t xml:space="preserve">5.5% to 6.3%. These statistics are comparable </w:t>
      </w:r>
      <w:r w:rsidR="00B37D36">
        <w:t xml:space="preserve">to the </w:t>
      </w:r>
      <w:r w:rsidR="005D2364">
        <w:t xml:space="preserve">findings of the </w:t>
      </w:r>
      <w:r w:rsidR="00B37D36">
        <w:t>MTF</w:t>
      </w:r>
      <w:r w:rsidR="007E4A48">
        <w:t xml:space="preserve"> </w:t>
      </w:r>
      <w:r w:rsidR="005D2364">
        <w:t>study</w:t>
      </w:r>
      <w:r w:rsidR="00BA67F4">
        <w:t xml:space="preserve"> </w:t>
      </w:r>
      <w:r w:rsidR="00550107">
        <w:fldChar w:fldCharType="begin"/>
      </w:r>
      <w:r w:rsidR="00BA67F4">
        <w:instrText xml:space="preserve"> ADDIN EN.CITE &lt;EndNote&gt;&lt;Cite&gt;&lt;Author&gt;Substance Abuse and Mental Health Services Administration&lt;/Author&gt;&lt;Year&gt;2010&lt;/Year&gt;&lt;RecNum&gt;420&lt;/RecNum&gt;&lt;DisplayText&gt;(Substance Abuse and Mental Health Services Administration, 2010)&lt;/DisplayText&gt;&lt;record&gt;&lt;rec-number&gt;420&lt;/rec-number&gt;&lt;foreign-keys&gt;&lt;key app="EN" db-id="02dwfapew02tdked2f4p0xerwdapvw5vztpp"&gt;420&lt;/key&gt;&lt;/foreign-keys&gt;&lt;ref-type name="Government Document"&gt;46&lt;/ref-type&gt;&lt;contributors&gt;&lt;authors&gt;&lt;author&gt;Substance Abuse and Mental Health Services Administration,&lt;/author&gt;&lt;/authors&gt;&lt;/contributors&gt;&lt;titles&gt;&lt;title&gt;Results from the 2009 National Survey on Drug Use and Health: Volume I. Summary of National Findings&lt;/title&gt;&lt;/titles&gt;&lt;dates&gt;&lt;year&gt;2010&lt;/year&gt;&lt;/dates&gt;&lt;pub-location&gt;Rockville, MD&lt;/pub-location&gt;&lt;isbn&gt;Office of Applied Studies, NSDUH Series H-38A, HHS Publication No. SMA 10-4586Findings&lt;/isbn&gt;&lt;urls&gt;&lt;/urls&gt;&lt;/record&gt;&lt;/Cite&gt;&lt;/EndNote&gt;</w:instrText>
      </w:r>
      <w:r w:rsidR="00550107">
        <w:fldChar w:fldCharType="separate"/>
      </w:r>
      <w:r w:rsidR="00BA67F4">
        <w:rPr>
          <w:noProof/>
        </w:rPr>
        <w:t>(</w:t>
      </w:r>
      <w:hyperlink w:anchor="_ENREF_53" w:tooltip="Substance Abuse and Mental Health Services Administration, 2010 #420" w:history="1">
        <w:r w:rsidR="00D213F7">
          <w:rPr>
            <w:noProof/>
          </w:rPr>
          <w:t>Substance Abuse and Mental Health Services Administration, 2010</w:t>
        </w:r>
      </w:hyperlink>
      <w:r w:rsidR="00BA67F4">
        <w:rPr>
          <w:noProof/>
        </w:rPr>
        <w:t>)</w:t>
      </w:r>
      <w:r w:rsidR="00550107">
        <w:fldChar w:fldCharType="end"/>
      </w:r>
      <w:r w:rsidR="005D2364">
        <w:t>.</w:t>
      </w:r>
      <w:r w:rsidR="00863BB2">
        <w:t xml:space="preserve"> </w:t>
      </w:r>
    </w:p>
    <w:p w:rsidR="00C30343" w:rsidRDefault="00550107" w:rsidP="00C30343">
      <w:r>
        <w:fldChar w:fldCharType="begin"/>
      </w:r>
      <w:r w:rsidR="00C91AA3">
        <w:instrText xml:space="preserve"> ADDIN EN.CITE &lt;EndNote&gt;&lt;Cite AuthorYear="1"&gt;&lt;Author&gt;Kroutil&lt;/Author&gt;&lt;Year&gt;2006&lt;/Year&gt;&lt;RecNum&gt;432&lt;/RecNum&gt;&lt;DisplayText&gt;Kroutil et al. (2006)&lt;/DisplayText&gt;&lt;record&gt;&lt;rec-number&gt;432&lt;/rec-number&gt;&lt;foreign-keys&gt;&lt;key app="EN" db-id="02dwfapew02tdked2f4p0xerwdapvw5vztpp"&gt;432&lt;/key&gt;&lt;/foreign-keys&gt;&lt;ref-type name="Journal Article"&gt;17&lt;/ref-type&gt;&lt;contributors&gt;&lt;authors&gt;&lt;author&gt;Kroutil, Larry A.&lt;/author&gt;&lt;author&gt;Van Brunt, David L.&lt;/author&gt;&lt;author&gt;Herman-Stahl, Mindy A.&lt;/author&gt;&lt;author&gt;Heller, David C.&lt;/author&gt;&lt;author&gt;Bray, Robert M.&lt;/author&gt;&lt;author&gt;Penne, Michael A.&lt;/author&gt;&lt;/authors&gt;&lt;/contributors&gt;&lt;titles&gt;&lt;title&gt;Nonmedical use of prescription stimulants in the United States&lt;/title&gt;&lt;secondary-title&gt;Drug and Alcohol Dependence&lt;/secondary-title&gt;&lt;/titles&gt;&lt;periodical&gt;&lt;full-title&gt;Drug and Alcohol Dependence&lt;/full-title&gt;&lt;/periodical&gt;&lt;pages&gt;135-143&lt;/pages&gt;&lt;volume&gt;84&lt;/volume&gt;&lt;number&gt;2&lt;/number&gt;&lt;keywords&gt;&lt;keyword&gt;Attention-deficit/hyperactivity disorder (ADHD)&lt;/keyword&gt;&lt;keyword&gt;Stimulants&lt;/keyword&gt;&lt;keyword&gt;Methamphetamine&lt;/keyword&gt;&lt;keyword&gt;Nonmedical use&lt;/keyword&gt;&lt;keyword&gt;Correlates&lt;/keyword&gt;&lt;/keywords&gt;&lt;dates&gt;&lt;year&gt;2006&lt;/year&gt;&lt;/dates&gt;&lt;isbn&gt;0376-8716&lt;/isbn&gt;&lt;urls&gt;&lt;related-urls&gt;&lt;url&gt;http://www.sciencedirect.com/science/article/pii/S0376871606000202&lt;/url&gt;&lt;/related-urls&gt;&lt;/urls&gt;&lt;electronic-resource-num&gt;10.1016/j.drugalcdep.2005.12.011&lt;/electronic-resource-num&gt;&lt;/record&gt;&lt;/Cite&gt;&lt;/EndNote&gt;</w:instrText>
      </w:r>
      <w:r>
        <w:fldChar w:fldCharType="separate"/>
      </w:r>
      <w:hyperlink w:anchor="_ENREF_27" w:tooltip="Kroutil, 2006 #432" w:history="1">
        <w:r w:rsidR="00D213F7">
          <w:rPr>
            <w:noProof/>
          </w:rPr>
          <w:t>Kroutil et al. (2006</w:t>
        </w:r>
      </w:hyperlink>
      <w:r w:rsidR="00C91AA3">
        <w:rPr>
          <w:noProof/>
        </w:rPr>
        <w:t>)</w:t>
      </w:r>
      <w:r>
        <w:fldChar w:fldCharType="end"/>
      </w:r>
      <w:r w:rsidR="007521D6">
        <w:t xml:space="preserve"> examined the NSDUH data to determine prevalence rates and correlates of prescription stimulant abuse. </w:t>
      </w:r>
      <w:r w:rsidR="00C30343">
        <w:t xml:space="preserve">In 2002, the prevalence rate among individuals 12 and older in the United States illicitly having used prescription stimulants at least once in their </w:t>
      </w:r>
      <w:r w:rsidR="00C30343">
        <w:lastRenderedPageBreak/>
        <w:t>lifetime was estimated to be 21 million people</w:t>
      </w:r>
      <w:r w:rsidR="005F5EC9">
        <w:t xml:space="preserve"> </w:t>
      </w:r>
      <w:r>
        <w:fldChar w:fldCharType="begin"/>
      </w:r>
      <w:r w:rsidR="00E96A70">
        <w:instrText xml:space="preserve"> ADDIN EN.CITE &lt;EndNote&gt;&lt;Cite&gt;&lt;Author&gt;Kroutil&lt;/Author&gt;&lt;Year&gt;2006&lt;/Year&gt;&lt;RecNum&gt;432&lt;/RecNum&gt;&lt;DisplayText&gt;(Kroutil et al., 2006)&lt;/DisplayText&gt;&lt;record&gt;&lt;rec-number&gt;432&lt;/rec-number&gt;&lt;foreign-keys&gt;&lt;key app="EN" db-id="02dwfapew02tdked2f4p0xerwdapvw5vztpp"&gt;432&lt;/key&gt;&lt;/foreign-keys&gt;&lt;ref-type name="Journal Article"&gt;17&lt;/ref-type&gt;&lt;contributors&gt;&lt;authors&gt;&lt;author&gt;Kroutil, Larry A.&lt;/author&gt;&lt;author&gt;Van Brunt, David L.&lt;/author&gt;&lt;author&gt;Herman-Stahl, Mindy A.&lt;/author&gt;&lt;author&gt;Heller, David C.&lt;/author&gt;&lt;author&gt;Bray, Robert M.&lt;/author&gt;&lt;author&gt;Penne, Michael A.&lt;/author&gt;&lt;/authors&gt;&lt;/contributors&gt;&lt;titles&gt;&lt;title&gt;Nonmedical use of prescription stimulants in the United States&lt;/title&gt;&lt;secondary-title&gt;Drug and Alcohol Dependence&lt;/secondary-title&gt;&lt;/titles&gt;&lt;periodical&gt;&lt;full-title&gt;Drug and Alcohol Dependence&lt;/full-title&gt;&lt;/periodical&gt;&lt;pages&gt;135-143&lt;/pages&gt;&lt;volume&gt;84&lt;/volume&gt;&lt;number&gt;2&lt;/number&gt;&lt;keywords&gt;&lt;keyword&gt;Attention-deficit/hyperactivity disorder (ADHD)&lt;/keyword&gt;&lt;keyword&gt;Stimulants&lt;/keyword&gt;&lt;keyword&gt;Methamphetamine&lt;/keyword&gt;&lt;keyword&gt;Nonmedical use&lt;/keyword&gt;&lt;keyword&gt;Correlates&lt;/keyword&gt;&lt;/keywords&gt;&lt;dates&gt;&lt;year&gt;2006&lt;/year&gt;&lt;/dates&gt;&lt;isbn&gt;0376-8716&lt;/isbn&gt;&lt;urls&gt;&lt;related-urls&gt;&lt;url&gt;http://www.sciencedirect.com/science/article/pii/S0376871606000202&lt;/url&gt;&lt;/related-urls&gt;&lt;/urls&gt;&lt;electronic-resource-num&gt;10.1016/j.drugalcdep.2005.12.011&lt;/electronic-resource-num&gt;&lt;/record&gt;&lt;/Cite&gt;&lt;/EndNote&gt;</w:instrText>
      </w:r>
      <w:r>
        <w:fldChar w:fldCharType="separate"/>
      </w:r>
      <w:r w:rsidR="00E96A70">
        <w:rPr>
          <w:noProof/>
        </w:rPr>
        <w:t>(</w:t>
      </w:r>
      <w:hyperlink w:anchor="_ENREF_27" w:tooltip="Kroutil, 2006 #432" w:history="1">
        <w:r w:rsidR="00D213F7">
          <w:rPr>
            <w:noProof/>
          </w:rPr>
          <w:t>Kroutil et al., 2006</w:t>
        </w:r>
      </w:hyperlink>
      <w:r w:rsidR="00E96A70">
        <w:rPr>
          <w:noProof/>
        </w:rPr>
        <w:t>)</w:t>
      </w:r>
      <w:r>
        <w:fldChar w:fldCharType="end"/>
      </w:r>
      <w:r w:rsidR="00C30343">
        <w:t xml:space="preserve">. Individuals who reported using prescription stimulants </w:t>
      </w:r>
      <w:r w:rsidR="007E4A48">
        <w:t xml:space="preserve">exclusively </w:t>
      </w:r>
      <w:r w:rsidR="00C30343">
        <w:t xml:space="preserve">for ADHD </w:t>
      </w:r>
      <w:r w:rsidR="005379ED">
        <w:t xml:space="preserve">symptoms </w:t>
      </w:r>
      <w:r w:rsidR="00C30343">
        <w:t xml:space="preserve">accounted for 39.3% of the population reporting illicit stimulant use, whereas 70% </w:t>
      </w:r>
      <w:r w:rsidR="005379ED">
        <w:t xml:space="preserve">of those self-reported </w:t>
      </w:r>
      <w:r w:rsidR="00C30343">
        <w:t>had used stimulants other than methamphetamine</w:t>
      </w:r>
      <w:r w:rsidR="005F5EC9">
        <w:t xml:space="preserve"> </w:t>
      </w:r>
      <w:r w:rsidR="005379ED">
        <w:t xml:space="preserve">for various reasons other than self-treatment </w:t>
      </w:r>
      <w:r>
        <w:fldChar w:fldCharType="begin"/>
      </w:r>
      <w:r w:rsidR="00E96A70">
        <w:instrText xml:space="preserve"> ADDIN EN.CITE &lt;EndNote&gt;&lt;Cite&gt;&lt;Author&gt;Kroutil&lt;/Author&gt;&lt;Year&gt;2006&lt;/Year&gt;&lt;RecNum&gt;432&lt;/RecNum&gt;&lt;DisplayText&gt;(Kroutil et al., 2006)&lt;/DisplayText&gt;&lt;record&gt;&lt;rec-number&gt;432&lt;/rec-number&gt;&lt;foreign-keys&gt;&lt;key app="EN" db-id="02dwfapew02tdked2f4p0xerwdapvw5vztpp"&gt;432&lt;/key&gt;&lt;/foreign-keys&gt;&lt;ref-type name="Journal Article"&gt;17&lt;/ref-type&gt;&lt;contributors&gt;&lt;authors&gt;&lt;author&gt;Kroutil, Larry A.&lt;/author&gt;&lt;author&gt;Van Brunt, David L.&lt;/author&gt;&lt;author&gt;Herman-Stahl, Mindy A.&lt;/author&gt;&lt;author&gt;Heller, David C.&lt;/author&gt;&lt;author&gt;Bray, Robert M.&lt;/author&gt;&lt;author&gt;Penne, Michael A.&lt;/author&gt;&lt;/authors&gt;&lt;/contributors&gt;&lt;titles&gt;&lt;title&gt;Nonmedical use of prescription stimulants in the United States&lt;/title&gt;&lt;secondary-title&gt;Drug and Alcohol Dependence&lt;/secondary-title&gt;&lt;/titles&gt;&lt;periodical&gt;&lt;full-title&gt;Drug and Alcohol Dependence&lt;/full-title&gt;&lt;/periodical&gt;&lt;pages&gt;135-143&lt;/pages&gt;&lt;volume&gt;84&lt;/volume&gt;&lt;number&gt;2&lt;/number&gt;&lt;keywords&gt;&lt;keyword&gt;Attention-deficit/hyperactivity disorder (ADHD)&lt;/keyword&gt;&lt;keyword&gt;Stimulants&lt;/keyword&gt;&lt;keyword&gt;Methamphetamine&lt;/keyword&gt;&lt;keyword&gt;Nonmedical use&lt;/keyword&gt;&lt;keyword&gt;Correlates&lt;/keyword&gt;&lt;/keywords&gt;&lt;dates&gt;&lt;year&gt;2006&lt;/year&gt;&lt;/dates&gt;&lt;isbn&gt;0376-8716&lt;/isbn&gt;&lt;urls&gt;&lt;related-urls&gt;&lt;url&gt;http://www.sciencedirect.com/science/article/pii/S0376871606000202&lt;/url&gt;&lt;/related-urls&gt;&lt;/urls&gt;&lt;electronic-resource-num&gt;10.1016/j.drugalcdep.2005.12.011&lt;/electronic-resource-num&gt;&lt;/record&gt;&lt;/Cite&gt;&lt;/EndNote&gt;</w:instrText>
      </w:r>
      <w:r>
        <w:fldChar w:fldCharType="separate"/>
      </w:r>
      <w:r w:rsidR="00E96A70">
        <w:rPr>
          <w:noProof/>
        </w:rPr>
        <w:t>(</w:t>
      </w:r>
      <w:hyperlink w:anchor="_ENREF_27" w:tooltip="Kroutil, 2006 #432" w:history="1">
        <w:r w:rsidR="00D213F7">
          <w:rPr>
            <w:noProof/>
          </w:rPr>
          <w:t>Kroutil et al., 2006</w:t>
        </w:r>
      </w:hyperlink>
      <w:r w:rsidR="00E96A70">
        <w:rPr>
          <w:noProof/>
        </w:rPr>
        <w:t>)</w:t>
      </w:r>
      <w:r>
        <w:fldChar w:fldCharType="end"/>
      </w:r>
      <w:r w:rsidR="00C30343">
        <w:t>. The age group that exhibited the highest rate of use was individuals from 18 to 25, with a rate of abuse at 5.9%</w:t>
      </w:r>
      <w:r w:rsidR="00756C35">
        <w:t>. Further, they</w:t>
      </w:r>
      <w:r w:rsidR="00C30343">
        <w:t xml:space="preserve"> were 16.74 times more likely to abuse prescription stimulants for ADHD than any other age group. Males had a slightly higher risk of abusing prescription stimulants than females (Odds Ratio</w:t>
      </w:r>
      <w:r w:rsidR="00FF53C1">
        <w:t xml:space="preserve"> </w:t>
      </w:r>
      <w:r w:rsidR="00C30343">
        <w:t xml:space="preserve">= 1.52 vs. 1.00). Individuals with household incomes </w:t>
      </w:r>
      <w:r w:rsidR="00756C35">
        <w:t xml:space="preserve">of </w:t>
      </w:r>
      <w:r w:rsidR="00C30343">
        <w:t xml:space="preserve">less than $10,000 had a slightly higher rate of abusing prescription stimulants than did individuals with higher incomes </w:t>
      </w:r>
      <w:r>
        <w:fldChar w:fldCharType="begin"/>
      </w:r>
      <w:r w:rsidR="00E96A70">
        <w:instrText xml:space="preserve"> ADDIN EN.CITE &lt;EndNote&gt;&lt;Cite&gt;&lt;Author&gt;Kroutil&lt;/Author&gt;&lt;Year&gt;2006&lt;/Year&gt;&lt;RecNum&gt;432&lt;/RecNum&gt;&lt;DisplayText&gt;(Kroutil et al., 2006)&lt;/DisplayText&gt;&lt;record&gt;&lt;rec-number&gt;432&lt;/rec-number&gt;&lt;foreign-keys&gt;&lt;key app="EN" db-id="02dwfapew02tdked2f4p0xerwdapvw5vztpp"&gt;432&lt;/key&gt;&lt;/foreign-keys&gt;&lt;ref-type name="Journal Article"&gt;17&lt;/ref-type&gt;&lt;contributors&gt;&lt;authors&gt;&lt;author&gt;Kroutil, Larry A.&lt;/author&gt;&lt;author&gt;Van Brunt, David L.&lt;/author&gt;&lt;author&gt;Herman-Stahl, Mindy A.&lt;/author&gt;&lt;author&gt;Heller, David C.&lt;/author&gt;&lt;author&gt;Bray, Robert M.&lt;/author&gt;&lt;author&gt;Penne, Michael A.&lt;/author&gt;&lt;/authors&gt;&lt;/contributors&gt;&lt;titles&gt;&lt;title&gt;Nonmedical use of prescription stimulants in the United States&lt;/title&gt;&lt;secondary-title&gt;Drug and Alcohol Dependence&lt;/secondary-title&gt;&lt;/titles&gt;&lt;periodical&gt;&lt;full-title&gt;Drug and Alcohol Dependence&lt;/full-title&gt;&lt;/periodical&gt;&lt;pages&gt;135-143&lt;/pages&gt;&lt;volume&gt;84&lt;/volume&gt;&lt;number&gt;2&lt;/number&gt;&lt;keywords&gt;&lt;keyword&gt;Attention-deficit/hyperactivity disorder (ADHD)&lt;/keyword&gt;&lt;keyword&gt;Stimulants&lt;/keyword&gt;&lt;keyword&gt;Methamphetamine&lt;/keyword&gt;&lt;keyword&gt;Nonmedical use&lt;/keyword&gt;&lt;keyword&gt;Correlates&lt;/keyword&gt;&lt;/keywords&gt;&lt;dates&gt;&lt;year&gt;2006&lt;/year&gt;&lt;/dates&gt;&lt;isbn&gt;0376-8716&lt;/isbn&gt;&lt;urls&gt;&lt;related-urls&gt;&lt;url&gt;http://www.sciencedirect.com/science/article/pii/S0376871606000202&lt;/url&gt;&lt;/related-urls&gt;&lt;/urls&gt;&lt;electronic-resource-num&gt;10.1016/j.drugalcdep.2005.12.011&lt;/electronic-resource-num&gt;&lt;/record&gt;&lt;/Cite&gt;&lt;/EndNote&gt;</w:instrText>
      </w:r>
      <w:r>
        <w:fldChar w:fldCharType="separate"/>
      </w:r>
      <w:r w:rsidR="00E96A70">
        <w:rPr>
          <w:noProof/>
        </w:rPr>
        <w:t>(</w:t>
      </w:r>
      <w:hyperlink w:anchor="_ENREF_27" w:tooltip="Kroutil, 2006 #432" w:history="1">
        <w:r w:rsidR="00D213F7">
          <w:rPr>
            <w:noProof/>
          </w:rPr>
          <w:t>Kroutil et al., 2006</w:t>
        </w:r>
      </w:hyperlink>
      <w:r w:rsidR="00E96A70">
        <w:rPr>
          <w:noProof/>
        </w:rPr>
        <w:t>)</w:t>
      </w:r>
      <w:r>
        <w:fldChar w:fldCharType="end"/>
      </w:r>
      <w:r w:rsidR="00C30343">
        <w:t>.</w:t>
      </w:r>
    </w:p>
    <w:p w:rsidR="00142FAF" w:rsidRDefault="00C30343" w:rsidP="00863BB2">
      <w:r>
        <w:t xml:space="preserve">Prior to </w:t>
      </w:r>
      <w:r w:rsidR="00550107">
        <w:fldChar w:fldCharType="begin"/>
      </w:r>
      <w:r w:rsidR="00E96A70">
        <w:instrText xml:space="preserve"> ADDIN EN.CITE &lt;EndNote&gt;&lt;Cite AuthorYear="1"&gt;&lt;Author&gt;Kroutil&lt;/Author&gt;&lt;Year&gt;2006&lt;/Year&gt;&lt;RecNum&gt;432&lt;/RecNum&gt;&lt;DisplayText&gt;Kroutil et al. (2006)&lt;/DisplayText&gt;&lt;record&gt;&lt;rec-number&gt;432&lt;/rec-number&gt;&lt;foreign-keys&gt;&lt;key app="EN" db-id="02dwfapew02tdked2f4p0xerwdapvw5vztpp"&gt;432&lt;/key&gt;&lt;/foreign-keys&gt;&lt;ref-type name="Journal Article"&gt;17&lt;/ref-type&gt;&lt;contributors&gt;&lt;authors&gt;&lt;author&gt;Kroutil, Larry A.&lt;/author&gt;&lt;author&gt;Van Brunt, David L.&lt;/author&gt;&lt;author&gt;Herman-Stahl, Mindy A.&lt;/author&gt;&lt;author&gt;Heller, David C.&lt;/author&gt;&lt;author&gt;Bray, Robert M.&lt;/author&gt;&lt;author&gt;Penne, Michael A.&lt;/author&gt;&lt;/authors&gt;&lt;/contributors&gt;&lt;titles&gt;&lt;title&gt;Nonmedical use of prescription stimulants in the United States&lt;/title&gt;&lt;secondary-title&gt;Drug and Alcohol Dependence&lt;/secondary-title&gt;&lt;/titles&gt;&lt;periodical&gt;&lt;full-title&gt;Drug and Alcohol Dependence&lt;/full-title&gt;&lt;/periodical&gt;&lt;pages&gt;135-143&lt;/pages&gt;&lt;volume&gt;84&lt;/volume&gt;&lt;number&gt;2&lt;/number&gt;&lt;keywords&gt;&lt;keyword&gt;Attention-deficit/hyperactivity disorder (ADHD)&lt;/keyword&gt;&lt;keyword&gt;Stimulants&lt;/keyword&gt;&lt;keyword&gt;Methamphetamine&lt;/keyword&gt;&lt;keyword&gt;Nonmedical use&lt;/keyword&gt;&lt;keyword&gt;Correlates&lt;/keyword&gt;&lt;/keywords&gt;&lt;dates&gt;&lt;year&gt;2006&lt;/year&gt;&lt;/dates&gt;&lt;isbn&gt;0376-8716&lt;/isbn&gt;&lt;urls&gt;&lt;related-urls&gt;&lt;url&gt;http://www.sciencedirect.com/science/article/pii/S0376871606000202&lt;/url&gt;&lt;/related-urls&gt;&lt;/urls&gt;&lt;electronic-resource-num&gt;10.1016/j.drugalcdep.2005.12.011&lt;/electronic-resource-num&gt;&lt;/record&gt;&lt;/Cite&gt;&lt;/EndNote&gt;</w:instrText>
      </w:r>
      <w:r w:rsidR="00550107">
        <w:fldChar w:fldCharType="separate"/>
      </w:r>
      <w:hyperlink w:anchor="_ENREF_27" w:tooltip="Kroutil, 2006 #432" w:history="1">
        <w:r w:rsidR="00D213F7">
          <w:rPr>
            <w:noProof/>
          </w:rPr>
          <w:t>Kroutil et al. (2006</w:t>
        </w:r>
      </w:hyperlink>
      <w:r w:rsidR="00E96A70">
        <w:rPr>
          <w:noProof/>
        </w:rPr>
        <w:t>)</w:t>
      </w:r>
      <w:r w:rsidR="00550107">
        <w:fldChar w:fldCharType="end"/>
      </w:r>
      <w:r>
        <w:t>, t</w:t>
      </w:r>
      <w:r w:rsidR="00142FAF">
        <w:t xml:space="preserve">he National Center on Addiction and Substance Abuse at Columbia University (CASA) </w:t>
      </w:r>
      <w:r w:rsidR="005D2364">
        <w:t xml:space="preserve">noted </w:t>
      </w:r>
      <w:r w:rsidR="00142FAF">
        <w:t xml:space="preserve">the growing trend of prescription drug abuse </w:t>
      </w:r>
      <w:r w:rsidR="005D2364">
        <w:t>in</w:t>
      </w:r>
      <w:r w:rsidR="00142FAF">
        <w:t xml:space="preserve"> the United States </w:t>
      </w:r>
      <w:r w:rsidR="00550107">
        <w:fldChar w:fldCharType="begin"/>
      </w:r>
      <w:r w:rsidR="00142FAF">
        <w:instrText xml:space="preserve"> ADDIN EN.CITE &lt;EndNote&gt;&lt;Cite ExcludeAuth="1"&gt;&lt;Author&gt;National Center on Addiction and Substance Abuse&lt;/Author&gt;&lt;Year&gt;2005&lt;/Year&gt;&lt;RecNum&gt;104&lt;/RecNum&gt;&lt;DisplayText&gt;(2005)&lt;/DisplayText&gt;&lt;record&gt;&lt;rec-number&gt;104&lt;/rec-number&gt;&lt;foreign-keys&gt;&lt;key app="EN" db-id="02dwfapew02tdked2f4p0xerwdapvw5vztpp"&gt;104&lt;/key&gt;&lt;key app="ENWeb" db-id="R1rfKArtmCQAAH0-ETQ"&gt;682&lt;/key&gt;&lt;/foreign-keys&gt;&lt;ref-type name="Report"&gt;27&lt;/ref-type&gt;&lt;contributors&gt;&lt;authors&gt;&lt;author&gt;National Center on Addiction and Substance Abuse,&lt;/author&gt;&lt;/authors&gt;&lt;/contributors&gt;&lt;titles&gt;&lt;title&gt;Under the counter: The diversion and abuse of controlled prescription drugs in the United States&lt;/title&gt;&lt;/titles&gt;&lt;dates&gt;&lt;year&gt;2005&lt;/year&gt;&lt;pub-dates&gt;&lt;date&gt;July&lt;/date&gt;&lt;/pub-dates&gt;&lt;/dates&gt;&lt;pub-location&gt;New York&lt;/pub-location&gt;&lt;publisher&gt;Colombia University&lt;/publisher&gt;&lt;urls&gt;&lt;related-urls&gt;&lt;url&gt;http://www.casacolumbia.org/absolutenm/articlefiles/380-under_the_counter_-_diversion.pdf&lt;/url&gt;&lt;/related-urls&gt;&lt;/urls&gt;&lt;access-date&gt;December 10, 2007&lt;/access-date&gt;&lt;/record&gt;&lt;/Cite&gt;&lt;/EndNote&gt;</w:instrText>
      </w:r>
      <w:r w:rsidR="00550107">
        <w:fldChar w:fldCharType="separate"/>
      </w:r>
      <w:r w:rsidR="00142FAF">
        <w:rPr>
          <w:noProof/>
        </w:rPr>
        <w:t>(</w:t>
      </w:r>
      <w:hyperlink w:anchor="_ENREF_41" w:tooltip="National Center on Addiction and Substance Abuse, 2005 #104" w:history="1">
        <w:r w:rsidR="00D213F7">
          <w:rPr>
            <w:noProof/>
          </w:rPr>
          <w:t>2005</w:t>
        </w:r>
      </w:hyperlink>
      <w:r w:rsidR="00142FAF">
        <w:rPr>
          <w:noProof/>
        </w:rPr>
        <w:t>)</w:t>
      </w:r>
      <w:r w:rsidR="00550107">
        <w:fldChar w:fldCharType="end"/>
      </w:r>
      <w:r w:rsidR="005D2364">
        <w:t>,</w:t>
      </w:r>
      <w:r w:rsidR="00142FAF">
        <w:t xml:space="preserve"> </w:t>
      </w:r>
      <w:r w:rsidR="002311AD">
        <w:t>specifically</w:t>
      </w:r>
      <w:r w:rsidR="00142FAF">
        <w:t xml:space="preserve"> </w:t>
      </w:r>
      <w:r w:rsidR="005D2364">
        <w:t xml:space="preserve">among </w:t>
      </w:r>
      <w:r w:rsidR="00142FAF">
        <w:t xml:space="preserve">college students </w:t>
      </w:r>
      <w:r w:rsidR="00550107">
        <w:fldChar w:fldCharType="begin"/>
      </w:r>
      <w:r w:rsidR="00142FAF">
        <w:instrText xml:space="preserve"> ADDIN EN.CITE &lt;EndNote&gt;&lt;Cite ExcludeAuth="1"&gt;&lt;Author&gt;National Center on Addiction and Substance Abuse&lt;/Author&gt;&lt;Year&gt;2007&lt;/Year&gt;&lt;RecNum&gt;426&lt;/RecNum&gt;&lt;DisplayText&gt;(2007)&lt;/DisplayText&gt;&lt;record&gt;&lt;rec-number&gt;426&lt;/rec-number&gt;&lt;foreign-keys&gt;&lt;key app="EN" db-id="02dwfapew02tdked2f4p0xerwdapvw5vztpp"&gt;426&lt;/key&gt;&lt;/foreign-keys&gt;&lt;ref-type name="Report"&gt;27&lt;/ref-type&gt;&lt;contributors&gt;&lt;authors&gt;&lt;author&gt;National Center on Addiction and Substance Abuse,&lt;/author&gt;&lt;/authors&gt;&lt;/contributors&gt;&lt;titles&gt;&lt;title&gt;Wasting the best and the brightest: Substance abuse at America&amp;apos;s Colleges and Universities&lt;/title&gt;&lt;/titles&gt;&lt;dates&gt;&lt;year&gt;2007&lt;/year&gt;&lt;pub-dates&gt;&lt;date&gt;July&lt;/date&gt;&lt;/pub-dates&gt;&lt;/dates&gt;&lt;pub-location&gt;New York&lt;/pub-location&gt;&lt;publisher&gt;Colombia University&lt;/publisher&gt;&lt;urls&gt;&lt;related-urls&gt;&lt;url&gt;http://www.casacolumbia.org/articlefiles/380-Wasting%20the%20Best%20and%20the%20Brightest.pdf&lt;/url&gt;&lt;/related-urls&gt;&lt;/urls&gt;&lt;access-date&gt;December 10, 2007&lt;/access-date&gt;&lt;/record&gt;&lt;/Cite&gt;&lt;/EndNote&gt;</w:instrText>
      </w:r>
      <w:r w:rsidR="00550107">
        <w:fldChar w:fldCharType="separate"/>
      </w:r>
      <w:r w:rsidR="00142FAF">
        <w:rPr>
          <w:noProof/>
        </w:rPr>
        <w:t>(</w:t>
      </w:r>
      <w:hyperlink w:anchor="_ENREF_42" w:tooltip="National Center on Addiction and Substance Abuse, 2007 #426" w:history="1">
        <w:r w:rsidR="00D213F7">
          <w:rPr>
            <w:noProof/>
          </w:rPr>
          <w:t>2007</w:t>
        </w:r>
      </w:hyperlink>
      <w:r w:rsidR="00142FAF">
        <w:rPr>
          <w:noProof/>
        </w:rPr>
        <w:t>)</w:t>
      </w:r>
      <w:r w:rsidR="00550107">
        <w:fldChar w:fldCharType="end"/>
      </w:r>
      <w:r w:rsidR="00142FAF">
        <w:t xml:space="preserve">. </w:t>
      </w:r>
      <w:r w:rsidR="00A60977">
        <w:t>CASA conducted two studies on prescription drug abuse</w:t>
      </w:r>
      <w:r w:rsidR="005D2364">
        <w:t xml:space="preserve">, the first on </w:t>
      </w:r>
      <w:r w:rsidR="003F3634">
        <w:t>the general United States population</w:t>
      </w:r>
      <w:r w:rsidR="007E4A48">
        <w:t xml:space="preserve"> </w:t>
      </w:r>
      <w:r w:rsidR="00550107">
        <w:fldChar w:fldCharType="begin"/>
      </w:r>
      <w:r w:rsidR="003F3634">
        <w:instrText xml:space="preserve"> ADDIN EN.CITE &lt;EndNote&gt;&lt;Cite ExcludeAuth="1"&gt;&lt;Author&gt;National Center on Addiction and Substance Abuse&lt;/Author&gt;&lt;Year&gt;2005&lt;/Year&gt;&lt;RecNum&gt;104&lt;/RecNum&gt;&lt;DisplayText&gt;(2005)&lt;/DisplayText&gt;&lt;record&gt;&lt;rec-number&gt;104&lt;/rec-number&gt;&lt;foreign-keys&gt;&lt;key app="EN" db-id="02dwfapew02tdked2f4p0xerwdapvw5vztpp"&gt;104&lt;/key&gt;&lt;key app="ENWeb" db-id="R1rfKArtmCQAAH0-ETQ"&gt;682&lt;/key&gt;&lt;/foreign-keys&gt;&lt;ref-type name="Report"&gt;27&lt;/ref-type&gt;&lt;contributors&gt;&lt;authors&gt;&lt;author&gt;National Center on Addiction and Substance Abuse,&lt;/author&gt;&lt;/authors&gt;&lt;/contributors&gt;&lt;titles&gt;&lt;title&gt;Under the counter: The diversion and abuse of controlled prescription drugs in the United States&lt;/title&gt;&lt;/titles&gt;&lt;dates&gt;&lt;year&gt;2005&lt;/year&gt;&lt;pub-dates&gt;&lt;date&gt;July&lt;/date&gt;&lt;/pub-dates&gt;&lt;/dates&gt;&lt;pub-location&gt;New York&lt;/pub-location&gt;&lt;publisher&gt;Colombia University&lt;/publisher&gt;&lt;urls&gt;&lt;related-urls&gt;&lt;url&gt;http://www.casacolumbia.org/absolutenm/articlefiles/380-under_the_counter_-_diversion.pdf&lt;/url&gt;&lt;/related-urls&gt;&lt;/urls&gt;&lt;access-date&gt;December 10, 2007&lt;/access-date&gt;&lt;/record&gt;&lt;/Cite&gt;&lt;/EndNote&gt;</w:instrText>
      </w:r>
      <w:r w:rsidR="00550107">
        <w:fldChar w:fldCharType="separate"/>
      </w:r>
      <w:r w:rsidR="003F3634">
        <w:rPr>
          <w:noProof/>
        </w:rPr>
        <w:t>(</w:t>
      </w:r>
      <w:hyperlink w:anchor="_ENREF_41" w:tooltip="National Center on Addiction and Substance Abuse, 2005 #104" w:history="1">
        <w:r w:rsidR="00D213F7">
          <w:rPr>
            <w:noProof/>
          </w:rPr>
          <w:t>2005</w:t>
        </w:r>
      </w:hyperlink>
      <w:r w:rsidR="003F3634">
        <w:rPr>
          <w:noProof/>
        </w:rPr>
        <w:t>)</w:t>
      </w:r>
      <w:r w:rsidR="00550107">
        <w:fldChar w:fldCharType="end"/>
      </w:r>
      <w:r w:rsidR="005D2364">
        <w:t xml:space="preserve">, and the second on </w:t>
      </w:r>
      <w:r w:rsidR="007876C8">
        <w:t xml:space="preserve">college students </w:t>
      </w:r>
      <w:r w:rsidR="00550107">
        <w:fldChar w:fldCharType="begin"/>
      </w:r>
      <w:r w:rsidR="007876C8">
        <w:instrText xml:space="preserve"> ADDIN EN.CITE &lt;EndNote&gt;&lt;Cite ExcludeAuth="1"&gt;&lt;Author&gt;National Center on Addiction and Substance Abuse&lt;/Author&gt;&lt;Year&gt;2007&lt;/Year&gt;&lt;RecNum&gt;426&lt;/RecNum&gt;&lt;DisplayText&gt;(2007)&lt;/DisplayText&gt;&lt;record&gt;&lt;rec-number&gt;426&lt;/rec-number&gt;&lt;foreign-keys&gt;&lt;key app="EN" db-id="02dwfapew02tdked2f4p0xerwdapvw5vztpp"&gt;426&lt;/key&gt;&lt;/foreign-keys&gt;&lt;ref-type name="Report"&gt;27&lt;/ref-type&gt;&lt;contributors&gt;&lt;authors&gt;&lt;author&gt;National Center on Addiction and Substance Abuse,&lt;/author&gt;&lt;/authors&gt;&lt;/contributors&gt;&lt;titles&gt;&lt;title&gt;Wasting the best and the brightest: Substance abuse at America&amp;apos;s Colleges and Universities&lt;/title&gt;&lt;/titles&gt;&lt;dates&gt;&lt;year&gt;2007&lt;/year&gt;&lt;pub-dates&gt;&lt;date&gt;July&lt;/date&gt;&lt;/pub-dates&gt;&lt;/dates&gt;&lt;pub-location&gt;New York&lt;/pub-location&gt;&lt;publisher&gt;Colombia University&lt;/publisher&gt;&lt;urls&gt;&lt;related-urls&gt;&lt;url&gt;http://www.casacolumbia.org/articlefiles/380-Wasting%20the%20Best%20and%20the%20Brightest.pdf&lt;/url&gt;&lt;/related-urls&gt;&lt;/urls&gt;&lt;access-date&gt;December 10, 2007&lt;/access-date&gt;&lt;/record&gt;&lt;/Cite&gt;&lt;/EndNote&gt;</w:instrText>
      </w:r>
      <w:r w:rsidR="00550107">
        <w:fldChar w:fldCharType="separate"/>
      </w:r>
      <w:r w:rsidR="007876C8">
        <w:rPr>
          <w:noProof/>
        </w:rPr>
        <w:t>(</w:t>
      </w:r>
      <w:hyperlink w:anchor="_ENREF_42" w:tooltip="National Center on Addiction and Substance Abuse, 2007 #426" w:history="1">
        <w:r w:rsidR="00D213F7">
          <w:rPr>
            <w:noProof/>
          </w:rPr>
          <w:t>2007</w:t>
        </w:r>
      </w:hyperlink>
      <w:r w:rsidR="007876C8">
        <w:rPr>
          <w:noProof/>
        </w:rPr>
        <w:t>)</w:t>
      </w:r>
      <w:r w:rsidR="00550107">
        <w:fldChar w:fldCharType="end"/>
      </w:r>
      <w:r w:rsidR="005D2364">
        <w:t xml:space="preserve">. </w:t>
      </w:r>
      <w:r w:rsidR="00A60977">
        <w:t xml:space="preserve">The purpose of both studies was to </w:t>
      </w:r>
      <w:r w:rsidR="00756C35">
        <w:t>secure</w:t>
      </w:r>
      <w:r w:rsidR="005D2364">
        <w:t xml:space="preserve"> </w:t>
      </w:r>
      <w:r w:rsidR="00A60977">
        <w:t xml:space="preserve">information </w:t>
      </w:r>
      <w:r w:rsidR="005D2364">
        <w:t xml:space="preserve">about </w:t>
      </w:r>
      <w:r w:rsidR="00A60977">
        <w:t xml:space="preserve">prescription drug abuse and </w:t>
      </w:r>
      <w:r w:rsidR="007876C8">
        <w:t>abuse of other illicit substances</w:t>
      </w:r>
      <w:r w:rsidR="00A60977">
        <w:t xml:space="preserve"> in the United States</w:t>
      </w:r>
      <w:r w:rsidR="005D2364">
        <w:t>,</w:t>
      </w:r>
      <w:r w:rsidR="00A60977">
        <w:t xml:space="preserve"> a</w:t>
      </w:r>
      <w:r w:rsidR="00B37D36">
        <w:t xml:space="preserve">s well as </w:t>
      </w:r>
      <w:r w:rsidR="00756C35">
        <w:t xml:space="preserve">to generate </w:t>
      </w:r>
      <w:r w:rsidR="00B37D36">
        <w:t>suggestions for</w:t>
      </w:r>
      <w:r w:rsidR="00A60977">
        <w:t xml:space="preserve"> prevention strategies</w:t>
      </w:r>
      <w:r w:rsidR="00B37D36">
        <w:t>.</w:t>
      </w:r>
    </w:p>
    <w:p w:rsidR="00863BB2" w:rsidRDefault="00A60977" w:rsidP="00F97B61">
      <w:r>
        <w:t xml:space="preserve">The </w:t>
      </w:r>
      <w:r w:rsidR="00087771">
        <w:t>2005</w:t>
      </w:r>
      <w:r w:rsidR="005F5EC9">
        <w:t xml:space="preserve"> </w:t>
      </w:r>
      <w:r w:rsidR="00756C35">
        <w:t xml:space="preserve">CASA </w:t>
      </w:r>
      <w:r w:rsidR="005379ED">
        <w:t>study</w:t>
      </w:r>
      <w:r w:rsidR="00756C35">
        <w:t xml:space="preserve"> was </w:t>
      </w:r>
      <w:r>
        <w:t>a comprehensive analysis o</w:t>
      </w:r>
      <w:r w:rsidR="00694B63">
        <w:t>f</w:t>
      </w:r>
      <w:r>
        <w:t xml:space="preserve"> all aspects of prescription drug abuse in the United States</w:t>
      </w:r>
      <w:r w:rsidR="0062382D">
        <w:t xml:space="preserve">. </w:t>
      </w:r>
      <w:r>
        <w:t xml:space="preserve">The study is a </w:t>
      </w:r>
      <w:r w:rsidR="002311AD">
        <w:t>compilation</w:t>
      </w:r>
      <w:r>
        <w:t xml:space="preserve"> of the literature, nati</w:t>
      </w:r>
      <w:r w:rsidR="00B37D36">
        <w:t>onal drug surveillance data,</w:t>
      </w:r>
      <w:r>
        <w:t xml:space="preserve"> publications</w:t>
      </w:r>
      <w:r w:rsidR="00B37D36">
        <w:t>,</w:t>
      </w:r>
      <w:r>
        <w:t xml:space="preserve"> and studies from the National Center on Addiction and Substance Abuse.</w:t>
      </w:r>
      <w:r w:rsidR="004A706D">
        <w:t xml:space="preserve"> </w:t>
      </w:r>
      <w:r w:rsidR="002A6C7F">
        <w:t>In addition, data</w:t>
      </w:r>
      <w:r w:rsidR="00756C35">
        <w:t xml:space="preserve"> were collected from</w:t>
      </w:r>
      <w:r w:rsidR="00B37D36">
        <w:t xml:space="preserve"> s</w:t>
      </w:r>
      <w:r w:rsidR="004A706D">
        <w:t xml:space="preserve">urveys </w:t>
      </w:r>
      <w:r w:rsidR="00B37D36">
        <w:t>o</w:t>
      </w:r>
      <w:r w:rsidR="005F5EC9">
        <w:t>f</w:t>
      </w:r>
      <w:r w:rsidR="004A706D">
        <w:t xml:space="preserve"> physicians, pharmacists, </w:t>
      </w:r>
      <w:r w:rsidR="00B37D36">
        <w:t>and students</w:t>
      </w:r>
      <w:r w:rsidR="00694B63">
        <w:t>,</w:t>
      </w:r>
      <w:r w:rsidR="00B37D36">
        <w:t xml:space="preserve"> as well as</w:t>
      </w:r>
      <w:r w:rsidR="004A706D">
        <w:t xml:space="preserve"> </w:t>
      </w:r>
      <w:r w:rsidR="004A706D">
        <w:lastRenderedPageBreak/>
        <w:t xml:space="preserve">interviews, focus groups, and consultation with experts in the field of substance abuse </w:t>
      </w:r>
      <w:r w:rsidR="00550107">
        <w:fldChar w:fldCharType="begin"/>
      </w:r>
      <w:r w:rsidR="004A706D">
        <w:instrText xml:space="preserve"> ADDIN EN.CITE &lt;EndNote&gt;&lt;Cite&gt;&lt;Author&gt;National Center on Addiction and Substance Abuse&lt;/Author&gt;&lt;Year&gt;2005&lt;/Year&gt;&lt;RecNum&gt;104&lt;/RecNum&gt;&lt;DisplayText&gt;(National Center on Addiction and Substance Abuse, 2005)&lt;/DisplayText&gt;&lt;record&gt;&lt;rec-number&gt;104&lt;/rec-number&gt;&lt;foreign-keys&gt;&lt;key app="EN" db-id="02dwfapew02tdked2f4p0xerwdapvw5vztpp"&gt;104&lt;/key&gt;&lt;key app="ENWeb" db-id="R1rfKArtmCQAAH0-ETQ"&gt;682&lt;/key&gt;&lt;/foreign-keys&gt;&lt;ref-type name="Report"&gt;27&lt;/ref-type&gt;&lt;contributors&gt;&lt;authors&gt;&lt;author&gt;National Center on Addiction and Substance Abuse,&lt;/author&gt;&lt;/authors&gt;&lt;/contributors&gt;&lt;titles&gt;&lt;title&gt;Under the counter: The diversion and abuse of controlled prescription drugs in the United States&lt;/title&gt;&lt;/titles&gt;&lt;dates&gt;&lt;year&gt;2005&lt;/year&gt;&lt;pub-dates&gt;&lt;date&gt;July&lt;/date&gt;&lt;/pub-dates&gt;&lt;/dates&gt;&lt;pub-location&gt;New York&lt;/pub-location&gt;&lt;publisher&gt;Colombia University&lt;/publisher&gt;&lt;urls&gt;&lt;related-urls&gt;&lt;url&gt;http://www.casacolumbia.org/absolutenm/articlefiles/380-under_the_counter_-_diversion.pdf&lt;/url&gt;&lt;/related-urls&gt;&lt;/urls&gt;&lt;access-date&gt;December 10, 2007&lt;/access-date&gt;&lt;/record&gt;&lt;/Cite&gt;&lt;/EndNote&gt;</w:instrText>
      </w:r>
      <w:r w:rsidR="00550107">
        <w:fldChar w:fldCharType="separate"/>
      </w:r>
      <w:r w:rsidR="004A706D">
        <w:rPr>
          <w:noProof/>
        </w:rPr>
        <w:t>(</w:t>
      </w:r>
      <w:hyperlink w:anchor="_ENREF_41" w:tooltip="National Center on Addiction and Substance Abuse, 2005 #104" w:history="1">
        <w:r w:rsidR="00D213F7">
          <w:rPr>
            <w:noProof/>
          </w:rPr>
          <w:t>National Center on Addiction and Substance Abuse, 2005</w:t>
        </w:r>
      </w:hyperlink>
      <w:r w:rsidR="004A706D">
        <w:rPr>
          <w:noProof/>
        </w:rPr>
        <w:t>)</w:t>
      </w:r>
      <w:r w:rsidR="00550107">
        <w:fldChar w:fldCharType="end"/>
      </w:r>
      <w:r w:rsidR="004A706D">
        <w:t>.</w:t>
      </w:r>
    </w:p>
    <w:p w:rsidR="000D77CE" w:rsidRDefault="000D77CE" w:rsidP="00F97B61">
      <w:r>
        <w:t xml:space="preserve">One key finding of the CASA </w:t>
      </w:r>
      <w:r w:rsidR="00550107">
        <w:fldChar w:fldCharType="begin"/>
      </w:r>
      <w:r>
        <w:instrText xml:space="preserve"> ADDIN EN.CITE &lt;EndNote&gt;&lt;Cite ExcludeAuth="1"&gt;&lt;Author&gt;National Center on Addiction and Substance Abuse&lt;/Author&gt;&lt;Year&gt;2005&lt;/Year&gt;&lt;RecNum&gt;104&lt;/RecNum&gt;&lt;DisplayText&gt;(2005)&lt;/DisplayText&gt;&lt;record&gt;&lt;rec-number&gt;104&lt;/rec-number&gt;&lt;foreign-keys&gt;&lt;key app="EN" db-id="02dwfapew02tdked2f4p0xerwdapvw5vztpp"&gt;104&lt;/key&gt;&lt;key app="ENWeb" db-id="R1rfKArtmCQAAH0-ETQ"&gt;682&lt;/key&gt;&lt;/foreign-keys&gt;&lt;ref-type name="Report"&gt;27&lt;/ref-type&gt;&lt;contributors&gt;&lt;authors&gt;&lt;author&gt;National Center on Addiction and Substance Abuse,&lt;/author&gt;&lt;/authors&gt;&lt;/contributors&gt;&lt;titles&gt;&lt;title&gt;Under the counter: The diversion and abuse of controlled prescription drugs in the United States&lt;/title&gt;&lt;/titles&gt;&lt;dates&gt;&lt;year&gt;2005&lt;/year&gt;&lt;pub-dates&gt;&lt;date&gt;July&lt;/date&gt;&lt;/pub-dates&gt;&lt;/dates&gt;&lt;pub-location&gt;New York&lt;/pub-location&gt;&lt;publisher&gt;Colombia University&lt;/publisher&gt;&lt;urls&gt;&lt;related-urls&gt;&lt;url&gt;http://www.casacolumbia.org/absolutenm/articlefiles/380-under_the_counter_-_diversion.pdf&lt;/url&gt;&lt;/related-urls&gt;&lt;/urls&gt;&lt;access-date&gt;December 10, 2007&lt;/access-date&gt;&lt;/record&gt;&lt;/Cite&gt;&lt;/EndNote&gt;</w:instrText>
      </w:r>
      <w:r w:rsidR="00550107">
        <w:fldChar w:fldCharType="separate"/>
      </w:r>
      <w:r>
        <w:rPr>
          <w:noProof/>
        </w:rPr>
        <w:t>(</w:t>
      </w:r>
      <w:hyperlink w:anchor="_ENREF_41" w:tooltip="National Center on Addiction and Substance Abuse, 2005 #104" w:history="1">
        <w:r w:rsidR="00D213F7">
          <w:rPr>
            <w:noProof/>
          </w:rPr>
          <w:t>2005</w:t>
        </w:r>
      </w:hyperlink>
      <w:r>
        <w:rPr>
          <w:noProof/>
        </w:rPr>
        <w:t>)</w:t>
      </w:r>
      <w:r w:rsidR="00550107">
        <w:fldChar w:fldCharType="end"/>
      </w:r>
      <w:r>
        <w:t xml:space="preserve"> study include</w:t>
      </w:r>
      <w:r w:rsidR="005F5EC9">
        <w:t>d</w:t>
      </w:r>
      <w:r>
        <w:t xml:space="preserve"> the number of people who </w:t>
      </w:r>
      <w:r w:rsidR="00756C35">
        <w:t>were</w:t>
      </w:r>
      <w:r>
        <w:t xml:space="preserve"> </w:t>
      </w:r>
      <w:r w:rsidR="00694B63">
        <w:t xml:space="preserve">believed to be </w:t>
      </w:r>
      <w:r>
        <w:t xml:space="preserve">abusing prescription drugs. In 1992, 7.8 million people reported abusing prescription drugs; that increased by 94% to 15.1 million people in 2003. </w:t>
      </w:r>
      <w:r w:rsidR="005F5EC9">
        <w:t xml:space="preserve">The </w:t>
      </w:r>
      <w:r>
        <w:t xml:space="preserve">increase was seven times faster than the </w:t>
      </w:r>
      <w:r w:rsidR="007876C8">
        <w:t xml:space="preserve">population </w:t>
      </w:r>
      <w:r>
        <w:t>growth of the United States. Of th</w:t>
      </w:r>
      <w:r w:rsidR="007876C8">
        <w:t>e 15.1 million w</w:t>
      </w:r>
      <w:r>
        <w:t xml:space="preserve">ho </w:t>
      </w:r>
      <w:r w:rsidR="00694B63">
        <w:t xml:space="preserve">reported </w:t>
      </w:r>
      <w:r>
        <w:t>abus</w:t>
      </w:r>
      <w:r w:rsidR="00694B63">
        <w:t>ing</w:t>
      </w:r>
      <w:r>
        <w:t xml:space="preserve"> prescription drugs, 25.3</w:t>
      </w:r>
      <w:r w:rsidR="00B37D36">
        <w:t>%</w:t>
      </w:r>
      <w:r>
        <w:t xml:space="preserve"> report</w:t>
      </w:r>
      <w:r w:rsidR="00694B63">
        <w:t>ed</w:t>
      </w:r>
      <w:r>
        <w:t xml:space="preserve"> abus</w:t>
      </w:r>
      <w:r w:rsidR="00B37D36">
        <w:t>ing</w:t>
      </w:r>
      <w:r>
        <w:t xml:space="preserve"> </w:t>
      </w:r>
      <w:r w:rsidR="00694B63">
        <w:t xml:space="preserve">only </w:t>
      </w:r>
      <w:r>
        <w:t>prescription drugs</w:t>
      </w:r>
      <w:r w:rsidR="00B37D36">
        <w:t>. They</w:t>
      </w:r>
      <w:r>
        <w:t xml:space="preserve"> </w:t>
      </w:r>
      <w:r w:rsidR="00694B63">
        <w:t>were</w:t>
      </w:r>
      <w:r>
        <w:t xml:space="preserve"> more likely to be women, older, married, better educated, and </w:t>
      </w:r>
      <w:r w:rsidR="00694B63">
        <w:t xml:space="preserve">to </w:t>
      </w:r>
      <w:r>
        <w:t>have high</w:t>
      </w:r>
      <w:r w:rsidR="00B37D36">
        <w:t>er</w:t>
      </w:r>
      <w:r>
        <w:t xml:space="preserve"> incomes than those who d</w:t>
      </w:r>
      <w:r w:rsidR="00694B63">
        <w:t>id</w:t>
      </w:r>
      <w:r>
        <w:t xml:space="preserve"> not abuse prescription drugs.</w:t>
      </w:r>
    </w:p>
    <w:p w:rsidR="004A706D" w:rsidRDefault="000D77CE" w:rsidP="00F97B61">
      <w:r>
        <w:t>In terms of prescription stimulants, the CASA</w:t>
      </w:r>
      <w:r w:rsidR="007E4A48">
        <w:t xml:space="preserve"> </w:t>
      </w:r>
      <w:r w:rsidR="00550107">
        <w:fldChar w:fldCharType="begin"/>
      </w:r>
      <w:r w:rsidR="007E4A48">
        <w:instrText xml:space="preserve"> ADDIN EN.CITE &lt;EndNote&gt;&lt;Cite ExcludeAuth="1"&gt;&lt;Author&gt;National Center on Addiction and Substance Abuse&lt;/Author&gt;&lt;Year&gt;2005&lt;/Year&gt;&lt;RecNum&gt;104&lt;/RecNum&gt;&lt;DisplayText&gt;(2005)&lt;/DisplayText&gt;&lt;record&gt;&lt;rec-number&gt;104&lt;/rec-number&gt;&lt;foreign-keys&gt;&lt;key app="EN" db-id="02dwfapew02tdked2f4p0xerwdapvw5vztpp"&gt;104&lt;/key&gt;&lt;key app="ENWeb" db-id="R1rfKArtmCQAAH0-ETQ"&gt;682&lt;/key&gt;&lt;/foreign-keys&gt;&lt;ref-type name="Report"&gt;27&lt;/ref-type&gt;&lt;contributors&gt;&lt;authors&gt;&lt;author&gt;National Center on Addiction and Substance Abuse,&lt;/author&gt;&lt;/authors&gt;&lt;/contributors&gt;&lt;titles&gt;&lt;title&gt;Under the counter: The diversion and abuse of controlled prescription drugs in the United States&lt;/title&gt;&lt;/titles&gt;&lt;dates&gt;&lt;year&gt;2005&lt;/year&gt;&lt;pub-dates&gt;&lt;date&gt;July&lt;/date&gt;&lt;/pub-dates&gt;&lt;/dates&gt;&lt;pub-location&gt;New York&lt;/pub-location&gt;&lt;publisher&gt;Colombia University&lt;/publisher&gt;&lt;urls&gt;&lt;related-urls&gt;&lt;url&gt;http://www.casacolumbia.org/absolutenm/articlefiles/380-under_the_counter_-_diversion.pdf&lt;/url&gt;&lt;/related-urls&gt;&lt;/urls&gt;&lt;access-date&gt;December 10, 2007&lt;/access-date&gt;&lt;/record&gt;&lt;/Cite&gt;&lt;/EndNote&gt;</w:instrText>
      </w:r>
      <w:r w:rsidR="00550107">
        <w:fldChar w:fldCharType="separate"/>
      </w:r>
      <w:r w:rsidR="007E4A48">
        <w:rPr>
          <w:noProof/>
        </w:rPr>
        <w:t>(</w:t>
      </w:r>
      <w:hyperlink w:anchor="_ENREF_41" w:tooltip="National Center on Addiction and Substance Abuse, 2005 #104" w:history="1">
        <w:r w:rsidR="00D213F7">
          <w:rPr>
            <w:noProof/>
          </w:rPr>
          <w:t>2005</w:t>
        </w:r>
      </w:hyperlink>
      <w:r w:rsidR="007E4A48">
        <w:rPr>
          <w:noProof/>
        </w:rPr>
        <w:t>)</w:t>
      </w:r>
      <w:r w:rsidR="00550107">
        <w:fldChar w:fldCharType="end"/>
      </w:r>
      <w:r>
        <w:t xml:space="preserve"> report found that the most commonly abused prescription stimulants include</w:t>
      </w:r>
      <w:r w:rsidR="00694B63">
        <w:t>d</w:t>
      </w:r>
      <w:r>
        <w:t xml:space="preserve"> methylphenidate (e.g., Ritalin® and Concerta®), amphetamine-dextroamphetamine (e.g., Adderall®), dextroamphetamine (e.g., Dexedrine®) and sibutramine hydrochloride monohydrate (e.g., Meridia®)</w:t>
      </w:r>
      <w:r w:rsidR="005F5EC9">
        <w:t>.</w:t>
      </w:r>
      <w:r w:rsidR="0062382D">
        <w:t xml:space="preserve"> </w:t>
      </w:r>
      <w:r w:rsidR="005F5EC9">
        <w:t>All these drugs</w:t>
      </w:r>
      <w:r w:rsidR="00BA67F4">
        <w:t xml:space="preserve"> </w:t>
      </w:r>
      <w:r w:rsidR="005F5EC9">
        <w:t>are</w:t>
      </w:r>
      <w:r w:rsidR="0062382D">
        <w:t xml:space="preserve"> </w:t>
      </w:r>
      <w:r w:rsidR="00694B63">
        <w:t xml:space="preserve">used </w:t>
      </w:r>
      <w:r w:rsidR="0062382D">
        <w:t>for treating attention deficit disorder (ADD), attention deficit hyperactivity disorder (ADHD), excessive appetite, and narcolepsy</w:t>
      </w:r>
      <w:r>
        <w:t xml:space="preserve">. CASA (2005) also suggested the increase in </w:t>
      </w:r>
      <w:r w:rsidR="00B37D36">
        <w:t xml:space="preserve">abuse </w:t>
      </w:r>
      <w:r>
        <w:t xml:space="preserve">rate </w:t>
      </w:r>
      <w:r w:rsidR="00694B63">
        <w:t xml:space="preserve">of </w:t>
      </w:r>
      <w:r>
        <w:t xml:space="preserve">prescription stimulants </w:t>
      </w:r>
      <w:r w:rsidR="00694B63">
        <w:t>was</w:t>
      </w:r>
      <w:r>
        <w:t xml:space="preserve"> related to the increase in production</w:t>
      </w:r>
      <w:r w:rsidR="00756C35">
        <w:t xml:space="preserve">, </w:t>
      </w:r>
      <w:r>
        <w:t xml:space="preserve">and </w:t>
      </w:r>
      <w:r w:rsidR="00756C35">
        <w:t xml:space="preserve">number of </w:t>
      </w:r>
      <w:r>
        <w:t xml:space="preserve">prescriptions </w:t>
      </w:r>
      <w:r w:rsidR="00502EF8">
        <w:t xml:space="preserve">issued </w:t>
      </w:r>
      <w:r>
        <w:t xml:space="preserve">for these drugs. </w:t>
      </w:r>
      <w:r w:rsidR="00DA36D7">
        <w:t xml:space="preserve">From 1992 to 2002, Adderall® experienced a 9,008% </w:t>
      </w:r>
      <w:r w:rsidR="00C53F14">
        <w:t>production increase</w:t>
      </w:r>
      <w:r w:rsidR="00DA36D7">
        <w:t xml:space="preserve">, Dexedrine increased by 211%, Ritalin® increased by 187%, and the overall </w:t>
      </w:r>
      <w:r w:rsidR="00C53F14">
        <w:t>production</w:t>
      </w:r>
      <w:r w:rsidR="00F377AC">
        <w:t xml:space="preserve"> of prescription stimulants</w:t>
      </w:r>
      <w:r w:rsidR="00C53F14">
        <w:t xml:space="preserve"> </w:t>
      </w:r>
      <w:r w:rsidR="00DA36D7">
        <w:t>increase</w:t>
      </w:r>
      <w:r w:rsidR="00F377AC">
        <w:t>d</w:t>
      </w:r>
      <w:r w:rsidR="00DA36D7">
        <w:t xml:space="preserve"> 369%. All of these numbers are in the 000’s. The production increase paralleled </w:t>
      </w:r>
      <w:r w:rsidR="00502EF8">
        <w:t>the</w:t>
      </w:r>
      <w:r w:rsidR="00DA36D7">
        <w:t xml:space="preserve"> increase in individuals self-reporting </w:t>
      </w:r>
      <w:r w:rsidR="00F377AC">
        <w:t xml:space="preserve">prescription stimulant </w:t>
      </w:r>
      <w:r w:rsidR="00DA36D7">
        <w:t>abuse</w:t>
      </w:r>
      <w:r w:rsidR="00440CB6">
        <w:t>, which rose</w:t>
      </w:r>
      <w:r w:rsidR="00DA36D7">
        <w:t xml:space="preserve"> by 41.5%</w:t>
      </w:r>
      <w:r w:rsidR="00440CB6">
        <w:t xml:space="preserve"> during the same </w:t>
      </w:r>
      <w:r w:rsidR="00CA2486">
        <w:t>period</w:t>
      </w:r>
      <w:r w:rsidR="00DA36D7">
        <w:t xml:space="preserve">. Furthermore, from 1992 to 2000, the increase in new abusers of prescription stimulants was 171.2% for individuals 12 and older. </w:t>
      </w:r>
      <w:r w:rsidR="00DA36D7">
        <w:lastRenderedPageBreak/>
        <w:t xml:space="preserve">When comparing adolescents to adults, adolescents </w:t>
      </w:r>
      <w:r w:rsidR="005F5EC9">
        <w:t xml:space="preserve">(283%) </w:t>
      </w:r>
      <w:r w:rsidR="00DA36D7">
        <w:t xml:space="preserve">demonstrated the greatest increase compared to adults 18 and over (106.7%). </w:t>
      </w:r>
    </w:p>
    <w:p w:rsidR="00DA36D7" w:rsidRDefault="005F5EC9" w:rsidP="00F97B61">
      <w:r>
        <w:t>F</w:t>
      </w:r>
      <w:r w:rsidR="00DA36D7">
        <w:t xml:space="preserve">indings from the CASA (2005) study </w:t>
      </w:r>
      <w:r w:rsidR="00502EF8">
        <w:t xml:space="preserve">suggested </w:t>
      </w:r>
      <w:r w:rsidR="00DA36D7">
        <w:t>a growing epidemic of prescription stimulant</w:t>
      </w:r>
      <w:r w:rsidR="00502EF8">
        <w:t xml:space="preserve"> use,</w:t>
      </w:r>
      <w:r w:rsidR="00DA36D7">
        <w:t xml:space="preserve"> especially among adolescents and college students. Therefore, CASA </w:t>
      </w:r>
      <w:r w:rsidR="00B37D36">
        <w:t>commission</w:t>
      </w:r>
      <w:r w:rsidR="00502EF8">
        <w:t>ed</w:t>
      </w:r>
      <w:r w:rsidR="00DA36D7">
        <w:t xml:space="preserve"> a study focusing on college students and their substance abuse</w:t>
      </w:r>
      <w:r w:rsidR="00E23D61">
        <w:t xml:space="preserve"> </w:t>
      </w:r>
      <w:r>
        <w:t>that</w:t>
      </w:r>
      <w:r w:rsidR="00E23D61">
        <w:t xml:space="preserve"> included prescription and illicit drugs</w:t>
      </w:r>
      <w:r w:rsidR="00DA36D7">
        <w:t xml:space="preserve"> </w:t>
      </w:r>
      <w:r w:rsidR="00550107">
        <w:fldChar w:fldCharType="begin"/>
      </w:r>
      <w:r w:rsidR="00DA36D7">
        <w:instrText xml:space="preserve"> ADDIN EN.CITE &lt;EndNote&gt;&lt;Cite&gt;&lt;Author&gt;National Center on Addiction and Substance Abuse&lt;/Author&gt;&lt;Year&gt;2007&lt;/Year&gt;&lt;RecNum&gt;426&lt;/RecNum&gt;&lt;DisplayText&gt;(National Center on Addiction and Substance Abuse, 2007)&lt;/DisplayText&gt;&lt;record&gt;&lt;rec-number&gt;426&lt;/rec-number&gt;&lt;foreign-keys&gt;&lt;key app="EN" db-id="02dwfapew02tdked2f4p0xerwdapvw5vztpp"&gt;426&lt;/key&gt;&lt;/foreign-keys&gt;&lt;ref-type name="Report"&gt;27&lt;/ref-type&gt;&lt;contributors&gt;&lt;authors&gt;&lt;author&gt;National Center on Addiction and Substance Abuse,&lt;/author&gt;&lt;/authors&gt;&lt;/contributors&gt;&lt;titles&gt;&lt;title&gt;Wasting the best and the brightest: Substance abuse at America&amp;apos;s Colleges and Universities&lt;/title&gt;&lt;/titles&gt;&lt;dates&gt;&lt;year&gt;2007&lt;/year&gt;&lt;pub-dates&gt;&lt;date&gt;July&lt;/date&gt;&lt;/pub-dates&gt;&lt;/dates&gt;&lt;pub-location&gt;New York&lt;/pub-location&gt;&lt;publisher&gt;Colombia University&lt;/publisher&gt;&lt;urls&gt;&lt;related-urls&gt;&lt;url&gt;http://www.casacolumbia.org/articlefiles/380-Wasting%20the%20Best%20and%20the%20Brightest.pdf&lt;/url&gt;&lt;/related-urls&gt;&lt;/urls&gt;&lt;access-date&gt;December 10, 2007&lt;/access-date&gt;&lt;/record&gt;&lt;/Cite&gt;&lt;/EndNote&gt;</w:instrText>
      </w:r>
      <w:r w:rsidR="00550107">
        <w:fldChar w:fldCharType="separate"/>
      </w:r>
      <w:r w:rsidR="00DA36D7">
        <w:rPr>
          <w:noProof/>
        </w:rPr>
        <w:t>(</w:t>
      </w:r>
      <w:hyperlink w:anchor="_ENREF_42" w:tooltip="National Center on Addiction and Substance Abuse, 2007 #426" w:history="1">
        <w:r w:rsidR="00D213F7">
          <w:rPr>
            <w:noProof/>
          </w:rPr>
          <w:t>National Center on Addiction and Substance Abuse, 2007</w:t>
        </w:r>
      </w:hyperlink>
      <w:r w:rsidR="00DA36D7">
        <w:rPr>
          <w:noProof/>
        </w:rPr>
        <w:t>)</w:t>
      </w:r>
      <w:r w:rsidR="00550107">
        <w:fldChar w:fldCharType="end"/>
      </w:r>
      <w:r w:rsidR="00DA36D7">
        <w:t xml:space="preserve">. </w:t>
      </w:r>
      <w:r w:rsidR="00CA2486">
        <w:t>D</w:t>
      </w:r>
      <w:r w:rsidR="00E23D61">
        <w:t xml:space="preserve">ata collection involved 2,000 students surveyed via </w:t>
      </w:r>
      <w:r w:rsidR="00CA2486">
        <w:t>tele</w:t>
      </w:r>
      <w:r w:rsidR="00E23D61">
        <w:t xml:space="preserve">phone and 400 </w:t>
      </w:r>
      <w:r>
        <w:t xml:space="preserve">college </w:t>
      </w:r>
      <w:r w:rsidR="00E23D61">
        <w:t xml:space="preserve">administrators </w:t>
      </w:r>
      <w:r w:rsidR="002F2571">
        <w:t>surveyed by mail.</w:t>
      </w:r>
      <w:r w:rsidR="00E23D61">
        <w:t xml:space="preserve"> </w:t>
      </w:r>
      <w:r w:rsidR="002F2571">
        <w:t xml:space="preserve">In addition, </w:t>
      </w:r>
      <w:r w:rsidR="005379ED">
        <w:t>t</w:t>
      </w:r>
      <w:r w:rsidR="00E23D61">
        <w:t xml:space="preserve">he </w:t>
      </w:r>
      <w:r w:rsidR="002F2571">
        <w:t xml:space="preserve">data </w:t>
      </w:r>
      <w:r w:rsidR="00E23D61">
        <w:t xml:space="preserve">included six national datasets, interviews with experts in the field of substance abuse, eight focus groups, and a review of approximately 800 articles. </w:t>
      </w:r>
      <w:r w:rsidR="00DA36D7">
        <w:t xml:space="preserve">The report </w:t>
      </w:r>
      <w:r w:rsidR="00502EF8">
        <w:t xml:space="preserve">of the study, </w:t>
      </w:r>
      <w:r w:rsidR="00DA36D7">
        <w:rPr>
          <w:i/>
        </w:rPr>
        <w:t xml:space="preserve">Wasting the Best and the Brightest: Substance Abuse at America’s Colleges and Universities </w:t>
      </w:r>
      <w:r w:rsidR="00550107" w:rsidRPr="00DA36D7">
        <w:fldChar w:fldCharType="begin"/>
      </w:r>
      <w:r>
        <w:instrText xml:space="preserve"> ADDIN EN.CITE &lt;EndNote&gt;&lt;Cite&gt;&lt;Author&gt;National Center on Addiction and Substance Abuse&lt;/Author&gt;&lt;Year&gt;2007&lt;/Year&gt;&lt;RecNum&gt;426&lt;/RecNum&gt;&lt;DisplayText&gt;(National Center on Addiction and Substance Abuse, 2007)&lt;/DisplayText&gt;&lt;record&gt;&lt;rec-number&gt;426&lt;/rec-number&gt;&lt;foreign-keys&gt;&lt;key app="EN" db-id="02dwfapew02tdked2f4p0xerwdapvw5vztpp"&gt;426&lt;/key&gt;&lt;/foreign-keys&gt;&lt;ref-type name="Report"&gt;27&lt;/ref-type&gt;&lt;contributors&gt;&lt;authors&gt;&lt;author&gt;National Center on Addiction and Substance Abuse,&lt;/author&gt;&lt;/authors&gt;&lt;/contributors&gt;&lt;titles&gt;&lt;title&gt;Wasting the best and the brightest: Substance abuse at America&amp;apos;s Colleges and Universities&lt;/title&gt;&lt;/titles&gt;&lt;dates&gt;&lt;year&gt;2007&lt;/year&gt;&lt;pub-dates&gt;&lt;date&gt;July&lt;/date&gt;&lt;/pub-dates&gt;&lt;/dates&gt;&lt;pub-location&gt;New York&lt;/pub-location&gt;&lt;publisher&gt;Colombia University&lt;/publisher&gt;&lt;urls&gt;&lt;related-urls&gt;&lt;url&gt;http://www.casacolumbia.org/articlefiles/380-Wasting%20the%20Best%20and%20the%20Brightest.pdf&lt;/url&gt;&lt;/related-urls&gt;&lt;/urls&gt;&lt;access-date&gt;December 10, 2007&lt;/access-date&gt;&lt;/record&gt;&lt;/Cite&gt;&lt;/EndNote&gt;</w:instrText>
      </w:r>
      <w:r w:rsidR="00550107" w:rsidRPr="00DA36D7">
        <w:fldChar w:fldCharType="separate"/>
      </w:r>
      <w:r>
        <w:rPr>
          <w:noProof/>
        </w:rPr>
        <w:t>(</w:t>
      </w:r>
      <w:hyperlink w:anchor="_ENREF_42" w:tooltip="National Center on Addiction and Substance Abuse, 2007 #426" w:history="1">
        <w:r w:rsidR="00D213F7">
          <w:rPr>
            <w:noProof/>
          </w:rPr>
          <w:t>National Center on Addiction and Substance Abuse, 2007</w:t>
        </w:r>
      </w:hyperlink>
      <w:r>
        <w:rPr>
          <w:noProof/>
        </w:rPr>
        <w:t>)</w:t>
      </w:r>
      <w:r w:rsidR="00550107" w:rsidRPr="00DA36D7">
        <w:fldChar w:fldCharType="end"/>
      </w:r>
      <w:r w:rsidR="00502EF8">
        <w:t>,</w:t>
      </w:r>
      <w:r w:rsidR="00DA36D7">
        <w:t xml:space="preserve"> </w:t>
      </w:r>
      <w:r w:rsidR="00CB0556">
        <w:t>was a comprehensive analysis o</w:t>
      </w:r>
      <w:r w:rsidR="00502EF8">
        <w:t>f</w:t>
      </w:r>
      <w:r w:rsidR="00CB0556">
        <w:t xml:space="preserve"> </w:t>
      </w:r>
      <w:r w:rsidR="00E23D61">
        <w:t xml:space="preserve">all forms of illicit </w:t>
      </w:r>
      <w:r w:rsidR="00CB0556">
        <w:t xml:space="preserve">substance abuse occurring on college campuses. A secondary intent </w:t>
      </w:r>
      <w:r w:rsidR="00502EF8">
        <w:t xml:space="preserve">of the study </w:t>
      </w:r>
      <w:r w:rsidR="00CB0556">
        <w:t xml:space="preserve">was </w:t>
      </w:r>
      <w:r w:rsidR="00502EF8">
        <w:t xml:space="preserve">to </w:t>
      </w:r>
      <w:r w:rsidR="00CB0556">
        <w:t>compar</w:t>
      </w:r>
      <w:r w:rsidR="00502EF8">
        <w:t>e</w:t>
      </w:r>
      <w:r w:rsidR="00CB0556">
        <w:t xml:space="preserve"> the results </w:t>
      </w:r>
      <w:r w:rsidR="00502EF8">
        <w:t>with</w:t>
      </w:r>
      <w:r w:rsidR="00CA2486">
        <w:t xml:space="preserve"> </w:t>
      </w:r>
      <w:r w:rsidR="00502EF8">
        <w:t xml:space="preserve">the </w:t>
      </w:r>
      <w:r w:rsidR="00CB0556">
        <w:t>previous report in 2002</w:t>
      </w:r>
      <w:r w:rsidR="00502EF8">
        <w:t>,</w:t>
      </w:r>
      <w:r w:rsidR="00CB0556">
        <w:t xml:space="preserve"> </w:t>
      </w:r>
      <w:r w:rsidR="00502EF8">
        <w:t>to</w:t>
      </w:r>
      <w:r w:rsidR="00CB0556">
        <w:t xml:space="preserve"> determine what, if any, progress had been made </w:t>
      </w:r>
      <w:r w:rsidR="00502EF8">
        <w:t xml:space="preserve">in </w:t>
      </w:r>
      <w:r w:rsidR="00CA2486">
        <w:t>curbing substance</w:t>
      </w:r>
      <w:r w:rsidR="00CB0556">
        <w:t xml:space="preserve"> abuse on college campuses.</w:t>
      </w:r>
    </w:p>
    <w:p w:rsidR="00180BF0" w:rsidRDefault="00B37D36" w:rsidP="00F97B61">
      <w:r>
        <w:t xml:space="preserve">The CASA </w:t>
      </w:r>
      <w:r w:rsidR="00550107" w:rsidRPr="00DA36D7">
        <w:fldChar w:fldCharType="begin"/>
      </w:r>
      <w:r w:rsidRPr="00DA36D7">
        <w:instrText xml:space="preserve"> ADDIN EN.CITE &lt;EndNote&gt;&lt;Cite ExcludeAuth="1"&gt;&lt;Author&gt;National Center on Addiction and Substance Abuse&lt;/Author&gt;&lt;Year&gt;2007&lt;/Year&gt;&lt;RecNum&gt;426&lt;/RecNum&gt;&lt;DisplayText&gt;(2007)&lt;/DisplayText&gt;&lt;record&gt;&lt;rec-number&gt;426&lt;/rec-number&gt;&lt;foreign-keys&gt;&lt;key app="EN" db-id="02dwfapew02tdked2f4p0xerwdapvw5vztpp"&gt;426&lt;/key&gt;&lt;/foreign-keys&gt;&lt;ref-type name="Report"&gt;27&lt;/ref-type&gt;&lt;contributors&gt;&lt;authors&gt;&lt;author&gt;National Center on Addiction and Substance Abuse,&lt;/author&gt;&lt;/authors&gt;&lt;/contributors&gt;&lt;titles&gt;&lt;title&gt;Wasting the best and the brightest: Substance abuse at America&amp;apos;s Colleges and Universities&lt;/title&gt;&lt;/titles&gt;&lt;dates&gt;&lt;year&gt;2007&lt;/year&gt;&lt;pub-dates&gt;&lt;date&gt;July&lt;/date&gt;&lt;/pub-dates&gt;&lt;/dates&gt;&lt;pub-location&gt;New York&lt;/pub-location&gt;&lt;publisher&gt;Colombia University&lt;/publisher&gt;&lt;urls&gt;&lt;related-urls&gt;&lt;url&gt;http://www.casacolumbia.org/articlefiles/380-Wasting%20the%20Best%20and%20the%20Brightest.pdf&lt;/url&gt;&lt;/related-urls&gt;&lt;/urls&gt;&lt;access-date&gt;December 10, 2007&lt;/access-date&gt;&lt;/record&gt;&lt;/Cite&gt;&lt;/EndNote&gt;</w:instrText>
      </w:r>
      <w:r w:rsidR="00550107" w:rsidRPr="00DA36D7">
        <w:fldChar w:fldCharType="separate"/>
      </w:r>
      <w:r w:rsidRPr="00DA36D7">
        <w:rPr>
          <w:noProof/>
        </w:rPr>
        <w:t>(</w:t>
      </w:r>
      <w:hyperlink w:anchor="_ENREF_42" w:tooltip="National Center on Addiction and Substance Abuse, 2007 #426" w:history="1">
        <w:r w:rsidR="00D213F7" w:rsidRPr="00DA36D7">
          <w:rPr>
            <w:noProof/>
          </w:rPr>
          <w:t>2007</w:t>
        </w:r>
      </w:hyperlink>
      <w:r w:rsidRPr="00DA36D7">
        <w:rPr>
          <w:noProof/>
        </w:rPr>
        <w:t>)</w:t>
      </w:r>
      <w:r w:rsidR="00550107" w:rsidRPr="00DA36D7">
        <w:fldChar w:fldCharType="end"/>
      </w:r>
      <w:r>
        <w:t xml:space="preserve"> report</w:t>
      </w:r>
      <w:r w:rsidR="00180BF0">
        <w:t xml:space="preserve"> revealed important information regarding the illicit use of prescription stimulants among college students. </w:t>
      </w:r>
      <w:r w:rsidR="005A600E">
        <w:t>It revealed that p</w:t>
      </w:r>
      <w:r w:rsidR="00180BF0">
        <w:t>ast month abuse of prescription stimulants rose 93.2%</w:t>
      </w:r>
      <w:r w:rsidR="005A600E">
        <w:t>,</w:t>
      </w:r>
      <w:r w:rsidR="00180BF0">
        <w:t xml:space="preserve"> from 1993 to 2005. Additionally, in 2005, college men were more likely to abuse prescription stimulants than noncollege men (4.0% vs. </w:t>
      </w:r>
      <w:proofErr w:type="gramStart"/>
      <w:r w:rsidR="00180BF0">
        <w:t>2.3%)</w:t>
      </w:r>
      <w:proofErr w:type="gramEnd"/>
      <w:r w:rsidR="00180BF0">
        <w:t xml:space="preserve">. In terms of race and ethnicity, white students </w:t>
      </w:r>
      <w:r w:rsidR="00502EF8">
        <w:t>were</w:t>
      </w:r>
      <w:r w:rsidR="00180BF0">
        <w:t xml:space="preserve"> four times more likely to use prescription stimulants for nonmedical purposes (4.9% vs. 1.9% </w:t>
      </w:r>
      <w:r w:rsidR="00502EF8">
        <w:t xml:space="preserve">for </w:t>
      </w:r>
      <w:r w:rsidR="00180BF0">
        <w:t xml:space="preserve">African Americans and 1.3% </w:t>
      </w:r>
      <w:r w:rsidR="00502EF8">
        <w:t xml:space="preserve">for </w:t>
      </w:r>
      <w:r w:rsidR="00180BF0">
        <w:t>Asians). However, only 16.6% of college administrators fe</w:t>
      </w:r>
      <w:r w:rsidR="00502EF8">
        <w:t>lt</w:t>
      </w:r>
      <w:r w:rsidR="00180BF0">
        <w:t xml:space="preserve"> abuse of stimulants </w:t>
      </w:r>
      <w:r w:rsidR="00502EF8">
        <w:t>was</w:t>
      </w:r>
      <w:r w:rsidR="00180BF0">
        <w:t xml:space="preserve"> a problem</w:t>
      </w:r>
      <w:r w:rsidR="001D7698">
        <w:t xml:space="preserve"> </w:t>
      </w:r>
      <w:r w:rsidR="00BA67F4">
        <w:t xml:space="preserve">on their campus </w:t>
      </w:r>
      <w:r w:rsidR="00550107">
        <w:fldChar w:fldCharType="begin"/>
      </w:r>
      <w:r w:rsidR="001D7698">
        <w:instrText xml:space="preserve"> ADDIN EN.CITE &lt;EndNote&gt;&lt;Cite&gt;&lt;Author&gt;National Center on Addiction and Substance Abuse&lt;/Author&gt;&lt;Year&gt;2007&lt;/Year&gt;&lt;RecNum&gt;426&lt;/RecNum&gt;&lt;DisplayText&gt;(National Center on Addiction and Substance Abuse, 2007)&lt;/DisplayText&gt;&lt;record&gt;&lt;rec-number&gt;426&lt;/rec-number&gt;&lt;foreign-keys&gt;&lt;key app="EN" db-id="02dwfapew02tdked2f4p0xerwdapvw5vztpp"&gt;426&lt;/key&gt;&lt;/foreign-keys&gt;&lt;ref-type name="Report"&gt;27&lt;/ref-type&gt;&lt;contributors&gt;&lt;authors&gt;&lt;author&gt;National Center on Addiction and Substance Abuse,&lt;/author&gt;&lt;/authors&gt;&lt;/contributors&gt;&lt;titles&gt;&lt;title&gt;Wasting the best and the brightest: Substance abuse at America&amp;apos;s Colleges and Universities&lt;/title&gt;&lt;/titles&gt;&lt;dates&gt;&lt;year&gt;2007&lt;/year&gt;&lt;pub-dates&gt;&lt;date&gt;July&lt;/date&gt;&lt;/pub-dates&gt;&lt;/dates&gt;&lt;pub-location&gt;New York&lt;/pub-location&gt;&lt;publisher&gt;Colombia University&lt;/publisher&gt;&lt;urls&gt;&lt;related-urls&gt;&lt;url&gt;http://www.casacolumbia.org/articlefiles/380-Wasting%20the%20Best%20and%20the%20Brightest.pdf&lt;/url&gt;&lt;/related-urls&gt;&lt;/urls&gt;&lt;access-date&gt;December 10, 2007&lt;/access-date&gt;&lt;/record&gt;&lt;/Cite&gt;&lt;/EndNote&gt;</w:instrText>
      </w:r>
      <w:r w:rsidR="00550107">
        <w:fldChar w:fldCharType="separate"/>
      </w:r>
      <w:r w:rsidR="001D7698">
        <w:rPr>
          <w:noProof/>
        </w:rPr>
        <w:t>(</w:t>
      </w:r>
      <w:hyperlink w:anchor="_ENREF_42" w:tooltip="National Center on Addiction and Substance Abuse, 2007 #426" w:history="1">
        <w:r w:rsidR="00D213F7">
          <w:rPr>
            <w:noProof/>
          </w:rPr>
          <w:t>National Center on Addiction and Substance Abuse, 2007</w:t>
        </w:r>
      </w:hyperlink>
      <w:r w:rsidR="001D7698">
        <w:rPr>
          <w:noProof/>
        </w:rPr>
        <w:t>)</w:t>
      </w:r>
      <w:r w:rsidR="00550107">
        <w:fldChar w:fldCharType="end"/>
      </w:r>
      <w:r w:rsidR="00180BF0">
        <w:t xml:space="preserve">. </w:t>
      </w:r>
    </w:p>
    <w:p w:rsidR="002F2571" w:rsidRDefault="00CA2486" w:rsidP="002F2571">
      <w:r>
        <w:lastRenderedPageBreak/>
        <w:t>The</w:t>
      </w:r>
      <w:r w:rsidR="00F87F24">
        <w:t xml:space="preserve"> </w:t>
      </w:r>
      <w:r w:rsidR="002F2571">
        <w:t xml:space="preserve">CASA studies </w:t>
      </w:r>
      <w:r w:rsidR="00550107">
        <w:fldChar w:fldCharType="begin"/>
      </w:r>
      <w:r>
        <w:instrText xml:space="preserve"> ADDIN EN.CITE &lt;EndNote&gt;&lt;Cite ExcludeAuth="1"&gt;&lt;Author&gt;National Center on Addiction and Substance Abuse&lt;/Author&gt;&lt;Year&gt;2005&lt;/Year&gt;&lt;RecNum&gt;104&lt;/RecNum&gt;&lt;DisplayText&gt;(2005, 2007)&lt;/DisplayText&gt;&lt;record&gt;&lt;rec-number&gt;104&lt;/rec-number&gt;&lt;foreign-keys&gt;&lt;key app="EN" db-id="02dwfapew02tdked2f4p0xerwdapvw5vztpp"&gt;104&lt;/key&gt;&lt;key app="ENWeb" db-id="R1rfKArtmCQAAH0-ETQ"&gt;682&lt;/key&gt;&lt;/foreign-keys&gt;&lt;ref-type name="Report"&gt;27&lt;/ref-type&gt;&lt;contributors&gt;&lt;authors&gt;&lt;author&gt;National Center on Addiction and Substance Abuse,&lt;/author&gt;&lt;/authors&gt;&lt;/contributors&gt;&lt;titles&gt;&lt;title&gt;Under the counter: The diversion and abuse of controlled prescription drugs in the United States&lt;/title&gt;&lt;/titles&gt;&lt;dates&gt;&lt;year&gt;2005&lt;/year&gt;&lt;pub-dates&gt;&lt;date&gt;July&lt;/date&gt;&lt;/pub-dates&gt;&lt;/dates&gt;&lt;pub-location&gt;New York&lt;/pub-location&gt;&lt;publisher&gt;Colombia University&lt;/publisher&gt;&lt;urls&gt;&lt;related-urls&gt;&lt;url&gt;http://www.casacolumbia.org/absolutenm/articlefiles/380-under_the_counter_-_diversion.pdf&lt;/url&gt;&lt;/related-urls&gt;&lt;/urls&gt;&lt;access-date&gt;December 10, 2007&lt;/access-date&gt;&lt;/record&gt;&lt;/Cite&gt;&lt;Cite&gt;&lt;Author&gt;National Center on Addiction and Substance Abuse&lt;/Author&gt;&lt;Year&gt;2007&lt;/Year&gt;&lt;RecNum&gt;426&lt;/RecNum&gt;&lt;record&gt;&lt;rec-number&gt;426&lt;/rec-number&gt;&lt;foreign-keys&gt;&lt;key app="EN" db-id="02dwfapew02tdked2f4p0xerwdapvw5vztpp"&gt;426&lt;/key&gt;&lt;/foreign-keys&gt;&lt;ref-type name="Report"&gt;27&lt;/ref-type&gt;&lt;contributors&gt;&lt;authors&gt;&lt;author&gt;National Center on Addiction and Substance Abuse,&lt;/author&gt;&lt;/authors&gt;&lt;/contributors&gt;&lt;titles&gt;&lt;title&gt;Wasting the best and the brightest: Substance abuse at America&amp;apos;s Colleges and Universities&lt;/title&gt;&lt;/titles&gt;&lt;dates&gt;&lt;year&gt;2007&lt;/year&gt;&lt;pub-dates&gt;&lt;date&gt;July&lt;/date&gt;&lt;/pub-dates&gt;&lt;/dates&gt;&lt;pub-location&gt;New York&lt;/pub-location&gt;&lt;publisher&gt;Colombia University&lt;/publisher&gt;&lt;urls&gt;&lt;related-urls&gt;&lt;url&gt;http://www.casacolumbia.org/articlefiles/380-Wasting%20the%20Best%20and%20the%20Brightest.pdf&lt;/url&gt;&lt;/related-urls&gt;&lt;/urls&gt;&lt;access-date&gt;December 10, 2007&lt;/access-date&gt;&lt;/record&gt;&lt;/Cite&gt;&lt;/EndNote&gt;</w:instrText>
      </w:r>
      <w:r w:rsidR="00550107">
        <w:fldChar w:fldCharType="separate"/>
      </w:r>
      <w:r>
        <w:rPr>
          <w:noProof/>
        </w:rPr>
        <w:t>(</w:t>
      </w:r>
      <w:hyperlink w:anchor="_ENREF_41" w:tooltip="National Center on Addiction and Substance Abuse, 2005 #104" w:history="1">
        <w:r w:rsidR="00D213F7">
          <w:rPr>
            <w:noProof/>
          </w:rPr>
          <w:t>2005</w:t>
        </w:r>
      </w:hyperlink>
      <w:r>
        <w:rPr>
          <w:noProof/>
        </w:rPr>
        <w:t xml:space="preserve">, </w:t>
      </w:r>
      <w:hyperlink w:anchor="_ENREF_42" w:tooltip="National Center on Addiction and Substance Abuse, 2007 #426" w:history="1">
        <w:r w:rsidR="00D213F7">
          <w:rPr>
            <w:noProof/>
          </w:rPr>
          <w:t>2007</w:t>
        </w:r>
      </w:hyperlink>
      <w:r>
        <w:rPr>
          <w:noProof/>
        </w:rPr>
        <w:t>)</w:t>
      </w:r>
      <w:r w:rsidR="00550107">
        <w:fldChar w:fldCharType="end"/>
      </w:r>
      <w:r w:rsidR="00465012">
        <w:t xml:space="preserve"> </w:t>
      </w:r>
      <w:r w:rsidR="002F2571">
        <w:t xml:space="preserve">provided </w:t>
      </w:r>
      <w:r w:rsidR="00180BF0">
        <w:t xml:space="preserve">valuable information </w:t>
      </w:r>
      <w:r w:rsidR="00502EF8">
        <w:t>about</w:t>
      </w:r>
      <w:r w:rsidR="00180BF0">
        <w:t xml:space="preserve"> the growing problem of </w:t>
      </w:r>
      <w:r w:rsidR="001B7AC2">
        <w:t>prescription stimulant abuse</w:t>
      </w:r>
      <w:r w:rsidR="00180BF0">
        <w:t xml:space="preserve"> among college students in the United States</w:t>
      </w:r>
      <w:r w:rsidR="002F2571">
        <w:t>, which was</w:t>
      </w:r>
      <w:r w:rsidR="00BA67F4">
        <w:t xml:space="preserve"> also</w:t>
      </w:r>
      <w:r w:rsidR="00B5750D">
        <w:t xml:space="preserve"> supported by </w:t>
      </w:r>
      <w:r w:rsidR="00550107">
        <w:fldChar w:fldCharType="begin"/>
      </w:r>
      <w:r w:rsidR="00E96A70">
        <w:instrText xml:space="preserve"> ADDIN EN.CITE &lt;EndNote&gt;&lt;Cite AuthorYear="1"&gt;&lt;Author&gt;Kroutil&lt;/Author&gt;&lt;Year&gt;2006&lt;/Year&gt;&lt;RecNum&gt;432&lt;/RecNum&gt;&lt;DisplayText&gt;Kroutil et al. (2006)&lt;/DisplayText&gt;&lt;record&gt;&lt;rec-number&gt;432&lt;/rec-number&gt;&lt;foreign-keys&gt;&lt;key app="EN" db-id="02dwfapew02tdked2f4p0xerwdapvw5vztpp"&gt;432&lt;/key&gt;&lt;/foreign-keys&gt;&lt;ref-type name="Journal Article"&gt;17&lt;/ref-type&gt;&lt;contributors&gt;&lt;authors&gt;&lt;author&gt;Kroutil, Larry A.&lt;/author&gt;&lt;author&gt;Van Brunt, David L.&lt;/author&gt;&lt;author&gt;Herman-Stahl, Mindy A.&lt;/author&gt;&lt;author&gt;Heller, David C.&lt;/author&gt;&lt;author&gt;Bray, Robert M.&lt;/author&gt;&lt;author&gt;Penne, Michael A.&lt;/author&gt;&lt;/authors&gt;&lt;/contributors&gt;&lt;titles&gt;&lt;title&gt;Nonmedical use of prescription stimulants in the United States&lt;/title&gt;&lt;secondary-title&gt;Drug and Alcohol Dependence&lt;/secondary-title&gt;&lt;/titles&gt;&lt;periodical&gt;&lt;full-title&gt;Drug and Alcohol Dependence&lt;/full-title&gt;&lt;/periodical&gt;&lt;pages&gt;135-143&lt;/pages&gt;&lt;volume&gt;84&lt;/volume&gt;&lt;number&gt;2&lt;/number&gt;&lt;keywords&gt;&lt;keyword&gt;Attention-deficit/hyperactivity disorder (ADHD)&lt;/keyword&gt;&lt;keyword&gt;Stimulants&lt;/keyword&gt;&lt;keyword&gt;Methamphetamine&lt;/keyword&gt;&lt;keyword&gt;Nonmedical use&lt;/keyword&gt;&lt;keyword&gt;Correlates&lt;/keyword&gt;&lt;/keywords&gt;&lt;dates&gt;&lt;year&gt;2006&lt;/year&gt;&lt;/dates&gt;&lt;isbn&gt;0376-8716&lt;/isbn&gt;&lt;urls&gt;&lt;related-urls&gt;&lt;url&gt;http://www.sciencedirect.com/science/article/pii/S0376871606000202&lt;/url&gt;&lt;/related-urls&gt;&lt;/urls&gt;&lt;electronic-resource-num&gt;10.1016/j.drugalcdep.2005.12.011&lt;/electronic-resource-num&gt;&lt;/record&gt;&lt;/Cite&gt;&lt;/EndNote&gt;</w:instrText>
      </w:r>
      <w:r w:rsidR="00550107">
        <w:fldChar w:fldCharType="separate"/>
      </w:r>
      <w:hyperlink w:anchor="_ENREF_27" w:tooltip="Kroutil, 2006 #432" w:history="1">
        <w:r w:rsidR="00D213F7">
          <w:rPr>
            <w:noProof/>
          </w:rPr>
          <w:t>Kroutil et al. (2006</w:t>
        </w:r>
      </w:hyperlink>
      <w:r w:rsidR="00E96A70">
        <w:rPr>
          <w:noProof/>
        </w:rPr>
        <w:t>)</w:t>
      </w:r>
      <w:r w:rsidR="00550107">
        <w:fldChar w:fldCharType="end"/>
      </w:r>
      <w:r w:rsidR="00B5750D">
        <w:t>;</w:t>
      </w:r>
      <w:r w:rsidR="00465012">
        <w:t xml:space="preserve"> however</w:t>
      </w:r>
      <w:r w:rsidR="005F5EC9">
        <w:t>,</w:t>
      </w:r>
      <w:r w:rsidR="00B5750D">
        <w:t xml:space="preserve"> </w:t>
      </w:r>
      <w:r w:rsidR="00C30343">
        <w:t xml:space="preserve">the CASA </w:t>
      </w:r>
      <w:r w:rsidR="00550107">
        <w:fldChar w:fldCharType="begin"/>
      </w:r>
      <w:r w:rsidR="00C30343">
        <w:instrText xml:space="preserve"> ADDIN EN.CITE &lt;EndNote&gt;&lt;Cite ExcludeAuth="1"&gt;&lt;Author&gt;National Center on Addiction and Substance Abuse&lt;/Author&gt;&lt;Year&gt;2007&lt;/Year&gt;&lt;RecNum&gt;426&lt;/RecNum&gt;&lt;DisplayText&gt;(2007)&lt;/DisplayText&gt;&lt;record&gt;&lt;rec-number&gt;426&lt;/rec-number&gt;&lt;foreign-keys&gt;&lt;key app="EN" db-id="02dwfapew02tdked2f4p0xerwdapvw5vztpp"&gt;426&lt;/key&gt;&lt;/foreign-keys&gt;&lt;ref-type name="Report"&gt;27&lt;/ref-type&gt;&lt;contributors&gt;&lt;authors&gt;&lt;author&gt;National Center on Addiction and Substance Abuse,&lt;/author&gt;&lt;/authors&gt;&lt;/contributors&gt;&lt;titles&gt;&lt;title&gt;Wasting the best and the brightest: Substance abuse at America&amp;apos;s Colleges and Universities&lt;/title&gt;&lt;/titles&gt;&lt;dates&gt;&lt;year&gt;2007&lt;/year&gt;&lt;pub-dates&gt;&lt;date&gt;July&lt;/date&gt;&lt;/pub-dates&gt;&lt;/dates&gt;&lt;pub-location&gt;New York&lt;/pub-location&gt;&lt;publisher&gt;Colombia University&lt;/publisher&gt;&lt;urls&gt;&lt;related-urls&gt;&lt;url&gt;http://www.casacolumbia.org/articlefiles/380-Wasting%20the%20Best%20and%20the%20Brightest.pdf&lt;/url&gt;&lt;/related-urls&gt;&lt;/urls&gt;&lt;access-date&gt;December 10, 2007&lt;/access-date&gt;&lt;/record&gt;&lt;/Cite&gt;&lt;/EndNote&gt;</w:instrText>
      </w:r>
      <w:r w:rsidR="00550107">
        <w:fldChar w:fldCharType="separate"/>
      </w:r>
      <w:r w:rsidR="00C30343">
        <w:rPr>
          <w:noProof/>
        </w:rPr>
        <w:t>(</w:t>
      </w:r>
      <w:hyperlink w:anchor="_ENREF_42" w:tooltip="National Center on Addiction and Substance Abuse, 2007 #426" w:history="1">
        <w:r w:rsidR="00D213F7">
          <w:rPr>
            <w:noProof/>
          </w:rPr>
          <w:t>2007</w:t>
        </w:r>
      </w:hyperlink>
      <w:r w:rsidR="00C30343">
        <w:rPr>
          <w:noProof/>
        </w:rPr>
        <w:t>)</w:t>
      </w:r>
      <w:r w:rsidR="00550107">
        <w:fldChar w:fldCharType="end"/>
      </w:r>
      <w:r w:rsidR="00C30343">
        <w:t xml:space="preserve"> report</w:t>
      </w:r>
      <w:r w:rsidR="005A600E">
        <w:t xml:space="preserve"> </w:t>
      </w:r>
      <w:r w:rsidR="00465012">
        <w:t xml:space="preserve">did not </w:t>
      </w:r>
      <w:r w:rsidR="001C735C">
        <w:t xml:space="preserve">provide </w:t>
      </w:r>
      <w:r w:rsidR="00C30343">
        <w:t xml:space="preserve">evidence regarding the motives for illicitly using prescription stimulants. Additionally, the report provided cursory evidence suggesting how students </w:t>
      </w:r>
      <w:r w:rsidR="002F2571">
        <w:t>were</w:t>
      </w:r>
      <w:r w:rsidR="00C30343">
        <w:t xml:space="preserve"> obtaining the prescription stimulants</w:t>
      </w:r>
      <w:r w:rsidR="007D72A3">
        <w:t>.</w:t>
      </w:r>
      <w:r w:rsidR="007521D6">
        <w:t xml:space="preserve"> </w:t>
      </w:r>
      <w:r w:rsidR="00C30343">
        <w:t xml:space="preserve">Novak, Kroutil, Williams, and Van Brunt </w:t>
      </w:r>
      <w:r w:rsidR="00550107">
        <w:fldChar w:fldCharType="begin"/>
      </w:r>
      <w:r w:rsidR="00C30343">
        <w:instrText xml:space="preserve"> ADDIN EN.CITE &lt;EndNote&gt;&lt;Cite ExcludeAuth="1"&gt;&lt;Author&gt;Novak&lt;/Author&gt;&lt;Year&gt;2007&lt;/Year&gt;&lt;RecNum&gt;318&lt;/RecNum&gt;&lt;DisplayText&gt;(2007)&lt;/DisplayText&gt;&lt;record&gt;&lt;rec-number&gt;318&lt;/rec-number&gt;&lt;foreign-keys&gt;&lt;key app="EN" db-id="02dwfapew02tdked2f4p0xerwdapvw5vztpp"&gt;318&lt;/key&gt;&lt;key app="ENWeb" db-id="R1rfKArtmCQAAH0-ETQ"&gt;862&lt;/key&gt;&lt;/foreign-keys&gt;&lt;ref-type name="Journal Article"&gt;17&lt;/ref-type&gt;&lt;contributors&gt;&lt;authors&gt;&lt;author&gt;Novak, Scott&lt;/author&gt;&lt;author&gt;Kroutil, Larry&lt;/author&gt;&lt;author&gt;Williams, Rick&lt;/author&gt;&lt;author&gt;Van Brunt, David&lt;/author&gt;&lt;/authors&gt;&lt;/contributors&gt;&lt;titles&gt;&lt;title&gt;The nonmedical use of prescription ADHD medications: Results from a national Internet panel&lt;/title&gt;&lt;secondary-title&gt;Substance Abuse Treatment, Prevention, and Policy&lt;/secondary-title&gt;&lt;/titles&gt;&lt;periodical&gt;&lt;full-title&gt;Substance Abuse Treatment, Prevention, and Policy&lt;/full-title&gt;&lt;/periodical&gt;&lt;pages&gt;32&lt;/pages&gt;&lt;volume&gt;2&lt;/volume&gt;&lt;number&gt;1&lt;/number&gt;&lt;dates&gt;&lt;year&gt;2007&lt;/year&gt;&lt;/dates&gt;&lt;isbn&gt;1747-597X&lt;/isbn&gt;&lt;accession-num&gt;doi:10.1186/1747-597X-2-32&lt;/accession-num&gt;&lt;urls&gt;&lt;related-urls&gt;&lt;url&gt;http://www.substanceabusepolicy.com/content/2/1/32&lt;/url&gt;&lt;/related-urls&gt;&lt;/urls&gt;&lt;electronic-resource-num&gt;10.1186/1747-597X-2-32&lt;/electronic-resource-num&gt;&lt;/record&gt;&lt;/Cite&gt;&lt;/EndNote&gt;</w:instrText>
      </w:r>
      <w:r w:rsidR="00550107">
        <w:fldChar w:fldCharType="separate"/>
      </w:r>
      <w:r w:rsidR="00C30343">
        <w:rPr>
          <w:noProof/>
        </w:rPr>
        <w:t>(</w:t>
      </w:r>
      <w:hyperlink w:anchor="_ENREF_45" w:tooltip="Novak, 2007 #318" w:history="1">
        <w:r w:rsidR="00D213F7">
          <w:rPr>
            <w:noProof/>
          </w:rPr>
          <w:t>2007</w:t>
        </w:r>
      </w:hyperlink>
      <w:r w:rsidR="00C30343">
        <w:rPr>
          <w:noProof/>
        </w:rPr>
        <w:t>)</w:t>
      </w:r>
      <w:r w:rsidR="00550107">
        <w:fldChar w:fldCharType="end"/>
      </w:r>
      <w:r w:rsidR="00F70B92">
        <w:t xml:space="preserve"> </w:t>
      </w:r>
      <w:r w:rsidR="002F2571">
        <w:t>studied</w:t>
      </w:r>
      <w:r w:rsidR="00F87F24">
        <w:t xml:space="preserve"> </w:t>
      </w:r>
      <w:r w:rsidR="002F2571">
        <w:t>the general motives, sources, and patterns of substance abuse among individuals 18 and older who abused prescription stimulants among a nationally representative sample.</w:t>
      </w:r>
    </w:p>
    <w:p w:rsidR="00303EB6" w:rsidRDefault="00550107" w:rsidP="00F97B61">
      <w:r>
        <w:fldChar w:fldCharType="begin"/>
      </w:r>
      <w:r w:rsidR="002A6C7F">
        <w:instrText xml:space="preserve"> ADDIN EN.CITE &lt;EndNote&gt;&lt;Cite AuthorYear="1"&gt;&lt;Author&gt;Novak&lt;/Author&gt;&lt;Year&gt;2007&lt;/Year&gt;&lt;RecNum&gt;318&lt;/RecNum&gt;&lt;DisplayText&gt;Novak et al. (2007)&lt;/DisplayText&gt;&lt;record&gt;&lt;rec-number&gt;318&lt;/rec-number&gt;&lt;foreign-keys&gt;&lt;key app="EN" db-id="02dwfapew02tdked2f4p0xerwdapvw5vztpp"&gt;318&lt;/key&gt;&lt;key app="ENWeb" db-id="R1rfKArtmCQAAH0-ETQ"&gt;862&lt;/key&gt;&lt;/foreign-keys&gt;&lt;ref-type name="Journal Article"&gt;17&lt;/ref-type&gt;&lt;contributors&gt;&lt;authors&gt;&lt;author&gt;Novak, Scott&lt;/author&gt;&lt;author&gt;Kroutil, Larry&lt;/author&gt;&lt;author&gt;Williams, Rick&lt;/author&gt;&lt;author&gt;Van Brunt, David&lt;/author&gt;&lt;/authors&gt;&lt;/contributors&gt;&lt;titles&gt;&lt;title&gt;The nonmedical use of prescription ADHD medications: Results from a national Internet panel&lt;/title&gt;&lt;secondary-title&gt;Substance Abuse Treatment, Prevention, and Policy&lt;/secondary-title&gt;&lt;/titles&gt;&lt;periodical&gt;&lt;full-title&gt;Substance Abuse Treatment, Prevention, and Policy&lt;/full-title&gt;&lt;/periodical&gt;&lt;pages&gt;32&lt;/pages&gt;&lt;volume&gt;2&lt;/volume&gt;&lt;number&gt;1&lt;/number&gt;&lt;dates&gt;&lt;year&gt;2007&lt;/year&gt;&lt;/dates&gt;&lt;isbn&gt;1747-597X&lt;/isbn&gt;&lt;accession-num&gt;doi:10.1186/1747-597X-2-32&lt;/accession-num&gt;&lt;urls&gt;&lt;related-urls&gt;&lt;url&gt;http://www.substanceabusepolicy.com/content/2/1/32&lt;/url&gt;&lt;/related-urls&gt;&lt;/urls&gt;&lt;electronic-resource-num&gt;10.1186/1747-597X-2-32&lt;/electronic-resource-num&gt;&lt;/record&gt;&lt;/Cite&gt;&lt;/EndNote&gt;</w:instrText>
      </w:r>
      <w:r>
        <w:fldChar w:fldCharType="separate"/>
      </w:r>
      <w:hyperlink w:anchor="_ENREF_45" w:tooltip="Novak, 2007 #318" w:history="1">
        <w:r w:rsidR="00D213F7">
          <w:rPr>
            <w:noProof/>
          </w:rPr>
          <w:t>Novak et al. (2007</w:t>
        </w:r>
      </w:hyperlink>
      <w:r w:rsidR="002A6C7F">
        <w:rPr>
          <w:noProof/>
        </w:rPr>
        <w:t>)</w:t>
      </w:r>
      <w:r>
        <w:fldChar w:fldCharType="end"/>
      </w:r>
      <w:r w:rsidR="00BE68C6">
        <w:t xml:space="preserve"> employed a self-reporting internet survey from a nationally represent</w:t>
      </w:r>
      <w:r w:rsidR="005379ED">
        <w:t>at</w:t>
      </w:r>
      <w:r w:rsidR="002F2571">
        <w:t>ive</w:t>
      </w:r>
      <w:r w:rsidR="005379ED">
        <w:t xml:space="preserve"> </w:t>
      </w:r>
      <w:r w:rsidR="00BE68C6">
        <w:t>pool of participants who were enrolled in the Harris Interactive’s Harris Poll Online panel (HPOL)</w:t>
      </w:r>
      <w:r w:rsidR="005F5EC9">
        <w:t>. The HPOL</w:t>
      </w:r>
      <w:r w:rsidR="00BE68C6">
        <w:t xml:space="preserve"> is a database of several million members who elect to participate in online polling. The final sample size was 4,297 of noninstitutionalized adults, ages 18 to </w:t>
      </w:r>
      <w:smartTag w:uri="urn:schemas-microsoft-com:office:smarttags" w:element="metricconverter">
        <w:smartTagPr>
          <w:attr w:name="ProductID" w:val="49. In"/>
        </w:smartTagPr>
        <w:r w:rsidR="00BE68C6">
          <w:t>49. In</w:t>
        </w:r>
      </w:smartTag>
      <w:r w:rsidR="00BE68C6">
        <w:t xml:space="preserve"> order to control for national-level estimates, weighting procedures and propensity scoring methods were conducted by using data from three nationally representative probability samples. These included the U</w:t>
      </w:r>
      <w:r w:rsidR="00CA2486">
        <w:t xml:space="preserve">nited </w:t>
      </w:r>
      <w:r w:rsidR="00BE68C6">
        <w:t>S</w:t>
      </w:r>
      <w:r w:rsidR="00CA2486">
        <w:t>tates</w:t>
      </w:r>
      <w:r w:rsidR="00BE68C6">
        <w:t xml:space="preserve"> Census, NSDUH data, and random-digit dialed telephone surveys</w:t>
      </w:r>
      <w:r w:rsidR="002F2571">
        <w:t>.</w:t>
      </w:r>
      <w:r w:rsidR="00BE68C6">
        <w:t xml:space="preserve"> </w:t>
      </w:r>
      <w:r w:rsidR="002F2571">
        <w:t>Novak et al</w:t>
      </w:r>
      <w:r w:rsidR="005379ED">
        <w:t>.</w:t>
      </w:r>
      <w:r w:rsidR="002F2571">
        <w:t xml:space="preserve"> found t</w:t>
      </w:r>
      <w:r w:rsidR="00303EB6">
        <w:t xml:space="preserve">he prevalence rates of </w:t>
      </w:r>
      <w:r w:rsidR="005A600E">
        <w:t xml:space="preserve">prescription stimulant </w:t>
      </w:r>
      <w:r w:rsidR="00303EB6">
        <w:t xml:space="preserve">abuse among adults </w:t>
      </w:r>
      <w:r w:rsidR="005A600E">
        <w:t>18-49</w:t>
      </w:r>
      <w:r w:rsidR="00303EB6">
        <w:t xml:space="preserve"> national</w:t>
      </w:r>
      <w:r w:rsidR="002311AD">
        <w:t>ly</w:t>
      </w:r>
      <w:r w:rsidR="00303EB6">
        <w:t xml:space="preserve"> </w:t>
      </w:r>
      <w:r w:rsidR="002F2571">
        <w:t>to be</w:t>
      </w:r>
      <w:r w:rsidR="005A600E">
        <w:t xml:space="preserve"> </w:t>
      </w:r>
      <w:r w:rsidR="00F8093E">
        <w:t>7.1%</w:t>
      </w:r>
      <w:r w:rsidR="005A600E">
        <w:t>.</w:t>
      </w:r>
      <w:r w:rsidR="00303EB6">
        <w:t xml:space="preserve"> The group mo</w:t>
      </w:r>
      <w:r w:rsidR="00BE68C6">
        <w:t>st</w:t>
      </w:r>
      <w:r w:rsidR="00303EB6">
        <w:t xml:space="preserve"> likely to abuse prescription stimulants included those between the ages of 18 and 25</w:t>
      </w:r>
      <w:r w:rsidR="009125E6">
        <w:t>,</w:t>
      </w:r>
      <w:r w:rsidR="00487C3B">
        <w:t xml:space="preserve"> compared to those between 26 and 49</w:t>
      </w:r>
      <w:r w:rsidR="00303EB6">
        <w:t xml:space="preserve"> (4.3% vs. 2.8%). Students who were likely to abuse other substances were the most vulnerable </w:t>
      </w:r>
      <w:r w:rsidR="005B38B8">
        <w:t>f</w:t>
      </w:r>
      <w:r w:rsidR="00303EB6">
        <w:t>o</w:t>
      </w:r>
      <w:r w:rsidR="005B38B8">
        <w:t>r</w:t>
      </w:r>
      <w:r w:rsidR="00303EB6">
        <w:t xml:space="preserve"> abusing prescription stimulants. Students who abuse</w:t>
      </w:r>
      <w:r w:rsidR="00F54F0A">
        <w:t>d</w:t>
      </w:r>
      <w:r w:rsidR="00FF53C1">
        <w:t xml:space="preserve"> methamphetamine </w:t>
      </w:r>
      <w:r w:rsidR="00F54F0A">
        <w:t>were</w:t>
      </w:r>
      <w:r w:rsidR="00303EB6">
        <w:t xml:space="preserve"> 48.3 times more likely to abuse prescription stimulants</w:t>
      </w:r>
      <w:r w:rsidR="005F5EC9">
        <w:t xml:space="preserve">. </w:t>
      </w:r>
      <w:r w:rsidR="009125E6">
        <w:t>S</w:t>
      </w:r>
      <w:r w:rsidR="00581FE4">
        <w:t xml:space="preserve">tudents who used </w:t>
      </w:r>
      <w:r w:rsidR="00303EB6">
        <w:t xml:space="preserve">cocaine </w:t>
      </w:r>
      <w:r w:rsidR="00F54F0A">
        <w:t>were</w:t>
      </w:r>
      <w:r w:rsidR="00303EB6">
        <w:t xml:space="preserve"> 26.4 times more likely</w:t>
      </w:r>
      <w:r w:rsidR="00BA67F4">
        <w:t xml:space="preserve"> more likely</w:t>
      </w:r>
      <w:r w:rsidR="005F5EC9">
        <w:t xml:space="preserve"> to abuse prescription simulants. </w:t>
      </w:r>
      <w:r w:rsidR="00077C3D">
        <w:t xml:space="preserve">Those who abused marijuana were 7.3 times more likely </w:t>
      </w:r>
      <w:r w:rsidR="00077C3D">
        <w:lastRenderedPageBreak/>
        <w:t>to abuse</w:t>
      </w:r>
      <w:r w:rsidR="00FF53C1">
        <w:t xml:space="preserve"> prescription stimulants</w:t>
      </w:r>
      <w:r w:rsidR="00077C3D">
        <w:t xml:space="preserve">. </w:t>
      </w:r>
      <w:r w:rsidR="005F5EC9">
        <w:t xml:space="preserve">Those </w:t>
      </w:r>
      <w:r w:rsidR="00303EB6">
        <w:t>who</w:t>
      </w:r>
      <w:r w:rsidR="009125E6">
        <w:t xml:space="preserve"> reported </w:t>
      </w:r>
      <w:r w:rsidR="00303EB6">
        <w:t>binge drink</w:t>
      </w:r>
      <w:r w:rsidR="009125E6">
        <w:t xml:space="preserve">ing </w:t>
      </w:r>
      <w:r w:rsidR="00F54F0A">
        <w:t>were</w:t>
      </w:r>
      <w:r w:rsidR="00303EB6">
        <w:t xml:space="preserve"> 5.1 times more likely to engage in</w:t>
      </w:r>
      <w:r w:rsidR="00FF53C1">
        <w:t xml:space="preserve"> illicit prescription stimulant use</w:t>
      </w:r>
      <w:r w:rsidR="00303EB6">
        <w:t xml:space="preserve">. </w:t>
      </w:r>
      <w:r w:rsidR="009125E6">
        <w:t xml:space="preserve">These findings suggested that </w:t>
      </w:r>
      <w:r w:rsidR="00E3359C">
        <w:t>students may be at a greater risk to abuse prescription stimulants when they use other illicit substances</w:t>
      </w:r>
      <w:r w:rsidR="00B3241E">
        <w:t>. This</w:t>
      </w:r>
      <w:r w:rsidR="00E3359C">
        <w:t xml:space="preserve"> </w:t>
      </w:r>
      <w:r w:rsidR="009125E6">
        <w:t xml:space="preserve">suggestion was </w:t>
      </w:r>
      <w:r w:rsidR="00E3359C">
        <w:t xml:space="preserve">supported by </w:t>
      </w:r>
      <w:r w:rsidR="009125E6">
        <w:t xml:space="preserve">additional data that </w:t>
      </w:r>
      <w:r w:rsidR="00BC2E00">
        <w:t>69.2% of students who reported n</w:t>
      </w:r>
      <w:r w:rsidR="00D37D52">
        <w:t>onmedical use</w:t>
      </w:r>
      <w:r w:rsidR="00303EB6">
        <w:t xml:space="preserve"> of prescription </w:t>
      </w:r>
      <w:r w:rsidR="00BC2E00">
        <w:t xml:space="preserve">stimulants </w:t>
      </w:r>
      <w:r w:rsidR="00E3359C">
        <w:t>concomitantly</w:t>
      </w:r>
      <w:r w:rsidR="00F54F0A">
        <w:t xml:space="preserve"> </w:t>
      </w:r>
      <w:r w:rsidR="00BC2E00">
        <w:t>reported binge drinking</w:t>
      </w:r>
      <w:r w:rsidR="00E3359C">
        <w:t>. Furthermore</w:t>
      </w:r>
      <w:r w:rsidR="00FF53C1">
        <w:t>,</w:t>
      </w:r>
      <w:r w:rsidR="00BC2E00">
        <w:t xml:space="preserve"> 53.9% </w:t>
      </w:r>
      <w:r w:rsidR="005F5EC9">
        <w:t xml:space="preserve">of the participants </w:t>
      </w:r>
      <w:r w:rsidR="00BC2E00">
        <w:t xml:space="preserve">reported marijuana </w:t>
      </w:r>
      <w:r w:rsidR="00E3359C">
        <w:t xml:space="preserve">and prescription stimulant </w:t>
      </w:r>
      <w:r w:rsidR="00BC2E00">
        <w:t xml:space="preserve">use in the past year. Only 16% </w:t>
      </w:r>
      <w:r w:rsidR="005F5EC9">
        <w:t xml:space="preserve">of the participants </w:t>
      </w:r>
      <w:r w:rsidR="00BC2E00">
        <w:t xml:space="preserve">reported using </w:t>
      </w:r>
      <w:r w:rsidR="009125E6">
        <w:t xml:space="preserve">only </w:t>
      </w:r>
      <w:r w:rsidR="00BC2E00">
        <w:t>methamphetamine</w:t>
      </w:r>
      <w:r w:rsidR="00E3359C">
        <w:t xml:space="preserve"> and prescription stimulants</w:t>
      </w:r>
      <w:r w:rsidR="00EB0DEB">
        <w:t xml:space="preserve"> </w:t>
      </w:r>
      <w:r>
        <w:fldChar w:fldCharType="begin"/>
      </w:r>
      <w:r w:rsidR="00E96A70">
        <w:instrText xml:space="preserve"> ADDIN EN.CITE &lt;EndNote&gt;&lt;Cite&gt;&lt;Author&gt;Novak&lt;/Author&gt;&lt;Year&gt;2007&lt;/Year&gt;&lt;RecNum&gt;318&lt;/RecNum&gt;&lt;DisplayText&gt;(Novak et al., 2007)&lt;/DisplayText&gt;&lt;record&gt;&lt;rec-number&gt;318&lt;/rec-number&gt;&lt;foreign-keys&gt;&lt;key app="EN" db-id="02dwfapew02tdked2f4p0xerwdapvw5vztpp"&gt;318&lt;/key&gt;&lt;key app="ENWeb" db-id="R1rfKArtmCQAAH0-ETQ"&gt;862&lt;/key&gt;&lt;/foreign-keys&gt;&lt;ref-type name="Journal Article"&gt;17&lt;/ref-type&gt;&lt;contributors&gt;&lt;authors&gt;&lt;author&gt;Novak, Scott&lt;/author&gt;&lt;author&gt;Kroutil, Larry&lt;/author&gt;&lt;author&gt;Williams, Rick&lt;/author&gt;&lt;author&gt;Van Brunt, David&lt;/author&gt;&lt;/authors&gt;&lt;/contributors&gt;&lt;titles&gt;&lt;title&gt;The nonmedical use of prescription ADHD medications: Results from a national Internet panel&lt;/title&gt;&lt;secondary-title&gt;Substance Abuse Treatment, Prevention, and Policy&lt;/secondary-title&gt;&lt;/titles&gt;&lt;periodical&gt;&lt;full-title&gt;Substance Abuse Treatment, Prevention, and Policy&lt;/full-title&gt;&lt;/periodical&gt;&lt;pages&gt;32&lt;/pages&gt;&lt;volume&gt;2&lt;/volume&gt;&lt;number&gt;1&lt;/number&gt;&lt;dates&gt;&lt;year&gt;2007&lt;/year&gt;&lt;/dates&gt;&lt;isbn&gt;1747-597X&lt;/isbn&gt;&lt;accession-num&gt;doi:10.1186/1747-597X-2-32&lt;/accession-num&gt;&lt;urls&gt;&lt;related-urls&gt;&lt;url&gt;http://www.substanceabusepolicy.com/content/2/1/32&lt;/url&gt;&lt;/related-urls&gt;&lt;/urls&gt;&lt;electronic-resource-num&gt;10.1186/1747-597X-2-32&lt;/electronic-resource-num&gt;&lt;/record&gt;&lt;/Cite&gt;&lt;/EndNote&gt;</w:instrText>
      </w:r>
      <w:r>
        <w:fldChar w:fldCharType="separate"/>
      </w:r>
      <w:r w:rsidR="00E96A70">
        <w:rPr>
          <w:noProof/>
        </w:rPr>
        <w:t>(</w:t>
      </w:r>
      <w:hyperlink w:anchor="_ENREF_45" w:tooltip="Novak, 2007 #318" w:history="1">
        <w:r w:rsidR="00D213F7">
          <w:rPr>
            <w:noProof/>
          </w:rPr>
          <w:t>Novak et al., 2007</w:t>
        </w:r>
      </w:hyperlink>
      <w:r w:rsidR="00E96A70">
        <w:rPr>
          <w:noProof/>
        </w:rPr>
        <w:t>)</w:t>
      </w:r>
      <w:r>
        <w:fldChar w:fldCharType="end"/>
      </w:r>
      <w:r w:rsidR="00BC2E00">
        <w:t xml:space="preserve">. </w:t>
      </w:r>
    </w:p>
    <w:p w:rsidR="00BC2E00" w:rsidRDefault="00550107" w:rsidP="00F97B61">
      <w:r>
        <w:fldChar w:fldCharType="begin"/>
      </w:r>
      <w:r w:rsidR="00A35BE5">
        <w:instrText xml:space="preserve"> ADDIN EN.CITE &lt;EndNote&gt;&lt;Cite AuthorYear="1"&gt;&lt;Author&gt;Novak&lt;/Author&gt;&lt;Year&gt;2007&lt;/Year&gt;&lt;RecNum&gt;318&lt;/RecNum&gt;&lt;DisplayText&gt;Novak et al. (2007)&lt;/DisplayText&gt;&lt;record&gt;&lt;rec-number&gt;318&lt;/rec-number&gt;&lt;foreign-keys&gt;&lt;key app="EN" db-id="02dwfapew02tdked2f4p0xerwdapvw5vztpp"&gt;318&lt;/key&gt;&lt;key app="ENWeb" db-id="R1rfKArtmCQAAH0-ETQ"&gt;862&lt;/key&gt;&lt;/foreign-keys&gt;&lt;ref-type name="Journal Article"&gt;17&lt;/ref-type&gt;&lt;contributors&gt;&lt;authors&gt;&lt;author&gt;Novak, Scott&lt;/author&gt;&lt;author&gt;Kroutil, Larry&lt;/author&gt;&lt;author&gt;Williams, Rick&lt;/author&gt;&lt;author&gt;Van Brunt, David&lt;/author&gt;&lt;/authors&gt;&lt;/contributors&gt;&lt;titles&gt;&lt;title&gt;The nonmedical use of prescription ADHD medications: Results from a national Internet panel&lt;/title&gt;&lt;secondary-title&gt;Substance Abuse Treatment, Prevention, and Policy&lt;/secondary-title&gt;&lt;/titles&gt;&lt;periodical&gt;&lt;full-title&gt;Substance Abuse Treatment, Prevention, and Policy&lt;/full-title&gt;&lt;/periodical&gt;&lt;pages&gt;32&lt;/pages&gt;&lt;volume&gt;2&lt;/volume&gt;&lt;number&gt;1&lt;/number&gt;&lt;dates&gt;&lt;year&gt;2007&lt;/year&gt;&lt;/dates&gt;&lt;isbn&gt;1747-597X&lt;/isbn&gt;&lt;accession-num&gt;doi:10.1186/1747-597X-2-32&lt;/accession-num&gt;&lt;urls&gt;&lt;related-urls&gt;&lt;url&gt;http://www.substanceabusepolicy.com/content/2/1/32&lt;/url&gt;&lt;/related-urls&gt;&lt;/urls&gt;&lt;electronic-resource-num&gt;10.1186/1747-597X-2-32&lt;/electronic-resource-num&gt;&lt;/record&gt;&lt;/Cite&gt;&lt;/EndNote&gt;</w:instrText>
      </w:r>
      <w:r>
        <w:fldChar w:fldCharType="separate"/>
      </w:r>
      <w:hyperlink w:anchor="_ENREF_45" w:tooltip="Novak, 2007 #318" w:history="1">
        <w:r w:rsidR="00D213F7">
          <w:rPr>
            <w:noProof/>
          </w:rPr>
          <w:t>Novak et al. (2007</w:t>
        </w:r>
      </w:hyperlink>
      <w:r w:rsidR="00A35BE5">
        <w:rPr>
          <w:noProof/>
        </w:rPr>
        <w:t>)</w:t>
      </w:r>
      <w:r>
        <w:fldChar w:fldCharType="end"/>
      </w:r>
      <w:r w:rsidR="00BC2E00">
        <w:t xml:space="preserve"> did not find a specific prescription stimulant drug that was used more than </w:t>
      </w:r>
      <w:proofErr w:type="gramStart"/>
      <w:r w:rsidR="00BC2E00">
        <w:t>others</w:t>
      </w:r>
      <w:proofErr w:type="gramEnd"/>
      <w:r w:rsidR="00BC2E00">
        <w:t xml:space="preserve">. However, they did report 2% of the sample indicated </w:t>
      </w:r>
      <w:r w:rsidR="00136A66">
        <w:t>a willingness to acquire any prescription s</w:t>
      </w:r>
      <w:r w:rsidR="00BC2E00">
        <w:t>timulant</w:t>
      </w:r>
      <w:r w:rsidR="009125E6">
        <w:t>, suggesting that</w:t>
      </w:r>
      <w:r w:rsidR="00BC2E00">
        <w:t xml:space="preserve"> stu</w:t>
      </w:r>
      <w:r w:rsidR="00F8093E">
        <w:t xml:space="preserve">dents </w:t>
      </w:r>
      <w:r w:rsidR="009125E6">
        <w:t xml:space="preserve">may </w:t>
      </w:r>
      <w:r w:rsidR="00F8093E">
        <w:t>not have a preference for</w:t>
      </w:r>
      <w:r w:rsidR="00BC2E00">
        <w:t xml:space="preserve"> a specific drug but rather for the effect of the drugs. They also reported </w:t>
      </w:r>
      <w:r w:rsidR="009125E6">
        <w:t xml:space="preserve">on </w:t>
      </w:r>
      <w:r w:rsidR="00CC226B">
        <w:t>students’ sources for prescription stimulants. Students who received the drugs for free from friends or family accounted for 65.8% of the sample</w:t>
      </w:r>
      <w:r w:rsidR="00F54F0A">
        <w:t>,</w:t>
      </w:r>
      <w:r w:rsidR="00CC226B">
        <w:t xml:space="preserve"> whereas 13% bought the drugs from friends and family. Other means of acquisition included stealing the medication (34.5%), obtaining it fraudulently from a doctor (19.8%), internet pharmacy (5.2%), and other (10.3%). Individuals 18 and older reported their motivations for taking the drugs were primar</w:t>
      </w:r>
      <w:r w:rsidR="005B38B8">
        <w:t>il</w:t>
      </w:r>
      <w:r w:rsidR="00CC226B">
        <w:t xml:space="preserve">y for </w:t>
      </w:r>
      <w:r w:rsidR="005B38B8">
        <w:t>increasing</w:t>
      </w:r>
      <w:r w:rsidR="00CC226B">
        <w:t xml:space="preserve"> productiv</w:t>
      </w:r>
      <w:r w:rsidR="005B38B8">
        <w:t>ity</w:t>
      </w:r>
      <w:r w:rsidR="00CC226B">
        <w:t xml:space="preserve"> (39.8%), staying </w:t>
      </w:r>
      <w:proofErr w:type="gramStart"/>
      <w:r w:rsidR="00CC226B">
        <w:t>awake</w:t>
      </w:r>
      <w:proofErr w:type="gramEnd"/>
      <w:r w:rsidR="00CC226B">
        <w:t xml:space="preserve"> (23.1%), feeling good or getting high (13.0</w:t>
      </w:r>
      <w:r w:rsidR="005B38B8">
        <w:t>%</w:t>
      </w:r>
      <w:r w:rsidR="00CC226B">
        <w:t>), and relaxing or relieving tension (10.4%).</w:t>
      </w:r>
    </w:p>
    <w:p w:rsidR="007D72A3" w:rsidRDefault="00CC226B" w:rsidP="00F97B61">
      <w:r>
        <w:t xml:space="preserve">These results from </w:t>
      </w:r>
      <w:r w:rsidR="00550107">
        <w:fldChar w:fldCharType="begin"/>
      </w:r>
      <w:r w:rsidR="00A35BE5">
        <w:instrText xml:space="preserve"> ADDIN EN.CITE &lt;EndNote&gt;&lt;Cite AuthorYear="1"&gt;&lt;Author&gt;Novak&lt;/Author&gt;&lt;Year&gt;2007&lt;/Year&gt;&lt;RecNum&gt;318&lt;/RecNum&gt;&lt;DisplayText&gt;Novak et al. (2007)&lt;/DisplayText&gt;&lt;record&gt;&lt;rec-number&gt;318&lt;/rec-number&gt;&lt;foreign-keys&gt;&lt;key app="EN" db-id="02dwfapew02tdked2f4p0xerwdapvw5vztpp"&gt;318&lt;/key&gt;&lt;key app="ENWeb" db-id="R1rfKArtmCQAAH0-ETQ"&gt;862&lt;/key&gt;&lt;/foreign-keys&gt;&lt;ref-type name="Journal Article"&gt;17&lt;/ref-type&gt;&lt;contributors&gt;&lt;authors&gt;&lt;author&gt;Novak, Scott&lt;/author&gt;&lt;author&gt;Kroutil, Larry&lt;/author&gt;&lt;author&gt;Williams, Rick&lt;/author&gt;&lt;author&gt;Van Brunt, David&lt;/author&gt;&lt;/authors&gt;&lt;/contributors&gt;&lt;titles&gt;&lt;title&gt;The nonmedical use of prescription ADHD medications: Results from a national Internet panel&lt;/title&gt;&lt;secondary-title&gt;Substance Abuse Treatment, Prevention, and Policy&lt;/secondary-title&gt;&lt;/titles&gt;&lt;periodical&gt;&lt;full-title&gt;Substance Abuse Treatment, Prevention, and Policy&lt;/full-title&gt;&lt;/periodical&gt;&lt;pages&gt;32&lt;/pages&gt;&lt;volume&gt;2&lt;/volume&gt;&lt;number&gt;1&lt;/number&gt;&lt;dates&gt;&lt;year&gt;2007&lt;/year&gt;&lt;/dates&gt;&lt;isbn&gt;1747-597X&lt;/isbn&gt;&lt;accession-num&gt;doi:10.1186/1747-597X-2-32&lt;/accession-num&gt;&lt;urls&gt;&lt;related-urls&gt;&lt;url&gt;http://www.substanceabusepolicy.com/content/2/1/32&lt;/url&gt;&lt;/related-urls&gt;&lt;/urls&gt;&lt;electronic-resource-num&gt;10.1186/1747-597X-2-32&lt;/electronic-resource-num&gt;&lt;/record&gt;&lt;/Cite&gt;&lt;/EndNote&gt;</w:instrText>
      </w:r>
      <w:r w:rsidR="00550107">
        <w:fldChar w:fldCharType="separate"/>
      </w:r>
      <w:hyperlink w:anchor="_ENREF_45" w:tooltip="Novak, 2007 #318" w:history="1">
        <w:r w:rsidR="00D213F7">
          <w:rPr>
            <w:noProof/>
          </w:rPr>
          <w:t>Novak et al. (2007</w:t>
        </w:r>
      </w:hyperlink>
      <w:r w:rsidR="00A35BE5">
        <w:rPr>
          <w:noProof/>
        </w:rPr>
        <w:t>)</w:t>
      </w:r>
      <w:r w:rsidR="00550107">
        <w:fldChar w:fldCharType="end"/>
      </w:r>
      <w:r>
        <w:t xml:space="preserve"> provide illuminating information regarding individuals who use prescription stimulants</w:t>
      </w:r>
      <w:r w:rsidR="00F54F0A">
        <w:t>.</w:t>
      </w:r>
      <w:r>
        <w:t xml:space="preserve"> Their results are comparable to the other national reports on prescription drugs</w:t>
      </w:r>
      <w:r w:rsidR="00F54F0A">
        <w:t>,</w:t>
      </w:r>
      <w:r>
        <w:t xml:space="preserve"> specifically prescription stimulants. </w:t>
      </w:r>
      <w:r w:rsidR="007D72A3">
        <w:t>Mo</w:t>
      </w:r>
      <w:r w:rsidR="009125E6">
        <w:t>re</w:t>
      </w:r>
      <w:r w:rsidR="007D72A3">
        <w:t xml:space="preserve"> importantly, </w:t>
      </w:r>
      <w:r w:rsidR="009125E6">
        <w:t xml:space="preserve">they </w:t>
      </w:r>
      <w:r w:rsidR="009125E6">
        <w:lastRenderedPageBreak/>
        <w:t>sug</w:t>
      </w:r>
      <w:r w:rsidR="00077C3D">
        <w:t>g</w:t>
      </w:r>
      <w:r w:rsidR="009125E6">
        <w:t xml:space="preserve">est </w:t>
      </w:r>
      <w:r w:rsidR="007D72A3">
        <w:t>a pattern of polysubstance use among individuals who use prescription stimulants illegally</w:t>
      </w:r>
      <w:r w:rsidR="00487C3B">
        <w:t>.</w:t>
      </w:r>
      <w:r w:rsidR="007D72A3">
        <w:t xml:space="preserve"> </w:t>
      </w:r>
    </w:p>
    <w:p w:rsidR="005B38B8" w:rsidRDefault="005B38B8" w:rsidP="005B38B8">
      <w:pPr>
        <w:pStyle w:val="Heading1"/>
      </w:pPr>
      <w:bookmarkStart w:id="18" w:name="_Toc315010456"/>
      <w:r>
        <w:t>Extent of Use on College Campuses</w:t>
      </w:r>
      <w:bookmarkEnd w:id="18"/>
    </w:p>
    <w:p w:rsidR="00F8170C" w:rsidRDefault="00F70B92" w:rsidP="00077C3D">
      <w:r>
        <w:t>The national and independent studies with national populations indicate</w:t>
      </w:r>
      <w:r w:rsidR="005F5EC9">
        <w:t>d</w:t>
      </w:r>
      <w:r>
        <w:t xml:space="preserve"> a trend </w:t>
      </w:r>
      <w:r w:rsidR="00F95D7F">
        <w:t xml:space="preserve">of rising </w:t>
      </w:r>
      <w:r>
        <w:t xml:space="preserve">prescription stimulant </w:t>
      </w:r>
      <w:r w:rsidR="00F8093E">
        <w:t>abuse</w:t>
      </w:r>
      <w:r w:rsidR="00F95D7F">
        <w:t>, with</w:t>
      </w:r>
      <w:r>
        <w:t xml:space="preserve"> students 12 </w:t>
      </w:r>
      <w:r w:rsidR="00E3359C">
        <w:t>to</w:t>
      </w:r>
      <w:r>
        <w:t xml:space="preserve"> 25 at risk, </w:t>
      </w:r>
      <w:r w:rsidR="00F95D7F">
        <w:t xml:space="preserve">and </w:t>
      </w:r>
      <w:r>
        <w:t xml:space="preserve">individuals between 18 and 25 at the highest risk. </w:t>
      </w:r>
      <w:r w:rsidR="005B38B8">
        <w:t xml:space="preserve">The traditional age college student is between 18 and 25, which places college students at </w:t>
      </w:r>
      <w:r w:rsidR="00A66EC9">
        <w:t xml:space="preserve">the </w:t>
      </w:r>
      <w:r w:rsidR="005B38B8">
        <w:t xml:space="preserve">greatest risk for prescription stimulant abuse. </w:t>
      </w:r>
      <w:r w:rsidR="00550107">
        <w:fldChar w:fldCharType="begin"/>
      </w:r>
      <w:r w:rsidR="00E96A70">
        <w:instrText xml:space="preserve"> ADDIN EN.CITE &lt;EndNote&gt;&lt;Cite AuthorYear="1"&gt;&lt;Author&gt;McCabe&lt;/Author&gt;&lt;Year&gt;2005&lt;/Year&gt;&lt;RecNum&gt;405&lt;/RecNum&gt;&lt;DisplayText&gt;McCabe, Knight, Teter, and Wechsler (2005)&lt;/DisplayText&gt;&lt;record&gt;&lt;rec-number&gt;405&lt;/rec-number&gt;&lt;foreign-keys&gt;&lt;key app="EN" db-id="02dwfapew02tdked2f4p0xerwdapvw5vztpp"&gt;405&lt;/key&gt;&lt;key app="ENWeb" db-id="R1rfKArtmCQAAH0-ETQ"&gt;892&lt;/key&gt;&lt;/foreign-keys&gt;&lt;ref-type name="Journal Article"&gt;17&lt;/ref-type&gt;&lt;contributors&gt;&lt;authors&gt;&lt;author&gt;McCabe, S&lt;/author&gt;&lt;author&gt;Knight, JR&lt;/author&gt;&lt;author&gt;Teter, CJ&lt;/author&gt;&lt;author&gt;Wechsler, H&lt;/author&gt;&lt;/authors&gt;&lt;/contributors&gt;&lt;titles&gt;&lt;title&gt;Non-medical use of prescription stimulants among US college students: Prevalence and correlates from a national survey&lt;/title&gt;&lt;secondary-title&gt;Addiction&lt;/secondary-title&gt;&lt;/titles&gt;&lt;periodical&gt;&lt;full-title&gt;Addiction&lt;/full-title&gt;&lt;/periodical&gt;&lt;pages&gt;96 - 106&lt;/pages&gt;&lt;volume&gt;100&lt;/volume&gt;&lt;number&gt;1&lt;/number&gt;&lt;dates&gt;&lt;year&gt;2005&lt;/year&gt;&lt;/dates&gt;&lt;accession-num&gt;doi:10.1111/j.1360-0443.2005.00944.x&lt;/accession-num&gt;&lt;urls&gt;&lt;/urls&gt;&lt;electronic-resource-num&gt;10.1111/j.1360-0443.2005.00944.x&lt;/electronic-resource-num&gt;&lt;/record&gt;&lt;/Cite&gt;&lt;/EndNote&gt;</w:instrText>
      </w:r>
      <w:r w:rsidR="00550107">
        <w:fldChar w:fldCharType="separate"/>
      </w:r>
      <w:hyperlink w:anchor="_ENREF_35" w:tooltip="McCabe, 2005 #405" w:history="1">
        <w:r w:rsidR="00D213F7">
          <w:rPr>
            <w:noProof/>
          </w:rPr>
          <w:t>McCabe, Knight, Teter, and Wechsler (2005</w:t>
        </w:r>
      </w:hyperlink>
      <w:r w:rsidR="00E96A70">
        <w:rPr>
          <w:noProof/>
        </w:rPr>
        <w:t>)</w:t>
      </w:r>
      <w:r w:rsidR="00550107">
        <w:fldChar w:fldCharType="end"/>
      </w:r>
      <w:r w:rsidR="00F95D7F">
        <w:t xml:space="preserve"> examined the extent of illicit use of prescription stimulants among college students, as well as </w:t>
      </w:r>
      <w:r w:rsidR="00A66EC9">
        <w:t xml:space="preserve">characteristics of college students who used stimulants </w:t>
      </w:r>
      <w:r w:rsidR="00B3241E">
        <w:t xml:space="preserve">by analyzing </w:t>
      </w:r>
      <w:r w:rsidR="00487C3B">
        <w:t>data from the 2001 College Alcohol Study</w:t>
      </w:r>
      <w:r w:rsidR="00CF0D23">
        <w:t>. The C</w:t>
      </w:r>
      <w:r w:rsidR="00487C3B">
        <w:t xml:space="preserve">ollege </w:t>
      </w:r>
      <w:r w:rsidR="00CF0D23">
        <w:t>A</w:t>
      </w:r>
      <w:r w:rsidR="00487C3B">
        <w:t xml:space="preserve">lcohol </w:t>
      </w:r>
      <w:r w:rsidR="00CF0D23">
        <w:t>S</w:t>
      </w:r>
      <w:r w:rsidR="00A06CF5">
        <w:t>tudy</w:t>
      </w:r>
      <w:r w:rsidR="00CF0D23">
        <w:t xml:space="preserve"> </w:t>
      </w:r>
      <w:r w:rsidR="005F5EC9">
        <w:t xml:space="preserve">sends </w:t>
      </w:r>
      <w:r w:rsidR="00CF0D23">
        <w:t xml:space="preserve">a survey instrument to students from </w:t>
      </w:r>
      <w:r w:rsidR="00B3690E">
        <w:t xml:space="preserve">119 four year colleges </w:t>
      </w:r>
      <w:r w:rsidR="005B38B8">
        <w:t>across</w:t>
      </w:r>
      <w:r w:rsidR="00B3690E">
        <w:t xml:space="preserve"> 39 states</w:t>
      </w:r>
      <w:r w:rsidR="00CF0D23">
        <w:t xml:space="preserve">. An administrator </w:t>
      </w:r>
      <w:r w:rsidR="00A06CF5">
        <w:t xml:space="preserve">from each college </w:t>
      </w:r>
      <w:r w:rsidR="00CF0D23">
        <w:t xml:space="preserve">provides </w:t>
      </w:r>
      <w:r w:rsidR="00A06CF5">
        <w:t xml:space="preserve">the names of </w:t>
      </w:r>
      <w:r w:rsidR="00CF0D23">
        <w:t xml:space="preserve">215 </w:t>
      </w:r>
      <w:r w:rsidR="00A06CF5">
        <w:t>random</w:t>
      </w:r>
      <w:r w:rsidR="002A6C7F">
        <w:t>ly</w:t>
      </w:r>
      <w:r w:rsidR="00A06CF5">
        <w:t xml:space="preserve"> </w:t>
      </w:r>
      <w:r w:rsidR="00F95D7F">
        <w:t xml:space="preserve">selected </w:t>
      </w:r>
      <w:r w:rsidR="00CF0D23">
        <w:t>student</w:t>
      </w:r>
      <w:r w:rsidR="00A06CF5">
        <w:t xml:space="preserve">s to the researchers who subsequently send a survey to those students. The </w:t>
      </w:r>
      <w:r w:rsidR="00581FE4">
        <w:t>resulting sample is</w:t>
      </w:r>
      <w:r w:rsidR="00CF0D23">
        <w:t xml:space="preserve"> a nationally representative</w:t>
      </w:r>
      <w:r w:rsidR="00F95D7F">
        <w:t>,</w:t>
      </w:r>
      <w:r w:rsidR="00CF0D23">
        <w:t xml:space="preserve"> random sample of 10,904</w:t>
      </w:r>
      <w:r w:rsidR="00A06CF5">
        <w:t xml:space="preserve">. </w:t>
      </w:r>
      <w:r w:rsidR="00E402C8">
        <w:t xml:space="preserve">Based on </w:t>
      </w:r>
      <w:r w:rsidR="00F95D7F">
        <w:t xml:space="preserve">that </w:t>
      </w:r>
      <w:r w:rsidR="00E402C8">
        <w:t xml:space="preserve">sample, </w:t>
      </w:r>
      <w:r w:rsidR="00F12C62">
        <w:t xml:space="preserve">as reported by </w:t>
      </w:r>
      <w:r w:rsidR="00550107">
        <w:fldChar w:fldCharType="begin"/>
      </w:r>
      <w:r w:rsidR="00F26218">
        <w:instrText xml:space="preserve"> ADDIN EN.CITE &lt;EndNote&gt;&lt;Cite AuthorYear="1"&gt;&lt;Author&gt;McCabe&lt;/Author&gt;&lt;Year&gt;2005&lt;/Year&gt;&lt;RecNum&gt;405&lt;/RecNum&gt;&lt;DisplayText&gt;McCabe, Knight, et al. (2005)&lt;/DisplayText&gt;&lt;record&gt;&lt;rec-number&gt;405&lt;/rec-number&gt;&lt;foreign-keys&gt;&lt;key app="EN" db-id="02dwfapew02tdked2f4p0xerwdapvw5vztpp"&gt;405&lt;/key&gt;&lt;key app="ENWeb" db-id="R1rfKArtmCQAAH0-ETQ"&gt;892&lt;/key&gt;&lt;/foreign-keys&gt;&lt;ref-type name="Journal Article"&gt;17&lt;/ref-type&gt;&lt;contributors&gt;&lt;authors&gt;&lt;author&gt;McCabe, S&lt;/author&gt;&lt;author&gt;Knight, JR&lt;/author&gt;&lt;author&gt;Teter, CJ&lt;/author&gt;&lt;author&gt;Wechsler, H&lt;/author&gt;&lt;/authors&gt;&lt;/contributors&gt;&lt;titles&gt;&lt;title&gt;Non-medical use of prescription stimulants among US college students: Prevalence and correlates from a national survey&lt;/title&gt;&lt;secondary-title&gt;Addiction&lt;/secondary-title&gt;&lt;/titles&gt;&lt;periodical&gt;&lt;full-title&gt;Addiction&lt;/full-title&gt;&lt;/periodical&gt;&lt;pages&gt;96 - 106&lt;/pages&gt;&lt;volume&gt;100&lt;/volume&gt;&lt;number&gt;1&lt;/number&gt;&lt;dates&gt;&lt;year&gt;2005&lt;/year&gt;&lt;/dates&gt;&lt;accession-num&gt;doi:10.1111/j.1360-0443.2005.00944.x&lt;/accession-num&gt;&lt;urls&gt;&lt;/urls&gt;&lt;electronic-resource-num&gt;10.1111/j.1360-0443.2005.00944.x&lt;/electronic-resource-num&gt;&lt;/record&gt;&lt;/Cite&gt;&lt;/EndNote&gt;</w:instrText>
      </w:r>
      <w:r w:rsidR="00550107">
        <w:fldChar w:fldCharType="separate"/>
      </w:r>
      <w:hyperlink w:anchor="_ENREF_35" w:tooltip="McCabe, 2005 #405" w:history="1">
        <w:r w:rsidR="00D213F7">
          <w:rPr>
            <w:noProof/>
          </w:rPr>
          <w:t>McCabe, Knight, et al. (2005</w:t>
        </w:r>
      </w:hyperlink>
      <w:r w:rsidR="00F26218">
        <w:rPr>
          <w:noProof/>
        </w:rPr>
        <w:t>)</w:t>
      </w:r>
      <w:r w:rsidR="00550107">
        <w:fldChar w:fldCharType="end"/>
      </w:r>
      <w:r w:rsidR="00F12C62">
        <w:t xml:space="preserve">, </w:t>
      </w:r>
      <w:r w:rsidR="00E402C8">
        <w:t xml:space="preserve">approximately 6.9% of </w:t>
      </w:r>
      <w:r w:rsidR="00A66EC9">
        <w:t xml:space="preserve">the college </w:t>
      </w:r>
      <w:r w:rsidR="00E402C8">
        <w:t>students reported life-time nonmedical use of prescription stimulants</w:t>
      </w:r>
      <w:r w:rsidR="00581FE4">
        <w:t>.</w:t>
      </w:r>
      <w:r w:rsidR="00E402C8">
        <w:t xml:space="preserve"> </w:t>
      </w:r>
      <w:r w:rsidR="00581FE4">
        <w:t>S</w:t>
      </w:r>
      <w:r w:rsidR="00E402C8">
        <w:t xml:space="preserve">tudents who reported past-year use accounted for </w:t>
      </w:r>
      <w:proofErr w:type="gramStart"/>
      <w:r w:rsidR="00B3241E">
        <w:t>4.1%,</w:t>
      </w:r>
      <w:proofErr w:type="gramEnd"/>
      <w:r w:rsidR="00E402C8">
        <w:t xml:space="preserve"> and 2.1% reported past-month use of prescription stimulants. </w:t>
      </w:r>
      <w:r w:rsidR="00CF002C">
        <w:t xml:space="preserve">Traditional </w:t>
      </w:r>
      <w:r w:rsidR="00A66EC9">
        <w:t xml:space="preserve">college </w:t>
      </w:r>
      <w:r w:rsidR="00CF002C">
        <w:t>aged students</w:t>
      </w:r>
      <w:r w:rsidR="00581FE4">
        <w:t xml:space="preserve"> (18 – 25)</w:t>
      </w:r>
      <w:r w:rsidR="00CF002C">
        <w:t xml:space="preserve"> were significantly more likely to abuse prescription stimulants than non-traditional college students</w:t>
      </w:r>
      <w:r w:rsidR="00581FE4">
        <w:t xml:space="preserve"> (26 and </w:t>
      </w:r>
      <w:proofErr w:type="gramStart"/>
      <w:r w:rsidR="00581FE4">
        <w:t>greater)</w:t>
      </w:r>
      <w:proofErr w:type="gramEnd"/>
      <w:r w:rsidR="00CF002C">
        <w:t xml:space="preserve">. </w:t>
      </w:r>
      <w:r w:rsidR="00AE6823">
        <w:t xml:space="preserve">Additionally, </w:t>
      </w:r>
      <w:r w:rsidR="00F8093E">
        <w:t>fraternity and s</w:t>
      </w:r>
      <w:r w:rsidR="008B52E1" w:rsidRPr="008B52E1">
        <w:t>orority members living in houses were significantly m</w:t>
      </w:r>
      <w:r w:rsidR="00CF002C">
        <w:t>ore likely than single sex,</w:t>
      </w:r>
      <w:r w:rsidR="002311AD">
        <w:t xml:space="preserve"> co</w:t>
      </w:r>
      <w:r w:rsidR="008B52E1" w:rsidRPr="008B52E1">
        <w:t>ed</w:t>
      </w:r>
      <w:r w:rsidR="00CF002C">
        <w:t>,</w:t>
      </w:r>
      <w:r w:rsidR="008B52E1" w:rsidRPr="008B52E1">
        <w:t xml:space="preserve"> other university housing</w:t>
      </w:r>
      <w:r w:rsidR="00CF002C">
        <w:t xml:space="preserve">, </w:t>
      </w:r>
      <w:r w:rsidR="008B52E1" w:rsidRPr="008B52E1">
        <w:t>and off campus apartment</w:t>
      </w:r>
      <w:r w:rsidR="00CF002C">
        <w:t>s to use prescription stimulants in the past year</w:t>
      </w:r>
      <w:r w:rsidR="008B52E1" w:rsidRPr="008B52E1">
        <w:t>. The same is true for fraternity and sorority members versus nonmembers</w:t>
      </w:r>
      <w:r w:rsidR="00CF002C">
        <w:t>.</w:t>
      </w:r>
      <w:r w:rsidR="008B52E1" w:rsidRPr="008B52E1">
        <w:t xml:space="preserve"> Students with a </w:t>
      </w:r>
      <w:r w:rsidR="005B38B8">
        <w:t>“</w:t>
      </w:r>
      <w:r w:rsidR="008B52E1" w:rsidRPr="008B52E1">
        <w:t>B</w:t>
      </w:r>
      <w:r w:rsidR="005B38B8">
        <w:t>”</w:t>
      </w:r>
      <w:r w:rsidR="008B52E1" w:rsidRPr="008B52E1">
        <w:t xml:space="preserve"> or lower GPA </w:t>
      </w:r>
      <w:r w:rsidR="00CF002C">
        <w:t xml:space="preserve">were more likely </w:t>
      </w:r>
      <w:proofErr w:type="gramStart"/>
      <w:r w:rsidR="00CF002C">
        <w:t xml:space="preserve">than </w:t>
      </w:r>
      <w:r w:rsidR="008B52E1" w:rsidRPr="008B52E1">
        <w:t xml:space="preserve">students with a </w:t>
      </w:r>
      <w:r w:rsidR="005B38B8">
        <w:t>“</w:t>
      </w:r>
      <w:r w:rsidR="008B52E1" w:rsidRPr="008B52E1">
        <w:t>B+</w:t>
      </w:r>
      <w:r w:rsidR="005B38B8">
        <w:t>”</w:t>
      </w:r>
      <w:r w:rsidR="008B52E1" w:rsidRPr="008B52E1">
        <w:t xml:space="preserve"> or </w:t>
      </w:r>
      <w:r w:rsidR="008B52E1" w:rsidRPr="008B52E1">
        <w:lastRenderedPageBreak/>
        <w:t xml:space="preserve">higher </w:t>
      </w:r>
      <w:r w:rsidR="00AE6823">
        <w:t xml:space="preserve">grade point average </w:t>
      </w:r>
      <w:r w:rsidR="00A66EC9">
        <w:t>to have engaged</w:t>
      </w:r>
      <w:r w:rsidR="00CF002C">
        <w:t xml:space="preserve"> in the illicit use of prescription stimulants</w:t>
      </w:r>
      <w:proofErr w:type="gramEnd"/>
      <w:r w:rsidR="00CF002C">
        <w:t>.</w:t>
      </w:r>
      <w:r w:rsidR="008B52E1" w:rsidRPr="008B52E1">
        <w:t xml:space="preserve"> Finally</w:t>
      </w:r>
      <w:r w:rsidR="00A66EC9">
        <w:t>,</w:t>
      </w:r>
      <w:r w:rsidR="008B52E1" w:rsidRPr="008B52E1">
        <w:t xml:space="preserve"> students whose </w:t>
      </w:r>
      <w:r w:rsidR="00CF002C">
        <w:t>parents</w:t>
      </w:r>
      <w:r w:rsidR="00B3241E">
        <w:t xml:space="preserve"> possessed an undergraduate degree</w:t>
      </w:r>
      <w:r w:rsidR="00CF002C">
        <w:t xml:space="preserve"> or higher were significantly more likely </w:t>
      </w:r>
      <w:r w:rsidR="004B3E85">
        <w:t xml:space="preserve">to abuse prescription stimulants </w:t>
      </w:r>
      <w:r w:rsidR="00CF002C">
        <w:t>th</w:t>
      </w:r>
      <w:r w:rsidR="00F8170C">
        <w:t>a</w:t>
      </w:r>
      <w:r w:rsidR="00CF002C">
        <w:t xml:space="preserve">n </w:t>
      </w:r>
      <w:r w:rsidR="00B3241E">
        <w:t xml:space="preserve">students </w:t>
      </w:r>
      <w:r w:rsidR="00CF002C">
        <w:t>w</w:t>
      </w:r>
      <w:r w:rsidR="00B3241E">
        <w:t>hose</w:t>
      </w:r>
      <w:r w:rsidR="00CF002C">
        <w:t xml:space="preserve"> parents did not have a college education.</w:t>
      </w:r>
      <w:r w:rsidR="008B52E1" w:rsidRPr="008B52E1">
        <w:t xml:space="preserve"> Males were almost twice </w:t>
      </w:r>
      <w:r w:rsidR="00F8170C" w:rsidRPr="008B52E1">
        <w:t>as likely as</w:t>
      </w:r>
      <w:r w:rsidR="008B52E1" w:rsidRPr="008B52E1">
        <w:t xml:space="preserve"> females (</w:t>
      </w:r>
      <w:r w:rsidR="00CF002C">
        <w:t>O</w:t>
      </w:r>
      <w:r w:rsidR="004B3E85">
        <w:t xml:space="preserve">dds </w:t>
      </w:r>
      <w:r w:rsidR="00CF002C">
        <w:t>R</w:t>
      </w:r>
      <w:r w:rsidR="004B3E85">
        <w:t>atio</w:t>
      </w:r>
      <w:r w:rsidR="00CF002C">
        <w:t>=</w:t>
      </w:r>
      <w:r w:rsidR="008B52E1" w:rsidRPr="008B52E1">
        <w:t>1.92)</w:t>
      </w:r>
      <w:r w:rsidR="00CF002C">
        <w:t xml:space="preserve"> to demonstrate past year use of prescription stimulants. Additionally, students who were </w:t>
      </w:r>
      <w:r w:rsidR="008B52E1" w:rsidRPr="008B52E1">
        <w:t xml:space="preserve">white, members of fraternities and sororities, </w:t>
      </w:r>
      <w:r w:rsidR="00D37D52">
        <w:t xml:space="preserve">and </w:t>
      </w:r>
      <w:r w:rsidR="008B52E1" w:rsidRPr="008B52E1">
        <w:t xml:space="preserve">had </w:t>
      </w:r>
      <w:r w:rsidR="00F8170C">
        <w:t>a lower grade point average were more likely to abuse prescription stimulants</w:t>
      </w:r>
      <w:r w:rsidR="00581FE4">
        <w:t xml:space="preserve"> than African Americans, non-Greek affiliated students, and those with higher grade point averages</w:t>
      </w:r>
      <w:r w:rsidR="00F8170C">
        <w:t>.</w:t>
      </w:r>
    </w:p>
    <w:p w:rsidR="008B52E1" w:rsidRDefault="00550107" w:rsidP="00F97B61">
      <w:r>
        <w:fldChar w:fldCharType="begin"/>
      </w:r>
      <w:r w:rsidR="00F26218">
        <w:instrText xml:space="preserve"> ADDIN EN.CITE &lt;EndNote&gt;&lt;Cite AuthorYear="1"&gt;&lt;Author&gt;McCabe&lt;/Author&gt;&lt;Year&gt;2005&lt;/Year&gt;&lt;RecNum&gt;405&lt;/RecNum&gt;&lt;DisplayText&gt;McCabe, Knight, et al. (2005)&lt;/DisplayText&gt;&lt;record&gt;&lt;rec-number&gt;405&lt;/rec-number&gt;&lt;foreign-keys&gt;&lt;key app="EN" db-id="02dwfapew02tdked2f4p0xerwdapvw5vztpp"&gt;405&lt;/key&gt;&lt;key app="ENWeb" db-id="R1rfKArtmCQAAH0-ETQ"&gt;892&lt;/key&gt;&lt;/foreign-keys&gt;&lt;ref-type name="Journal Article"&gt;17&lt;/ref-type&gt;&lt;contributors&gt;&lt;authors&gt;&lt;author&gt;McCabe, S&lt;/author&gt;&lt;author&gt;Knight, JR&lt;/author&gt;&lt;author&gt;Teter, CJ&lt;/author&gt;&lt;author&gt;Wechsler, H&lt;/author&gt;&lt;/authors&gt;&lt;/contributors&gt;&lt;titles&gt;&lt;title&gt;Non-medical use of prescription stimulants among US college students: Prevalence and correlates from a national survey&lt;/title&gt;&lt;secondary-title&gt;Addiction&lt;/secondary-title&gt;&lt;/titles&gt;&lt;periodical&gt;&lt;full-title&gt;Addiction&lt;/full-title&gt;&lt;/periodical&gt;&lt;pages&gt;96 - 106&lt;/pages&gt;&lt;volume&gt;100&lt;/volume&gt;&lt;number&gt;1&lt;/number&gt;&lt;dates&gt;&lt;year&gt;2005&lt;/year&gt;&lt;/dates&gt;&lt;accession-num&gt;doi:10.1111/j.1360-0443.2005.00944.x&lt;/accession-num&gt;&lt;urls&gt;&lt;/urls&gt;&lt;electronic-resource-num&gt;10.1111/j.1360-0443.2005.00944.x&lt;/electronic-resource-num&gt;&lt;/record&gt;&lt;/Cite&gt;&lt;/EndNote&gt;</w:instrText>
      </w:r>
      <w:r>
        <w:fldChar w:fldCharType="separate"/>
      </w:r>
      <w:hyperlink w:anchor="_ENREF_35" w:tooltip="McCabe, 2005 #405" w:history="1">
        <w:r w:rsidR="00D213F7">
          <w:rPr>
            <w:noProof/>
          </w:rPr>
          <w:t>McCabe, Knight, et al. (2005</w:t>
        </w:r>
      </w:hyperlink>
      <w:r w:rsidR="00F26218">
        <w:rPr>
          <w:noProof/>
        </w:rPr>
        <w:t>)</w:t>
      </w:r>
      <w:r>
        <w:fldChar w:fldCharType="end"/>
      </w:r>
      <w:r w:rsidR="004B3E85">
        <w:t xml:space="preserve"> reported t</w:t>
      </w:r>
      <w:r w:rsidR="00F8170C">
        <w:t xml:space="preserve">he </w:t>
      </w:r>
      <w:r w:rsidR="004B3E85">
        <w:t xml:space="preserve">demographics of </w:t>
      </w:r>
      <w:r w:rsidR="00F8170C">
        <w:t>student</w:t>
      </w:r>
      <w:r w:rsidR="004B3E85">
        <w:t xml:space="preserve">s abusing prescription stimulants, but they </w:t>
      </w:r>
      <w:r w:rsidR="00F8170C">
        <w:t xml:space="preserve">also found significant </w:t>
      </w:r>
      <w:r w:rsidR="005B38B8">
        <w:t>results</w:t>
      </w:r>
      <w:r w:rsidR="00F8170C">
        <w:t xml:space="preserve"> </w:t>
      </w:r>
      <w:r w:rsidR="004B3E85">
        <w:t>suggesting college location and selectivity</w:t>
      </w:r>
      <w:r w:rsidR="005B38B8">
        <w:t xml:space="preserve"> </w:t>
      </w:r>
      <w:r w:rsidR="00F95D7F">
        <w:t>were</w:t>
      </w:r>
      <w:r w:rsidR="005B38B8">
        <w:t xml:space="preserve"> more likely to have high rates of abuse</w:t>
      </w:r>
      <w:r w:rsidR="00F8170C">
        <w:t xml:space="preserve">. </w:t>
      </w:r>
      <w:r w:rsidR="00F95D7F">
        <w:t xml:space="preserve">They </w:t>
      </w:r>
      <w:r w:rsidR="00F12C62">
        <w:t>found college s</w:t>
      </w:r>
      <w:r w:rsidR="00F8170C">
        <w:t>tudents who attended a competitive</w:t>
      </w:r>
      <w:r w:rsidR="00B3241E">
        <w:t>,</w:t>
      </w:r>
      <w:r w:rsidR="00F8170C">
        <w:t xml:space="preserve"> or highly competitive</w:t>
      </w:r>
      <w:r w:rsidR="00B3241E">
        <w:t>,</w:t>
      </w:r>
      <w:r w:rsidR="00F8170C">
        <w:t xml:space="preserve"> school in the Northeast were almost four times more likely to report past year use of prescription stimulant</w:t>
      </w:r>
      <w:r w:rsidR="00F12C62">
        <w:t>s</w:t>
      </w:r>
      <w:r w:rsidR="00F8170C">
        <w:t xml:space="preserve"> than their peers attending less competitive institution</w:t>
      </w:r>
      <w:r w:rsidR="00F12C62">
        <w:t>s</w:t>
      </w:r>
      <w:r w:rsidR="00D37D52">
        <w:t xml:space="preserve"> elsewhere in the United States</w:t>
      </w:r>
      <w:r w:rsidR="00F8170C">
        <w:t>. Furthermore, students attending a Southern competitive institution were almost twice as likely to report prescription stimulant abuse</w:t>
      </w:r>
      <w:r w:rsidR="00F12C62">
        <w:t xml:space="preserve"> </w:t>
      </w:r>
      <w:r w:rsidR="00F95D7F">
        <w:t xml:space="preserve">as </w:t>
      </w:r>
      <w:r w:rsidR="004C49CE">
        <w:t xml:space="preserve">other regions </w:t>
      </w:r>
      <w:r w:rsidR="00B3241E">
        <w:t>except for the Northeast</w:t>
      </w:r>
      <w:r w:rsidR="00F8170C">
        <w:t>.</w:t>
      </w:r>
      <w:r w:rsidR="00210CB1">
        <w:t xml:space="preserve"> These factors, in addition to </w:t>
      </w:r>
      <w:r w:rsidR="00D37D52">
        <w:t>Greek</w:t>
      </w:r>
      <w:r w:rsidR="00210CB1">
        <w:t xml:space="preserve"> affiliation, </w:t>
      </w:r>
      <w:r w:rsidR="00F12C62">
        <w:t>serve “</w:t>
      </w:r>
      <w:r w:rsidR="00210CB1">
        <w:t xml:space="preserve">collectively as a proxy for higher socio-economic status” </w:t>
      </w:r>
      <w:r>
        <w:fldChar w:fldCharType="begin"/>
      </w:r>
      <w:r w:rsidR="00F26218">
        <w:instrText xml:space="preserve"> ADDIN EN.CITE &lt;EndNote&gt;&lt;Cite&gt;&lt;Author&gt;McCabe&lt;/Author&gt;&lt;Year&gt;2005&lt;/Year&gt;&lt;RecNum&gt;405&lt;/RecNum&gt;&lt;Pages&gt;103&lt;/Pages&gt;&lt;DisplayText&gt;(McCabe, Knight, et al., 2005, p. 103)&lt;/DisplayText&gt;&lt;record&gt;&lt;rec-number&gt;405&lt;/rec-number&gt;&lt;foreign-keys&gt;&lt;key app="EN" db-id="02dwfapew02tdked2f4p0xerwdapvw5vztpp"&gt;405&lt;/key&gt;&lt;key app="ENWeb" db-id="R1rfKArtmCQAAH0-ETQ"&gt;892&lt;/key&gt;&lt;/foreign-keys&gt;&lt;ref-type name="Journal Article"&gt;17&lt;/ref-type&gt;&lt;contributors&gt;&lt;authors&gt;&lt;author&gt;McCabe, S&lt;/author&gt;&lt;author&gt;Knight, JR&lt;/author&gt;&lt;author&gt;Teter, CJ&lt;/author&gt;&lt;author&gt;Wechsler, H&lt;/author&gt;&lt;/authors&gt;&lt;/contributors&gt;&lt;titles&gt;&lt;title&gt;Non-medical use of prescription stimulants among US college students: Prevalence and correlates from a national survey&lt;/title&gt;&lt;secondary-title&gt;Addiction&lt;/secondary-title&gt;&lt;/titles&gt;&lt;periodical&gt;&lt;full-title&gt;Addiction&lt;/full-title&gt;&lt;/periodical&gt;&lt;pages&gt;96 - 106&lt;/pages&gt;&lt;volume&gt;100&lt;/volume&gt;&lt;number&gt;1&lt;/number&gt;&lt;dates&gt;&lt;year&gt;2005&lt;/year&gt;&lt;/dates&gt;&lt;accession-num&gt;doi:10.1111/j.1360-0443.2005.00944.x&lt;/accession-num&gt;&lt;urls&gt;&lt;/urls&gt;&lt;electronic-resource-num&gt;10.1111/j.1360-0443.2005.00944.x&lt;/electronic-resource-num&gt;&lt;/record&gt;&lt;/Cite&gt;&lt;/EndNote&gt;</w:instrText>
      </w:r>
      <w:r>
        <w:fldChar w:fldCharType="separate"/>
      </w:r>
      <w:r w:rsidR="00F26218">
        <w:rPr>
          <w:noProof/>
        </w:rPr>
        <w:t>(</w:t>
      </w:r>
      <w:hyperlink w:anchor="_ENREF_35" w:tooltip="McCabe, 2005 #405" w:history="1">
        <w:r w:rsidR="00D213F7">
          <w:rPr>
            <w:noProof/>
          </w:rPr>
          <w:t>McCabe, Knight, et al., 2005, p. 103</w:t>
        </w:r>
      </w:hyperlink>
      <w:r w:rsidR="00F26218">
        <w:rPr>
          <w:noProof/>
        </w:rPr>
        <w:t>)</w:t>
      </w:r>
      <w:r>
        <w:fldChar w:fldCharType="end"/>
      </w:r>
      <w:r w:rsidR="00210CB1">
        <w:t>.</w:t>
      </w:r>
      <w:r w:rsidR="00581FE4">
        <w:t xml:space="preserve"> </w:t>
      </w:r>
      <w:r>
        <w:fldChar w:fldCharType="begin"/>
      </w:r>
      <w:r w:rsidR="00A35BE5">
        <w:instrText xml:space="preserve"> ADDIN EN.CITE &lt;EndNote&gt;&lt;Cite AuthorYear="1"&gt;&lt;Author&gt;Babcock&lt;/Author&gt;&lt;Year&gt;2000&lt;/Year&gt;&lt;RecNum&gt;21&lt;/RecNum&gt;&lt;DisplayText&gt;Babcock and Byrne (2000)&lt;/DisplayText&gt;&lt;record&gt;&lt;rec-number&gt;21&lt;/rec-number&gt;&lt;foreign-keys&gt;&lt;key app="EN" db-id="02dwfapew02tdked2f4p0xerwdapvw5vztpp"&gt;21&lt;/key&gt;&lt;key app="ENWeb" db-id="R1rfKArtmCQAAH0-ETQ"&gt;844&lt;/key&gt;&lt;/foreign-keys&gt;&lt;ref-type name="Journal Article"&gt;17&lt;/ref-type&gt;&lt;contributors&gt;&lt;authors&gt;&lt;author&gt;Babcock, Quinton&lt;/author&gt;&lt;author&gt;Byrne, Tom&lt;/author&gt;&lt;/authors&gt;&lt;/contributors&gt;&lt;titles&gt;&lt;title&gt;Student perceptions of methylphenidate abuse at a public liberal arts college&lt;/title&gt;&lt;secondary-title&gt;Journal of American College Health&lt;/secondary-title&gt;&lt;/titles&gt;&lt;periodical&gt;&lt;full-title&gt;Journal of American College Health&lt;/full-title&gt;&lt;/periodical&gt;&lt;pages&gt;143-145&lt;/pages&gt;&lt;volume&gt;49&lt;/volume&gt;&lt;number&gt;3&lt;/number&gt;&lt;dates&gt;&lt;year&gt;2000&lt;/year&gt;&lt;/dates&gt;&lt;urls&gt;&lt;/urls&gt;&lt;electronic-resource-num&gt;10.1080/07448480009596296&lt;/electronic-resource-num&gt;&lt;/record&gt;&lt;/Cite&gt;&lt;/EndNote&gt;</w:instrText>
      </w:r>
      <w:r>
        <w:fldChar w:fldCharType="separate"/>
      </w:r>
      <w:hyperlink w:anchor="_ENREF_5" w:tooltip="Babcock, 2000 #21" w:history="1">
        <w:r w:rsidR="00D213F7">
          <w:rPr>
            <w:noProof/>
          </w:rPr>
          <w:t>Babcock and Byrne (2000</w:t>
        </w:r>
      </w:hyperlink>
      <w:proofErr w:type="gramStart"/>
      <w:r w:rsidR="00A35BE5">
        <w:rPr>
          <w:noProof/>
        </w:rPr>
        <w:t>)</w:t>
      </w:r>
      <w:r>
        <w:fldChar w:fldCharType="end"/>
      </w:r>
      <w:r w:rsidR="00210CB1">
        <w:t xml:space="preserve"> reported similar results regarding prevalence rates for a </w:t>
      </w:r>
      <w:r w:rsidR="00B3241E">
        <w:t xml:space="preserve">Northeastern </w:t>
      </w:r>
      <w:r w:rsidR="00210CB1">
        <w:t>college.</w:t>
      </w:r>
      <w:proofErr w:type="gramEnd"/>
      <w:r w:rsidR="00210CB1">
        <w:t xml:space="preserve"> </w:t>
      </w:r>
    </w:p>
    <w:p w:rsidR="009D4393" w:rsidRDefault="00550107" w:rsidP="00210CB1">
      <w:r>
        <w:fldChar w:fldCharType="begin"/>
      </w:r>
      <w:r w:rsidR="00A35BE5">
        <w:instrText xml:space="preserve"> ADDIN EN.CITE &lt;EndNote&gt;&lt;Cite AuthorYear="1"&gt;&lt;Author&gt;Babcock&lt;/Author&gt;&lt;Year&gt;2000&lt;/Year&gt;&lt;RecNum&gt;21&lt;/RecNum&gt;&lt;DisplayText&gt;Babcock and Byrne (2000)&lt;/DisplayText&gt;&lt;record&gt;&lt;rec-number&gt;21&lt;/rec-number&gt;&lt;foreign-keys&gt;&lt;key app="EN" db-id="02dwfapew02tdked2f4p0xerwdapvw5vztpp"&gt;21&lt;/key&gt;&lt;key app="ENWeb" db-id="R1rfKArtmCQAAH0-ETQ"&gt;844&lt;/key&gt;&lt;/foreign-keys&gt;&lt;ref-type name="Journal Article"&gt;17&lt;/ref-type&gt;&lt;contributors&gt;&lt;authors&gt;&lt;author&gt;Babcock, Quinton&lt;/author&gt;&lt;author&gt;Byrne, Tom&lt;/author&gt;&lt;/authors&gt;&lt;/contributors&gt;&lt;titles&gt;&lt;title&gt;Student perceptions of methylphenidate abuse at a public liberal arts college&lt;/title&gt;&lt;secondary-title&gt;Journal of American College Health&lt;/secondary-title&gt;&lt;/titles&gt;&lt;periodical&gt;&lt;full-title&gt;Journal of American College Health&lt;/full-title&gt;&lt;/periodical&gt;&lt;pages&gt;143-145&lt;/pages&gt;&lt;volume&gt;49&lt;/volume&gt;&lt;number&gt;3&lt;/number&gt;&lt;dates&gt;&lt;year&gt;2000&lt;/year&gt;&lt;/dates&gt;&lt;urls&gt;&lt;/urls&gt;&lt;electronic-resource-num&gt;10.1080/07448480009596296&lt;/electronic-resource-num&gt;&lt;/record&gt;&lt;/Cite&gt;&lt;/EndNote&gt;</w:instrText>
      </w:r>
      <w:r>
        <w:fldChar w:fldCharType="separate"/>
      </w:r>
      <w:hyperlink w:anchor="_ENREF_5" w:tooltip="Babcock, 2000 #21" w:history="1">
        <w:r w:rsidR="00D213F7">
          <w:rPr>
            <w:noProof/>
          </w:rPr>
          <w:t>Babcock and Byrne (2000</w:t>
        </w:r>
      </w:hyperlink>
      <w:r w:rsidR="00A35BE5">
        <w:rPr>
          <w:noProof/>
        </w:rPr>
        <w:t>)</w:t>
      </w:r>
      <w:r>
        <w:fldChar w:fldCharType="end"/>
      </w:r>
      <w:r w:rsidR="0021248A">
        <w:t xml:space="preserve"> </w:t>
      </w:r>
      <w:r w:rsidR="00F12C62">
        <w:t>assessed</w:t>
      </w:r>
      <w:r w:rsidR="007F6195">
        <w:t xml:space="preserve"> the prevalence rates and perceptions of prescription stimulants on a </w:t>
      </w:r>
      <w:r w:rsidR="00F95D7F">
        <w:t xml:space="preserve">single </w:t>
      </w:r>
      <w:r w:rsidR="007F6195">
        <w:t xml:space="preserve">college campus. They specifically addressed the prescription stimulant Ritalin®. </w:t>
      </w:r>
      <w:r w:rsidR="009A260F">
        <w:t xml:space="preserve">They developed a ten-item questionnaire </w:t>
      </w:r>
      <w:r w:rsidR="00581FE4">
        <w:t>that was administered</w:t>
      </w:r>
      <w:r w:rsidR="009A260F">
        <w:t xml:space="preserve"> to 1,401 students at the </w:t>
      </w:r>
      <w:r w:rsidR="009A260F">
        <w:lastRenderedPageBreak/>
        <w:t xml:space="preserve">Massachusetts College of Liberal Arts. The surveys were placed in students’ mailboxes and measured students’ perception of use on campus, personal use, and methods of acquisition. The final sample size was 283 </w:t>
      </w:r>
      <w:r w:rsidR="00581FE4">
        <w:t xml:space="preserve">participants </w:t>
      </w:r>
      <w:r w:rsidR="009A260F">
        <w:t>(193 women, 88 men, 2 unreported)</w:t>
      </w:r>
      <w:r w:rsidR="00F12C62">
        <w:t>, and</w:t>
      </w:r>
      <w:r w:rsidR="001D0F31">
        <w:t xml:space="preserve"> </w:t>
      </w:r>
      <w:r w:rsidR="00F12C62">
        <w:t>the analysis of the responses consisted primarily of central tendencies for each measure.</w:t>
      </w:r>
      <w:r w:rsidR="009A260F">
        <w:t xml:space="preserve"> </w:t>
      </w:r>
      <w:r w:rsidR="00FF53C1">
        <w:t>Babcock and Byrne</w:t>
      </w:r>
      <w:r w:rsidR="004C49CE">
        <w:t xml:space="preserve"> </w:t>
      </w:r>
      <w:r w:rsidR="009A260F">
        <w:t xml:space="preserve">found that 65.4% of the sample reported knowing someone under the age of 24 illicitly using Ritalin® on campus. However, few students </w:t>
      </w:r>
      <w:r w:rsidR="002B6FC3">
        <w:t xml:space="preserve">(17.9%) </w:t>
      </w:r>
      <w:r w:rsidR="009A260F">
        <w:t>reported knowing anyone above the age of 24</w:t>
      </w:r>
      <w:r w:rsidR="00581FE4">
        <w:t xml:space="preserve"> that illicitly use</w:t>
      </w:r>
      <w:r w:rsidR="00ED13B0">
        <w:t>d</w:t>
      </w:r>
      <w:r w:rsidR="00581FE4">
        <w:t xml:space="preserve"> prescription stimulants</w:t>
      </w:r>
      <w:r w:rsidR="002B6FC3">
        <w:t>.</w:t>
      </w:r>
      <w:r w:rsidR="009A260F">
        <w:t xml:space="preserve"> Students’ self-reported use of prescription stimulants accounted for 20.9% of the sample for students under the age of 24. A little over half of the students reported </w:t>
      </w:r>
      <w:r w:rsidR="00DC3996">
        <w:t xml:space="preserve">peers using </w:t>
      </w:r>
      <w:r w:rsidR="009A260F">
        <w:t>the drug intranasally as opposed to oral</w:t>
      </w:r>
      <w:r w:rsidR="00DC3996">
        <w:t>ly,</w:t>
      </w:r>
      <w:r w:rsidR="009A260F">
        <w:t xml:space="preserve"> whereas </w:t>
      </w:r>
      <w:r w:rsidR="00581FE4">
        <w:t xml:space="preserve">only </w:t>
      </w:r>
      <w:r w:rsidR="009A260F">
        <w:t xml:space="preserve">16.1% </w:t>
      </w:r>
      <w:r w:rsidR="00DC3996">
        <w:t>self-</w:t>
      </w:r>
      <w:r w:rsidR="009A260F">
        <w:t>reported tak</w:t>
      </w:r>
      <w:r w:rsidR="00DC3996">
        <w:t>ing</w:t>
      </w:r>
      <w:r w:rsidR="009A260F">
        <w:t xml:space="preserve"> the drug intranasally. In terms of acquiring the drug, only 1.9% said they actually ha</w:t>
      </w:r>
      <w:r w:rsidR="001A68DA">
        <w:t>d</w:t>
      </w:r>
      <w:r w:rsidR="009A260F">
        <w:t xml:space="preserve"> a prescription for Ritalin®</w:t>
      </w:r>
      <w:r w:rsidR="001A68DA">
        <w:t>,</w:t>
      </w:r>
      <w:r w:rsidR="009A260F">
        <w:t xml:space="preserve"> and 3.3% indicated stealing the drug from someone. Just under half (45.5%) of the students reported knowing someone from whom they c</w:t>
      </w:r>
      <w:r w:rsidR="001A68DA">
        <w:t>ould</w:t>
      </w:r>
      <w:r w:rsidR="009A260F">
        <w:t xml:space="preserve"> purchase Ritalin®. Finally, 36% of the students under 24 reported Ritalin® as a drug of abuse on their campus.</w:t>
      </w:r>
    </w:p>
    <w:p w:rsidR="00F97B61" w:rsidRDefault="00550107" w:rsidP="003F6BB5">
      <w:r>
        <w:fldChar w:fldCharType="begin"/>
      </w:r>
      <w:r w:rsidR="00077C3D">
        <w:instrText xml:space="preserve"> ADDIN EN.CITE &lt;EndNote&gt;&lt;Cite AuthorYear="1"&gt;&lt;Author&gt;Prudhomme-White&lt;/Author&gt;&lt;Year&gt;2006&lt;/Year&gt;&lt;RecNum&gt;422&lt;/RecNum&gt;&lt;DisplayText&gt;Prudhomme-White, Becker-Blease, and Grace-Bishop (2006)&lt;/DisplayText&gt;&lt;record&gt;&lt;rec-number&gt;422&lt;/rec-number&gt;&lt;foreign-keys&gt;&lt;key app="EN" db-id="02dwfapew02tdked2f4p0xerwdapvw5vztpp"&gt;422&lt;/key&gt;&lt;/foreign-keys&gt;&lt;ref-type name="Journal Article"&gt;17&lt;/ref-type&gt;&lt;contributors&gt;&lt;authors&gt;&lt;author&gt;Prudhomme-White, Barbara&lt;/author&gt;&lt;author&gt;Becker-Blease, Kathryn A.&lt;/author&gt;&lt;author&gt;Grace-Bishop, Kathleen&lt;/author&gt;&lt;/authors&gt;&lt;/contributors&gt;&lt;titles&gt;&lt;title&gt;Stimulant Medication Use, Misuse, and Abuse in an Undergraduate and Graduate Student Sample&lt;/title&gt;&lt;secondary-title&gt;Journal of American College Health&lt;/secondary-title&gt;&lt;/titles&gt;&lt;periodical&gt;&lt;full-title&gt;Journal of American College Health&lt;/full-title&gt;&lt;/periodical&gt;&lt;pages&gt;261 - 268&lt;/pages&gt;&lt;volume&gt;54&lt;/volume&gt;&lt;number&gt;5&lt;/number&gt;&lt;dates&gt;&lt;year&gt;2006&lt;/year&gt;&lt;/dates&gt;&lt;isbn&gt;0744-8481&lt;/isbn&gt;&lt;urls&gt;&lt;related-urls&gt;&lt;url&gt;http://www.informaworld.com/10.3200/JACH.54.5.261-268&lt;/url&gt;&lt;/related-urls&gt;&lt;/urls&gt;&lt;access-date&gt;June 09, 2011&lt;/access-date&gt;&lt;/record&gt;&lt;/Cite&gt;&lt;/EndNote&gt;</w:instrText>
      </w:r>
      <w:r>
        <w:fldChar w:fldCharType="separate"/>
      </w:r>
      <w:hyperlink w:anchor="_ENREF_48" w:tooltip="Prudhomme-White, 2006 #422" w:history="1">
        <w:r w:rsidR="00D213F7">
          <w:rPr>
            <w:noProof/>
          </w:rPr>
          <w:t>Prudhomme-White, Becker-Blease, and Grace-Bishop (2006</w:t>
        </w:r>
      </w:hyperlink>
      <w:r w:rsidR="00077C3D">
        <w:rPr>
          <w:noProof/>
        </w:rPr>
        <w:t>)</w:t>
      </w:r>
      <w:r>
        <w:fldChar w:fldCharType="end"/>
      </w:r>
      <w:r w:rsidR="009D4393">
        <w:t xml:space="preserve"> also conducted an exploratory study regarding prescription stimulant abuse on </w:t>
      </w:r>
      <w:r w:rsidR="00CB5572">
        <w:t xml:space="preserve">a Northeastern </w:t>
      </w:r>
      <w:r w:rsidR="009D4393">
        <w:t>college campus</w:t>
      </w:r>
      <w:r w:rsidR="009F62DA">
        <w:t>, specifically the University of New Hampshire. The purpose of th</w:t>
      </w:r>
      <w:r w:rsidR="00581FE4">
        <w:t>eir</w:t>
      </w:r>
      <w:r w:rsidR="009F62DA">
        <w:t xml:space="preserve"> study was </w:t>
      </w:r>
      <w:r w:rsidR="001A68DA">
        <w:t>to gain</w:t>
      </w:r>
      <w:r w:rsidR="009F62DA">
        <w:t xml:space="preserve"> a better understanding </w:t>
      </w:r>
      <w:r w:rsidR="001A68DA">
        <w:t>of</w:t>
      </w:r>
      <w:r w:rsidR="009F62DA">
        <w:t xml:space="preserve"> the use of prescription stimulants</w:t>
      </w:r>
      <w:r w:rsidR="00CB5572">
        <w:t xml:space="preserve"> on a college campus</w:t>
      </w:r>
      <w:r w:rsidR="009F62DA">
        <w:t xml:space="preserve">. </w:t>
      </w:r>
      <w:r w:rsidR="00581FE4">
        <w:t>From</w:t>
      </w:r>
      <w:r w:rsidR="001561EA">
        <w:t xml:space="preserve"> the overall sample size</w:t>
      </w:r>
      <w:r w:rsidR="00AE792E">
        <w:t xml:space="preserve"> of 1,02</w:t>
      </w:r>
      <w:r w:rsidR="002B6FC3">
        <w:t>5</w:t>
      </w:r>
      <w:r w:rsidR="001561EA">
        <w:t>, 16.2% reported misusing prescription stimulants</w:t>
      </w:r>
      <w:r w:rsidR="001A68DA">
        <w:t>,</w:t>
      </w:r>
      <w:r w:rsidR="001561EA">
        <w:t xml:space="preserve"> with the majority of use occurring over a year (50.6%) compared to monthly (33.9%) and weekly use (15.5%). </w:t>
      </w:r>
      <w:r w:rsidR="00827F79">
        <w:t xml:space="preserve">Students reported initiating illicit use of prescription stimulants in high school (49%) or in college (51%). </w:t>
      </w:r>
      <w:r w:rsidR="001561EA">
        <w:t xml:space="preserve">Students </w:t>
      </w:r>
      <w:r w:rsidR="00ED13B0">
        <w:t xml:space="preserve">also </w:t>
      </w:r>
      <w:r w:rsidR="001A68DA">
        <w:t>reported that</w:t>
      </w:r>
      <w:r w:rsidR="001D0F31">
        <w:t xml:space="preserve"> </w:t>
      </w:r>
      <w:r w:rsidR="001561EA">
        <w:t xml:space="preserve">the drug </w:t>
      </w:r>
      <w:r w:rsidR="001A68DA">
        <w:t>was</w:t>
      </w:r>
      <w:r w:rsidR="001561EA">
        <w:t xml:space="preserve"> </w:t>
      </w:r>
      <w:r w:rsidR="00891948">
        <w:t>“</w:t>
      </w:r>
      <w:r w:rsidR="001561EA">
        <w:t>very easy</w:t>
      </w:r>
      <w:r w:rsidR="00891948">
        <w:t>”</w:t>
      </w:r>
      <w:r w:rsidR="001561EA">
        <w:t xml:space="preserve"> to </w:t>
      </w:r>
      <w:r w:rsidR="00891948">
        <w:t>“</w:t>
      </w:r>
      <w:r w:rsidR="001561EA">
        <w:t>somewhat easy</w:t>
      </w:r>
      <w:r w:rsidR="00891948">
        <w:t>” to</w:t>
      </w:r>
      <w:r w:rsidR="001561EA">
        <w:t xml:space="preserve"> obtain (58%)</w:t>
      </w:r>
      <w:r w:rsidR="001A68DA">
        <w:t>,</w:t>
      </w:r>
      <w:r w:rsidR="001561EA">
        <w:t xml:space="preserve"> and </w:t>
      </w:r>
      <w:r w:rsidR="001561EA">
        <w:lastRenderedPageBreak/>
        <w:t xml:space="preserve">the preferred method </w:t>
      </w:r>
      <w:r w:rsidR="001A68DA">
        <w:t>of use was</w:t>
      </w:r>
      <w:r w:rsidR="001561EA">
        <w:t xml:space="preserve"> swallowing the drug (55%) compared to intranasal (40.3%)</w:t>
      </w:r>
      <w:r w:rsidR="00ED13B0">
        <w:t xml:space="preserve"> administration</w:t>
      </w:r>
      <w:r w:rsidR="001561EA">
        <w:t>. A small percentage of the sample (9.8%) reported having a legal prescription for the drug, but still misusing the medication. There was little difference between men and women</w:t>
      </w:r>
      <w:r w:rsidR="00AE792E">
        <w:t xml:space="preserve"> (53% vs. 47%)</w:t>
      </w:r>
      <w:r w:rsidR="00581FE4">
        <w:t xml:space="preserve"> illicitly using prescription stimulants without a prescription</w:t>
      </w:r>
      <w:r w:rsidR="001561EA">
        <w:t xml:space="preserve">. The students who </w:t>
      </w:r>
      <w:r w:rsidR="001D0F31">
        <w:t xml:space="preserve">had </w:t>
      </w:r>
      <w:r w:rsidR="002311AD">
        <w:t xml:space="preserve">previously </w:t>
      </w:r>
      <w:r w:rsidR="001561EA">
        <w:t xml:space="preserve">attended a private high school (27%, </w:t>
      </w:r>
      <w:r w:rsidR="001561EA" w:rsidRPr="001561EA">
        <w:rPr>
          <w:i/>
        </w:rPr>
        <w:t>n</w:t>
      </w:r>
      <w:r w:rsidR="001561EA">
        <w:t xml:space="preserve"> = 43) were more likely to abuse prescription stimulants than students who </w:t>
      </w:r>
      <w:r w:rsidR="001A68DA">
        <w:t xml:space="preserve">had </w:t>
      </w:r>
      <w:r w:rsidR="001561EA">
        <w:t xml:space="preserve">attended a public school (14% </w:t>
      </w:r>
      <w:r w:rsidR="001561EA">
        <w:rPr>
          <w:i/>
        </w:rPr>
        <w:t xml:space="preserve">n = </w:t>
      </w:r>
      <w:r w:rsidR="001561EA" w:rsidRPr="001561EA">
        <w:t>120)</w:t>
      </w:r>
      <w:r w:rsidR="00DB1BB0">
        <w:t>, which</w:t>
      </w:r>
      <w:r w:rsidR="00581FE4">
        <w:t xml:space="preserve"> </w:t>
      </w:r>
      <w:r w:rsidR="001561EA">
        <w:t>further suggests students from higher socio-economic incomes are more likely to illicitly use prescription stimulants. The primary motive for illicitly using prescription stimulants included improving attention (68.9%), partying (65.2%), improving study habits (54.3%), improving grades (54.3%), and reducing hyperactivity (9.1%).</w:t>
      </w:r>
      <w:r w:rsidR="00827F79">
        <w:t xml:space="preserve"> </w:t>
      </w:r>
    </w:p>
    <w:p w:rsidR="00DB65F2" w:rsidRDefault="001561EA" w:rsidP="003F6BB5">
      <w:r>
        <w:t xml:space="preserve">Similar to </w:t>
      </w:r>
      <w:r w:rsidR="00550107">
        <w:fldChar w:fldCharType="begin"/>
      </w:r>
      <w:r w:rsidR="00A35BE5">
        <w:instrText xml:space="preserve"> ADDIN EN.CITE &lt;EndNote&gt;&lt;Cite AuthorYear="1"&gt;&lt;Author&gt;Babcock&lt;/Author&gt;&lt;Year&gt;2000&lt;/Year&gt;&lt;RecNum&gt;21&lt;/RecNum&gt;&lt;DisplayText&gt;Babcock and Byrne (2000)&lt;/DisplayText&gt;&lt;record&gt;&lt;rec-number&gt;21&lt;/rec-number&gt;&lt;foreign-keys&gt;&lt;key app="EN" db-id="02dwfapew02tdked2f4p0xerwdapvw5vztpp"&gt;21&lt;/key&gt;&lt;key app="ENWeb" db-id="R1rfKArtmCQAAH0-ETQ"&gt;844&lt;/key&gt;&lt;/foreign-keys&gt;&lt;ref-type name="Journal Article"&gt;17&lt;/ref-type&gt;&lt;contributors&gt;&lt;authors&gt;&lt;author&gt;Babcock, Quinton&lt;/author&gt;&lt;author&gt;Byrne, Tom&lt;/author&gt;&lt;/authors&gt;&lt;/contributors&gt;&lt;titles&gt;&lt;title&gt;Student perceptions of methylphenidate abuse at a public liberal arts college&lt;/title&gt;&lt;secondary-title&gt;Journal of American College Health&lt;/secondary-title&gt;&lt;/titles&gt;&lt;periodical&gt;&lt;full-title&gt;Journal of American College Health&lt;/full-title&gt;&lt;/periodical&gt;&lt;pages&gt;143-145&lt;/pages&gt;&lt;volume&gt;49&lt;/volume&gt;&lt;number&gt;3&lt;/number&gt;&lt;dates&gt;&lt;year&gt;2000&lt;/year&gt;&lt;/dates&gt;&lt;urls&gt;&lt;/urls&gt;&lt;electronic-resource-num&gt;10.1080/07448480009596296&lt;/electronic-resource-num&gt;&lt;/record&gt;&lt;/Cite&gt;&lt;/EndNote&gt;</w:instrText>
      </w:r>
      <w:r w:rsidR="00550107">
        <w:fldChar w:fldCharType="separate"/>
      </w:r>
      <w:hyperlink w:anchor="_ENREF_5" w:tooltip="Babcock, 2000 #21" w:history="1">
        <w:r w:rsidR="00D213F7">
          <w:rPr>
            <w:noProof/>
          </w:rPr>
          <w:t>Babcock and Byrne (2000</w:t>
        </w:r>
      </w:hyperlink>
      <w:r w:rsidR="00A35BE5">
        <w:rPr>
          <w:noProof/>
        </w:rPr>
        <w:t>)</w:t>
      </w:r>
      <w:r w:rsidR="00550107">
        <w:fldChar w:fldCharType="end"/>
      </w:r>
      <w:r>
        <w:t xml:space="preserve">, </w:t>
      </w:r>
      <w:r w:rsidR="00550107">
        <w:fldChar w:fldCharType="begin"/>
      </w:r>
      <w:r w:rsidR="00A35BE5">
        <w:instrText xml:space="preserve"> ADDIN EN.CITE &lt;EndNote&gt;&lt;Cite AuthorYear="1"&gt;&lt;Author&gt;Prudhomme-White&lt;/Author&gt;&lt;Year&gt;2006&lt;/Year&gt;&lt;RecNum&gt;422&lt;/RecNum&gt;&lt;DisplayText&gt;Prudhomme-White et al. (2006)&lt;/DisplayText&gt;&lt;record&gt;&lt;rec-number&gt;422&lt;/rec-number&gt;&lt;foreign-keys&gt;&lt;key app="EN" db-id="02dwfapew02tdked2f4p0xerwdapvw5vztpp"&gt;422&lt;/key&gt;&lt;/foreign-keys&gt;&lt;ref-type name="Journal Article"&gt;17&lt;/ref-type&gt;&lt;contributors&gt;&lt;authors&gt;&lt;author&gt;Prudhomme-White, Barbara&lt;/author&gt;&lt;author&gt;Becker-Blease, Kathryn A.&lt;/author&gt;&lt;author&gt;Grace-Bishop, Kathleen&lt;/author&gt;&lt;/authors&gt;&lt;/contributors&gt;&lt;titles&gt;&lt;title&gt;Stimulant Medication Use, Misuse, and Abuse in an Undergraduate and Graduate Student Sample&lt;/title&gt;&lt;secondary-title&gt;Journal of American College Health&lt;/secondary-title&gt;&lt;/titles&gt;&lt;periodical&gt;&lt;full-title&gt;Journal of American College Health&lt;/full-title&gt;&lt;/periodical&gt;&lt;pages&gt;261 - 268&lt;/pages&gt;&lt;volume&gt;54&lt;/volume&gt;&lt;number&gt;5&lt;/number&gt;&lt;dates&gt;&lt;year&gt;2006&lt;/year&gt;&lt;/dates&gt;&lt;isbn&gt;0744-8481&lt;/isbn&gt;&lt;urls&gt;&lt;related-urls&gt;&lt;url&gt;http://www.informaworld.com/10.3200/JACH.54.5.261-268&lt;/url&gt;&lt;/related-urls&gt;&lt;/urls&gt;&lt;access-date&gt;June 09, 2011&lt;/access-date&gt;&lt;/record&gt;&lt;/Cite&gt;&lt;/EndNote&gt;</w:instrText>
      </w:r>
      <w:r w:rsidR="00550107">
        <w:fldChar w:fldCharType="separate"/>
      </w:r>
      <w:hyperlink w:anchor="_ENREF_48" w:tooltip="Prudhomme-White, 2006 #422" w:history="1">
        <w:r w:rsidR="00D213F7">
          <w:rPr>
            <w:noProof/>
          </w:rPr>
          <w:t>Prudhomme-White et al. (2006</w:t>
        </w:r>
      </w:hyperlink>
      <w:r w:rsidR="00A35BE5">
        <w:rPr>
          <w:noProof/>
        </w:rPr>
        <w:t>)</w:t>
      </w:r>
      <w:r w:rsidR="00550107">
        <w:fldChar w:fldCharType="end"/>
      </w:r>
      <w:r>
        <w:t xml:space="preserve"> found a relatively high rate of use </w:t>
      </w:r>
      <w:r w:rsidR="001A68DA">
        <w:t xml:space="preserve">of </w:t>
      </w:r>
      <w:r>
        <w:t>prescription stimulants on college campuses.</w:t>
      </w:r>
      <w:r w:rsidR="00827F79">
        <w:t xml:space="preserve"> The results of</w:t>
      </w:r>
      <w:r w:rsidR="00FF53C1">
        <w:t xml:space="preserve"> Prudhomme-White et al.</w:t>
      </w:r>
      <w:r w:rsidR="00827F79">
        <w:t xml:space="preserve"> present</w:t>
      </w:r>
      <w:r w:rsidR="00581FE4">
        <w:t>ed</w:t>
      </w:r>
      <w:r w:rsidR="00827F79">
        <w:t xml:space="preserve"> additional evidence that students are illicitly using prescription st</w:t>
      </w:r>
      <w:r w:rsidR="009C745F">
        <w:t>imulants on college campuses</w:t>
      </w:r>
      <w:r w:rsidR="00827F79">
        <w:t xml:space="preserve"> for various reasons. Furthermore, students are coming to college with experience </w:t>
      </w:r>
      <w:r w:rsidR="00581FE4">
        <w:t>of</w:t>
      </w:r>
      <w:r w:rsidR="001A68DA">
        <w:t xml:space="preserve"> </w:t>
      </w:r>
      <w:r w:rsidR="00827F79">
        <w:t xml:space="preserve">illicitly using prescription </w:t>
      </w:r>
      <w:r w:rsidR="00DB65F2">
        <w:t xml:space="preserve">stimulants. </w:t>
      </w:r>
    </w:p>
    <w:p w:rsidR="00827F79" w:rsidRDefault="00DB65F2" w:rsidP="00DB65F2">
      <w:pPr>
        <w:pStyle w:val="Heading1"/>
      </w:pPr>
      <w:bookmarkStart w:id="19" w:name="_Toc315010457"/>
      <w:r>
        <w:t xml:space="preserve">Student </w:t>
      </w:r>
      <w:r w:rsidR="001D0F31">
        <w:t xml:space="preserve">Related </w:t>
      </w:r>
      <w:r w:rsidR="00077C3D">
        <w:t>Issues</w:t>
      </w:r>
      <w:bookmarkEnd w:id="19"/>
    </w:p>
    <w:p w:rsidR="00CB5572" w:rsidRDefault="00DB1BB0" w:rsidP="003F6BB5">
      <w:r>
        <w:t>A number of issues related to p</w:t>
      </w:r>
      <w:r w:rsidR="00CB5572">
        <w:t>rescription stimulant abuse</w:t>
      </w:r>
      <w:r w:rsidR="00077C3D">
        <w:t xml:space="preserve"> </w:t>
      </w:r>
      <w:r>
        <w:t>have been addressed.</w:t>
      </w:r>
      <w:r w:rsidR="00CB5572">
        <w:t xml:space="preserve"> The</w:t>
      </w:r>
      <w:r>
        <w:t>y</w:t>
      </w:r>
      <w:r w:rsidR="008C7EEC">
        <w:t xml:space="preserve"> </w:t>
      </w:r>
      <w:r w:rsidR="00977D4B">
        <w:t xml:space="preserve">include </w:t>
      </w:r>
      <w:r>
        <w:t xml:space="preserve">the </w:t>
      </w:r>
      <w:r w:rsidR="00977D4B">
        <w:t>acquisition and divers</w:t>
      </w:r>
      <w:r w:rsidR="00CB5572">
        <w:t>i</w:t>
      </w:r>
      <w:r w:rsidR="00977D4B">
        <w:t>o</w:t>
      </w:r>
      <w:r w:rsidR="00CB5572">
        <w:t>n</w:t>
      </w:r>
      <w:r w:rsidR="00977D4B">
        <w:t xml:space="preserve"> of</w:t>
      </w:r>
      <w:r w:rsidR="00CB5572">
        <w:t xml:space="preserve"> prescription drugs, reasons for use, </w:t>
      </w:r>
      <w:r w:rsidR="00977D4B">
        <w:t>students’</w:t>
      </w:r>
      <w:r w:rsidR="00CB5572">
        <w:t xml:space="preserve"> beliefs and perceptions </w:t>
      </w:r>
      <w:r>
        <w:t xml:space="preserve">about the </w:t>
      </w:r>
      <w:r w:rsidR="00CB5572">
        <w:t xml:space="preserve">use, </w:t>
      </w:r>
      <w:r w:rsidR="00977D4B">
        <w:t xml:space="preserve">sensation seeking, and poly-substance behaviors. </w:t>
      </w:r>
      <w:r w:rsidR="0082240E">
        <w:t xml:space="preserve">Prescription stimulant abuse begins with the illegal diversion and distribution of prescription stimulants among college students. It was relatively unknown how students were acquiring prescription stimulants until </w:t>
      </w:r>
      <w:r w:rsidR="00550107">
        <w:fldChar w:fldCharType="begin"/>
      </w:r>
      <w:r w:rsidR="00A35BE5">
        <w:instrText xml:space="preserve"> ADDIN EN.CITE &lt;EndNote&gt;&lt;Cite AuthorYear="1"&gt;&lt;Author&gt;McCabe&lt;/Author&gt;&lt;Year&gt;2005&lt;/Year&gt;&lt;RecNum&gt;413&lt;/RecNum&gt;&lt;DisplayText&gt;McCabe and Boyd (2005)&lt;/DisplayText&gt;&lt;record&gt;&lt;rec-number&gt;413&lt;/rec-number&gt;&lt;foreign-keys&gt;&lt;key app="EN" db-id="02dwfapew02tdked2f4p0xerwdapvw5vztpp"&gt;413&lt;/key&gt;&lt;/foreign-keys&gt;&lt;ref-type name="Journal Article"&gt;17&lt;/ref-type&gt;&lt;contributors&gt;&lt;authors&gt;&lt;author&gt;McCabe, S&lt;/author&gt;&lt;author&gt;Boyd, C&lt;/author&gt;&lt;/authors&gt;&lt;/contributors&gt;&lt;titles&gt;&lt;title&gt;Sources of prescription drugs for illicit use&lt;/title&gt;&lt;secondary-title&gt;Addictive Behaviors&lt;/secondary-title&gt;&lt;/titles&gt;&lt;periodical&gt;&lt;full-title&gt;Addictive Behaviors&lt;/full-title&gt;&lt;/periodical&gt;&lt;pages&gt;1342-1350&lt;/pages&gt;&lt;volume&gt;30&lt;/volume&gt;&lt;number&gt;7&lt;/number&gt;&lt;keywords&gt;&lt;keyword&gt;Drug abuse&lt;/keyword&gt;&lt;keyword&gt;Prescription drugs&lt;/keyword&gt;&lt;keyword&gt;Diversion&lt;/keyword&gt;&lt;keyword&gt;Illicit use&lt;/keyword&gt;&lt;keyword&gt;College students&lt;/keyword&gt;&lt;/keywords&gt;&lt;dates&gt;&lt;year&gt;2005&lt;/year&gt;&lt;/dates&gt;&lt;isbn&gt;0306-4603&lt;/isbn&gt;&lt;urls&gt;&lt;related-urls&gt;&lt;url&gt;http://www.sciencedirect.com/science/article/pii/S0306460305000134&lt;/url&gt;&lt;/related-urls&gt;&lt;/urls&gt;&lt;electronic-resource-num&gt;10.1016/j.addbeh.2005.01.012&lt;/electronic-resource-num&gt;&lt;/record&gt;&lt;/Cite&gt;&lt;/EndNote&gt;</w:instrText>
      </w:r>
      <w:r w:rsidR="00550107">
        <w:fldChar w:fldCharType="separate"/>
      </w:r>
      <w:hyperlink w:anchor="_ENREF_30" w:tooltip="McCabe, 2005 #413" w:history="1">
        <w:r w:rsidR="00D213F7">
          <w:rPr>
            <w:noProof/>
          </w:rPr>
          <w:t>McCabe and Boyd (2005</w:t>
        </w:r>
      </w:hyperlink>
      <w:r w:rsidR="00A35BE5">
        <w:rPr>
          <w:noProof/>
        </w:rPr>
        <w:t>)</w:t>
      </w:r>
      <w:r w:rsidR="00550107">
        <w:fldChar w:fldCharType="end"/>
      </w:r>
      <w:r w:rsidR="0082240E">
        <w:t xml:space="preserve"> addressed the gap. </w:t>
      </w:r>
    </w:p>
    <w:p w:rsidR="001D0F31" w:rsidRDefault="00550107" w:rsidP="003F6BB5">
      <w:r>
        <w:lastRenderedPageBreak/>
        <w:fldChar w:fldCharType="begin"/>
      </w:r>
      <w:r w:rsidR="00A35BE5">
        <w:instrText xml:space="preserve"> ADDIN EN.CITE &lt;EndNote&gt;&lt;Cite AuthorYear="1"&gt;&lt;Author&gt;McCabe&lt;/Author&gt;&lt;Year&gt;2005&lt;/Year&gt;&lt;RecNum&gt;413&lt;/RecNum&gt;&lt;DisplayText&gt;McCabe and Boyd (2005)&lt;/DisplayText&gt;&lt;record&gt;&lt;rec-number&gt;413&lt;/rec-number&gt;&lt;foreign-keys&gt;&lt;key app="EN" db-id="02dwfapew02tdked2f4p0xerwdapvw5vztpp"&gt;413&lt;/key&gt;&lt;/foreign-keys&gt;&lt;ref-type name="Journal Article"&gt;17&lt;/ref-type&gt;&lt;contributors&gt;&lt;authors&gt;&lt;author&gt;McCabe, S&lt;/author&gt;&lt;author&gt;Boyd, C&lt;/author&gt;&lt;/authors&gt;&lt;/contributors&gt;&lt;titles&gt;&lt;title&gt;Sources of prescription drugs for illicit use&lt;/title&gt;&lt;secondary-title&gt;Addictive Behaviors&lt;/secondary-title&gt;&lt;/titles&gt;&lt;periodical&gt;&lt;full-title&gt;Addictive Behaviors&lt;/full-title&gt;&lt;/periodical&gt;&lt;pages&gt;1342-1350&lt;/pages&gt;&lt;volume&gt;30&lt;/volume&gt;&lt;number&gt;7&lt;/number&gt;&lt;keywords&gt;&lt;keyword&gt;Drug abuse&lt;/keyword&gt;&lt;keyword&gt;Prescription drugs&lt;/keyword&gt;&lt;keyword&gt;Diversion&lt;/keyword&gt;&lt;keyword&gt;Illicit use&lt;/keyword&gt;&lt;keyword&gt;College students&lt;/keyword&gt;&lt;/keywords&gt;&lt;dates&gt;&lt;year&gt;2005&lt;/year&gt;&lt;/dates&gt;&lt;isbn&gt;0306-4603&lt;/isbn&gt;&lt;urls&gt;&lt;related-urls&gt;&lt;url&gt;http://www.sciencedirect.com/science/article/pii/S0306460305000134&lt;/url&gt;&lt;/related-urls&gt;&lt;/urls&gt;&lt;electronic-resource-num&gt;10.1016/j.addbeh.2005.01.012&lt;/electronic-resource-num&gt;&lt;/record&gt;&lt;/Cite&gt;&lt;/EndNote&gt;</w:instrText>
      </w:r>
      <w:r>
        <w:fldChar w:fldCharType="separate"/>
      </w:r>
      <w:hyperlink w:anchor="_ENREF_30" w:tooltip="McCabe, 2005 #413" w:history="1">
        <w:r w:rsidR="00D213F7">
          <w:rPr>
            <w:noProof/>
          </w:rPr>
          <w:t>McCabe and Boyd (2005</w:t>
        </w:r>
      </w:hyperlink>
      <w:r w:rsidR="00A35BE5">
        <w:rPr>
          <w:noProof/>
        </w:rPr>
        <w:t>)</w:t>
      </w:r>
      <w:r>
        <w:fldChar w:fldCharType="end"/>
      </w:r>
      <w:r w:rsidR="00827F79">
        <w:t xml:space="preserve"> </w:t>
      </w:r>
      <w:r w:rsidR="00426D3D">
        <w:t xml:space="preserve">investigated the sources </w:t>
      </w:r>
      <w:r w:rsidR="003A1CEE">
        <w:t xml:space="preserve">for </w:t>
      </w:r>
      <w:r w:rsidR="004F2A0E">
        <w:t>prescription drugs. They identified four classes of prescription drugs (opioids, sedatives, sleeping, and stimulants) that were illicitly used by undergraduate students</w:t>
      </w:r>
      <w:r w:rsidR="003A1CEE">
        <w:t>, and</w:t>
      </w:r>
      <w:r w:rsidR="004F2A0E">
        <w:t xml:space="preserve"> investigate</w:t>
      </w:r>
      <w:r w:rsidR="00BE3F54">
        <w:t>d</w:t>
      </w:r>
      <w:r w:rsidR="004F2A0E">
        <w:t xml:space="preserve"> </w:t>
      </w:r>
      <w:r w:rsidR="003A1CEE">
        <w:t>the</w:t>
      </w:r>
      <w:r w:rsidR="004F2A0E">
        <w:t xml:space="preserve"> relationships between the </w:t>
      </w:r>
      <w:r w:rsidR="00977D4B">
        <w:t xml:space="preserve">acquisition </w:t>
      </w:r>
      <w:r w:rsidR="004F2A0E">
        <w:t xml:space="preserve">sources and other substance use. In the spring of 2003, </w:t>
      </w:r>
      <w:r w:rsidR="00977D4B">
        <w:t>a random sample of 19,378 students was</w:t>
      </w:r>
      <w:r w:rsidR="004F2A0E">
        <w:t xml:space="preserve"> sent an email inviting them to participate in an online self-reporting study. The final sample was 9,161</w:t>
      </w:r>
      <w:r w:rsidR="00581FE4">
        <w:t>.</w:t>
      </w:r>
      <w:r w:rsidR="004F2A0E">
        <w:t xml:space="preserve"> The instrument used in the study</w:t>
      </w:r>
      <w:r w:rsidR="003A1CEE">
        <w:t>,</w:t>
      </w:r>
      <w:r w:rsidR="004F2A0E">
        <w:t xml:space="preserve"> the Student Life Survey (SLS), include</w:t>
      </w:r>
      <w:r w:rsidR="003A1CEE">
        <w:t>d</w:t>
      </w:r>
      <w:r w:rsidR="004F2A0E">
        <w:t xml:space="preserve"> </w:t>
      </w:r>
      <w:r w:rsidR="009C745F">
        <w:t>questionnaire-</w:t>
      </w:r>
      <w:r w:rsidR="004F2A0E">
        <w:t>items from several national studies</w:t>
      </w:r>
      <w:r w:rsidR="009C745F">
        <w:t xml:space="preserve"> </w:t>
      </w:r>
      <w:r w:rsidR="003A1CEE">
        <w:t>including</w:t>
      </w:r>
      <w:r w:rsidR="001D0F31">
        <w:t xml:space="preserve"> </w:t>
      </w:r>
      <w:r w:rsidR="003A1CEE">
        <w:t xml:space="preserve">the </w:t>
      </w:r>
      <w:r w:rsidR="009C745F">
        <w:t>MTF and NSDUH</w:t>
      </w:r>
      <w:r w:rsidR="003A1CEE">
        <w:t xml:space="preserve"> </w:t>
      </w:r>
      <w:r w:rsidR="00581FE4">
        <w:t xml:space="preserve">that </w:t>
      </w:r>
      <w:r w:rsidR="003A1CEE">
        <w:t>asked about episodic drinking, past year marijuana abuse, and illicit use of prescription drugs</w:t>
      </w:r>
      <w:r w:rsidR="00581FE4">
        <w:t>. General demographic information was gathered includ</w:t>
      </w:r>
      <w:r w:rsidR="00DB1BB0">
        <w:t>ing</w:t>
      </w:r>
      <w:r w:rsidR="00077C3D">
        <w:t xml:space="preserve"> </w:t>
      </w:r>
      <w:r w:rsidR="00581FE4">
        <w:t>Greek affiliation</w:t>
      </w:r>
      <w:r w:rsidR="003A1CEE">
        <w:t>.</w:t>
      </w:r>
      <w:r w:rsidR="001D0F31">
        <w:t xml:space="preserve"> </w:t>
      </w:r>
    </w:p>
    <w:p w:rsidR="00F101AF" w:rsidRDefault="00382984" w:rsidP="003F6BB5">
      <w:r>
        <w:t xml:space="preserve">In terms of acquisition, students reported the primary source </w:t>
      </w:r>
      <w:r w:rsidR="0082240E">
        <w:t xml:space="preserve">for prescription stimulants </w:t>
      </w:r>
      <w:r>
        <w:t>was peers (67.7%)</w:t>
      </w:r>
      <w:r w:rsidR="00DB1BB0">
        <w:t>,</w:t>
      </w:r>
      <w:r>
        <w:t xml:space="preserve"> followed by parents (3.1</w:t>
      </w:r>
      <w:r w:rsidR="00DB1BB0">
        <w:t>%),</w:t>
      </w:r>
      <w:r w:rsidR="00077C3D">
        <w:t xml:space="preserve"> </w:t>
      </w:r>
      <w:r w:rsidR="0082240E">
        <w:t xml:space="preserve">with </w:t>
      </w:r>
      <w:r w:rsidR="00F101AF">
        <w:t xml:space="preserve">29.3% not </w:t>
      </w:r>
      <w:r w:rsidR="0082240E">
        <w:t>specifying a source</w:t>
      </w:r>
      <w:r w:rsidR="00F101AF">
        <w:t xml:space="preserve">. </w:t>
      </w:r>
      <w:r w:rsidR="00DB1BB0">
        <w:t>A</w:t>
      </w:r>
      <w:r w:rsidR="00F101AF">
        <w:t xml:space="preserve"> multiple logistic regression model reveal</w:t>
      </w:r>
      <w:r w:rsidR="00F84F37">
        <w:t>ed</w:t>
      </w:r>
      <w:r w:rsidR="00F101AF">
        <w:t xml:space="preserve"> that </w:t>
      </w:r>
      <w:r w:rsidR="00C972DC">
        <w:t>students</w:t>
      </w:r>
      <w:r w:rsidR="00F101AF">
        <w:t xml:space="preserve"> who reported </w:t>
      </w:r>
      <w:r w:rsidR="00C972DC">
        <w:t>receiving</w:t>
      </w:r>
      <w:r w:rsidR="00F101AF">
        <w:t xml:space="preserve"> prescriptions from their peers were 7.68 times more likely to smoke, 7.27 times </w:t>
      </w:r>
      <w:r w:rsidR="009C745F">
        <w:t xml:space="preserve">more likely </w:t>
      </w:r>
      <w:r w:rsidR="00F101AF">
        <w:t>to engage in heavy episodic drinking, 14.78 times more likely to have alcohol or other drug disorders, 24.61 times more likely to use marijuana in the past year, 23.55 times more likely to engage in other illicit drugs, and 12.49 times more likely to use other prescription drugs than those who did not report using prescription stimulants illicitly. Students who reported receiving prescription stimulants from family were 5.11 times more likely to smoke</w:t>
      </w:r>
      <w:r w:rsidR="00F84F37">
        <w:t xml:space="preserve"> cigarettes</w:t>
      </w:r>
      <w:r w:rsidR="00F101AF">
        <w:t xml:space="preserve">, 3.76 times more likely to use marijuana in the past year, 7.43 times more likely to use other illicit drugs, and 6.49 times more likely to use other prescription drugs. </w:t>
      </w:r>
    </w:p>
    <w:p w:rsidR="00776C9C" w:rsidRPr="00776C9C" w:rsidRDefault="00550107" w:rsidP="003F6BB5">
      <w:r>
        <w:fldChar w:fldCharType="begin"/>
      </w:r>
      <w:r w:rsidR="002D07C6">
        <w:instrText xml:space="preserve"> ADDIN EN.CITE &lt;EndNote&gt;&lt;Cite AuthorYear="1"&gt;&lt;Author&gt;McCabe&lt;/Author&gt;&lt;Year&gt;2006&lt;/Year&gt;&lt;RecNum&gt;331&lt;/RecNum&gt;&lt;DisplayText&gt;McCabe, Teter, and Boyd (2006a)&lt;/DisplayText&gt;&lt;record&gt;&lt;rec-number&gt;331&lt;/rec-number&gt;&lt;foreign-keys&gt;&lt;key app="EN" db-id="02dwfapew02tdked2f4p0xerwdapvw5vztpp"&gt;331&lt;/key&gt;&lt;key app="ENWeb" db-id="R1rfKArtmCQAAH0-ETQ"&gt;866&lt;/key&gt;&lt;/foreign-keys&gt;&lt;ref-type name="Journal Article"&gt;17&lt;/ref-type&gt;&lt;contributors&gt;&lt;authors&gt;&lt;author&gt;McCabe, S&lt;/author&gt;&lt;author&gt;Teter, CJ&lt;/author&gt;&lt;author&gt;Boyd, CJ&lt;/author&gt;&lt;/authors&gt;&lt;/contributors&gt;&lt;titles&gt;&lt;title&gt;Medical use, illicit use and diversion of prescription stimulant medication&lt;/title&gt;&lt;secondary-title&gt;Journal of Psychoactive Drugs&lt;/secondary-title&gt;&lt;/titles&gt;&lt;periodical&gt;&lt;full-title&gt;Journal of Psychoactive Drugs&lt;/full-title&gt;&lt;/periodical&gt;&lt;pages&gt;43 - 56&lt;/pages&gt;&lt;volume&gt;38&lt;/volume&gt;&lt;number&gt;1&lt;/number&gt;&lt;dates&gt;&lt;year&gt;2006&lt;/year&gt;&lt;/dates&gt;&lt;urls&gt;&lt;/urls&gt;&lt;/record&gt;&lt;/Cite&gt;&lt;/EndNote&gt;</w:instrText>
      </w:r>
      <w:r>
        <w:fldChar w:fldCharType="separate"/>
      </w:r>
      <w:hyperlink w:anchor="_ENREF_37" w:tooltip="McCabe, 2006 #331" w:history="1">
        <w:r w:rsidR="00D213F7">
          <w:rPr>
            <w:noProof/>
          </w:rPr>
          <w:t>McCabe, Teter, and Boyd (2006a</w:t>
        </w:r>
      </w:hyperlink>
      <w:r w:rsidR="002D07C6">
        <w:rPr>
          <w:noProof/>
        </w:rPr>
        <w:t>)</w:t>
      </w:r>
      <w:r>
        <w:fldChar w:fldCharType="end"/>
      </w:r>
      <w:r w:rsidR="00776C9C">
        <w:t xml:space="preserve"> also used the Student Life Survey to examine prevalence rates and factors associated with the nonmedical use of prescription stimulants among </w:t>
      </w:r>
      <w:r w:rsidR="00776C9C">
        <w:lastRenderedPageBreak/>
        <w:t xml:space="preserve">college students. </w:t>
      </w:r>
      <w:r w:rsidR="00615BA0">
        <w:t>Drawing from the same sample</w:t>
      </w:r>
      <w:r w:rsidR="00382984">
        <w:t xml:space="preserve"> </w:t>
      </w:r>
      <w:r w:rsidR="00DB1BB0">
        <w:t>as used by</w:t>
      </w:r>
      <w:r w:rsidR="00382984">
        <w:t xml:space="preserve"> </w:t>
      </w:r>
      <w:r>
        <w:fldChar w:fldCharType="begin"/>
      </w:r>
      <w:r w:rsidR="00A35BE5">
        <w:instrText xml:space="preserve"> ADDIN EN.CITE &lt;EndNote&gt;&lt;Cite AuthorYear="1"&gt;&lt;Author&gt;McCabe&lt;/Author&gt;&lt;Year&gt;2005&lt;/Year&gt;&lt;RecNum&gt;413&lt;/RecNum&gt;&lt;DisplayText&gt;McCabe and Boyd (2005)&lt;/DisplayText&gt;&lt;record&gt;&lt;rec-number&gt;413&lt;/rec-number&gt;&lt;foreign-keys&gt;&lt;key app="EN" db-id="02dwfapew02tdked2f4p0xerwdapvw5vztpp"&gt;413&lt;/key&gt;&lt;/foreign-keys&gt;&lt;ref-type name="Journal Article"&gt;17&lt;/ref-type&gt;&lt;contributors&gt;&lt;authors&gt;&lt;author&gt;McCabe, S&lt;/author&gt;&lt;author&gt;Boyd, C&lt;/author&gt;&lt;/authors&gt;&lt;/contributors&gt;&lt;titles&gt;&lt;title&gt;Sources of prescription drugs for illicit use&lt;/title&gt;&lt;secondary-title&gt;Addictive Behaviors&lt;/secondary-title&gt;&lt;/titles&gt;&lt;periodical&gt;&lt;full-title&gt;Addictive Behaviors&lt;/full-title&gt;&lt;/periodical&gt;&lt;pages&gt;1342-1350&lt;/pages&gt;&lt;volume&gt;30&lt;/volume&gt;&lt;number&gt;7&lt;/number&gt;&lt;keywords&gt;&lt;keyword&gt;Drug abuse&lt;/keyword&gt;&lt;keyword&gt;Prescription drugs&lt;/keyword&gt;&lt;keyword&gt;Diversion&lt;/keyword&gt;&lt;keyword&gt;Illicit use&lt;/keyword&gt;&lt;keyword&gt;College students&lt;/keyword&gt;&lt;/keywords&gt;&lt;dates&gt;&lt;year&gt;2005&lt;/year&gt;&lt;/dates&gt;&lt;isbn&gt;0306-4603&lt;/isbn&gt;&lt;urls&gt;&lt;related-urls&gt;&lt;url&gt;http://www.sciencedirect.com/science/article/pii/S0306460305000134&lt;/url&gt;&lt;/related-urls&gt;&lt;/urls&gt;&lt;electronic-resource-num&gt;10.1016/j.addbeh.2005.01.012&lt;/electronic-resource-num&gt;&lt;/record&gt;&lt;/Cite&gt;&lt;/EndNote&gt;</w:instrText>
      </w:r>
      <w:r>
        <w:fldChar w:fldCharType="separate"/>
      </w:r>
      <w:hyperlink w:anchor="_ENREF_30" w:tooltip="McCabe, 2005 #413" w:history="1">
        <w:r w:rsidR="00D213F7">
          <w:rPr>
            <w:noProof/>
          </w:rPr>
          <w:t>McCabe and Boyd (2005</w:t>
        </w:r>
      </w:hyperlink>
      <w:r w:rsidR="00A35BE5">
        <w:rPr>
          <w:noProof/>
        </w:rPr>
        <w:t>)</w:t>
      </w:r>
      <w:r>
        <w:fldChar w:fldCharType="end"/>
      </w:r>
      <w:r w:rsidR="00615BA0">
        <w:t xml:space="preserve">, </w:t>
      </w:r>
      <w:r w:rsidR="00382984" w:rsidRPr="00776C9C">
        <w:t xml:space="preserve">McCabe, </w:t>
      </w:r>
      <w:r w:rsidR="00FF53C1">
        <w:t>Teter, and Boyd</w:t>
      </w:r>
      <w:r w:rsidR="00382984">
        <w:t xml:space="preserve"> </w:t>
      </w:r>
      <w:r w:rsidR="00615BA0">
        <w:t>analyzed the data using bivariate associations, chi-square tests, and logistic regressions to determine factors that predict</w:t>
      </w:r>
      <w:r w:rsidR="00DB1BB0">
        <w:t>ed</w:t>
      </w:r>
      <w:r w:rsidR="00615BA0">
        <w:t xml:space="preserve"> nonmedical use of prescription stimulants. They determined that students who were white, </w:t>
      </w:r>
      <w:r w:rsidR="009C745F">
        <w:t>Greek</w:t>
      </w:r>
      <w:r w:rsidR="00615BA0">
        <w:t xml:space="preserve"> affiliated and lived in a fraternity or sorority house, lived off-campus, had an annual income of </w:t>
      </w:r>
      <w:r w:rsidR="009C745F">
        <w:t>$</w:t>
      </w:r>
      <w:r w:rsidR="00615BA0">
        <w:t xml:space="preserve">250,000 or more, were Jewish or </w:t>
      </w:r>
      <w:r w:rsidR="00DB1BB0">
        <w:t xml:space="preserve">had </w:t>
      </w:r>
      <w:r w:rsidR="00615BA0">
        <w:t xml:space="preserve">no religious affiliation, had a low GPA, and were previously exposed to prescription stimulants in secondary </w:t>
      </w:r>
      <w:r w:rsidR="00F84F37">
        <w:t xml:space="preserve">school </w:t>
      </w:r>
      <w:r w:rsidR="00615BA0">
        <w:t>were significantly more likely to engage in the nonmedical use of prescription stimulants. They also supported the claim that students received their prescription stimulants from peers.</w:t>
      </w:r>
    </w:p>
    <w:p w:rsidR="00EC03DD" w:rsidRDefault="00EC03DD" w:rsidP="00EC03DD">
      <w:r>
        <w:t xml:space="preserve">A third study that utilized the Student Life Survey </w:t>
      </w:r>
      <w:r w:rsidR="00382984">
        <w:t xml:space="preserve">methodology and data from </w:t>
      </w:r>
      <w:r w:rsidR="00550107">
        <w:fldChar w:fldCharType="begin"/>
      </w:r>
      <w:r w:rsidR="00A35BE5">
        <w:instrText xml:space="preserve"> ADDIN EN.CITE &lt;EndNote&gt;&lt;Cite AuthorYear="1"&gt;&lt;Author&gt;McCabe&lt;/Author&gt;&lt;Year&gt;2005&lt;/Year&gt;&lt;RecNum&gt;413&lt;/RecNum&gt;&lt;DisplayText&gt;McCabe and Boyd (2005)&lt;/DisplayText&gt;&lt;record&gt;&lt;rec-number&gt;413&lt;/rec-number&gt;&lt;foreign-keys&gt;&lt;key app="EN" db-id="02dwfapew02tdked2f4p0xerwdapvw5vztpp"&gt;413&lt;/key&gt;&lt;/foreign-keys&gt;&lt;ref-type name="Journal Article"&gt;17&lt;/ref-type&gt;&lt;contributors&gt;&lt;authors&gt;&lt;author&gt;McCabe, S&lt;/author&gt;&lt;author&gt;Boyd, C&lt;/author&gt;&lt;/authors&gt;&lt;/contributors&gt;&lt;titles&gt;&lt;title&gt;Sources of prescription drugs for illicit use&lt;/title&gt;&lt;secondary-title&gt;Addictive Behaviors&lt;/secondary-title&gt;&lt;/titles&gt;&lt;periodical&gt;&lt;full-title&gt;Addictive Behaviors&lt;/full-title&gt;&lt;/periodical&gt;&lt;pages&gt;1342-1350&lt;/pages&gt;&lt;volume&gt;30&lt;/volume&gt;&lt;number&gt;7&lt;/number&gt;&lt;keywords&gt;&lt;keyword&gt;Drug abuse&lt;/keyword&gt;&lt;keyword&gt;Prescription drugs&lt;/keyword&gt;&lt;keyword&gt;Diversion&lt;/keyword&gt;&lt;keyword&gt;Illicit use&lt;/keyword&gt;&lt;keyword&gt;College students&lt;/keyword&gt;&lt;/keywords&gt;&lt;dates&gt;&lt;year&gt;2005&lt;/year&gt;&lt;/dates&gt;&lt;isbn&gt;0306-4603&lt;/isbn&gt;&lt;urls&gt;&lt;related-urls&gt;&lt;url&gt;http://www.sciencedirect.com/science/article/pii/S0306460305000134&lt;/url&gt;&lt;/related-urls&gt;&lt;/urls&gt;&lt;electronic-resource-num&gt;10.1016/j.addbeh.2005.01.012&lt;/electronic-resource-num&gt;&lt;/record&gt;&lt;/Cite&gt;&lt;/EndNote&gt;</w:instrText>
      </w:r>
      <w:r w:rsidR="00550107">
        <w:fldChar w:fldCharType="separate"/>
      </w:r>
      <w:hyperlink w:anchor="_ENREF_30" w:tooltip="McCabe, 2005 #413" w:history="1">
        <w:r w:rsidR="00D213F7">
          <w:rPr>
            <w:noProof/>
          </w:rPr>
          <w:t>McCabe and Boyd (2005</w:t>
        </w:r>
      </w:hyperlink>
      <w:r w:rsidR="00A35BE5">
        <w:rPr>
          <w:noProof/>
        </w:rPr>
        <w:t>)</w:t>
      </w:r>
      <w:r w:rsidR="00550107">
        <w:fldChar w:fldCharType="end"/>
      </w:r>
      <w:r w:rsidR="00382984">
        <w:t xml:space="preserve"> </w:t>
      </w:r>
      <w:r w:rsidR="00E96A70">
        <w:t xml:space="preserve">was </w:t>
      </w:r>
      <w:r w:rsidR="00550107">
        <w:fldChar w:fldCharType="begin"/>
      </w:r>
      <w:r w:rsidR="002D07C6">
        <w:instrText xml:space="preserve"> ADDIN EN.CITE &lt;EndNote&gt;&lt;Cite AuthorYear="1"&gt;&lt;Author&gt;Teter&lt;/Author&gt;&lt;Year&gt;2005&lt;/Year&gt;&lt;RecNum&gt;86&lt;/RecNum&gt;&lt;DisplayText&gt;Teter et al. (2005)&lt;/DisplayText&gt;&lt;record&gt;&lt;rec-number&gt;86&lt;/rec-number&gt;&lt;foreign-keys&gt;&lt;key app="EN" db-id="02dwfapew02tdked2f4p0xerwdapvw5vztpp"&gt;86&lt;/key&gt;&lt;key app="ENWeb" db-id="R1rfKArtmCQAAH0-ETQ"&gt;855&lt;/key&gt;&lt;/foreign-keys&gt;&lt;ref-type name="Journal Article"&gt;17&lt;/ref-type&gt;&lt;contributors&gt;&lt;authors&gt;&lt;author&gt;Teter, C&lt;/author&gt;&lt;author&gt;McCabe, SE&lt;/author&gt;&lt;author&gt;Cranford, JA&lt;/author&gt;&lt;author&gt;Boyd, C&lt;/author&gt;&lt;author&gt;Guthrie, S&lt;/author&gt;&lt;/authors&gt;&lt;/contributors&gt;&lt;titles&gt;&lt;title&gt;Prevalence and motives for illicit use of prescription stimulants in an undergraduate student sample&lt;/title&gt;&lt;secondary-title&gt;Journal of American College Health&lt;/secondary-title&gt;&lt;/titles&gt;&lt;periodical&gt;&lt;full-title&gt;Journal of American College Health&lt;/full-title&gt;&lt;/periodical&gt;&lt;pages&gt;253-262&lt;/pages&gt;&lt;volume&gt;53&lt;/volume&gt;&lt;number&gt;6&lt;/number&gt;&lt;dates&gt;&lt;year&gt;2005&lt;/year&gt;&lt;pub-dates&gt;&lt;date&gt;May/June 2005&lt;/date&gt;&lt;/pub-dates&gt;&lt;/dates&gt;&lt;urls&gt;&lt;/urls&gt;&lt;electronic-resource-num&gt;10.3200/JACH.53.6.253-262&lt;/electronic-resource-num&gt;&lt;/record&gt;&lt;/Cite&gt;&lt;/EndNote&gt;</w:instrText>
      </w:r>
      <w:r w:rsidR="00550107">
        <w:fldChar w:fldCharType="separate"/>
      </w:r>
      <w:hyperlink w:anchor="_ENREF_57" w:tooltip="Teter, 2005 #86" w:history="1">
        <w:r w:rsidR="00D213F7">
          <w:rPr>
            <w:noProof/>
          </w:rPr>
          <w:t>Teter et al. (2005</w:t>
        </w:r>
      </w:hyperlink>
      <w:r w:rsidR="002D07C6">
        <w:rPr>
          <w:noProof/>
        </w:rPr>
        <w:t>)</w:t>
      </w:r>
      <w:r w:rsidR="00550107">
        <w:fldChar w:fldCharType="end"/>
      </w:r>
      <w:r w:rsidR="003A1CEE">
        <w:t>.</w:t>
      </w:r>
      <w:r w:rsidR="00077C3D">
        <w:t xml:space="preserve"> </w:t>
      </w:r>
      <w:r w:rsidR="003A1CEE">
        <w:t>T</w:t>
      </w:r>
      <w:r>
        <w:t xml:space="preserve">heir primary objective was </w:t>
      </w:r>
      <w:proofErr w:type="gramStart"/>
      <w:r>
        <w:t>to systematically evaluate</w:t>
      </w:r>
      <w:proofErr w:type="gramEnd"/>
      <w:r>
        <w:t xml:space="preserve"> the prevalence rate and motives </w:t>
      </w:r>
      <w:r w:rsidR="003A1CEE">
        <w:t xml:space="preserve">for </w:t>
      </w:r>
      <w:r>
        <w:t xml:space="preserve">college students illicitly using prescription stimulants. Using the same </w:t>
      </w:r>
      <w:r w:rsidR="00F84F37">
        <w:t xml:space="preserve">aforementioned </w:t>
      </w:r>
      <w:r>
        <w:t>methodology, th</w:t>
      </w:r>
      <w:r w:rsidR="00F84F37">
        <w:t>ey used descriptive statistics f</w:t>
      </w:r>
      <w:r>
        <w:t>o</w:t>
      </w:r>
      <w:r w:rsidR="00F84F37">
        <w:t>r</w:t>
      </w:r>
      <w:r>
        <w:t xml:space="preserve"> determin</w:t>
      </w:r>
      <w:r w:rsidR="00F84F37">
        <w:t>ing</w:t>
      </w:r>
      <w:r>
        <w:t xml:space="preserve"> the average number of motives for use. Of the 8.1% that indicated illicit use, their results also indicated students</w:t>
      </w:r>
      <w:r w:rsidR="00ED13B0">
        <w:t>’</w:t>
      </w:r>
      <w:r>
        <w:t xml:space="preserve"> </w:t>
      </w:r>
      <w:r w:rsidR="0080152E">
        <w:t>motives for</w:t>
      </w:r>
      <w:r>
        <w:t xml:space="preserve"> using prescription stimulants </w:t>
      </w:r>
      <w:r w:rsidR="003A1CEE">
        <w:t>were</w:t>
      </w:r>
      <w:r w:rsidR="0080152E">
        <w:t xml:space="preserve"> </w:t>
      </w:r>
      <w:r>
        <w:t>for</w:t>
      </w:r>
      <w:r w:rsidR="00F84F37">
        <w:t xml:space="preserve"> increasing</w:t>
      </w:r>
      <w:r>
        <w:t xml:space="preserve"> concentration, increas</w:t>
      </w:r>
      <w:r w:rsidR="009C745F">
        <w:t>ing</w:t>
      </w:r>
      <w:r w:rsidR="0080152E">
        <w:t xml:space="preserve"> alertness, and</w:t>
      </w:r>
      <w:r>
        <w:t xml:space="preserve"> get</w:t>
      </w:r>
      <w:r w:rsidR="009C745F">
        <w:t>ting</w:t>
      </w:r>
      <w:r>
        <w:t xml:space="preserve"> high. </w:t>
      </w:r>
      <w:r w:rsidR="009C745F">
        <w:t>The chi-square analysi</w:t>
      </w:r>
      <w:r w:rsidR="007B5252">
        <w:t>s revealed that students who abused prescription stimulants also had higher rate</w:t>
      </w:r>
      <w:r w:rsidR="009C745F">
        <w:t>s of alcohol abuse compared to</w:t>
      </w:r>
      <w:r w:rsidR="007B5252">
        <w:t xml:space="preserve"> nonusers. Finally</w:t>
      </w:r>
      <w:r w:rsidR="00551BEC">
        <w:t xml:space="preserve">, </w:t>
      </w:r>
      <w:r w:rsidR="00DB1BB0">
        <w:t xml:space="preserve">they </w:t>
      </w:r>
      <w:r w:rsidR="00551BEC">
        <w:t xml:space="preserve">indicated that students </w:t>
      </w:r>
      <w:r w:rsidR="007B5252">
        <w:t>who endorse</w:t>
      </w:r>
      <w:r w:rsidR="003A1CEE">
        <w:t>d</w:t>
      </w:r>
      <w:r w:rsidR="007B5252">
        <w:t xml:space="preserve"> any of the </w:t>
      </w:r>
      <w:r w:rsidR="009C745F">
        <w:t xml:space="preserve">aforementioned </w:t>
      </w:r>
      <w:r w:rsidR="007B5252">
        <w:t xml:space="preserve">motives </w:t>
      </w:r>
      <w:r w:rsidR="003A1CEE">
        <w:t>were</w:t>
      </w:r>
      <w:r w:rsidR="007B5252">
        <w:t xml:space="preserve"> also significantly more likely to have alcohol or other drug abuse. </w:t>
      </w:r>
    </w:p>
    <w:p w:rsidR="00977D4B" w:rsidRDefault="00977D4B" w:rsidP="00977D4B">
      <w:pPr>
        <w:pStyle w:val="Heading2"/>
      </w:pPr>
      <w:bookmarkStart w:id="20" w:name="_Toc315010458"/>
      <w:r>
        <w:t>Reasons for Use</w:t>
      </w:r>
      <w:bookmarkEnd w:id="20"/>
    </w:p>
    <w:p w:rsidR="00D634FF" w:rsidRDefault="00F101AF" w:rsidP="003F6BB5">
      <w:r>
        <w:t xml:space="preserve">The </w:t>
      </w:r>
      <w:r w:rsidR="007B5252">
        <w:t xml:space="preserve">motivations and </w:t>
      </w:r>
      <w:r>
        <w:t>mode</w:t>
      </w:r>
      <w:r w:rsidR="0080152E">
        <w:t>s</w:t>
      </w:r>
      <w:r>
        <w:t xml:space="preserve"> of acquisition </w:t>
      </w:r>
      <w:r w:rsidR="0080152E">
        <w:t xml:space="preserve">for </w:t>
      </w:r>
      <w:r w:rsidR="007B5252">
        <w:t>prescription stimulants are</w:t>
      </w:r>
      <w:r>
        <w:t xml:space="preserve"> related to other substance use </w:t>
      </w:r>
      <w:r w:rsidR="007B5252">
        <w:t xml:space="preserve">problems </w:t>
      </w:r>
      <w:r>
        <w:t xml:space="preserve">and represent a larger problem among college students centered </w:t>
      </w:r>
      <w:r w:rsidR="00C972DC">
        <w:t>on</w:t>
      </w:r>
      <w:r>
        <w:t xml:space="preserve"> </w:t>
      </w:r>
      <w:r>
        <w:lastRenderedPageBreak/>
        <w:t>multiple problem behaviors and drug abuse</w:t>
      </w:r>
      <w:r w:rsidR="00C972DC">
        <w:t xml:space="preserve"> </w:t>
      </w:r>
      <w:r w:rsidR="00550107">
        <w:fldChar w:fldCharType="begin"/>
      </w:r>
      <w:r w:rsidR="002D07C6">
        <w:instrText xml:space="preserve"> ADDIN EN.CITE &lt;EndNote&gt;&lt;Cite&gt;&lt;Author&gt;Jessor&lt;/Author&gt;&lt;Year&gt;1991&lt;/Year&gt;&lt;RecNum&gt;308&lt;/RecNum&gt;&lt;DisplayText&gt;(Jessor et al., 1991)&lt;/DisplayText&gt;&lt;record&gt;&lt;rec-number&gt;308&lt;/rec-number&gt;&lt;foreign-keys&gt;&lt;key app="EN" db-id="02dwfapew02tdked2f4p0xerwdapvw5vztpp"&gt;308&lt;/key&gt;&lt;key app="ENWeb" db-id="R1rfKArtmCQAAH0-ETQ"&gt;788&lt;/key&gt;&lt;/foreign-keys&gt;&lt;ref-type name="Book"&gt;6&lt;/ref-type&gt;&lt;contributors&gt;&lt;authors&gt;&lt;author&gt;Jessor, Richard&lt;/author&gt;&lt;author&gt;Donovan, John E.&lt;/author&gt;&lt;author&gt;Costa, Frances M.&lt;/author&gt;&lt;/authors&gt;&lt;/contributors&gt;&lt;titles&gt;&lt;title&gt;Beyond adolescence: Problem behavior and young adult development&lt;/title&gt;&lt;/titles&gt;&lt;dates&gt;&lt;year&gt;1991&lt;/year&gt;&lt;/dates&gt;&lt;pub-location&gt;New York&lt;/pub-location&gt;&lt;publisher&gt;Cambridge Press&lt;/publisher&gt;&lt;urls&gt;&lt;/urls&gt;&lt;/record&gt;&lt;/Cite&gt;&lt;/EndNote&gt;</w:instrText>
      </w:r>
      <w:r w:rsidR="00550107">
        <w:fldChar w:fldCharType="separate"/>
      </w:r>
      <w:r w:rsidR="002D07C6">
        <w:rPr>
          <w:noProof/>
        </w:rPr>
        <w:t>(</w:t>
      </w:r>
      <w:hyperlink w:anchor="_ENREF_21" w:tooltip="Jessor, 1991 #308" w:history="1">
        <w:r w:rsidR="00D213F7">
          <w:rPr>
            <w:noProof/>
          </w:rPr>
          <w:t>Jessor et al., 1991</w:t>
        </w:r>
      </w:hyperlink>
      <w:r w:rsidR="002D07C6">
        <w:rPr>
          <w:noProof/>
        </w:rPr>
        <w:t>)</w:t>
      </w:r>
      <w:r w:rsidR="00550107">
        <w:fldChar w:fldCharType="end"/>
      </w:r>
      <w:r>
        <w:t>. Students who receive</w:t>
      </w:r>
      <w:r w:rsidR="00DB1BB0">
        <w:t>d</w:t>
      </w:r>
      <w:r>
        <w:t xml:space="preserve"> prescription stimulants from friends </w:t>
      </w:r>
      <w:r w:rsidR="007B5252">
        <w:t>and endorse</w:t>
      </w:r>
      <w:r w:rsidR="00DB1BB0">
        <w:t>d</w:t>
      </w:r>
      <w:r w:rsidR="007B5252">
        <w:t xml:space="preserve"> motivations</w:t>
      </w:r>
      <w:r w:rsidR="00077C3D">
        <w:t xml:space="preserve"> for illicitly using prescription stimulants were defined as </w:t>
      </w:r>
      <w:r>
        <w:t>a high-risk populatio</w:t>
      </w:r>
      <w:r w:rsidR="00382984">
        <w:t xml:space="preserve">n </w:t>
      </w:r>
      <w:r w:rsidR="00550107">
        <w:fldChar w:fldCharType="begin"/>
      </w:r>
      <w:r w:rsidR="00382984">
        <w:instrText xml:space="preserve"> ADDIN EN.CITE &lt;EndNote&gt;&lt;Cite&gt;&lt;Author&gt;McCabe&lt;/Author&gt;&lt;Year&gt;2005&lt;/Year&gt;&lt;RecNum&gt;413&lt;/RecNum&gt;&lt;DisplayText&gt;(McCabe &amp;amp; Boyd, 2005)&lt;/DisplayText&gt;&lt;record&gt;&lt;rec-number&gt;413&lt;/rec-number&gt;&lt;foreign-keys&gt;&lt;key app="EN" db-id="02dwfapew02tdked2f4p0xerwdapvw5vztpp"&gt;413&lt;/key&gt;&lt;/foreign-keys&gt;&lt;ref-type name="Journal Article"&gt;17&lt;/ref-type&gt;&lt;contributors&gt;&lt;authors&gt;&lt;author&gt;McCabe, S&lt;/author&gt;&lt;author&gt;Boyd, C&lt;/author&gt;&lt;/authors&gt;&lt;/contributors&gt;&lt;titles&gt;&lt;title&gt;Sources of prescription drugs for illicit use&lt;/title&gt;&lt;secondary-title&gt;Addictive Behaviors&lt;/secondary-title&gt;&lt;/titles&gt;&lt;periodical&gt;&lt;full-title&gt;Addictive Behaviors&lt;/full-title&gt;&lt;/periodical&gt;&lt;pages&gt;1342-1350&lt;/pages&gt;&lt;volume&gt;30&lt;/volume&gt;&lt;number&gt;7&lt;/number&gt;&lt;keywords&gt;&lt;keyword&gt;Drug abuse&lt;/keyword&gt;&lt;keyword&gt;Prescription drugs&lt;/keyword&gt;&lt;keyword&gt;Diversion&lt;/keyword&gt;&lt;keyword&gt;Illicit use&lt;/keyword&gt;&lt;keyword&gt;College students&lt;/keyword&gt;&lt;/keywords&gt;&lt;dates&gt;&lt;year&gt;2005&lt;/year&gt;&lt;/dates&gt;&lt;isbn&gt;0306-4603&lt;/isbn&gt;&lt;urls&gt;&lt;related-urls&gt;&lt;url&gt;http://www.sciencedirect.com/science/article/pii/S0306460305000134&lt;/url&gt;&lt;/related-urls&gt;&lt;/urls&gt;&lt;electronic-resource-num&gt;10.1016/j.addbeh.2005.01.012&lt;/electronic-resource-num&gt;&lt;/record&gt;&lt;/Cite&gt;&lt;/EndNote&gt;</w:instrText>
      </w:r>
      <w:r w:rsidR="00550107">
        <w:fldChar w:fldCharType="separate"/>
      </w:r>
      <w:r w:rsidR="00382984">
        <w:rPr>
          <w:noProof/>
        </w:rPr>
        <w:t>(</w:t>
      </w:r>
      <w:hyperlink w:anchor="_ENREF_30" w:tooltip="McCabe, 2005 #413" w:history="1">
        <w:r w:rsidR="00D213F7">
          <w:rPr>
            <w:noProof/>
          </w:rPr>
          <w:t>McCabe &amp; Boyd, 2005</w:t>
        </w:r>
      </w:hyperlink>
      <w:r w:rsidR="00382984">
        <w:rPr>
          <w:noProof/>
        </w:rPr>
        <w:t>)</w:t>
      </w:r>
      <w:r w:rsidR="00550107">
        <w:fldChar w:fldCharType="end"/>
      </w:r>
      <w:r>
        <w:t xml:space="preserve">. </w:t>
      </w:r>
      <w:r w:rsidR="00550107">
        <w:fldChar w:fldCharType="begin"/>
      </w:r>
      <w:r w:rsidR="00077C3D">
        <w:instrText xml:space="preserve"> ADDIN EN.CITE &lt;EndNote&gt;&lt;Cite AuthorYear="1"&gt;&lt;Author&gt;DeSantis&lt;/Author&gt;&lt;Year&gt;2008&lt;/Year&gt;&lt;RecNum&gt;382&lt;/RecNum&gt;&lt;DisplayText&gt;DeSantis, Webb, and Noar (2008)&lt;/DisplayText&gt;&lt;record&gt;&lt;rec-number&gt;382&lt;/rec-number&gt;&lt;foreign-keys&gt;&lt;key app="EN" db-id="02dwfapew02tdked2f4p0xerwdapvw5vztpp"&gt;382&lt;/key&gt;&lt;key app="ENWeb" db-id="R1rfKArtmCQAAH0-ETQ"&gt;873&lt;/key&gt;&lt;/foreign-keys&gt;&lt;ref-type name="Journal Article"&gt;17&lt;/ref-type&gt;&lt;contributors&gt;&lt;authors&gt;&lt;author&gt;DeSantis, A&lt;/author&gt;&lt;author&gt;Webb, E&lt;/author&gt;&lt;author&gt;Noar, S&lt;/author&gt;&lt;/authors&gt;&lt;/contributors&gt;&lt;titles&gt;&lt;title&gt;Illicit use of prescription ADHD medications on a college campus: A multimethodological approach&lt;/title&gt;&lt;secondary-title&gt;Journal of American College Health&lt;/secondary-title&gt;&lt;/titles&gt;&lt;periodical&gt;&lt;full-title&gt;Journal of American College Health&lt;/full-title&gt;&lt;/periodical&gt;&lt;pages&gt;315-323&lt;/pages&gt;&lt;volume&gt;57&lt;/volume&gt;&lt;number&gt;3&lt;/number&gt;&lt;dates&gt;&lt;year&gt;2008&lt;/year&gt;&lt;/dates&gt;&lt;urls&gt;&lt;/urls&gt;&lt;electronic-resource-num&gt;10.3200/JACH.57.3.315-324&lt;/electronic-resource-num&gt;&lt;/record&gt;&lt;/Cite&gt;&lt;/EndNote&gt;</w:instrText>
      </w:r>
      <w:r w:rsidR="00550107">
        <w:fldChar w:fldCharType="separate"/>
      </w:r>
      <w:hyperlink w:anchor="_ENREF_14" w:tooltip="DeSantis, 2008 #382" w:history="1">
        <w:r w:rsidR="00D213F7">
          <w:rPr>
            <w:noProof/>
          </w:rPr>
          <w:t>DeSantis, Webb, and Noar (2008</w:t>
        </w:r>
      </w:hyperlink>
      <w:r w:rsidR="00077C3D">
        <w:rPr>
          <w:noProof/>
        </w:rPr>
        <w:t>)</w:t>
      </w:r>
      <w:r w:rsidR="00550107">
        <w:fldChar w:fldCharType="end"/>
      </w:r>
      <w:r w:rsidR="00D634FF">
        <w:t xml:space="preserve"> sought to understand how and why college students illicit</w:t>
      </w:r>
      <w:r w:rsidR="0080152E">
        <w:t>ly</w:t>
      </w:r>
      <w:r w:rsidR="00D634FF">
        <w:t xml:space="preserve"> use prescription stimulants</w:t>
      </w:r>
      <w:r w:rsidR="00B340A9">
        <w:t>, and what motives increased their likelihood to do so.</w:t>
      </w:r>
      <w:r w:rsidR="00D634FF">
        <w:t xml:space="preserve"> Specifically, they examined factors that led to initiating use, motives for continuing use, and how students acquired these drugs. The</w:t>
      </w:r>
      <w:r w:rsidR="0080152E">
        <w:t xml:space="preserve">ir data collection methodology included </w:t>
      </w:r>
      <w:r w:rsidR="00D634FF">
        <w:t xml:space="preserve">quantitative and qualitative </w:t>
      </w:r>
      <w:r w:rsidR="0080152E">
        <w:t>approaches</w:t>
      </w:r>
      <w:r w:rsidR="00D634FF">
        <w:t xml:space="preserve">. The quantitative data was obtained from surveys administered to </w:t>
      </w:r>
      <w:r w:rsidR="0065742B">
        <w:t xml:space="preserve">1,340 </w:t>
      </w:r>
      <w:r w:rsidR="00D634FF">
        <w:t xml:space="preserve">students </w:t>
      </w:r>
      <w:r w:rsidR="0065742B">
        <w:t xml:space="preserve">in an introductory communication theory class </w:t>
      </w:r>
      <w:r w:rsidR="00B340A9">
        <w:t xml:space="preserve">at one </w:t>
      </w:r>
      <w:r w:rsidR="00077C3D">
        <w:t>institution</w:t>
      </w:r>
      <w:r w:rsidR="00B340A9">
        <w:t xml:space="preserve"> </w:t>
      </w:r>
      <w:r w:rsidR="0065742B">
        <w:t>over three semesters</w:t>
      </w:r>
      <w:r w:rsidR="006269E2">
        <w:t>.</w:t>
      </w:r>
      <w:r w:rsidR="00D634FF">
        <w:t xml:space="preserve"> </w:t>
      </w:r>
      <w:r w:rsidR="0080152E">
        <w:t>Their survey was a 25-item survey developed for their study.</w:t>
      </w:r>
      <w:r w:rsidR="00D634FF">
        <w:t xml:space="preserve"> </w:t>
      </w:r>
      <w:r w:rsidR="00B714A6">
        <w:t>T</w:t>
      </w:r>
      <w:r w:rsidR="00D634FF">
        <w:t xml:space="preserve">hey followed </w:t>
      </w:r>
      <w:r w:rsidR="00B714A6">
        <w:t xml:space="preserve">the survey </w:t>
      </w:r>
      <w:r w:rsidR="00D634FF">
        <w:t xml:space="preserve">with 175 interviews. </w:t>
      </w:r>
      <w:r w:rsidR="00B714A6">
        <w:t>O</w:t>
      </w:r>
      <w:r w:rsidR="00D634FF">
        <w:t xml:space="preserve">f the 1,811 students that completed the survey, 63% first used prescription stimulants in college. During the interviews, </w:t>
      </w:r>
      <w:r w:rsidR="00550107">
        <w:fldChar w:fldCharType="begin"/>
      </w:r>
      <w:r w:rsidR="00A35BE5">
        <w:instrText xml:space="preserve"> ADDIN EN.CITE &lt;EndNote&gt;&lt;Cite AuthorYear="1"&gt;&lt;Author&gt;DeSantis&lt;/Author&gt;&lt;Year&gt;2008&lt;/Year&gt;&lt;RecNum&gt;382&lt;/RecNum&gt;&lt;DisplayText&gt;DeSantis et al. (2008)&lt;/DisplayText&gt;&lt;record&gt;&lt;rec-number&gt;382&lt;/rec-number&gt;&lt;foreign-keys&gt;&lt;key app="EN" db-id="02dwfapew02tdked2f4p0xerwdapvw5vztpp"&gt;382&lt;/key&gt;&lt;key app="ENWeb" db-id="R1rfKArtmCQAAH0-ETQ"&gt;873&lt;/key&gt;&lt;/foreign-keys&gt;&lt;ref-type name="Journal Article"&gt;17&lt;/ref-type&gt;&lt;contributors&gt;&lt;authors&gt;&lt;author&gt;DeSantis, A&lt;/author&gt;&lt;author&gt;Webb, E&lt;/author&gt;&lt;author&gt;Noar, S&lt;/author&gt;&lt;/authors&gt;&lt;/contributors&gt;&lt;titles&gt;&lt;title&gt;Illicit use of prescription ADHD medications on a college campus: A multimethodological approach&lt;/title&gt;&lt;secondary-title&gt;Journal of American College Health&lt;/secondary-title&gt;&lt;/titles&gt;&lt;periodical&gt;&lt;full-title&gt;Journal of American College Health&lt;/full-title&gt;&lt;/periodical&gt;&lt;pages&gt;315-323&lt;/pages&gt;&lt;volume&gt;57&lt;/volume&gt;&lt;number&gt;3&lt;/number&gt;&lt;dates&gt;&lt;year&gt;2008&lt;/year&gt;&lt;/dates&gt;&lt;urls&gt;&lt;/urls&gt;&lt;electronic-resource-num&gt;10.3200/JACH.57.3.315-324&lt;/electronic-resource-num&gt;&lt;/record&gt;&lt;/Cite&gt;&lt;/EndNote&gt;</w:instrText>
      </w:r>
      <w:r w:rsidR="00550107">
        <w:fldChar w:fldCharType="separate"/>
      </w:r>
      <w:hyperlink w:anchor="_ENREF_14" w:tooltip="DeSantis, 2008 #382" w:history="1">
        <w:r w:rsidR="00D213F7">
          <w:rPr>
            <w:noProof/>
          </w:rPr>
          <w:t>DeSantis et al. (2008</w:t>
        </w:r>
      </w:hyperlink>
      <w:r w:rsidR="00A35BE5">
        <w:rPr>
          <w:noProof/>
        </w:rPr>
        <w:t>)</w:t>
      </w:r>
      <w:r w:rsidR="00550107">
        <w:fldChar w:fldCharType="end"/>
      </w:r>
      <w:r w:rsidR="00D634FF">
        <w:t xml:space="preserve"> </w:t>
      </w:r>
      <w:r w:rsidR="00B714A6">
        <w:t xml:space="preserve">found </w:t>
      </w:r>
      <w:r w:rsidR="00D634FF">
        <w:t xml:space="preserve">that students did not need to seek out information </w:t>
      </w:r>
      <w:r w:rsidR="0065742B">
        <w:t xml:space="preserve">about </w:t>
      </w:r>
      <w:r w:rsidR="00D634FF">
        <w:t xml:space="preserve">using prescription stimulants. In fact, it was quite the opposite. Prescription stimulant use appeared to be a salient part of the campus culture and use was almost expected among students. </w:t>
      </w:r>
      <w:r w:rsidR="00AF576F">
        <w:t>Additional data from the interviews revealed that students initiated use during high levels of academic stress and anxiety. In terms of motivation, DeSantis</w:t>
      </w:r>
      <w:r w:rsidR="00FF53C1">
        <w:t xml:space="preserve"> et al. </w:t>
      </w:r>
      <w:r w:rsidR="00AF576F">
        <w:t>found two primary motives</w:t>
      </w:r>
      <w:r w:rsidR="00ED13B0">
        <w:t>:</w:t>
      </w:r>
      <w:r w:rsidR="00AF576F">
        <w:t xml:space="preserve"> academic motives and non-academic motives.</w:t>
      </w:r>
    </w:p>
    <w:p w:rsidR="00AF576F" w:rsidRDefault="00B714A6" w:rsidP="003F6BB5">
      <w:r>
        <w:t xml:space="preserve">Seventy-two percent of the students that reported illicitly using prescription stimulants </w:t>
      </w:r>
      <w:r w:rsidR="00594FE9">
        <w:t>reported using them f</w:t>
      </w:r>
      <w:r w:rsidR="00AF576F">
        <w:t>o</w:t>
      </w:r>
      <w:r w:rsidR="00594FE9">
        <w:t>r</w:t>
      </w:r>
      <w:r w:rsidR="00AF576F">
        <w:t xml:space="preserve"> stay</w:t>
      </w:r>
      <w:r w:rsidR="00594FE9">
        <w:t>ing</w:t>
      </w:r>
      <w:r w:rsidR="00AF576F">
        <w:t xml:space="preserve"> awake to study longer, 66% indicated they illicitl</w:t>
      </w:r>
      <w:r w:rsidR="00594FE9">
        <w:t>y used prescription stimulants f</w:t>
      </w:r>
      <w:r w:rsidR="00AF576F">
        <w:t>o</w:t>
      </w:r>
      <w:r w:rsidR="00594FE9">
        <w:t>r</w:t>
      </w:r>
      <w:r w:rsidR="00AF576F">
        <w:t xml:space="preserve"> </w:t>
      </w:r>
      <w:r w:rsidR="005943BB">
        <w:t xml:space="preserve">enhancing </w:t>
      </w:r>
      <w:r w:rsidR="00AF576F">
        <w:t>concentrat</w:t>
      </w:r>
      <w:r w:rsidR="00594FE9">
        <w:t>i</w:t>
      </w:r>
      <w:r w:rsidR="005943BB">
        <w:t>o</w:t>
      </w:r>
      <w:r w:rsidR="00594FE9">
        <w:t>n</w:t>
      </w:r>
      <w:r w:rsidR="00AF576F">
        <w:t>, and 36% indicated it helped</w:t>
      </w:r>
      <w:r w:rsidR="00594FE9">
        <w:t xml:space="preserve"> with</w:t>
      </w:r>
      <w:r w:rsidR="00AF576F">
        <w:t xml:space="preserve"> memoriz</w:t>
      </w:r>
      <w:r w:rsidR="00594FE9">
        <w:t>ing</w:t>
      </w:r>
      <w:r w:rsidR="00AF576F">
        <w:t xml:space="preserve"> information. Students reported </w:t>
      </w:r>
      <w:r>
        <w:t xml:space="preserve">the drugs </w:t>
      </w:r>
      <w:r w:rsidR="00AF576F">
        <w:t>helped them read 50 to 60 pages in one sitting.</w:t>
      </w:r>
      <w:r w:rsidR="005943BB">
        <w:t xml:space="preserve"> Additionally, students felt</w:t>
      </w:r>
      <w:r w:rsidR="00AF576F">
        <w:t xml:space="preserve"> prescription stimulants assisted them during finals</w:t>
      </w:r>
      <w:r>
        <w:t>,</w:t>
      </w:r>
      <w:r w:rsidR="00AF576F">
        <w:t xml:space="preserve"> </w:t>
      </w:r>
      <w:r w:rsidR="005943BB">
        <w:t xml:space="preserve">particularly </w:t>
      </w:r>
      <w:r w:rsidR="005943BB">
        <w:lastRenderedPageBreak/>
        <w:t>with</w:t>
      </w:r>
      <w:r w:rsidR="00AF576F">
        <w:t xml:space="preserve"> balancing m</w:t>
      </w:r>
      <w:r w:rsidR="0080152E">
        <w:t xml:space="preserve">ultiple finals </w:t>
      </w:r>
      <w:r w:rsidR="00AF576F">
        <w:t>in a day.</w:t>
      </w:r>
      <w:r w:rsidR="005943BB" w:rsidRPr="005943BB">
        <w:t xml:space="preserve"> </w:t>
      </w:r>
      <w:r w:rsidR="005943BB">
        <w:t>Recreational motivations were minimal</w:t>
      </w:r>
      <w:r>
        <w:t>,</w:t>
      </w:r>
      <w:r w:rsidR="005943BB">
        <w:t xml:space="preserve"> with only 7% indicating “getting high” as a reason for illicit use</w:t>
      </w:r>
      <w:r w:rsidR="002311AD">
        <w:t xml:space="preserve"> </w:t>
      </w:r>
      <w:r w:rsidR="00550107">
        <w:fldChar w:fldCharType="begin"/>
      </w:r>
      <w:r w:rsidR="00E96A70">
        <w:instrText xml:space="preserve"> ADDIN EN.CITE &lt;EndNote&gt;&lt;Cite&gt;&lt;Author&gt;DeSantis&lt;/Author&gt;&lt;Year&gt;2008&lt;/Year&gt;&lt;RecNum&gt;382&lt;/RecNum&gt;&lt;DisplayText&gt;(DeSantis et al., 2008)&lt;/DisplayText&gt;&lt;record&gt;&lt;rec-number&gt;382&lt;/rec-number&gt;&lt;foreign-keys&gt;&lt;key app="EN" db-id="02dwfapew02tdked2f4p0xerwdapvw5vztpp"&gt;382&lt;/key&gt;&lt;key app="ENWeb" db-id="R1rfKArtmCQAAH0-ETQ"&gt;873&lt;/key&gt;&lt;/foreign-keys&gt;&lt;ref-type name="Journal Article"&gt;17&lt;/ref-type&gt;&lt;contributors&gt;&lt;authors&gt;&lt;author&gt;DeSantis, A&lt;/author&gt;&lt;author&gt;Webb, E&lt;/author&gt;&lt;author&gt;Noar, S&lt;/author&gt;&lt;/authors&gt;&lt;/contributors&gt;&lt;titles&gt;&lt;title&gt;Illicit use of prescription ADHD medications on a college campus: A multimethodological approach&lt;/title&gt;&lt;secondary-title&gt;Journal of American College Health&lt;/secondary-title&gt;&lt;/titles&gt;&lt;periodical&gt;&lt;full-title&gt;Journal of American College Health&lt;/full-title&gt;&lt;/periodical&gt;&lt;pages&gt;315-323&lt;/pages&gt;&lt;volume&gt;57&lt;/volume&gt;&lt;number&gt;3&lt;/number&gt;&lt;dates&gt;&lt;year&gt;2008&lt;/year&gt;&lt;/dates&gt;&lt;urls&gt;&lt;/urls&gt;&lt;electronic-resource-num&gt;10.3200/JACH.57.3.315-324&lt;/electronic-resource-num&gt;&lt;/record&gt;&lt;/Cite&gt;&lt;/EndNote&gt;</w:instrText>
      </w:r>
      <w:r w:rsidR="00550107">
        <w:fldChar w:fldCharType="separate"/>
      </w:r>
      <w:r w:rsidR="00E96A70">
        <w:rPr>
          <w:noProof/>
        </w:rPr>
        <w:t>(</w:t>
      </w:r>
      <w:hyperlink w:anchor="_ENREF_14" w:tooltip="DeSantis, 2008 #382" w:history="1">
        <w:r w:rsidR="00D213F7">
          <w:rPr>
            <w:noProof/>
          </w:rPr>
          <w:t>DeSantis et al., 2008</w:t>
        </w:r>
      </w:hyperlink>
      <w:r w:rsidR="00E96A70">
        <w:rPr>
          <w:noProof/>
        </w:rPr>
        <w:t>)</w:t>
      </w:r>
      <w:r w:rsidR="00550107">
        <w:fldChar w:fldCharType="end"/>
      </w:r>
      <w:r w:rsidR="005943BB">
        <w:t>.</w:t>
      </w:r>
    </w:p>
    <w:p w:rsidR="00AF576F" w:rsidRDefault="00AF576F" w:rsidP="0065742B">
      <w:r>
        <w:t xml:space="preserve">Like </w:t>
      </w:r>
      <w:r w:rsidR="00550107">
        <w:fldChar w:fldCharType="begin"/>
      </w:r>
      <w:r w:rsidR="00A35BE5">
        <w:instrText xml:space="preserve"> ADDIN EN.CITE &lt;EndNote&gt;&lt;Cite AuthorYear="1"&gt;&lt;Author&gt;McCabe&lt;/Author&gt;&lt;Year&gt;2005&lt;/Year&gt;&lt;RecNum&gt;413&lt;/RecNum&gt;&lt;DisplayText&gt;McCabe and Boyd (2005)&lt;/DisplayText&gt;&lt;record&gt;&lt;rec-number&gt;413&lt;/rec-number&gt;&lt;foreign-keys&gt;&lt;key app="EN" db-id="02dwfapew02tdked2f4p0xerwdapvw5vztpp"&gt;413&lt;/key&gt;&lt;/foreign-keys&gt;&lt;ref-type name="Journal Article"&gt;17&lt;/ref-type&gt;&lt;contributors&gt;&lt;authors&gt;&lt;author&gt;McCabe, S&lt;/author&gt;&lt;author&gt;Boyd, C&lt;/author&gt;&lt;/authors&gt;&lt;/contributors&gt;&lt;titles&gt;&lt;title&gt;Sources of prescription drugs for illicit use&lt;/title&gt;&lt;secondary-title&gt;Addictive Behaviors&lt;/secondary-title&gt;&lt;/titles&gt;&lt;periodical&gt;&lt;full-title&gt;Addictive Behaviors&lt;/full-title&gt;&lt;/periodical&gt;&lt;pages&gt;1342-1350&lt;/pages&gt;&lt;volume&gt;30&lt;/volume&gt;&lt;number&gt;7&lt;/number&gt;&lt;keywords&gt;&lt;keyword&gt;Drug abuse&lt;/keyword&gt;&lt;keyword&gt;Prescription drugs&lt;/keyword&gt;&lt;keyword&gt;Diversion&lt;/keyword&gt;&lt;keyword&gt;Illicit use&lt;/keyword&gt;&lt;keyword&gt;College students&lt;/keyword&gt;&lt;/keywords&gt;&lt;dates&gt;&lt;year&gt;2005&lt;/year&gt;&lt;/dates&gt;&lt;isbn&gt;0306-4603&lt;/isbn&gt;&lt;urls&gt;&lt;related-urls&gt;&lt;url&gt;http://www.sciencedirect.com/science/article/pii/S0306460305000134&lt;/url&gt;&lt;/related-urls&gt;&lt;/urls&gt;&lt;electronic-resource-num&gt;10.1016/j.addbeh.2005.01.012&lt;/electronic-resource-num&gt;&lt;/record&gt;&lt;/Cite&gt;&lt;/EndNote&gt;</w:instrText>
      </w:r>
      <w:r w:rsidR="00550107">
        <w:fldChar w:fldCharType="separate"/>
      </w:r>
      <w:hyperlink w:anchor="_ENREF_30" w:tooltip="McCabe, 2005 #413" w:history="1">
        <w:r w:rsidR="00D213F7">
          <w:rPr>
            <w:noProof/>
          </w:rPr>
          <w:t>McCabe and Boyd (2005</w:t>
        </w:r>
      </w:hyperlink>
      <w:r w:rsidR="00A35BE5">
        <w:rPr>
          <w:noProof/>
        </w:rPr>
        <w:t>)</w:t>
      </w:r>
      <w:r w:rsidR="00550107">
        <w:fldChar w:fldCharType="end"/>
      </w:r>
      <w:r>
        <w:t xml:space="preserve">, </w:t>
      </w:r>
      <w:r w:rsidR="00550107">
        <w:fldChar w:fldCharType="begin"/>
      </w:r>
      <w:r w:rsidR="00A35BE5">
        <w:instrText xml:space="preserve"> ADDIN EN.CITE &lt;EndNote&gt;&lt;Cite AuthorYear="1"&gt;&lt;Author&gt;DeSantis&lt;/Author&gt;&lt;Year&gt;2008&lt;/Year&gt;&lt;RecNum&gt;382&lt;/RecNum&gt;&lt;DisplayText&gt;DeSantis et al. (2008)&lt;/DisplayText&gt;&lt;record&gt;&lt;rec-number&gt;382&lt;/rec-number&gt;&lt;foreign-keys&gt;&lt;key app="EN" db-id="02dwfapew02tdked2f4p0xerwdapvw5vztpp"&gt;382&lt;/key&gt;&lt;key app="ENWeb" db-id="R1rfKArtmCQAAH0-ETQ"&gt;873&lt;/key&gt;&lt;/foreign-keys&gt;&lt;ref-type name="Journal Article"&gt;17&lt;/ref-type&gt;&lt;contributors&gt;&lt;authors&gt;&lt;author&gt;DeSantis, A&lt;/author&gt;&lt;author&gt;Webb, E&lt;/author&gt;&lt;author&gt;Noar, S&lt;/author&gt;&lt;/authors&gt;&lt;/contributors&gt;&lt;titles&gt;&lt;title&gt;Illicit use of prescription ADHD medications on a college campus: A multimethodological approach&lt;/title&gt;&lt;secondary-title&gt;Journal of American College Health&lt;/secondary-title&gt;&lt;/titles&gt;&lt;periodical&gt;&lt;full-title&gt;Journal of American College Health&lt;/full-title&gt;&lt;/periodical&gt;&lt;pages&gt;315-323&lt;/pages&gt;&lt;volume&gt;57&lt;/volume&gt;&lt;number&gt;3&lt;/number&gt;&lt;dates&gt;&lt;year&gt;2008&lt;/year&gt;&lt;/dates&gt;&lt;urls&gt;&lt;/urls&gt;&lt;electronic-resource-num&gt;10.3200/JACH.57.3.315-324&lt;/electronic-resource-num&gt;&lt;/record&gt;&lt;/Cite&gt;&lt;/EndNote&gt;</w:instrText>
      </w:r>
      <w:r w:rsidR="00550107">
        <w:fldChar w:fldCharType="separate"/>
      </w:r>
      <w:hyperlink w:anchor="_ENREF_14" w:tooltip="DeSantis, 2008 #382" w:history="1">
        <w:r w:rsidR="00D213F7">
          <w:rPr>
            <w:noProof/>
          </w:rPr>
          <w:t>DeSantis et al. (2008</w:t>
        </w:r>
      </w:hyperlink>
      <w:r w:rsidR="00A35BE5">
        <w:rPr>
          <w:noProof/>
        </w:rPr>
        <w:t>)</w:t>
      </w:r>
      <w:r w:rsidR="00550107">
        <w:fldChar w:fldCharType="end"/>
      </w:r>
      <w:r>
        <w:t xml:space="preserve"> found that 82% of students felt stimulants were </w:t>
      </w:r>
      <w:r w:rsidR="0080152E">
        <w:t>“</w:t>
      </w:r>
      <w:r>
        <w:t>very easy</w:t>
      </w:r>
      <w:r w:rsidR="0080152E">
        <w:t>”</w:t>
      </w:r>
      <w:r>
        <w:t xml:space="preserve"> to </w:t>
      </w:r>
      <w:r w:rsidR="0080152E">
        <w:t>“</w:t>
      </w:r>
      <w:r>
        <w:t>somewhat easy</w:t>
      </w:r>
      <w:r w:rsidR="0080152E">
        <w:t>”</w:t>
      </w:r>
      <w:r>
        <w:t xml:space="preserve"> to obtain. Additionally, 89% of the illicit users indicated they received the prescription stimulants from friends. </w:t>
      </w:r>
      <w:r w:rsidR="00FD05AA">
        <w:t xml:space="preserve">Therefore, </w:t>
      </w:r>
      <w:r w:rsidR="00077C3D">
        <w:t xml:space="preserve">they suggest </w:t>
      </w:r>
      <w:r w:rsidR="00FD05AA">
        <w:t>the increased access to these drugs, reasons for use, and pre-existing knowledge of thes</w:t>
      </w:r>
      <w:r w:rsidR="00ED4427">
        <w:t>e drugs may be</w:t>
      </w:r>
      <w:r w:rsidR="00FD05AA">
        <w:t xml:space="preserve"> contributing to the illicit use of stimulants by undergraduate students. </w:t>
      </w:r>
      <w:r w:rsidR="00550107">
        <w:fldChar w:fldCharType="begin"/>
      </w:r>
      <w:r w:rsidR="00077C3D">
        <w:instrText xml:space="preserve"> ADDIN EN.CITE &lt;EndNote&gt;&lt;Cite AuthorYear="1"&gt;&lt;Author&gt;Teter&lt;/Author&gt;&lt;Year&gt;2006&lt;/Year&gt;&lt;RecNum&gt;337&lt;/RecNum&gt;&lt;DisplayText&gt;Teter, McCabe, LaGrange, Cranford, and Boyd (2006)&lt;/DisplayText&gt;&lt;record&gt;&lt;rec-number&gt;337&lt;/rec-number&gt;&lt;foreign-keys&gt;&lt;key app="EN" db-id="02dwfapew02tdked2f4p0xerwdapvw5vztpp"&gt;337&lt;/key&gt;&lt;key app="ENWeb" db-id="R1rfKArtmCQAAH0-ETQ"&gt;868&lt;/key&gt;&lt;/foreign-keys&gt;&lt;ref-type name="Journal Article"&gt;17&lt;/ref-type&gt;&lt;contributors&gt;&lt;authors&gt;&lt;author&gt;Teter, C&lt;/author&gt;&lt;author&gt;McCabe, S&lt;/author&gt;&lt;author&gt;LaGrange, K&lt;/author&gt;&lt;author&gt;Cranford, J&lt;/author&gt;&lt;author&gt;Boyd, C&lt;/author&gt;&lt;/authors&gt;&lt;/contributors&gt;&lt;titles&gt;&lt;title&gt;Illicit use of specific prescription stimulants among college students: Prevalence, motives, and routes of administration&lt;/title&gt;&lt;secondary-title&gt;Pharmacotherapy&lt;/secondary-title&gt;&lt;/titles&gt;&lt;periodical&gt;&lt;full-title&gt;Pharmacotherapy&lt;/full-title&gt;&lt;/periodical&gt;&lt;pages&gt;1501 - 1510&lt;/pages&gt;&lt;volume&gt;26&lt;/volume&gt;&lt;number&gt;10&lt;/number&gt;&lt;dates&gt;&lt;year&gt;2006&lt;/year&gt;&lt;/dates&gt;&lt;urls&gt;&lt;/urls&gt;&lt;electronic-resource-num&gt;10.1592/phco.26.10.1501&lt;/electronic-resource-num&gt;&lt;/record&gt;&lt;/Cite&gt;&lt;/EndNote&gt;</w:instrText>
      </w:r>
      <w:r w:rsidR="00550107">
        <w:fldChar w:fldCharType="separate"/>
      </w:r>
      <w:hyperlink w:anchor="_ENREF_58" w:tooltip="Teter, 2006 #337" w:history="1">
        <w:r w:rsidR="00D213F7">
          <w:rPr>
            <w:noProof/>
          </w:rPr>
          <w:t>Teter, McCabe, LaGrange, Cranford, and Boyd (2006</w:t>
        </w:r>
      </w:hyperlink>
      <w:proofErr w:type="gramStart"/>
      <w:r w:rsidR="00077C3D">
        <w:rPr>
          <w:noProof/>
        </w:rPr>
        <w:t>)</w:t>
      </w:r>
      <w:r w:rsidR="00550107">
        <w:fldChar w:fldCharType="end"/>
      </w:r>
      <w:r w:rsidR="00615BA0">
        <w:t xml:space="preserve"> </w:t>
      </w:r>
      <w:r>
        <w:t xml:space="preserve">found results </w:t>
      </w:r>
      <w:r w:rsidR="00B340A9">
        <w:t xml:space="preserve">similar to De </w:t>
      </w:r>
      <w:proofErr w:type="spellStart"/>
      <w:r w:rsidR="00B340A9">
        <w:t>Santis</w:t>
      </w:r>
      <w:proofErr w:type="spellEnd"/>
      <w:r w:rsidR="00B340A9">
        <w:t xml:space="preserve"> et al. </w:t>
      </w:r>
      <w:r w:rsidR="00615BA0">
        <w:t>regarding motives for nonmedical use of prescription stimulants</w:t>
      </w:r>
      <w:r w:rsidR="00FD05AA">
        <w:t xml:space="preserve"> that support this theory</w:t>
      </w:r>
      <w:r w:rsidR="00615BA0">
        <w:t>.</w:t>
      </w:r>
      <w:proofErr w:type="gramEnd"/>
      <w:r w:rsidR="00615BA0">
        <w:t xml:space="preserve"> </w:t>
      </w:r>
    </w:p>
    <w:p w:rsidR="004E7091" w:rsidRDefault="00550107" w:rsidP="003F6BB5">
      <w:r>
        <w:fldChar w:fldCharType="begin"/>
      </w:r>
      <w:r w:rsidR="00A35BE5">
        <w:instrText xml:space="preserve"> ADDIN EN.CITE &lt;EndNote&gt;&lt;Cite AuthorYear="1"&gt;&lt;Author&gt;Teter&lt;/Author&gt;&lt;Year&gt;2006&lt;/Year&gt;&lt;RecNum&gt;337&lt;/RecNum&gt;&lt;DisplayText&gt;Teter et al. (2006)&lt;/DisplayText&gt;&lt;record&gt;&lt;rec-number&gt;337&lt;/rec-number&gt;&lt;foreign-keys&gt;&lt;key app="EN" db-id="02dwfapew02tdked2f4p0xerwdapvw5vztpp"&gt;337&lt;/key&gt;&lt;key app="ENWeb" db-id="R1rfKArtmCQAAH0-ETQ"&gt;868&lt;/key&gt;&lt;/foreign-keys&gt;&lt;ref-type name="Journal Article"&gt;17&lt;/ref-type&gt;&lt;contributors&gt;&lt;authors&gt;&lt;author&gt;Teter, C&lt;/author&gt;&lt;author&gt;McCabe, S&lt;/author&gt;&lt;author&gt;LaGrange, K&lt;/author&gt;&lt;author&gt;Cranford, J&lt;/author&gt;&lt;author&gt;Boyd, C&lt;/author&gt;&lt;/authors&gt;&lt;/contributors&gt;&lt;titles&gt;&lt;title&gt;Illicit use of specific prescription stimulants among college students: Prevalence, motives, and routes of administration&lt;/title&gt;&lt;secondary-title&gt;Pharmacotherapy&lt;/secondary-title&gt;&lt;/titles&gt;&lt;periodical&gt;&lt;full-title&gt;Pharmacotherapy&lt;/full-title&gt;&lt;/periodical&gt;&lt;pages&gt;1501 - 1510&lt;/pages&gt;&lt;volume&gt;26&lt;/volume&gt;&lt;number&gt;10&lt;/number&gt;&lt;dates&gt;&lt;year&gt;2006&lt;/year&gt;&lt;/dates&gt;&lt;urls&gt;&lt;/urls&gt;&lt;electronic-resource-num&gt;10.1592/phco.26.10.1501&lt;/electronic-resource-num&gt;&lt;/record&gt;&lt;/Cite&gt;&lt;/EndNote&gt;</w:instrText>
      </w:r>
      <w:r>
        <w:fldChar w:fldCharType="separate"/>
      </w:r>
      <w:hyperlink w:anchor="_ENREF_58" w:tooltip="Teter, 2006 #337" w:history="1">
        <w:r w:rsidR="00D213F7">
          <w:rPr>
            <w:noProof/>
          </w:rPr>
          <w:t>Teter et al. (2006</w:t>
        </w:r>
      </w:hyperlink>
      <w:r w:rsidR="00A35BE5">
        <w:rPr>
          <w:noProof/>
        </w:rPr>
        <w:t>)</w:t>
      </w:r>
      <w:r>
        <w:fldChar w:fldCharType="end"/>
      </w:r>
      <w:r w:rsidR="00615BA0">
        <w:t xml:space="preserve"> </w:t>
      </w:r>
      <w:r w:rsidR="004E7091">
        <w:t xml:space="preserve">used a multiple logistic regression </w:t>
      </w:r>
      <w:r w:rsidR="00B714A6">
        <w:t xml:space="preserve">to </w:t>
      </w:r>
      <w:r w:rsidR="004E7091">
        <w:t>examin</w:t>
      </w:r>
      <w:r w:rsidR="00B714A6">
        <w:t>e</w:t>
      </w:r>
      <w:r w:rsidR="004E7091">
        <w:t xml:space="preserve"> the differences between students who illicitly used prescription </w:t>
      </w:r>
      <w:r w:rsidR="00B714A6">
        <w:t xml:space="preserve">drugs </w:t>
      </w:r>
      <w:r w:rsidR="004E7091">
        <w:t xml:space="preserve">and those who did not. </w:t>
      </w:r>
      <w:r w:rsidR="005F05F4">
        <w:t>They obtained a random sample of 4,580 students from a Midwestern institution and administered a web-based survey</w:t>
      </w:r>
      <w:r w:rsidR="004C5439">
        <w:t>. The survey</w:t>
      </w:r>
      <w:r w:rsidR="005F05F4">
        <w:t xml:space="preserve"> contained items regarding types of use, motivations for use, and basic demographics. They also provided students with an extensive list of prescription stimulants for determining which prescription was more popular among students. </w:t>
      </w:r>
      <w:r w:rsidR="004E7091">
        <w:t xml:space="preserve">Chi-square analyses were </w:t>
      </w:r>
      <w:r w:rsidR="00FF53C1">
        <w:t>calculated</w:t>
      </w:r>
      <w:r w:rsidR="004E7091">
        <w:t xml:space="preserve"> for comparing demographics such as </w:t>
      </w:r>
      <w:r w:rsidR="0080152E">
        <w:t>sex, age, and age of initiation</w:t>
      </w:r>
      <w:r w:rsidR="004E7091">
        <w:t>. The analyses revealed the lifetime use of prescription stimulants for students in this sample consisted of 8.3%</w:t>
      </w:r>
      <w:r w:rsidR="00B340A9">
        <w:t>,</w:t>
      </w:r>
      <w:r w:rsidR="004E7091">
        <w:t xml:space="preserve"> and </w:t>
      </w:r>
      <w:r w:rsidR="00B340A9">
        <w:t xml:space="preserve">a </w:t>
      </w:r>
      <w:r w:rsidR="004E7091">
        <w:t xml:space="preserve">past-year use </w:t>
      </w:r>
      <w:r w:rsidR="00B340A9">
        <w:t xml:space="preserve">of </w:t>
      </w:r>
      <w:r w:rsidR="004E7091">
        <w:t>5.9%</w:t>
      </w:r>
      <w:r w:rsidR="00ED13B0">
        <w:t>. Additionally</w:t>
      </w:r>
      <w:r w:rsidR="00B714A6">
        <w:t>, s</w:t>
      </w:r>
      <w:r w:rsidR="004E7091">
        <w:t>tudents preferred Adderall® (75.8%) to Ritalin® (24.5%). Students who illicitly used prescription drugs were three times more likely to be white and Hispanic compared to African American. The main reasons for illicitly usin</w:t>
      </w:r>
      <w:r w:rsidR="00594FE9">
        <w:t>g prescription stimulants were f</w:t>
      </w:r>
      <w:r w:rsidR="004E7091">
        <w:t>o</w:t>
      </w:r>
      <w:r w:rsidR="00594FE9">
        <w:t>r</w:t>
      </w:r>
      <w:r w:rsidR="004E7091">
        <w:t xml:space="preserve"> help</w:t>
      </w:r>
      <w:r w:rsidR="00594FE9">
        <w:t>ing</w:t>
      </w:r>
      <w:r w:rsidR="004E7091">
        <w:t xml:space="preserve"> with concentration (65.2%), study</w:t>
      </w:r>
      <w:r w:rsidR="00594FE9">
        <w:t>ing more effectively</w:t>
      </w:r>
      <w:r w:rsidR="004E7091">
        <w:t xml:space="preserve"> (59.8%), and </w:t>
      </w:r>
      <w:r w:rsidR="004E7091">
        <w:lastRenderedPageBreak/>
        <w:t>increas</w:t>
      </w:r>
      <w:r w:rsidR="00594FE9">
        <w:t>ing</w:t>
      </w:r>
      <w:r w:rsidR="004E7091">
        <w:t xml:space="preserve"> alertness (47.5%). Other secondary motives included getting high (31%) and experimentation</w:t>
      </w:r>
      <w:r w:rsidR="00B714A6">
        <w:t xml:space="preserve"> (29.9%)</w:t>
      </w:r>
      <w:r w:rsidR="004E7091">
        <w:t xml:space="preserve"> </w:t>
      </w:r>
      <w:r>
        <w:fldChar w:fldCharType="begin"/>
      </w:r>
      <w:r w:rsidR="00E96A70">
        <w:instrText xml:space="preserve"> ADDIN EN.CITE &lt;EndNote&gt;&lt;Cite&gt;&lt;Author&gt;Teter&lt;/Author&gt;&lt;Year&gt;2006&lt;/Year&gt;&lt;RecNum&gt;337&lt;/RecNum&gt;&lt;DisplayText&gt;(Teter et al., 2006)&lt;/DisplayText&gt;&lt;record&gt;&lt;rec-number&gt;337&lt;/rec-number&gt;&lt;foreign-keys&gt;&lt;key app="EN" db-id="02dwfapew02tdked2f4p0xerwdapvw5vztpp"&gt;337&lt;/key&gt;&lt;key app="ENWeb" db-id="R1rfKArtmCQAAH0-ETQ"&gt;868&lt;/key&gt;&lt;/foreign-keys&gt;&lt;ref-type name="Journal Article"&gt;17&lt;/ref-type&gt;&lt;contributors&gt;&lt;authors&gt;&lt;author&gt;Teter, C&lt;/author&gt;&lt;author&gt;McCabe, S&lt;/author&gt;&lt;author&gt;LaGrange, K&lt;/author&gt;&lt;author&gt;Cranford, J&lt;/author&gt;&lt;author&gt;Boyd, C&lt;/author&gt;&lt;/authors&gt;&lt;/contributors&gt;&lt;titles&gt;&lt;title&gt;Illicit use of specific prescription stimulants among college students: Prevalence, motives, and routes of administration&lt;/title&gt;&lt;secondary-title&gt;Pharmacotherapy&lt;/secondary-title&gt;&lt;/titles&gt;&lt;periodical&gt;&lt;full-title&gt;Pharmacotherapy&lt;/full-title&gt;&lt;/periodical&gt;&lt;pages&gt;1501 - 1510&lt;/pages&gt;&lt;volume&gt;26&lt;/volume&gt;&lt;number&gt;10&lt;/number&gt;&lt;dates&gt;&lt;year&gt;2006&lt;/year&gt;&lt;/dates&gt;&lt;urls&gt;&lt;/urls&gt;&lt;electronic-resource-num&gt;10.1592/phco.26.10.1501&lt;/electronic-resource-num&gt;&lt;/record&gt;&lt;/Cite&gt;&lt;/EndNote&gt;</w:instrText>
      </w:r>
      <w:r>
        <w:fldChar w:fldCharType="separate"/>
      </w:r>
      <w:r w:rsidR="00E96A70">
        <w:rPr>
          <w:noProof/>
        </w:rPr>
        <w:t>(</w:t>
      </w:r>
      <w:hyperlink w:anchor="_ENREF_58" w:tooltip="Teter, 2006 #337" w:history="1">
        <w:r w:rsidR="00D213F7">
          <w:rPr>
            <w:noProof/>
          </w:rPr>
          <w:t>Teter et al., 2006</w:t>
        </w:r>
      </w:hyperlink>
      <w:r w:rsidR="00E96A70">
        <w:rPr>
          <w:noProof/>
        </w:rPr>
        <w:t>)</w:t>
      </w:r>
      <w:r>
        <w:fldChar w:fldCharType="end"/>
      </w:r>
      <w:r w:rsidR="0080152E">
        <w:t>.</w:t>
      </w:r>
      <w:r w:rsidR="004E7091">
        <w:t xml:space="preserve"> </w:t>
      </w:r>
    </w:p>
    <w:p w:rsidR="00AC4D85" w:rsidRDefault="00550107" w:rsidP="003F6BB5">
      <w:r>
        <w:fldChar w:fldCharType="begin"/>
      </w:r>
      <w:r w:rsidR="004A3D45">
        <w:instrText xml:space="preserve"> ADDIN EN.CITE &lt;EndNote&gt;&lt;Cite AuthorYear="1"&gt;&lt;Author&gt;McCabe&lt;/Author&gt;&lt;Year&gt;2009&lt;/Year&gt;&lt;RecNum&gt;416&lt;/RecNum&gt;&lt;DisplayText&gt;McCabe, Boyd, and Teter (2009)&lt;/DisplayText&gt;&lt;record&gt;&lt;rec-number&gt;416&lt;/rec-number&gt;&lt;foreign-keys&gt;&lt;key app="EN" db-id="02dwfapew02tdked2f4p0xerwdapvw5vztpp"&gt;416&lt;/key&gt;&lt;/foreign-keys&gt;&lt;ref-type name="Journal Article"&gt;17&lt;/ref-type&gt;&lt;contributors&gt;&lt;authors&gt;&lt;author&gt;McCabe, S&lt;/author&gt;&lt;author&gt;Boyd, Carol J.&lt;/author&gt;&lt;author&gt;Teter, Christian J.&lt;/author&gt;&lt;/authors&gt;&lt;/contributors&gt;&lt;titles&gt;&lt;title&gt;Subtypes of nonmedical prescription drug misuse&lt;/title&gt;&lt;secondary-title&gt;Drug and Alcohol Dependence&lt;/secondary-title&gt;&lt;/titles&gt;&lt;periodical&gt;&lt;full-title&gt;Drug and Alcohol Dependence&lt;/full-title&gt;&lt;/periodical&gt;&lt;pages&gt;63-70&lt;/pages&gt;&lt;volume&gt;102&lt;/volume&gt;&lt;number&gt;1-3&lt;/number&gt;&lt;keywords&gt;&lt;keyword&gt;Prescription drug misuse&lt;/keyword&gt;&lt;keyword&gt;Motive&lt;/keyword&gt;&lt;keyword&gt;Route of administration&lt;/keyword&gt;&lt;keyword&gt;Co-ingestion&lt;/keyword&gt;&lt;keyword&gt;Drug abuse&lt;/keyword&gt;&lt;keyword&gt;Nonmedical use&lt;/keyword&gt;&lt;keyword&gt;Self-treatment&lt;/keyword&gt;&lt;/keywords&gt;&lt;dates&gt;&lt;year&gt;2009&lt;/year&gt;&lt;/dates&gt;&lt;isbn&gt;0376-8716&lt;/isbn&gt;&lt;urls&gt;&lt;related-urls&gt;&lt;url&gt;http://www.sciencedirect.com/science/article/pii/S0376871609000301&lt;/url&gt;&lt;/related-urls&gt;&lt;/urls&gt;&lt;electronic-resource-num&gt;10.1016/j.drugalcdep.2009.01.007&lt;/electronic-resource-num&gt;&lt;/record&gt;&lt;/Cite&gt;&lt;/EndNote&gt;</w:instrText>
      </w:r>
      <w:r>
        <w:fldChar w:fldCharType="separate"/>
      </w:r>
      <w:hyperlink w:anchor="_ENREF_33" w:tooltip="McCabe, 2009 #416" w:history="1">
        <w:r w:rsidR="00D213F7">
          <w:rPr>
            <w:noProof/>
          </w:rPr>
          <w:t>McCabe, Boyd, and Teter (2009</w:t>
        </w:r>
      </w:hyperlink>
      <w:r w:rsidR="004A3D45">
        <w:rPr>
          <w:noProof/>
        </w:rPr>
        <w:t>)</w:t>
      </w:r>
      <w:r>
        <w:fldChar w:fldCharType="end"/>
      </w:r>
      <w:r w:rsidR="0032665C">
        <w:t xml:space="preserve"> specifically examined the link between the motivations for using prescription drugs and other substance abuse. They categorized the motivations for substance abuse into three categories: self-treatment, recreational, and mixed. </w:t>
      </w:r>
      <w:r w:rsidR="00B714A6">
        <w:t xml:space="preserve">They </w:t>
      </w:r>
      <w:r w:rsidR="0032665C">
        <w:t>administered an online survey to a large university in the Midwestern region of the United States. The random sample consisted of 3,639 students.</w:t>
      </w:r>
      <w:r w:rsidR="00B714A6">
        <w:t xml:space="preserve"> The analysis of the survey consisted of prevalence rates, bivariate associations, chi-square analyses, and one-way ANOVA to assess the associations between subtypes and frequency of nonmedical use of prescription drugs.</w:t>
      </w:r>
    </w:p>
    <w:p w:rsidR="0032665C" w:rsidRDefault="00A92979" w:rsidP="003F6BB5">
      <w:r>
        <w:t>Among their sample, approximately 2.2% of students indicated using prescription stimulants for self-treatment, 1.6% indicated only using stimulants for recreational purposes, and 4.5% had mixed motivations for using stimulants. Men and women were equally likely to use prescription stimulants for self-medication, whereas men were more likely to use prescription stimulants for recreational purposes. Students who used prescription stimulants for recreation compared to those who self-medicated were 3.2 times more likely to use marijuana and other illicit drugs. Students that had mixed motivations</w:t>
      </w:r>
      <w:r w:rsidR="00ED13B0">
        <w:t>,</w:t>
      </w:r>
      <w:r>
        <w:t xml:space="preserve"> compa</w:t>
      </w:r>
      <w:r w:rsidR="00594FE9">
        <w:t xml:space="preserve">red to students who used </w:t>
      </w:r>
      <w:r w:rsidR="003F3F3A">
        <w:t xml:space="preserve">only </w:t>
      </w:r>
      <w:r w:rsidR="00594FE9">
        <w:t>for</w:t>
      </w:r>
      <w:r>
        <w:t xml:space="preserve"> self-medicat</w:t>
      </w:r>
      <w:r w:rsidR="00594FE9">
        <w:t>i</w:t>
      </w:r>
      <w:r w:rsidR="005943BB">
        <w:t>on</w:t>
      </w:r>
      <w:r>
        <w:t xml:space="preserve"> were 3.9 times more likely to use marijuana and </w:t>
      </w:r>
      <w:r w:rsidR="00FF53C1">
        <w:t>four</w:t>
      </w:r>
      <w:r>
        <w:t xml:space="preserve"> times more likely to have an alcohol disorder</w:t>
      </w:r>
      <w:r w:rsidR="00FE2614">
        <w:t xml:space="preserve"> </w:t>
      </w:r>
      <w:r w:rsidR="00550107">
        <w:fldChar w:fldCharType="begin"/>
      </w:r>
      <w:r w:rsidR="00E96A70">
        <w:instrText xml:space="preserve"> ADDIN EN.CITE &lt;EndNote&gt;&lt;Cite&gt;&lt;Author&gt;McCabe&lt;/Author&gt;&lt;Year&gt;2009&lt;/Year&gt;&lt;RecNum&gt;416&lt;/RecNum&gt;&lt;DisplayText&gt;(McCabe et al., 2009)&lt;/DisplayText&gt;&lt;record&gt;&lt;rec-number&gt;416&lt;/rec-number&gt;&lt;foreign-keys&gt;&lt;key app="EN" db-id="02dwfapew02tdked2f4p0xerwdapvw5vztpp"&gt;416&lt;/key&gt;&lt;/foreign-keys&gt;&lt;ref-type name="Journal Article"&gt;17&lt;/ref-type&gt;&lt;contributors&gt;&lt;authors&gt;&lt;author&gt;McCabe, S&lt;/author&gt;&lt;author&gt;Boyd, Carol J.&lt;/author&gt;&lt;author&gt;Teter, Christian J.&lt;/author&gt;&lt;/authors&gt;&lt;/contributors&gt;&lt;titles&gt;&lt;title&gt;Subtypes of nonmedical prescription drug misuse&lt;/title&gt;&lt;secondary-title&gt;Drug and Alcohol Dependence&lt;/secondary-title&gt;&lt;/titles&gt;&lt;periodical&gt;&lt;full-title&gt;Drug and Alcohol Dependence&lt;/full-title&gt;&lt;/periodical&gt;&lt;pages&gt;63-70&lt;/pages&gt;&lt;volume&gt;102&lt;/volume&gt;&lt;number&gt;1-3&lt;/number&gt;&lt;keywords&gt;&lt;keyword&gt;Prescription drug misuse&lt;/keyword&gt;&lt;keyword&gt;Motive&lt;/keyword&gt;&lt;keyword&gt;Route of administration&lt;/keyword&gt;&lt;keyword&gt;Co-ingestion&lt;/keyword&gt;&lt;keyword&gt;Drug abuse&lt;/keyword&gt;&lt;keyword&gt;Nonmedical use&lt;/keyword&gt;&lt;keyword&gt;Self-treatment&lt;/keyword&gt;&lt;/keywords&gt;&lt;dates&gt;&lt;year&gt;2009&lt;/year&gt;&lt;/dates&gt;&lt;isbn&gt;0376-8716&lt;/isbn&gt;&lt;urls&gt;&lt;related-urls&gt;&lt;url&gt;http://www.sciencedirect.com/science/article/pii/S0376871609000301&lt;/url&gt;&lt;/related-urls&gt;&lt;/urls&gt;&lt;electronic-resource-num&gt;10.1016/j.drugalcdep.2009.01.007&lt;/electronic-resource-num&gt;&lt;/record&gt;&lt;/Cite&gt;&lt;/EndNote&gt;</w:instrText>
      </w:r>
      <w:r w:rsidR="00550107">
        <w:fldChar w:fldCharType="separate"/>
      </w:r>
      <w:r w:rsidR="00E96A70">
        <w:rPr>
          <w:noProof/>
        </w:rPr>
        <w:t>(</w:t>
      </w:r>
      <w:hyperlink w:anchor="_ENREF_33" w:tooltip="McCabe, 2009 #416" w:history="1">
        <w:r w:rsidR="00D213F7">
          <w:rPr>
            <w:noProof/>
          </w:rPr>
          <w:t>McCabe et al., 2009</w:t>
        </w:r>
      </w:hyperlink>
      <w:r w:rsidR="00E96A70">
        <w:rPr>
          <w:noProof/>
        </w:rPr>
        <w:t>)</w:t>
      </w:r>
      <w:r w:rsidR="00550107">
        <w:fldChar w:fldCharType="end"/>
      </w:r>
      <w:r w:rsidR="00ED4427">
        <w:t>.</w:t>
      </w:r>
    </w:p>
    <w:p w:rsidR="00A92979" w:rsidRDefault="00550107" w:rsidP="003F6BB5">
      <w:r>
        <w:fldChar w:fldCharType="begin"/>
      </w:r>
      <w:r w:rsidR="00A35BE5">
        <w:instrText xml:space="preserve"> ADDIN EN.CITE &lt;EndNote&gt;&lt;Cite AuthorYear="1"&gt;&lt;Author&gt;Teter&lt;/Author&gt;&lt;Year&gt;2006&lt;/Year&gt;&lt;RecNum&gt;337&lt;/RecNum&gt;&lt;DisplayText&gt;Teter et al. (2006)&lt;/DisplayText&gt;&lt;record&gt;&lt;rec-number&gt;337&lt;/rec-number&gt;&lt;foreign-keys&gt;&lt;key app="EN" db-id="02dwfapew02tdked2f4p0xerwdapvw5vztpp"&gt;337&lt;/key&gt;&lt;key app="ENWeb" db-id="R1rfKArtmCQAAH0-ETQ"&gt;868&lt;/key&gt;&lt;/foreign-keys&gt;&lt;ref-type name="Journal Article"&gt;17&lt;/ref-type&gt;&lt;contributors&gt;&lt;authors&gt;&lt;author&gt;Teter, C&lt;/author&gt;&lt;author&gt;McCabe, S&lt;/author&gt;&lt;author&gt;LaGrange, K&lt;/author&gt;&lt;author&gt;Cranford, J&lt;/author&gt;&lt;author&gt;Boyd, C&lt;/author&gt;&lt;/authors&gt;&lt;/contributors&gt;&lt;titles&gt;&lt;title&gt;Illicit use of specific prescription stimulants among college students: Prevalence, motives, and routes of administration&lt;/title&gt;&lt;secondary-title&gt;Pharmacotherapy&lt;/secondary-title&gt;&lt;/titles&gt;&lt;periodical&gt;&lt;full-title&gt;Pharmacotherapy&lt;/full-title&gt;&lt;/periodical&gt;&lt;pages&gt;1501 - 1510&lt;/pages&gt;&lt;volume&gt;26&lt;/volume&gt;&lt;number&gt;10&lt;/number&gt;&lt;dates&gt;&lt;year&gt;2006&lt;/year&gt;&lt;/dates&gt;&lt;urls&gt;&lt;/urls&gt;&lt;electronic-resource-num&gt;10.1592/phco.26.10.1501&lt;/electronic-resource-num&gt;&lt;/record&gt;&lt;/Cite&gt;&lt;/EndNote&gt;</w:instrText>
      </w:r>
      <w:r>
        <w:fldChar w:fldCharType="separate"/>
      </w:r>
      <w:hyperlink w:anchor="_ENREF_58" w:tooltip="Teter, 2006 #337" w:history="1">
        <w:r w:rsidR="00D213F7">
          <w:rPr>
            <w:noProof/>
          </w:rPr>
          <w:t>Teter et al. (2006</w:t>
        </w:r>
      </w:hyperlink>
      <w:r w:rsidR="00A35BE5">
        <w:rPr>
          <w:noProof/>
        </w:rPr>
        <w:t>)</w:t>
      </w:r>
      <w:r>
        <w:fldChar w:fldCharType="end"/>
      </w:r>
      <w:r w:rsidR="0080152E">
        <w:t xml:space="preserve"> and </w:t>
      </w:r>
      <w:r>
        <w:fldChar w:fldCharType="begin"/>
      </w:r>
      <w:r w:rsidR="00A35BE5">
        <w:instrText xml:space="preserve"> ADDIN EN.CITE &lt;EndNote&gt;&lt;Cite AuthorYear="1"&gt;&lt;Author&gt;McCabe&lt;/Author&gt;&lt;Year&gt;2009&lt;/Year&gt;&lt;RecNum&gt;416&lt;/RecNum&gt;&lt;DisplayText&gt;McCabe et al. (2009)&lt;/DisplayText&gt;&lt;record&gt;&lt;rec-number&gt;416&lt;/rec-number&gt;&lt;foreign-keys&gt;&lt;key app="EN" db-id="02dwfapew02tdked2f4p0xerwdapvw5vztpp"&gt;416&lt;/key&gt;&lt;/foreign-keys&gt;&lt;ref-type name="Journal Article"&gt;17&lt;/ref-type&gt;&lt;contributors&gt;&lt;authors&gt;&lt;author&gt;McCabe, S&lt;/author&gt;&lt;author&gt;Boyd, Carol J.&lt;/author&gt;&lt;author&gt;Teter, Christian J.&lt;/author&gt;&lt;/authors&gt;&lt;/contributors&gt;&lt;titles&gt;&lt;title&gt;Subtypes of nonmedical prescription drug misuse&lt;/title&gt;&lt;secondary-title&gt;Drug and Alcohol Dependence&lt;/secondary-title&gt;&lt;/titles&gt;&lt;periodical&gt;&lt;full-title&gt;Drug and Alcohol Dependence&lt;/full-title&gt;&lt;/periodical&gt;&lt;pages&gt;63-70&lt;/pages&gt;&lt;volume&gt;102&lt;/volume&gt;&lt;number&gt;1-3&lt;/number&gt;&lt;keywords&gt;&lt;keyword&gt;Prescription drug misuse&lt;/keyword&gt;&lt;keyword&gt;Motive&lt;/keyword&gt;&lt;keyword&gt;Route of administration&lt;/keyword&gt;&lt;keyword&gt;Co-ingestion&lt;/keyword&gt;&lt;keyword&gt;Drug abuse&lt;/keyword&gt;&lt;keyword&gt;Nonmedical use&lt;/keyword&gt;&lt;keyword&gt;Self-treatment&lt;/keyword&gt;&lt;/keywords&gt;&lt;dates&gt;&lt;year&gt;2009&lt;/year&gt;&lt;/dates&gt;&lt;isbn&gt;0376-8716&lt;/isbn&gt;&lt;urls&gt;&lt;related-urls&gt;&lt;url&gt;http://www.sciencedirect.com/science/article/pii/S0376871609000301&lt;/url&gt;&lt;/related-urls&gt;&lt;/urls&gt;&lt;electronic-resource-num&gt;10.1016/j.drugalcdep.2009.01.007&lt;/electronic-resource-num&gt;&lt;/record&gt;&lt;/Cite&gt;&lt;/EndNote&gt;</w:instrText>
      </w:r>
      <w:r>
        <w:fldChar w:fldCharType="separate"/>
      </w:r>
      <w:hyperlink w:anchor="_ENREF_33" w:tooltip="McCabe, 2009 #416" w:history="1">
        <w:r w:rsidR="00D213F7">
          <w:rPr>
            <w:noProof/>
          </w:rPr>
          <w:t>McCabe et al. (2009</w:t>
        </w:r>
      </w:hyperlink>
      <w:r w:rsidR="00A35BE5">
        <w:rPr>
          <w:noProof/>
        </w:rPr>
        <w:t>)</w:t>
      </w:r>
      <w:r>
        <w:fldChar w:fldCharType="end"/>
      </w:r>
      <w:r w:rsidR="00A92979">
        <w:t xml:space="preserve"> contributed to the </w:t>
      </w:r>
      <w:r w:rsidR="005943BB">
        <w:t>knowledge base by identifying</w:t>
      </w:r>
      <w:r w:rsidR="00A92979">
        <w:t xml:space="preserve"> that students </w:t>
      </w:r>
      <w:r w:rsidR="003F3F3A">
        <w:t>were</w:t>
      </w:r>
      <w:r w:rsidR="00A92979">
        <w:t xml:space="preserve"> using prescription stimulants for self-medication, recreation, and mixed</w:t>
      </w:r>
      <w:r w:rsidR="0080152E">
        <w:t xml:space="preserve"> motivations</w:t>
      </w:r>
      <w:r w:rsidR="00A92979">
        <w:t>. Additionally, students who use</w:t>
      </w:r>
      <w:r w:rsidR="003F3F3A">
        <w:t>d</w:t>
      </w:r>
      <w:r w:rsidR="00A92979">
        <w:t xml:space="preserve"> prescription stimulants for these reasons </w:t>
      </w:r>
      <w:r w:rsidR="003F3F3A">
        <w:t>were</w:t>
      </w:r>
      <w:r w:rsidR="00A92979">
        <w:t xml:space="preserve"> also in danger of using other drugs. </w:t>
      </w:r>
      <w:r>
        <w:fldChar w:fldCharType="begin"/>
      </w:r>
      <w:r w:rsidR="00A35BE5">
        <w:instrText xml:space="preserve"> ADDIN EN.CITE &lt;EndNote&gt;&lt;Cite AuthorYear="1"&gt;&lt;Author&gt;Ford&lt;/Author&gt;&lt;Year&gt;2009&lt;/Year&gt;&lt;RecNum&gt;418&lt;/RecNum&gt;&lt;DisplayText&gt;Ford and Schroeder (2009)&lt;/DisplayText&gt;&lt;record&gt;&lt;rec-number&gt;418&lt;/rec-number&gt;&lt;foreign-keys&gt;&lt;key app="EN" db-id="02dwfapew02tdked2f4p0xerwdapvw5vztpp"&gt;418&lt;/key&gt;&lt;/foreign-keys&gt;&lt;ref-type name="Journal Article"&gt;17&lt;/ref-type&gt;&lt;contributors&gt;&lt;authors&gt;&lt;author&gt;Ford, J&lt;/author&gt;&lt;author&gt;Schroeder, R&lt;/author&gt;&lt;/authors&gt;&lt;/contributors&gt;&lt;titles&gt;&lt;title&gt;Academic Strain and Non-Medical Use of Prescription Stimulants among College Students&lt;/title&gt;&lt;secondary-title&gt;Deviant Behavior&lt;/secondary-title&gt;&lt;/titles&gt;&lt;periodical&gt;&lt;full-title&gt;Deviant Behavior&lt;/full-title&gt;&lt;/periodical&gt;&lt;pages&gt;26-53&lt;/pages&gt;&lt;volume&gt;30&lt;/volume&gt;&lt;dates&gt;&lt;year&gt;2009&lt;/year&gt;&lt;/dates&gt;&lt;urls&gt;&lt;related-urls&gt;&lt;url&gt;http://www.ingentaconnect.com/content/routledg/udbh/2009/00000030/00000001/art00002&lt;/url&gt;&lt;url&gt;http://dx.doi.org/10.1080/01639620802049900&lt;/url&gt;&lt;/related-urls&gt;&lt;/urls&gt;&lt;electronic-resource-num&gt;10.1080/01639620802049900&lt;/electronic-resource-num&gt;&lt;/record&gt;&lt;/Cite&gt;&lt;/EndNote&gt;</w:instrText>
      </w:r>
      <w:r>
        <w:fldChar w:fldCharType="separate"/>
      </w:r>
      <w:hyperlink w:anchor="_ENREF_16" w:tooltip="Ford, 2009 #418" w:history="1">
        <w:r w:rsidR="00D213F7">
          <w:rPr>
            <w:noProof/>
          </w:rPr>
          <w:t>Ford and Schroeder (2009</w:t>
        </w:r>
      </w:hyperlink>
      <w:r w:rsidR="00A35BE5">
        <w:rPr>
          <w:noProof/>
        </w:rPr>
        <w:t>)</w:t>
      </w:r>
      <w:r>
        <w:fldChar w:fldCharType="end"/>
      </w:r>
      <w:r w:rsidR="00A92979">
        <w:t xml:space="preserve"> expanded on this </w:t>
      </w:r>
      <w:r w:rsidR="00A92979">
        <w:lastRenderedPageBreak/>
        <w:t>information and evaluated academic strain and nonmedical use of prescription stimulants. They hoped to determine why students used prescription stimulants for academic purposes.</w:t>
      </w:r>
    </w:p>
    <w:p w:rsidR="00A92979" w:rsidRDefault="00550107" w:rsidP="003F6BB5">
      <w:r>
        <w:fldChar w:fldCharType="begin"/>
      </w:r>
      <w:r w:rsidR="00A35BE5">
        <w:instrText xml:space="preserve"> ADDIN EN.CITE &lt;EndNote&gt;&lt;Cite AuthorYear="1"&gt;&lt;Author&gt;Ford&lt;/Author&gt;&lt;Year&gt;2009&lt;/Year&gt;&lt;RecNum&gt;418&lt;/RecNum&gt;&lt;DisplayText&gt;Ford and Schroeder (2009)&lt;/DisplayText&gt;&lt;record&gt;&lt;rec-number&gt;418&lt;/rec-number&gt;&lt;foreign-keys&gt;&lt;key app="EN" db-id="02dwfapew02tdked2f4p0xerwdapvw5vztpp"&gt;418&lt;/key&gt;&lt;/foreign-keys&gt;&lt;ref-type name="Journal Article"&gt;17&lt;/ref-type&gt;&lt;contributors&gt;&lt;authors&gt;&lt;author&gt;Ford, J&lt;/author&gt;&lt;author&gt;Schroeder, R&lt;/author&gt;&lt;/authors&gt;&lt;/contributors&gt;&lt;titles&gt;&lt;title&gt;Academic Strain and Non-Medical Use of Prescription Stimulants among College Students&lt;/title&gt;&lt;secondary-title&gt;Deviant Behavior&lt;/secondary-title&gt;&lt;/titles&gt;&lt;periodical&gt;&lt;full-title&gt;Deviant Behavior&lt;/full-title&gt;&lt;/periodical&gt;&lt;pages&gt;26-53&lt;/pages&gt;&lt;volume&gt;30&lt;/volume&gt;&lt;dates&gt;&lt;year&gt;2009&lt;/year&gt;&lt;/dates&gt;&lt;urls&gt;&lt;related-urls&gt;&lt;url&gt;http://www.ingentaconnect.com/content/routledg/udbh/2009/00000030/00000001/art00002&lt;/url&gt;&lt;url&gt;http://dx.doi.org/10.1080/01639620802049900&lt;/url&gt;&lt;/related-urls&gt;&lt;/urls&gt;&lt;electronic-resource-num&gt;10.1080/01639620802049900&lt;/electronic-resource-num&gt;&lt;/record&gt;&lt;/Cite&gt;&lt;/EndNote&gt;</w:instrText>
      </w:r>
      <w:r>
        <w:fldChar w:fldCharType="separate"/>
      </w:r>
      <w:hyperlink w:anchor="_ENREF_16" w:tooltip="Ford, 2009 #418" w:history="1">
        <w:r w:rsidR="00D213F7">
          <w:rPr>
            <w:noProof/>
          </w:rPr>
          <w:t>Ford and Schroeder (2009</w:t>
        </w:r>
      </w:hyperlink>
      <w:r w:rsidR="00A35BE5">
        <w:rPr>
          <w:noProof/>
        </w:rPr>
        <w:t>)</w:t>
      </w:r>
      <w:r>
        <w:fldChar w:fldCharType="end"/>
      </w:r>
      <w:r w:rsidR="00594FE9">
        <w:t xml:space="preserve"> </w:t>
      </w:r>
      <w:r w:rsidR="00A92979">
        <w:t>evaluat</w:t>
      </w:r>
      <w:r w:rsidR="004A3D45">
        <w:t>ed</w:t>
      </w:r>
      <w:r w:rsidR="00A92979">
        <w:t xml:space="preserve"> the relationships between factors and academic strain. </w:t>
      </w:r>
      <w:r w:rsidR="00FE2614">
        <w:t xml:space="preserve">They </w:t>
      </w:r>
      <w:r w:rsidR="00A92979">
        <w:t xml:space="preserve">found that </w:t>
      </w:r>
      <w:r w:rsidR="0080152E">
        <w:t xml:space="preserve">illicit </w:t>
      </w:r>
      <w:r w:rsidR="00A92979">
        <w:t xml:space="preserve">use of prescription stimulants </w:t>
      </w:r>
      <w:r w:rsidR="00FE2614">
        <w:t xml:space="preserve">was indirectly associated with </w:t>
      </w:r>
      <w:r w:rsidR="00A92979">
        <w:t>academic purpose</w:t>
      </w:r>
      <w:r w:rsidR="0080152E">
        <w:t>s</w:t>
      </w:r>
      <w:r w:rsidR="00ED4427">
        <w:t>.</w:t>
      </w:r>
      <w:r w:rsidR="001024AB">
        <w:t xml:space="preserve"> They </w:t>
      </w:r>
      <w:r w:rsidR="00FE2614">
        <w:t>found that an</w:t>
      </w:r>
      <w:r w:rsidR="001024AB">
        <w:t xml:space="preserve"> increase in academic strain </w:t>
      </w:r>
      <w:r w:rsidR="00FE2614">
        <w:t>was</w:t>
      </w:r>
      <w:r w:rsidR="001024AB">
        <w:t xml:space="preserve"> significantly relat</w:t>
      </w:r>
      <w:r w:rsidR="00A10BE1">
        <w:t>ed to an increase in depression</w:t>
      </w:r>
      <w:r w:rsidR="001024AB">
        <w:t xml:space="preserve">. The increase in depression was significantly related to </w:t>
      </w:r>
      <w:r w:rsidR="00FE2614">
        <w:t>the</w:t>
      </w:r>
      <w:r w:rsidR="00ED4427">
        <w:t xml:space="preserve"> </w:t>
      </w:r>
      <w:r w:rsidR="001024AB">
        <w:t xml:space="preserve">nonmedical use of prescription stimulants. </w:t>
      </w:r>
      <w:r w:rsidR="00FE2614">
        <w:t>S</w:t>
      </w:r>
      <w:r w:rsidR="001024AB">
        <w:t xml:space="preserve">tudents </w:t>
      </w:r>
      <w:r w:rsidR="00594FE9">
        <w:t>undergo</w:t>
      </w:r>
      <w:r w:rsidR="00FE2614">
        <w:t xml:space="preserve">ing </w:t>
      </w:r>
      <w:r w:rsidR="00594FE9">
        <w:t xml:space="preserve">academic strain </w:t>
      </w:r>
      <w:r w:rsidR="00FE2614">
        <w:t>tended to feel</w:t>
      </w:r>
      <w:r w:rsidR="001024AB">
        <w:t xml:space="preserve"> depressed, which result</w:t>
      </w:r>
      <w:r w:rsidR="00FE2614">
        <w:t>ed</w:t>
      </w:r>
      <w:r w:rsidR="001024AB">
        <w:t xml:space="preserve"> in their need for prescription stimulants. </w:t>
      </w:r>
    </w:p>
    <w:p w:rsidR="005943BB" w:rsidRDefault="005943BB" w:rsidP="005943BB">
      <w:pPr>
        <w:pStyle w:val="Heading2"/>
      </w:pPr>
      <w:bookmarkStart w:id="21" w:name="_Toc315010459"/>
      <w:r>
        <w:t>Students’ Beliefs and Perceptions</w:t>
      </w:r>
      <w:bookmarkEnd w:id="21"/>
    </w:p>
    <w:p w:rsidR="004A3D45" w:rsidRDefault="001024AB" w:rsidP="003F6BB5">
      <w:r>
        <w:t xml:space="preserve">The </w:t>
      </w:r>
      <w:r w:rsidR="00FE2614">
        <w:t xml:space="preserve">research </w:t>
      </w:r>
      <w:r>
        <w:t xml:space="preserve">on </w:t>
      </w:r>
      <w:r w:rsidR="00126312">
        <w:t xml:space="preserve">prescription stimulant abuse </w:t>
      </w:r>
      <w:r w:rsidR="00FE2614">
        <w:t xml:space="preserve">suggests </w:t>
      </w:r>
      <w:r>
        <w:t>three motives</w:t>
      </w:r>
      <w:r w:rsidR="004C5439">
        <w:t xml:space="preserve"> for illicitly using these drugs. The motives are </w:t>
      </w:r>
      <w:r w:rsidR="00126312">
        <w:t>academic, recreational, and mixed use</w:t>
      </w:r>
      <w:r>
        <w:t xml:space="preserve"> </w:t>
      </w:r>
      <w:r w:rsidR="00550107">
        <w:fldChar w:fldCharType="begin">
          <w:fldData xml:space="preserve">PEVuZE5vdGU+PENpdGU+PEF1dGhvcj5Gb3JkPC9BdXRob3I+PFllYXI+MjAwOTwvWWVhcj48UmVj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</w:fldData>
        </w:fldChar>
      </w:r>
      <w:r w:rsidR="00E96A70">
        <w:instrText xml:space="preserve"> ADDIN EN.CITE </w:instrText>
      </w:r>
      <w:r w:rsidR="00550107">
        <w:fldChar w:fldCharType="begin">
          <w:fldData xml:space="preserve">PEVuZE5vdGU+PENpdGU+PEF1dGhvcj5Gb3JkPC9BdXRob3I+PFllYXI+MjAwOTwvWWVhcj48UmVj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</w:fldData>
        </w:fldChar>
      </w:r>
      <w:r w:rsidR="00E96A70">
        <w:instrText xml:space="preserve"> ADDIN EN.CITE.DATA </w:instrText>
      </w:r>
      <w:r w:rsidR="00550107">
        <w:fldChar w:fldCharType="end"/>
      </w:r>
      <w:r w:rsidR="00550107">
        <w:fldChar w:fldCharType="separate"/>
      </w:r>
      <w:r w:rsidR="00E96A70">
        <w:rPr>
          <w:noProof/>
        </w:rPr>
        <w:t>(</w:t>
      </w:r>
      <w:hyperlink w:anchor="_ENREF_16" w:tooltip="Ford, 2009 #418" w:history="1">
        <w:r w:rsidR="00D213F7">
          <w:rPr>
            <w:noProof/>
          </w:rPr>
          <w:t>Ford &amp; Schroeder, 2009</w:t>
        </w:r>
      </w:hyperlink>
      <w:r w:rsidR="00E96A70">
        <w:rPr>
          <w:noProof/>
        </w:rPr>
        <w:t xml:space="preserve">; </w:t>
      </w:r>
      <w:hyperlink w:anchor="_ENREF_33" w:tooltip="McCabe, 2009 #416" w:history="1">
        <w:r w:rsidR="00D213F7">
          <w:rPr>
            <w:noProof/>
          </w:rPr>
          <w:t>McCabe et al., 2009</w:t>
        </w:r>
      </w:hyperlink>
      <w:r w:rsidR="00E96A70">
        <w:rPr>
          <w:noProof/>
        </w:rPr>
        <w:t xml:space="preserve">; </w:t>
      </w:r>
      <w:hyperlink w:anchor="_ENREF_48" w:tooltip="Prudhomme-White, 2006 #422" w:history="1">
        <w:r w:rsidR="00D213F7">
          <w:rPr>
            <w:noProof/>
          </w:rPr>
          <w:t>Prudhomme-White et al., 2006</w:t>
        </w:r>
      </w:hyperlink>
      <w:r w:rsidR="00E96A70">
        <w:rPr>
          <w:noProof/>
        </w:rPr>
        <w:t xml:space="preserve">; </w:t>
      </w:r>
      <w:hyperlink w:anchor="_ENREF_58" w:tooltip="Teter, 2006 #337" w:history="1">
        <w:r w:rsidR="00D213F7">
          <w:rPr>
            <w:noProof/>
          </w:rPr>
          <w:t>Teter et al., 2006</w:t>
        </w:r>
      </w:hyperlink>
      <w:r w:rsidR="00E96A70">
        <w:rPr>
          <w:noProof/>
        </w:rPr>
        <w:t>)</w:t>
      </w:r>
      <w:r w:rsidR="00550107">
        <w:fldChar w:fldCharType="end"/>
      </w:r>
      <w:r>
        <w:t>.</w:t>
      </w:r>
      <w:r w:rsidR="00FE28CC">
        <w:t xml:space="preserve"> </w:t>
      </w:r>
      <w:r w:rsidR="00550107">
        <w:fldChar w:fldCharType="begin"/>
      </w:r>
      <w:r w:rsidR="00A35BE5">
        <w:instrText xml:space="preserve"> ADDIN EN.CITE &lt;EndNote&gt;&lt;Cite AuthorYear="1"&gt;&lt;Author&gt;Quintero&lt;/Author&gt;&lt;Year&gt;2006&lt;/Year&gt;&lt;RecNum&gt;290&lt;/RecNum&gt;&lt;DisplayText&gt;Quintero, Peterson, and Young (2006)&lt;/DisplayText&gt;&lt;record&gt;&lt;rec-number&gt;290&lt;/rec-number&gt;&lt;foreign-keys&gt;&lt;key app="EN" db-id="02dwfapew02tdked2f4p0xerwdapvw5vztpp"&gt;290&lt;/key&gt;&lt;key app="ENWeb" db-id="R1rfKArtmCQAAH0-ETQ"&gt;670&lt;/key&gt;&lt;/foreign-keys&gt;&lt;ref-type name="Journal Article"&gt;17&lt;/ref-type&gt;&lt;contributors&gt;&lt;authors&gt;&lt;author&gt;Quintero, G&lt;/author&gt;&lt;author&gt;Peterson, J&lt;/author&gt;&lt;author&gt;Young, B&lt;/author&gt;&lt;/authors&gt;&lt;/contributors&gt;&lt;titles&gt;&lt;title&gt;An exploratory study of socio-cultural factors contributing to prescription drug misuse among college students&lt;/title&gt;&lt;secondary-title&gt;Journal of Drug Issues&lt;/secondary-title&gt;&lt;/titles&gt;&lt;pages&gt;903-932&lt;/pages&gt;&lt;volume&gt;36&lt;/volume&gt;&lt;number&gt;4&lt;/number&gt;&lt;dates&gt;&lt;year&gt;2006&lt;/year&gt;&lt;/dates&gt;&lt;urls&gt;&lt;/urls&gt;&lt;/record&gt;&lt;/Cite&gt;&lt;/EndNote&gt;</w:instrText>
      </w:r>
      <w:r w:rsidR="00550107">
        <w:fldChar w:fldCharType="separate"/>
      </w:r>
      <w:hyperlink w:anchor="_ENREF_49" w:tooltip="Quintero, 2006 #290" w:history="1">
        <w:r w:rsidR="00D213F7">
          <w:rPr>
            <w:noProof/>
          </w:rPr>
          <w:t>Quintero, Peterson, and Young (2006</w:t>
        </w:r>
      </w:hyperlink>
      <w:r w:rsidR="00A35BE5">
        <w:rPr>
          <w:noProof/>
        </w:rPr>
        <w:t>)</w:t>
      </w:r>
      <w:r w:rsidR="00550107">
        <w:fldChar w:fldCharType="end"/>
      </w:r>
      <w:r w:rsidR="00FE28CC">
        <w:t xml:space="preserve"> evaluated students</w:t>
      </w:r>
      <w:r w:rsidR="00ED4427">
        <w:t>’</w:t>
      </w:r>
      <w:r w:rsidR="00FE28CC">
        <w:t xml:space="preserve"> motivations for using prescription stimulants illicitly; however, they employed a qualitative methodology for </w:t>
      </w:r>
      <w:r w:rsidR="00FE2614">
        <w:t xml:space="preserve">studying </w:t>
      </w:r>
      <w:r w:rsidR="00FE28CC">
        <w:t xml:space="preserve">the problem. They hoped to </w:t>
      </w:r>
      <w:r w:rsidR="00FE2614">
        <w:t>assess</w:t>
      </w:r>
      <w:r w:rsidR="00FE28CC">
        <w:t xml:space="preserve"> the acceptability of use among students, types of misuse, and any additional patterns.</w:t>
      </w:r>
    </w:p>
    <w:p w:rsidR="00FE28CC" w:rsidRDefault="00550107" w:rsidP="003F6BB5">
      <w:r>
        <w:fldChar w:fldCharType="begin"/>
      </w:r>
      <w:r w:rsidR="00A35BE5">
        <w:instrText xml:space="preserve"> ADDIN EN.CITE &lt;EndNote&gt;&lt;Cite AuthorYear="1"&gt;&lt;Author&gt;Quintero&lt;/Author&gt;&lt;Year&gt;2006&lt;/Year&gt;&lt;RecNum&gt;290&lt;/RecNum&gt;&lt;DisplayText&gt;Quintero et al. (2006)&lt;/DisplayText&gt;&lt;record&gt;&lt;rec-number&gt;290&lt;/rec-number&gt;&lt;foreign-keys&gt;&lt;key app="EN" db-id="02dwfapew02tdked2f4p0xerwdapvw5vztpp"&gt;290&lt;/key&gt;&lt;key app="ENWeb" db-id="R1rfKArtmCQAAH0-ETQ"&gt;670&lt;/key&gt;&lt;/foreign-keys&gt;&lt;ref-type name="Journal Article"&gt;17&lt;/ref-type&gt;&lt;contributors&gt;&lt;authors&gt;&lt;author&gt;Quintero, G&lt;/author&gt;&lt;author&gt;Peterson, J&lt;/author&gt;&lt;author&gt;Young, B&lt;/author&gt;&lt;/authors&gt;&lt;/contributors&gt;&lt;titles&gt;&lt;title&gt;An exploratory study of socio-cultural factors contributing to prescription drug misuse among college students&lt;/title&gt;&lt;secondary-title&gt;Journal of Drug Issues&lt;/secondary-title&gt;&lt;/titles&gt;&lt;pages&gt;903-932&lt;/pages&gt;&lt;volume&gt;36&lt;/volume&gt;&lt;number&gt;4&lt;/number&gt;&lt;dates&gt;&lt;year&gt;2006&lt;/year&gt;&lt;/dates&gt;&lt;urls&gt;&lt;/urls&gt;&lt;/record&gt;&lt;/Cite&gt;&lt;/EndNote&gt;</w:instrText>
      </w:r>
      <w:r>
        <w:fldChar w:fldCharType="separate"/>
      </w:r>
      <w:hyperlink w:anchor="_ENREF_49" w:tooltip="Quintero, 2006 #290" w:history="1">
        <w:r w:rsidR="00D213F7">
          <w:rPr>
            <w:noProof/>
          </w:rPr>
          <w:t>Quintero et al. (2006</w:t>
        </w:r>
      </w:hyperlink>
      <w:r w:rsidR="00A35BE5">
        <w:rPr>
          <w:noProof/>
        </w:rPr>
        <w:t>)</w:t>
      </w:r>
      <w:r>
        <w:fldChar w:fldCharType="end"/>
      </w:r>
      <w:r w:rsidR="00FE28CC">
        <w:t xml:space="preserve"> conducted 52 interviews in two phases. The first phase of interviews was semi-structured</w:t>
      </w:r>
      <w:r w:rsidR="00FE2614">
        <w:t>,</w:t>
      </w:r>
      <w:r w:rsidR="00FE28CC">
        <w:t xml:space="preserve"> focusing on types of prescription drug use, college drug use, personal experiences, social settings, and outcomes of using prescription drugs. The second stage of interviews consisted of semi-structure</w:t>
      </w:r>
      <w:r w:rsidR="00A10BE1">
        <w:t>d</w:t>
      </w:r>
      <w:r w:rsidR="00FE28CC">
        <w:t xml:space="preserve"> questions from the first interview, based on a structured ranking procedure developed from the first set of interviews. There were 19 participants in the second phase.</w:t>
      </w:r>
    </w:p>
    <w:p w:rsidR="00B42478" w:rsidRDefault="00FE28CC" w:rsidP="003F6BB5">
      <w:r w:rsidRPr="00FE28CC">
        <w:lastRenderedPageBreak/>
        <w:t xml:space="preserve">Three themes </w:t>
      </w:r>
      <w:r w:rsidR="00FE2614">
        <w:t xml:space="preserve">emerged from </w:t>
      </w:r>
      <w:r w:rsidRPr="00FE28CC">
        <w:t>the interviews</w:t>
      </w:r>
      <w:r w:rsidR="003F3F3A">
        <w:t>.</w:t>
      </w:r>
      <w:r w:rsidRPr="00FE28CC">
        <w:t xml:space="preserve"> The first them</w:t>
      </w:r>
      <w:r>
        <w:t>e</w:t>
      </w:r>
      <w:r w:rsidRPr="00FE28CC">
        <w:t xml:space="preserve"> </w:t>
      </w:r>
      <w:r w:rsidR="003F3F3A">
        <w:t>related to</w:t>
      </w:r>
      <w:r w:rsidRPr="00FE28CC">
        <w:t xml:space="preserve"> types of misuse</w:t>
      </w:r>
      <w:r w:rsidR="004A3D45">
        <w:t xml:space="preserve"> including </w:t>
      </w:r>
      <w:r w:rsidR="004A3D45" w:rsidRPr="00FE28CC">
        <w:t>self</w:t>
      </w:r>
      <w:r w:rsidRPr="00FE28CC">
        <w:t xml:space="preserve">-medication of physiological conditions and states of affect, socio-recreational applications, and uses organized around academics. </w:t>
      </w:r>
      <w:r>
        <w:t xml:space="preserve">Adderall® (17.3%) and Ritalin® (25%) </w:t>
      </w:r>
      <w:r w:rsidRPr="00FE28CC">
        <w:t xml:space="preserve">were the </w:t>
      </w:r>
      <w:r>
        <w:t>preferred drugs for academic</w:t>
      </w:r>
      <w:r w:rsidRPr="00FE28CC">
        <w:t xml:space="preserve"> work. The second </w:t>
      </w:r>
      <w:r w:rsidR="00B42478" w:rsidRPr="00FE28CC">
        <w:t xml:space="preserve">theme </w:t>
      </w:r>
      <w:r w:rsidR="003F3F3A">
        <w:t>related to</w:t>
      </w:r>
      <w:r w:rsidR="00B42478">
        <w:t xml:space="preserve"> students’ perceptions regarding t</w:t>
      </w:r>
      <w:r w:rsidRPr="00FE28CC">
        <w:t>he acceptability of use</w:t>
      </w:r>
      <w:r w:rsidR="00B42478">
        <w:t xml:space="preserve">. According to the participants, prescription stimulants and other prescription drugs </w:t>
      </w:r>
      <w:r w:rsidR="00FE2614">
        <w:t>were</w:t>
      </w:r>
      <w:r w:rsidR="00B42478">
        <w:t xml:space="preserve"> more acceptable than “hard drugs” such as cocaine, heroin, and speed.</w:t>
      </w:r>
      <w:r w:rsidRPr="00FE28CC">
        <w:t xml:space="preserve"> </w:t>
      </w:r>
      <w:r w:rsidR="00B42478">
        <w:t xml:space="preserve">Prescription drugs </w:t>
      </w:r>
      <w:r w:rsidR="00FE2614">
        <w:t>were</w:t>
      </w:r>
      <w:r w:rsidRPr="00FE28CC">
        <w:t xml:space="preserve"> considered </w:t>
      </w:r>
      <w:r w:rsidR="00B42478">
        <w:t>“</w:t>
      </w:r>
      <w:r w:rsidRPr="00FE28CC">
        <w:t>soft drugs</w:t>
      </w:r>
      <w:r w:rsidR="002B5DB5">
        <w:t>,</w:t>
      </w:r>
      <w:r w:rsidR="00B42478">
        <w:t>”</w:t>
      </w:r>
      <w:r w:rsidRPr="00FE28CC">
        <w:t xml:space="preserve"> socially and culturally acceptable</w:t>
      </w:r>
      <w:r w:rsidR="00B42478">
        <w:t xml:space="preserve"> because they are considered safe, </w:t>
      </w:r>
      <w:r w:rsidRPr="00FE28CC">
        <w:t xml:space="preserve">made in a </w:t>
      </w:r>
      <w:r w:rsidR="00ED13B0">
        <w:t xml:space="preserve">controlled </w:t>
      </w:r>
      <w:r w:rsidRPr="00FE28CC">
        <w:t xml:space="preserve">lab, and prescribed by a doctor. </w:t>
      </w:r>
      <w:r w:rsidR="00B42478">
        <w:t xml:space="preserve">Furthermore, students felt prescription stimulants and other drugs were acceptable because </w:t>
      </w:r>
      <w:r w:rsidR="00ED13B0">
        <w:t>a user</w:t>
      </w:r>
      <w:r w:rsidR="00B42478">
        <w:t xml:space="preserve"> can still maintain a high level of functioning while using the drugs. </w:t>
      </w:r>
      <w:r w:rsidRPr="00FE28CC">
        <w:t xml:space="preserve">There was also the perception that prescription drugs carry less addictive potential than hard drugs. </w:t>
      </w:r>
    </w:p>
    <w:p w:rsidR="001561EA" w:rsidRDefault="00B42478" w:rsidP="003F6BB5">
      <w:r>
        <w:t xml:space="preserve">The </w:t>
      </w:r>
      <w:r w:rsidR="00A10BE1">
        <w:t xml:space="preserve">perceived </w:t>
      </w:r>
      <w:r>
        <w:t xml:space="preserve">safety of the drugs was a major reason for students’ willingness </w:t>
      </w:r>
      <w:r w:rsidR="00FE2614">
        <w:t>to</w:t>
      </w:r>
      <w:r>
        <w:t xml:space="preserve"> engag</w:t>
      </w:r>
      <w:r w:rsidR="00FE2614">
        <w:t>e</w:t>
      </w:r>
      <w:r>
        <w:t xml:space="preserve"> in prescription drug abuse. Students indicated they ha</w:t>
      </w:r>
      <w:r w:rsidR="003F3F3A">
        <w:t>d</w:t>
      </w:r>
      <w:r>
        <w:t xml:space="preserve"> been exposed to these drugs for most of their life and f</w:t>
      </w:r>
      <w:r w:rsidR="00FE28CC" w:rsidRPr="00FE28CC">
        <w:t xml:space="preserve">amiliarity with </w:t>
      </w:r>
      <w:r>
        <w:t>the</w:t>
      </w:r>
      <w:r w:rsidR="00FE28CC" w:rsidRPr="00FE28CC">
        <w:t xml:space="preserve"> drugs ma</w:t>
      </w:r>
      <w:r w:rsidR="00FE2614">
        <w:t>de</w:t>
      </w:r>
      <w:r w:rsidR="00FE28CC" w:rsidRPr="00FE28CC">
        <w:t xml:space="preserve"> </w:t>
      </w:r>
      <w:r>
        <w:t>experimentation easier</w:t>
      </w:r>
      <w:r w:rsidR="00FE28CC" w:rsidRPr="00FE28CC">
        <w:t xml:space="preserve">. </w:t>
      </w:r>
      <w:r>
        <w:t>Additionally, individuals s</w:t>
      </w:r>
      <w:r w:rsidR="00FE2614">
        <w:t>aw</w:t>
      </w:r>
      <w:r>
        <w:t xml:space="preserve"> their friends using these drugs for various reasons and </w:t>
      </w:r>
      <w:r w:rsidR="002B5DB5">
        <w:t>bec</w:t>
      </w:r>
      <w:r w:rsidR="00DF2573">
        <w:t>a</w:t>
      </w:r>
      <w:r w:rsidR="002B5DB5">
        <w:t xml:space="preserve">me aware of </w:t>
      </w:r>
      <w:r>
        <w:t xml:space="preserve">the side effects and actions of the drugs. </w:t>
      </w:r>
      <w:r w:rsidR="00FE28CC" w:rsidRPr="00FE28CC">
        <w:t>Finally,</w:t>
      </w:r>
      <w:r w:rsidR="0075137E">
        <w:t xml:space="preserve"> the participants recognize</w:t>
      </w:r>
      <w:r w:rsidR="00DF2573">
        <w:t>d</w:t>
      </w:r>
      <w:r w:rsidR="0075137E">
        <w:t xml:space="preserve"> college </w:t>
      </w:r>
      <w:r w:rsidR="00FE28CC" w:rsidRPr="00FE28CC">
        <w:t xml:space="preserve">as a time for </w:t>
      </w:r>
      <w:r w:rsidRPr="00FE28CC">
        <w:t>experimentation</w:t>
      </w:r>
      <w:r w:rsidR="00DF2573">
        <w:t xml:space="preserve">. </w:t>
      </w:r>
      <w:r w:rsidR="003F3F3A">
        <w:t>Interestingly, t</w:t>
      </w:r>
      <w:r w:rsidR="00DF2573">
        <w:t>hey also indicated that</w:t>
      </w:r>
      <w:r w:rsidR="00ED4427">
        <w:t xml:space="preserve"> </w:t>
      </w:r>
      <w:r w:rsidR="0075137E">
        <w:t>upon</w:t>
      </w:r>
      <w:r w:rsidR="00FE28CC" w:rsidRPr="00FE28CC">
        <w:t xml:space="preserve"> graduat</w:t>
      </w:r>
      <w:r w:rsidR="0075137E">
        <w:t>ion</w:t>
      </w:r>
      <w:r w:rsidR="00DF2573">
        <w:t>,</w:t>
      </w:r>
      <w:r w:rsidR="0075137E">
        <w:t xml:space="preserve"> </w:t>
      </w:r>
      <w:r w:rsidR="00FE28CC" w:rsidRPr="00FE28CC">
        <w:t>this lifestyle</w:t>
      </w:r>
      <w:r w:rsidR="0075137E">
        <w:t xml:space="preserve"> </w:t>
      </w:r>
      <w:r w:rsidR="003F3F3A">
        <w:t>was</w:t>
      </w:r>
      <w:r w:rsidR="0075137E">
        <w:t xml:space="preserve"> no longer accepted</w:t>
      </w:r>
      <w:r w:rsidR="00A10BE1">
        <w:t xml:space="preserve"> </w:t>
      </w:r>
      <w:r w:rsidR="00550107">
        <w:fldChar w:fldCharType="begin"/>
      </w:r>
      <w:r w:rsidR="00E96A70">
        <w:instrText xml:space="preserve"> ADDIN EN.CITE &lt;EndNote&gt;&lt;Cite&gt;&lt;Author&gt;Quintero&lt;/Author&gt;&lt;Year&gt;2006&lt;/Year&gt;&lt;RecNum&gt;290&lt;/RecNum&gt;&lt;DisplayText&gt;(Quintero et al., 2006)&lt;/DisplayText&gt;&lt;record&gt;&lt;rec-number&gt;290&lt;/rec-number&gt;&lt;foreign-keys&gt;&lt;key app="EN" db-id="02dwfapew02tdked2f4p0xerwdapvw5vztpp"&gt;290&lt;/key&gt;&lt;key app="ENWeb" db-id="R1rfKArtmCQAAH0-ETQ"&gt;670&lt;/key&gt;&lt;/foreign-keys&gt;&lt;ref-type name="Journal Article"&gt;17&lt;/ref-type&gt;&lt;contributors&gt;&lt;authors&gt;&lt;author&gt;Quintero, G&lt;/author&gt;&lt;author&gt;Peterson, J&lt;/author&gt;&lt;author&gt;Young, B&lt;/author&gt;&lt;/authors&gt;&lt;/contributors&gt;&lt;titles&gt;&lt;title&gt;An exploratory study of socio-cultural factors contributing to prescription drug misuse among college students&lt;/title&gt;&lt;secondary-title&gt;Journal of Drug Issues&lt;/secondary-title&gt;&lt;/titles&gt;&lt;pages&gt;903-932&lt;/pages&gt;&lt;volume&gt;36&lt;/volume&gt;&lt;number&gt;4&lt;/number&gt;&lt;dates&gt;&lt;year&gt;2006&lt;/year&gt;&lt;/dates&gt;&lt;urls&gt;&lt;/urls&gt;&lt;/record&gt;&lt;/Cite&gt;&lt;/EndNote&gt;</w:instrText>
      </w:r>
      <w:r w:rsidR="00550107">
        <w:fldChar w:fldCharType="separate"/>
      </w:r>
      <w:r w:rsidR="00E96A70">
        <w:rPr>
          <w:noProof/>
        </w:rPr>
        <w:t>(</w:t>
      </w:r>
      <w:hyperlink w:anchor="_ENREF_49" w:tooltip="Quintero, 2006 #290" w:history="1">
        <w:r w:rsidR="00D213F7">
          <w:rPr>
            <w:noProof/>
          </w:rPr>
          <w:t>Quintero et al., 2006</w:t>
        </w:r>
      </w:hyperlink>
      <w:r w:rsidR="00E96A70">
        <w:rPr>
          <w:noProof/>
        </w:rPr>
        <w:t>)</w:t>
      </w:r>
      <w:r w:rsidR="00550107">
        <w:fldChar w:fldCharType="end"/>
      </w:r>
      <w:r w:rsidR="00FE28CC" w:rsidRPr="00FE28CC">
        <w:t>.</w:t>
      </w:r>
    </w:p>
    <w:p w:rsidR="0025541B" w:rsidRDefault="00550107" w:rsidP="003F6BB5">
      <w:r>
        <w:fldChar w:fldCharType="begin"/>
      </w:r>
      <w:r w:rsidR="00A35BE5">
        <w:instrText xml:space="preserve"> ADDIN EN.CITE &lt;EndNote&gt;&lt;Cite AuthorYear="1"&gt;&lt;Author&gt;Judson&lt;/Author&gt;&lt;Year&gt;2009&lt;/Year&gt;&lt;RecNum&gt;408&lt;/RecNum&gt;&lt;DisplayText&gt;Judson and Langdon (2009)&lt;/DisplayText&gt;&lt;record&gt;&lt;rec-number&gt;408&lt;/rec-number&gt;&lt;foreign-keys&gt;&lt;key app="EN" db-id="02dwfapew02tdked2f4p0xerwdapvw5vztpp"&gt;408&lt;/key&gt;&lt;key app="ENWeb" db-id="R1rfKArtmCQAAH0-ETQ"&gt;891&lt;/key&gt;&lt;/foreign-keys&gt;&lt;ref-type name="Journal Article"&gt;17&lt;/ref-type&gt;&lt;contributors&gt;&lt;authors&gt;&lt;author&gt;Judson, R.&lt;/author&gt;&lt;author&gt;Langdon, S. W.&lt;/author&gt;&lt;/authors&gt;&lt;/contributors&gt;&lt;auth-address&gt;Department of Psychology, Bates College, Lewiston, Maine, USA&lt;/auth-address&gt;&lt;titles&gt;&lt;title&gt;Illicit use of prescription stimulants among college students: prescription status, motives, theory of planned behaviour, knowledge and self-diagnostic tendencies&lt;/title&gt;&lt;secondary-title&gt;Psychology, Health &amp;amp; Medicine&lt;/secondary-title&gt;&lt;/titles&gt;&lt;periodical&gt;&lt;full-title&gt;Psychology, Health &amp;amp; Medicine&lt;/full-title&gt;&lt;/periodical&gt;&lt;pages&gt;97-104&lt;/pages&gt;&lt;volume&gt;14&lt;/volume&gt;&lt;number&gt;1&lt;/number&gt;&lt;keywords&gt;&lt;keyword&gt;Central Nervous System Stimulants&lt;/keyword&gt;&lt;keyword&gt;Drugs, Prescription&lt;/keyword&gt;&lt;keyword&gt;Motivation&lt;/keyword&gt;&lt;keyword&gt;Students, College&lt;/keyword&gt;&lt;keyword&gt;Ajzen&amp;apos;s Theory of Planned Behavior&lt;/keyword&gt;&lt;keyword&gt;Chi Square Test&lt;/keyword&gt;&lt;keyword&gt;Descriptive Statistics&lt;/keyword&gt;&lt;keyword&gt;Internet&lt;/keyword&gt;&lt;keyword&gt;Multiple Regression&lt;/keyword&gt;&lt;keyword&gt;Self Diagnosis&lt;/keyword&gt;&lt;keyword&gt;Student Attitudes&lt;/keyword&gt;&lt;keyword&gt;Human&lt;/keyword&gt;&lt;/keywords&gt;&lt;dates&gt;&lt;year&gt;2009&lt;/year&gt;&lt;/dates&gt;&lt;isbn&gt;1354-8506&lt;/isbn&gt;&lt;accession-num&gt;2010136013. Language: English. Entry Date: 20090410. Revision Date: 20110513. Publication Type: journal article&lt;/accession-num&gt;&lt;urls&gt;&lt;related-urls&gt;&lt;url&gt;Publisher URL: www.cinahl.com/cgi-bin/refsvc?jid=1278&amp;amp;accno=2010136013&lt;/url&gt;&lt;/related-urls&gt;&lt;/urls&gt;&lt;electronic-resource-num&gt;10.1080/13548500802126723&lt;/electronic-resource-num&gt;&lt;remote-database-name&gt;rzh&lt;/remote-database-name&gt;&lt;remote-database-provider&gt;EBSCOhost&lt;/remote-database-provider&gt;&lt;/record&gt;&lt;/Cite&gt;&lt;/EndNote&gt;</w:instrText>
      </w:r>
      <w:r>
        <w:fldChar w:fldCharType="separate"/>
      </w:r>
      <w:hyperlink w:anchor="_ENREF_25" w:tooltip="Judson, 2009 #408" w:history="1">
        <w:r w:rsidR="00D213F7">
          <w:rPr>
            <w:noProof/>
          </w:rPr>
          <w:t>Judson and Langdon (2009</w:t>
        </w:r>
      </w:hyperlink>
      <w:proofErr w:type="gramStart"/>
      <w:r w:rsidR="00A35BE5">
        <w:rPr>
          <w:noProof/>
        </w:rPr>
        <w:t>)</w:t>
      </w:r>
      <w:r>
        <w:fldChar w:fldCharType="end"/>
      </w:r>
      <w:r w:rsidR="00FC504C">
        <w:t xml:space="preserve"> surveyed </w:t>
      </w:r>
      <w:r w:rsidR="003F3F3A">
        <w:t xml:space="preserve">students at </w:t>
      </w:r>
      <w:r w:rsidR="00FC504C">
        <w:t>two small New England colleges.</w:t>
      </w:r>
      <w:proofErr w:type="gramEnd"/>
      <w:r w:rsidR="00FC504C">
        <w:t xml:space="preserve"> Their sample size was 333</w:t>
      </w:r>
      <w:r w:rsidR="004C5439">
        <w:t>, mostly</w:t>
      </w:r>
      <w:r w:rsidR="00FC504C">
        <w:t xml:space="preserve"> female (72</w:t>
      </w:r>
      <w:r w:rsidR="0075137E">
        <w:t>%)</w:t>
      </w:r>
      <w:r w:rsidR="004C5439">
        <w:t>,</w:t>
      </w:r>
      <w:r w:rsidR="0075137E">
        <w:t xml:space="preserve"> and white (89%). The survey</w:t>
      </w:r>
      <w:r w:rsidR="00FC504C">
        <w:t xml:space="preserve"> measured ADHD symptoms, illicit use of stimulants, motives for illicitly using, and social acceptability of use. </w:t>
      </w:r>
      <w:r w:rsidR="00DF2573">
        <w:lastRenderedPageBreak/>
        <w:t xml:space="preserve">They compared </w:t>
      </w:r>
      <w:r w:rsidR="0072640C">
        <w:t>students with legal prescription</w:t>
      </w:r>
      <w:r w:rsidR="0075137E">
        <w:t>s</w:t>
      </w:r>
      <w:r w:rsidR="0072640C">
        <w:t xml:space="preserve"> </w:t>
      </w:r>
      <w:r w:rsidR="00FF53C1">
        <w:t>to</w:t>
      </w:r>
      <w:r w:rsidR="00DF2573">
        <w:t xml:space="preserve"> </w:t>
      </w:r>
      <w:r w:rsidR="0072640C">
        <w:t xml:space="preserve">students without prescriptions who illicitly used prescription stimulants. </w:t>
      </w:r>
    </w:p>
    <w:p w:rsidR="00126312" w:rsidRDefault="0072640C" w:rsidP="003F6BB5">
      <w:r>
        <w:t>The two highest reported motives for use we</w:t>
      </w:r>
      <w:r w:rsidR="0075137E">
        <w:t xml:space="preserve">re </w:t>
      </w:r>
      <w:r>
        <w:t>improv</w:t>
      </w:r>
      <w:r w:rsidR="0075137E">
        <w:t>ing</w:t>
      </w:r>
      <w:r>
        <w:t xml:space="preserve"> concentration (28.8%) and stay</w:t>
      </w:r>
      <w:r w:rsidR="0075137E">
        <w:t>ing</w:t>
      </w:r>
      <w:r>
        <w:t xml:space="preserve"> </w:t>
      </w:r>
      <w:proofErr w:type="gramStart"/>
      <w:r>
        <w:t>awake</w:t>
      </w:r>
      <w:proofErr w:type="gramEnd"/>
      <w:r>
        <w:t xml:space="preserve"> (23.4%). The less common motives were recreational use includ</w:t>
      </w:r>
      <w:r w:rsidR="002311AD">
        <w:t>ing</w:t>
      </w:r>
      <w:r>
        <w:t xml:space="preserve"> getting high (6.3%), contro</w:t>
      </w:r>
      <w:r w:rsidR="0075137E">
        <w:t>l</w:t>
      </w:r>
      <w:r>
        <w:t>l</w:t>
      </w:r>
      <w:r w:rsidR="0075137E">
        <w:t>ing</w:t>
      </w:r>
      <w:r>
        <w:t xml:space="preserve"> appetite (6.3%), and los</w:t>
      </w:r>
      <w:r w:rsidR="0075137E">
        <w:t>ing</w:t>
      </w:r>
      <w:r>
        <w:t xml:space="preserve"> weight (3.6%). When comparing illicit users to nonusers, there was a significant difference between the social acceptability of using prescription stimulants. Illicit users felt the nonmedical use of prescription stimulants was ethical</w:t>
      </w:r>
      <w:r w:rsidR="003F3F3A">
        <w:t>,</w:t>
      </w:r>
      <w:r>
        <w:t xml:space="preserve"> and they were significantly less concerned regarding the health risks compared to nonusers. Furthermore, illicit users also had significantly more knowledge of the effects and side effects of the prescription stimulants than </w:t>
      </w:r>
      <w:proofErr w:type="gramStart"/>
      <w:r>
        <w:t>nonusers</w:t>
      </w:r>
      <w:proofErr w:type="gramEnd"/>
      <w:r>
        <w:t xml:space="preserve">. Therefore, </w:t>
      </w:r>
      <w:r w:rsidR="00550107">
        <w:fldChar w:fldCharType="begin"/>
      </w:r>
      <w:r w:rsidR="00A35BE5">
        <w:instrText xml:space="preserve"> ADDIN EN.CITE &lt;EndNote&gt;&lt;Cite AuthorYear="1"&gt;&lt;Author&gt;Judson&lt;/Author&gt;&lt;Year&gt;2009&lt;/Year&gt;&lt;RecNum&gt;408&lt;/RecNum&gt;&lt;DisplayText&gt;Judson and Langdon (2009)&lt;/DisplayText&gt;&lt;record&gt;&lt;rec-number&gt;408&lt;/rec-number&gt;&lt;foreign-keys&gt;&lt;key app="EN" db-id="02dwfapew02tdked2f4p0xerwdapvw5vztpp"&gt;408&lt;/key&gt;&lt;key app="ENWeb" db-id="R1rfKArtmCQAAH0-ETQ"&gt;891&lt;/key&gt;&lt;/foreign-keys&gt;&lt;ref-type name="Journal Article"&gt;17&lt;/ref-type&gt;&lt;contributors&gt;&lt;authors&gt;&lt;author&gt;Judson, R.&lt;/author&gt;&lt;author&gt;Langdon, S. W.&lt;/author&gt;&lt;/authors&gt;&lt;/contributors&gt;&lt;auth-address&gt;Department of Psychology, Bates College, Lewiston, Maine, USA&lt;/auth-address&gt;&lt;titles&gt;&lt;title&gt;Illicit use of prescription stimulants among college students: prescription status, motives, theory of planned behaviour, knowledge and self-diagnostic tendencies&lt;/title&gt;&lt;secondary-title&gt;Psychology, Health &amp;amp; Medicine&lt;/secondary-title&gt;&lt;/titles&gt;&lt;periodical&gt;&lt;full-title&gt;Psychology, Health &amp;amp; Medicine&lt;/full-title&gt;&lt;/periodical&gt;&lt;pages&gt;97-104&lt;/pages&gt;&lt;volume&gt;14&lt;/volume&gt;&lt;number&gt;1&lt;/number&gt;&lt;keywords&gt;&lt;keyword&gt;Central Nervous System Stimulants&lt;/keyword&gt;&lt;keyword&gt;Drugs, Prescription&lt;/keyword&gt;&lt;keyword&gt;Motivation&lt;/keyword&gt;&lt;keyword&gt;Students, College&lt;/keyword&gt;&lt;keyword&gt;Ajzen&amp;apos;s Theory of Planned Behavior&lt;/keyword&gt;&lt;keyword&gt;Chi Square Test&lt;/keyword&gt;&lt;keyword&gt;Descriptive Statistics&lt;/keyword&gt;&lt;keyword&gt;Internet&lt;/keyword&gt;&lt;keyword&gt;Multiple Regression&lt;/keyword&gt;&lt;keyword&gt;Self Diagnosis&lt;/keyword&gt;&lt;keyword&gt;Student Attitudes&lt;/keyword&gt;&lt;keyword&gt;Human&lt;/keyword&gt;&lt;/keywords&gt;&lt;dates&gt;&lt;year&gt;2009&lt;/year&gt;&lt;/dates&gt;&lt;isbn&gt;1354-8506&lt;/isbn&gt;&lt;accession-num&gt;2010136013. Language: English. Entry Date: 20090410. Revision Date: 20110513. Publication Type: journal article&lt;/accession-num&gt;&lt;urls&gt;&lt;related-urls&gt;&lt;url&gt;Publisher URL: www.cinahl.com/cgi-bin/refsvc?jid=1278&amp;amp;accno=2010136013&lt;/url&gt;&lt;/related-urls&gt;&lt;/urls&gt;&lt;electronic-resource-num&gt;10.1080/13548500802126723&lt;/electronic-resource-num&gt;&lt;remote-database-name&gt;rzh&lt;/remote-database-name&gt;&lt;remote-database-provider&gt;EBSCOhost&lt;/remote-database-provider&gt;&lt;/record&gt;&lt;/Cite&gt;&lt;/EndNote&gt;</w:instrText>
      </w:r>
      <w:r w:rsidR="00550107">
        <w:fldChar w:fldCharType="separate"/>
      </w:r>
      <w:hyperlink w:anchor="_ENREF_25" w:tooltip="Judson, 2009 #408" w:history="1">
        <w:r w:rsidR="00D213F7">
          <w:rPr>
            <w:noProof/>
          </w:rPr>
          <w:t>Judson and Langdon (2009</w:t>
        </w:r>
      </w:hyperlink>
      <w:r w:rsidR="00A35BE5">
        <w:rPr>
          <w:noProof/>
        </w:rPr>
        <w:t>)</w:t>
      </w:r>
      <w:r w:rsidR="00550107">
        <w:fldChar w:fldCharType="end"/>
      </w:r>
      <w:r w:rsidR="00D04D8F">
        <w:t xml:space="preserve"> concluded students who perceive illicit use a</w:t>
      </w:r>
      <w:r>
        <w:t>s ethical, self-diagnose, and have knowledge regarding the effects are</w:t>
      </w:r>
      <w:r w:rsidR="00D04D8F">
        <w:t xml:space="preserve"> more</w:t>
      </w:r>
      <w:r w:rsidR="002B5DB5">
        <w:t xml:space="preserve"> likely </w:t>
      </w:r>
      <w:r w:rsidR="00DF2573">
        <w:t xml:space="preserve">to </w:t>
      </w:r>
      <w:r>
        <w:t>illicitly us</w:t>
      </w:r>
      <w:r w:rsidR="00DF2573">
        <w:t>e</w:t>
      </w:r>
      <w:r>
        <w:t xml:space="preserve"> prescription stimulants.</w:t>
      </w:r>
      <w:r w:rsidR="006F1231">
        <w:t xml:space="preserve"> </w:t>
      </w:r>
      <w:r>
        <w:t>Th</w:t>
      </w:r>
      <w:r w:rsidR="00D04D8F">
        <w:t>e</w:t>
      </w:r>
      <w:r>
        <w:t>s</w:t>
      </w:r>
      <w:r w:rsidR="00D04D8F">
        <w:t>e</w:t>
      </w:r>
      <w:r>
        <w:t xml:space="preserve"> data </w:t>
      </w:r>
      <w:r w:rsidR="00D75CB1">
        <w:t xml:space="preserve">also </w:t>
      </w:r>
      <w:r>
        <w:t xml:space="preserve">suggest students who acquire information regarding prescription stimulant use are more likely to engage in the </w:t>
      </w:r>
      <w:r w:rsidR="00D04D8F">
        <w:t xml:space="preserve">illegal </w:t>
      </w:r>
      <w:r>
        <w:t xml:space="preserve">behavior. Furthermore, the data suggest students who have experienced the effects do not feel remorse for </w:t>
      </w:r>
      <w:r w:rsidR="00280241">
        <w:t xml:space="preserve">illicitly </w:t>
      </w:r>
      <w:r>
        <w:t>using prescri</w:t>
      </w:r>
      <w:r w:rsidR="005943BB">
        <w:t>ption stimulants.</w:t>
      </w:r>
      <w:r>
        <w:t xml:space="preserve"> </w:t>
      </w:r>
    </w:p>
    <w:p w:rsidR="00222B91" w:rsidRDefault="00550107" w:rsidP="003F6BB5">
      <w:r>
        <w:fldChar w:fldCharType="begin"/>
      </w:r>
      <w:r w:rsidR="00FF53C1">
        <w:instrText xml:space="preserve"> ADDIN EN.CITE &lt;EndNote&gt;&lt;Cite AuthorYear="1"&gt;&lt;Author&gt;Carroll&lt;/Author&gt;&lt;Year&gt;2006&lt;/Year&gt;&lt;RecNum&gt;314&lt;/RecNum&gt;&lt;DisplayText&gt;Carroll, McLaughlin, and Blake (2006)&lt;/DisplayText&gt;&lt;record&gt;&lt;rec-number&gt;314&lt;/rec-number&gt;&lt;foreign-keys&gt;&lt;key app="EN" db-id="02dwfapew02tdked2f4p0xerwdapvw5vztpp"&gt;314&lt;/key&gt;&lt;key app="ENWeb" db-id="R1rfKArtmCQAAH0-ETQ"&gt;860&lt;/key&gt;&lt;/foreign-keys&gt;&lt;ref-type name="Journal Article"&gt;17&lt;/ref-type&gt;&lt;contributors&gt;&lt;authors&gt;&lt;author&gt;Carroll, Bronwen C.&lt;/author&gt;&lt;author&gt;McLaughlin, Thomas J.&lt;/author&gt;&lt;author&gt;Blake, Diane R.&lt;/author&gt;&lt;/authors&gt;&lt;/contributors&gt;&lt;titles&gt;&lt;title&gt;Patterns and knowledge of nonmedical use of stimulants among college students&lt;/title&gt;&lt;secondary-title&gt;Archives of Pediatrics &amp;amp; Adolescent Medicine&lt;/secondary-title&gt;&lt;/titles&gt;&lt;periodical&gt;&lt;full-title&gt;Archives of Pediatrics &amp;amp; Adolescent Medicine&lt;/full-title&gt;&lt;/periodical&gt;&lt;pages&gt;481-485&lt;/pages&gt;&lt;volume&gt;160&lt;/volume&gt;&lt;number&gt;5&lt;/number&gt;&lt;dates&gt;&lt;year&gt;2006&lt;/year&gt;&lt;pub-dates&gt;&lt;date&gt;May 1, 2006&lt;/date&gt;&lt;/pub-dates&gt;&lt;/dates&gt;&lt;urls&gt;&lt;related-urls&gt;&lt;url&gt;http://archpedi.ama-assn.org/cgi/content/abstract/160/5/481&lt;/url&gt;&lt;/related-urls&gt;&lt;/urls&gt;&lt;electronic-resource-num&gt;10.1001/archpedi.160.5.481&lt;/electronic-resource-num&gt;&lt;/record&gt;&lt;/Cite&gt;&lt;/EndNote&gt;</w:instrText>
      </w:r>
      <w:r>
        <w:fldChar w:fldCharType="separate"/>
      </w:r>
      <w:hyperlink w:anchor="_ENREF_10" w:tooltip="Carroll, 2006 #314" w:history="1">
        <w:r w:rsidR="00D213F7">
          <w:rPr>
            <w:noProof/>
          </w:rPr>
          <w:t>Carroll, McLaughlin, and Blake (2006</w:t>
        </w:r>
      </w:hyperlink>
      <w:r w:rsidR="00FF53C1">
        <w:rPr>
          <w:noProof/>
        </w:rPr>
        <w:t>)</w:t>
      </w:r>
      <w:r>
        <w:fldChar w:fldCharType="end"/>
      </w:r>
      <w:r w:rsidR="005943BB">
        <w:t xml:space="preserve"> </w:t>
      </w:r>
      <w:r w:rsidR="0072640C">
        <w:t>contributed to this body of literature by exploring the perceptions among peers and the efficacy of using prescription stimulants</w:t>
      </w:r>
      <w:r w:rsidR="00D04D8F">
        <w:t xml:space="preserve"> illicitly</w:t>
      </w:r>
      <w:r w:rsidR="0072640C">
        <w:t>.</w:t>
      </w:r>
      <w:r w:rsidR="00126312">
        <w:t xml:space="preserve"> </w:t>
      </w:r>
      <w:r w:rsidR="00B71226">
        <w:t>Of the 347 students</w:t>
      </w:r>
      <w:r w:rsidR="005943BB">
        <w:t xml:space="preserve"> who completed the survey</w:t>
      </w:r>
      <w:r w:rsidR="004A3D45">
        <w:t xml:space="preserve"> at a single institution</w:t>
      </w:r>
      <w:r w:rsidR="00B71226">
        <w:t>, 9.2% reported illicit use of prescription stimulants, 71.6% of students reported knowing peers that ha</w:t>
      </w:r>
      <w:r w:rsidR="00DF2573">
        <w:t>d</w:t>
      </w:r>
      <w:r w:rsidR="00B71226">
        <w:t xml:space="preserve"> illicitly used prescription stimulants, 44.3% knew someone who went to a doctor for a prescription knowing they did not have </w:t>
      </w:r>
      <w:r w:rsidR="00D04D8F">
        <w:t>ADHD</w:t>
      </w:r>
      <w:r w:rsidR="00B71226">
        <w:t>, and 53% knew someone selling their prescription to students. Students who indicated they had illicitly used prescription stimulants stated the main reasons for us</w:t>
      </w:r>
      <w:r w:rsidR="00280241">
        <w:t>ing</w:t>
      </w:r>
      <w:r w:rsidR="00B71226">
        <w:t xml:space="preserve"> </w:t>
      </w:r>
      <w:r w:rsidR="00280241">
        <w:t>w</w:t>
      </w:r>
      <w:r w:rsidR="00DF2573">
        <w:t>ere</w:t>
      </w:r>
      <w:r w:rsidR="00B71226">
        <w:t xml:space="preserve"> for </w:t>
      </w:r>
      <w:r w:rsidR="00B71226">
        <w:lastRenderedPageBreak/>
        <w:t xml:space="preserve">studying longer (96.8%), </w:t>
      </w:r>
      <w:r w:rsidR="00C8762B">
        <w:t xml:space="preserve">staying </w:t>
      </w:r>
      <w:proofErr w:type="gramStart"/>
      <w:r w:rsidR="00C8762B">
        <w:t>awake</w:t>
      </w:r>
      <w:proofErr w:type="gramEnd"/>
      <w:r w:rsidR="00C8762B">
        <w:t xml:space="preserve"> (96.8%), </w:t>
      </w:r>
      <w:r w:rsidR="00B71226">
        <w:t>studying better (83.9%), and losing weight (51.7%). Students who indicated they had not used prescription stimulants but had friends that did</w:t>
      </w:r>
      <w:r w:rsidR="00DF2573">
        <w:t>,</w:t>
      </w:r>
      <w:r w:rsidR="00B71226">
        <w:t xml:space="preserve"> demonstrated a similar </w:t>
      </w:r>
      <w:r w:rsidR="00280241">
        <w:t>understanding</w:t>
      </w:r>
      <w:r w:rsidR="00B71226">
        <w:t xml:space="preserve"> </w:t>
      </w:r>
      <w:r w:rsidR="00D75CB1">
        <w:t>of</w:t>
      </w:r>
      <w:r w:rsidR="00B71226">
        <w:t xml:space="preserve"> reasons </w:t>
      </w:r>
      <w:r w:rsidR="00ED13B0">
        <w:t xml:space="preserve">of </w:t>
      </w:r>
      <w:r w:rsidR="00D04D8F">
        <w:t>ab</w:t>
      </w:r>
      <w:r w:rsidR="00B71226">
        <w:t xml:space="preserve">use. They believed students used prescription stimulants for </w:t>
      </w:r>
      <w:r w:rsidR="00C8762B">
        <w:t xml:space="preserve">studying longer (78.8%), staying </w:t>
      </w:r>
      <w:proofErr w:type="gramStart"/>
      <w:r w:rsidR="00C8762B">
        <w:t>awake</w:t>
      </w:r>
      <w:proofErr w:type="gramEnd"/>
      <w:r w:rsidR="00C8762B">
        <w:t xml:space="preserve"> (73.4%), studying better (64.7%), relaxing (27.5%), remembering more (28.5%)</w:t>
      </w:r>
      <w:r w:rsidR="00DF2573">
        <w:t>,</w:t>
      </w:r>
      <w:r w:rsidR="00C8762B">
        <w:t xml:space="preserve"> and losing weight (24.9%). Th</w:t>
      </w:r>
      <w:r w:rsidR="004C5439">
        <w:t>ese</w:t>
      </w:r>
      <w:r w:rsidR="00C8762B">
        <w:t xml:space="preserve"> data suggest students are aware of the effects of the prescription stimulants</w:t>
      </w:r>
      <w:r w:rsidR="00D04D8F">
        <w:t xml:space="preserve"> </w:t>
      </w:r>
      <w:r w:rsidR="00DF2573">
        <w:t xml:space="preserve">even </w:t>
      </w:r>
      <w:r w:rsidR="00D04D8F">
        <w:t>without illicitly using the drugs</w:t>
      </w:r>
      <w:r w:rsidR="00C8762B">
        <w:t xml:space="preserve">. </w:t>
      </w:r>
      <w:r w:rsidR="00280241">
        <w:t xml:space="preserve">Students </w:t>
      </w:r>
      <w:r w:rsidR="00126312">
        <w:t xml:space="preserve">who believed </w:t>
      </w:r>
      <w:r w:rsidR="005943BB">
        <w:t xml:space="preserve">the myths that </w:t>
      </w:r>
      <w:r w:rsidR="00B07C68">
        <w:t>prescription stimulants help</w:t>
      </w:r>
      <w:r w:rsidR="00DF2573">
        <w:t>ed</w:t>
      </w:r>
      <w:r w:rsidR="00B07C68">
        <w:t xml:space="preserve"> </w:t>
      </w:r>
      <w:r w:rsidR="002311AD">
        <w:t>individuals</w:t>
      </w:r>
      <w:r w:rsidR="00B07C68">
        <w:t xml:space="preserve"> study better (O</w:t>
      </w:r>
      <w:r w:rsidR="00126312">
        <w:t xml:space="preserve">dds </w:t>
      </w:r>
      <w:r w:rsidR="00B07C68">
        <w:t>R</w:t>
      </w:r>
      <w:r w:rsidR="00126312">
        <w:t>atio</w:t>
      </w:r>
      <w:r w:rsidR="00B07C68">
        <w:t>=3.17), stay awake (</w:t>
      </w:r>
      <w:r w:rsidR="00D04D8F">
        <w:t>O</w:t>
      </w:r>
      <w:r w:rsidR="00126312">
        <w:t xml:space="preserve">dds </w:t>
      </w:r>
      <w:r w:rsidR="00D04D8F">
        <w:t>R</w:t>
      </w:r>
      <w:r w:rsidR="00126312">
        <w:t>atio</w:t>
      </w:r>
      <w:r w:rsidR="00D04D8F">
        <w:t>=</w:t>
      </w:r>
      <w:r w:rsidR="00B07C68">
        <w:t>9.04), and lose weight (</w:t>
      </w:r>
      <w:r w:rsidR="00D04D8F">
        <w:t>O</w:t>
      </w:r>
      <w:r w:rsidR="00126312">
        <w:t xml:space="preserve">dds </w:t>
      </w:r>
      <w:r w:rsidR="00D04D8F">
        <w:t>R</w:t>
      </w:r>
      <w:r w:rsidR="00126312">
        <w:t>atio</w:t>
      </w:r>
      <w:r w:rsidR="00D04D8F">
        <w:t>=</w:t>
      </w:r>
      <w:r w:rsidR="00B07C68">
        <w:t>2.45) had a significantly greater chance of engaging in prescription stimulants use.</w:t>
      </w:r>
    </w:p>
    <w:p w:rsidR="000D1CDB" w:rsidRDefault="00550107" w:rsidP="003F6BB5">
      <w:r>
        <w:fldChar w:fldCharType="begin"/>
      </w:r>
      <w:r w:rsidR="00FF53C1">
        <w:instrText xml:space="preserve"> ADDIN EN.CITE &lt;EndNote&gt;&lt;Cite AuthorYear="1"&gt;&lt;Author&gt;Rabiner&lt;/Author&gt;&lt;Year&gt;2009&lt;/Year&gt;&lt;RecNum&gt;380&lt;/RecNum&gt;&lt;DisplayText&gt;Rabiner et al. (2009)&lt;/DisplayText&gt;&lt;record&gt;&lt;rec-number&gt;380&lt;/rec-number&gt;&lt;foreign-keys&gt;&lt;key app="EN" db-id="02dwfapew02tdked2f4p0xerwdapvw5vztpp"&gt;380&lt;/key&gt;&lt;key app="ENWeb" db-id="R1rfKArtmCQAAH0-ETQ"&gt;593&lt;/key&gt;&lt;/foreign-keys&gt;&lt;ref-type name="Journal Article"&gt;17&lt;/ref-type&gt;&lt;contributors&gt;&lt;authors&gt;&lt;author&gt;Rabiner, David L.&lt;/author&gt;&lt;author&gt;Anastopoulos, Arthur D.&lt;/author&gt;&lt;author&gt;Costello, E. Jane&lt;/author&gt;&lt;author&gt;Hoyle, Rick H.&lt;/author&gt;&lt;author&gt;McCabe, Sean Esteban&lt;/author&gt;&lt;author&gt;Swartzwelder, H. Scott&lt;/author&gt;&lt;/authors&gt;&lt;/contributors&gt;&lt;titles&gt;&lt;title&gt;Motives and perceived consequences of nonmedical ADHD medication use by college students&lt;/title&gt;&lt;secondary-title&gt;Journal of Attention Disorders&lt;/secondary-title&gt;&lt;/titles&gt;&lt;periodical&gt;&lt;full-title&gt;Journal of Attention Disorders&lt;/full-title&gt;&lt;/periodical&gt;&lt;pages&gt;259-270&lt;/pages&gt;&lt;volume&gt;13&lt;/volume&gt;&lt;number&gt;3&lt;/number&gt;&lt;dates&gt;&lt;year&gt;2009&lt;/year&gt;&lt;pub-dates&gt;&lt;date&gt;November 1, 2009&lt;/date&gt;&lt;/pub-dates&gt;&lt;/dates&gt;&lt;urls&gt;&lt;related-urls&gt;&lt;url&gt;http://jad.sagepub.com/content/13/3/259.abstract&lt;/url&gt;&lt;url&gt;http://jad.sagepub.com/content/13/3/259.full.pdf&lt;/url&gt;&lt;/related-urls&gt;&lt;/urls&gt;&lt;electronic-resource-num&gt;10.1177/1087054708320399&lt;/electronic-resource-num&gt;&lt;/record&gt;&lt;/Cite&gt;&lt;/EndNote&gt;</w:instrText>
      </w:r>
      <w:r>
        <w:fldChar w:fldCharType="separate"/>
      </w:r>
      <w:hyperlink w:anchor="_ENREF_50" w:tooltip="Rabiner, 2009 #380" w:history="1">
        <w:r w:rsidR="00D213F7">
          <w:rPr>
            <w:noProof/>
          </w:rPr>
          <w:t>Rabiner et al. (2009</w:t>
        </w:r>
      </w:hyperlink>
      <w:r w:rsidR="00FF53C1">
        <w:rPr>
          <w:noProof/>
        </w:rPr>
        <w:t>)</w:t>
      </w:r>
      <w:r>
        <w:fldChar w:fldCharType="end"/>
      </w:r>
      <w:r w:rsidR="00B07C68">
        <w:t xml:space="preserve"> hoped to expand on this information and determine </w:t>
      </w:r>
      <w:r w:rsidR="00280241">
        <w:t>a motive’s</w:t>
      </w:r>
      <w:r w:rsidR="00B07C68">
        <w:t xml:space="preserve"> frequency for using prescription stimulants. Therefore, instead of asking whether a general motive was a factor, </w:t>
      </w:r>
      <w:r w:rsidR="00DF2573">
        <w:t xml:space="preserve">they </w:t>
      </w:r>
      <w:r w:rsidR="00B07C68">
        <w:t xml:space="preserve">wanted to know how often that motive </w:t>
      </w:r>
      <w:r w:rsidR="00280241">
        <w:t>was a factor in the decision f</w:t>
      </w:r>
      <w:r w:rsidR="00B07C68">
        <w:t>o</w:t>
      </w:r>
      <w:r w:rsidR="00280241">
        <w:t>r</w:t>
      </w:r>
      <w:r w:rsidR="00B07C68">
        <w:t xml:space="preserve"> engag</w:t>
      </w:r>
      <w:r w:rsidR="00280241">
        <w:t>ing</w:t>
      </w:r>
      <w:r w:rsidR="00B07C68">
        <w:t xml:space="preserve"> in prescription stimulant </w:t>
      </w:r>
      <w:r w:rsidR="00D04D8F">
        <w:t>use. They distributed a survey at</w:t>
      </w:r>
      <w:r w:rsidR="00B07C68">
        <w:t xml:space="preserve"> two institutions, a public and private institution </w:t>
      </w:r>
      <w:r w:rsidR="00D04D8F">
        <w:t>located in the S</w:t>
      </w:r>
      <w:r w:rsidR="007161F9">
        <w:t>outheastern United States.</w:t>
      </w:r>
      <w:r w:rsidR="00126312">
        <w:t xml:space="preserve"> </w:t>
      </w:r>
      <w:r w:rsidR="007161F9">
        <w:t xml:space="preserve">The survey measured basic demographic information, </w:t>
      </w:r>
      <w:r w:rsidR="00280241">
        <w:t xml:space="preserve">use of </w:t>
      </w:r>
      <w:r w:rsidR="007161F9">
        <w:t xml:space="preserve">nonmedical ADHD medication, motivations </w:t>
      </w:r>
      <w:r w:rsidR="00280241">
        <w:t>for said</w:t>
      </w:r>
      <w:r w:rsidR="007161F9">
        <w:t xml:space="preserve"> use, possible adverse consequences, ADHD symptoms, depressive symptoms, nonmedical use of other medications, substance use, and academic concerns. </w:t>
      </w:r>
    </w:p>
    <w:p w:rsidR="007161F9" w:rsidRDefault="007161F9" w:rsidP="003F6BB5">
      <w:r>
        <w:t>The survey was distributed via email to 9,825 students and had a response rate of 35%. Of those that responded to the survey, 8.9% of the students reported nonmedical use of prescription stimulants</w:t>
      </w:r>
      <w:r w:rsidR="002C1CFD">
        <w:t xml:space="preserve"> </w:t>
      </w:r>
      <w:r w:rsidR="00550107">
        <w:fldChar w:fldCharType="begin"/>
      </w:r>
      <w:r w:rsidR="00E96A70">
        <w:instrText xml:space="preserve"> ADDIN EN.CITE &lt;EndNote&gt;&lt;Cite&gt;&lt;Author&gt;Rabiner&lt;/Author&gt;&lt;Year&gt;2009&lt;/Year&gt;&lt;RecNum&gt;380&lt;/RecNum&gt;&lt;DisplayText&gt;(Rabiner et al., 2009)&lt;/DisplayText&gt;&lt;record&gt;&lt;rec-number&gt;380&lt;/rec-number&gt;&lt;foreign-keys&gt;&lt;key app="EN" db-id="02dwfapew02tdked2f4p0xerwdapvw5vztpp"&gt;380&lt;/key&gt;&lt;key app="ENWeb" db-id="R1rfKArtmCQAAH0-ETQ"&gt;593&lt;/key&gt;&lt;/foreign-keys&gt;&lt;ref-type name="Journal Article"&gt;17&lt;/ref-type&gt;&lt;contributors&gt;&lt;authors&gt;&lt;author&gt;Rabiner, David L.&lt;/author&gt;&lt;author&gt;Anastopoulos, Arthur D.&lt;/author&gt;&lt;author&gt;Costello, E. Jane&lt;/author&gt;&lt;author&gt;Hoyle, Rick H.&lt;/author&gt;&lt;author&gt;McCabe, Sean Esteban&lt;/author&gt;&lt;author&gt;Swartzwelder, H. Scott&lt;/author&gt;&lt;/authors&gt;&lt;/contributors&gt;&lt;titles&gt;&lt;title&gt;Motives and perceived consequences of nonmedical ADHD medication use by college students&lt;/title&gt;&lt;secondary-title&gt;Journal of Attention Disorders&lt;/secondary-title&gt;&lt;/titles&gt;&lt;periodical&gt;&lt;full-title&gt;Journal of Attention Disorders&lt;/full-title&gt;&lt;/periodical&gt;&lt;pages&gt;259-270&lt;/pages&gt;&lt;volume&gt;13&lt;/volume&gt;&lt;number&gt;3&lt;/number&gt;&lt;dates&gt;&lt;year&gt;2009&lt;/year&gt;&lt;pub-dates&gt;&lt;date&gt;November 1, 2009&lt;/date&gt;&lt;/pub-dates&gt;&lt;/dates&gt;&lt;urls&gt;&lt;related-urls&gt;&lt;url&gt;http://jad.sagepub.com/content/13/3/259.abstract&lt;/url&gt;&lt;url&gt;http://jad.sagepub.com/content/13/3/259.full.pdf&lt;/url&gt;&lt;/related-urls&gt;&lt;/urls&gt;&lt;electronic-resource-num&gt;10.1177/1087054708320399&lt;/electronic-resource-num&gt;&lt;/record&gt;&lt;/Cite&gt;&lt;/EndNote&gt;</w:instrText>
      </w:r>
      <w:r w:rsidR="00550107">
        <w:fldChar w:fldCharType="separate"/>
      </w:r>
      <w:r w:rsidR="00E96A70">
        <w:rPr>
          <w:noProof/>
        </w:rPr>
        <w:t>(</w:t>
      </w:r>
      <w:hyperlink w:anchor="_ENREF_50" w:tooltip="Rabiner, 2009 #380" w:history="1">
        <w:r w:rsidR="00D213F7">
          <w:rPr>
            <w:noProof/>
          </w:rPr>
          <w:t>Rabiner et al., 2009</w:t>
        </w:r>
      </w:hyperlink>
      <w:r w:rsidR="00E96A70">
        <w:rPr>
          <w:noProof/>
        </w:rPr>
        <w:t>)</w:t>
      </w:r>
      <w:r w:rsidR="00550107">
        <w:fldChar w:fldCharType="end"/>
      </w:r>
      <w:r>
        <w:t>.</w:t>
      </w:r>
      <w:r w:rsidR="000D1CDB">
        <w:t xml:space="preserve"> T</w:t>
      </w:r>
      <w:r>
        <w:t xml:space="preserve">he three most </w:t>
      </w:r>
      <w:r w:rsidR="00D75CB1">
        <w:t xml:space="preserve">frequently </w:t>
      </w:r>
      <w:r>
        <w:t xml:space="preserve">endorsed statements for the </w:t>
      </w:r>
      <w:r w:rsidR="00D04D8F">
        <w:t>illicit use</w:t>
      </w:r>
      <w:r>
        <w:t xml:space="preserve"> </w:t>
      </w:r>
      <w:r w:rsidR="00D04D8F">
        <w:t>included</w:t>
      </w:r>
      <w:r>
        <w:t xml:space="preserve"> concentrat</w:t>
      </w:r>
      <w:r w:rsidR="00D04D8F">
        <w:t>ing</w:t>
      </w:r>
      <w:r>
        <w:t xml:space="preserve"> better while studying, study</w:t>
      </w:r>
      <w:r w:rsidR="00D04D8F">
        <w:t>ing longer, and</w:t>
      </w:r>
      <w:r>
        <w:t xml:space="preserve"> feel</w:t>
      </w:r>
      <w:r w:rsidR="00D04D8F">
        <w:t>ing</w:t>
      </w:r>
      <w:r>
        <w:t xml:space="preserve"> less restless while studying. </w:t>
      </w:r>
      <w:r w:rsidR="00FD05AA">
        <w:t>Sixty</w:t>
      </w:r>
      <w:r w:rsidR="006F1231">
        <w:t>-</w:t>
      </w:r>
      <w:r w:rsidR="00FD05AA">
        <w:t>one percent of students indicate</w:t>
      </w:r>
      <w:r w:rsidR="00D75CB1">
        <w:t>d</w:t>
      </w:r>
      <w:r w:rsidR="00FD05AA">
        <w:t xml:space="preserve"> these motives </w:t>
      </w:r>
      <w:r w:rsidR="00D75CB1">
        <w:t>were</w:t>
      </w:r>
      <w:r w:rsidR="00FD05AA">
        <w:t xml:space="preserve"> “often” or </w:t>
      </w:r>
      <w:r w:rsidR="00FD05AA">
        <w:lastRenderedPageBreak/>
        <w:t xml:space="preserve">“always” a reason for illicitly using prescription stimulants. </w:t>
      </w:r>
      <w:r>
        <w:t xml:space="preserve">Students did not </w:t>
      </w:r>
      <w:r w:rsidR="000D1CDB">
        <w:t xml:space="preserve">generally </w:t>
      </w:r>
      <w:r>
        <w:t>endorse using prescription stimulants for recreational purposes, which included feel</w:t>
      </w:r>
      <w:r w:rsidR="00D04D8F">
        <w:t xml:space="preserve">ing better, </w:t>
      </w:r>
      <w:r>
        <w:t>get</w:t>
      </w:r>
      <w:r w:rsidR="00D04D8F">
        <w:t xml:space="preserve">ting high, </w:t>
      </w:r>
      <w:r>
        <w:t>prolong</w:t>
      </w:r>
      <w:r w:rsidR="00D04D8F">
        <w:t>ing</w:t>
      </w:r>
      <w:r>
        <w:t xml:space="preserve"> intoxicating effects of other su</w:t>
      </w:r>
      <w:r w:rsidR="00D04D8F">
        <w:t>bstances, and</w:t>
      </w:r>
      <w:r>
        <w:t xml:space="preserve"> los</w:t>
      </w:r>
      <w:r w:rsidR="00D04D8F">
        <w:t>ing</w:t>
      </w:r>
      <w:r>
        <w:t xml:space="preserve"> weight. In fact, students who stated </w:t>
      </w:r>
      <w:r w:rsidR="00D04D8F">
        <w:t>“</w:t>
      </w:r>
      <w:r>
        <w:t>often</w:t>
      </w:r>
      <w:r w:rsidR="00D04D8F">
        <w:t>”</w:t>
      </w:r>
      <w:r>
        <w:t xml:space="preserve"> or </w:t>
      </w:r>
      <w:r w:rsidR="00D04D8F">
        <w:t>“</w:t>
      </w:r>
      <w:r>
        <w:t>always</w:t>
      </w:r>
      <w:r w:rsidR="00D04D8F">
        <w:t>” for recreational motives</w:t>
      </w:r>
      <w:r>
        <w:t xml:space="preserve"> accounted for </w:t>
      </w:r>
      <w:r w:rsidR="004C5439">
        <w:t xml:space="preserve">only </w:t>
      </w:r>
      <w:r>
        <w:t>2</w:t>
      </w:r>
      <w:r w:rsidR="00D04D8F">
        <w:t>%</w:t>
      </w:r>
      <w:r>
        <w:t xml:space="preserve"> to 6% of students</w:t>
      </w:r>
      <w:r w:rsidR="002C1CFD">
        <w:t xml:space="preserve"> </w:t>
      </w:r>
      <w:r w:rsidR="00550107">
        <w:fldChar w:fldCharType="begin"/>
      </w:r>
      <w:r w:rsidR="00E96A70">
        <w:instrText xml:space="preserve"> ADDIN EN.CITE &lt;EndNote&gt;&lt;Cite&gt;&lt;Author&gt;Rabiner&lt;/Author&gt;&lt;Year&gt;2009&lt;/Year&gt;&lt;RecNum&gt;380&lt;/RecNum&gt;&lt;DisplayText&gt;(Rabiner et al., 2009)&lt;/DisplayText&gt;&lt;record&gt;&lt;rec-number&gt;380&lt;/rec-number&gt;&lt;foreign-keys&gt;&lt;key app="EN" db-id="02dwfapew02tdked2f4p0xerwdapvw5vztpp"&gt;380&lt;/key&gt;&lt;key app="ENWeb" db-id="R1rfKArtmCQAAH0-ETQ"&gt;593&lt;/key&gt;&lt;/foreign-keys&gt;&lt;ref-type name="Journal Article"&gt;17&lt;/ref-type&gt;&lt;contributors&gt;&lt;authors&gt;&lt;author&gt;Rabiner, David L.&lt;/author&gt;&lt;author&gt;Anastopoulos, Arthur D.&lt;/author&gt;&lt;author&gt;Costello, E. Jane&lt;/author&gt;&lt;author&gt;Hoyle, Rick H.&lt;/author&gt;&lt;author&gt;McCabe, Sean Esteban&lt;/author&gt;&lt;author&gt;Swartzwelder, H. Scott&lt;/author&gt;&lt;/authors&gt;&lt;/contributors&gt;&lt;titles&gt;&lt;title&gt;Motives and perceived consequences of nonmedical ADHD medication use by college students&lt;/title&gt;&lt;secondary-title&gt;Journal of Attention Disorders&lt;/secondary-title&gt;&lt;/titles&gt;&lt;periodical&gt;&lt;full-title&gt;Journal of Attention Disorders&lt;/full-title&gt;&lt;/periodical&gt;&lt;pages&gt;259-270&lt;/pages&gt;&lt;volume&gt;13&lt;/volume&gt;&lt;number&gt;3&lt;/number&gt;&lt;dates&gt;&lt;year&gt;2009&lt;/year&gt;&lt;pub-dates&gt;&lt;date&gt;November 1, 2009&lt;/date&gt;&lt;/pub-dates&gt;&lt;/dates&gt;&lt;urls&gt;&lt;related-urls&gt;&lt;url&gt;http://jad.sagepub.com/content/13/3/259.abstract&lt;/url&gt;&lt;url&gt;http://jad.sagepub.com/content/13/3/259.full.pdf&lt;/url&gt;&lt;/related-urls&gt;&lt;/urls&gt;&lt;electronic-resource-num&gt;10.1177/1087054708320399&lt;/electronic-resource-num&gt;&lt;/record&gt;&lt;/Cite&gt;&lt;/EndNote&gt;</w:instrText>
      </w:r>
      <w:r w:rsidR="00550107">
        <w:fldChar w:fldCharType="separate"/>
      </w:r>
      <w:r w:rsidR="00E96A70">
        <w:rPr>
          <w:noProof/>
        </w:rPr>
        <w:t>(</w:t>
      </w:r>
      <w:hyperlink w:anchor="_ENREF_50" w:tooltip="Rabiner, 2009 #380" w:history="1">
        <w:r w:rsidR="00D213F7">
          <w:rPr>
            <w:noProof/>
          </w:rPr>
          <w:t>Rabiner et al., 2009</w:t>
        </w:r>
      </w:hyperlink>
      <w:r w:rsidR="00E96A70">
        <w:rPr>
          <w:noProof/>
        </w:rPr>
        <w:t>)</w:t>
      </w:r>
      <w:r w:rsidR="00550107">
        <w:fldChar w:fldCharType="end"/>
      </w:r>
      <w:r>
        <w:t>.</w:t>
      </w:r>
    </w:p>
    <w:p w:rsidR="005943BB" w:rsidRDefault="005943BB" w:rsidP="005943BB">
      <w:pPr>
        <w:pStyle w:val="Heading2"/>
      </w:pPr>
      <w:bookmarkStart w:id="22" w:name="_Toc315010460"/>
      <w:r>
        <w:t>Sensation Seeking</w:t>
      </w:r>
      <w:bookmarkEnd w:id="22"/>
    </w:p>
    <w:p w:rsidR="006F1231" w:rsidRDefault="00550107" w:rsidP="003F6BB5">
      <w:r>
        <w:fldChar w:fldCharType="begin"/>
      </w:r>
      <w:r w:rsidR="00A35BE5">
        <w:instrText xml:space="preserve"> ADDIN EN.CITE &lt;EndNote&gt;&lt;Cite AuthorYear="1"&gt;&lt;Author&gt;Low&lt;/Author&gt;&lt;Year&gt;2002&lt;/Year&gt;&lt;RecNum&gt;421&lt;/RecNum&gt;&lt;DisplayText&gt;Low and Gendaszek (2002)&lt;/DisplayText&gt;&lt;record&gt;&lt;rec-number&gt;421&lt;/rec-number&gt;&lt;foreign-keys&gt;&lt;key app="EN" db-id="02dwfapew02tdked2f4p0xerwdapvw5vztpp"&gt;421&lt;/key&gt;&lt;/foreign-keys&gt;&lt;ref-type name="Journal Article"&gt;17&lt;/ref-type&gt;&lt;contributors&gt;&lt;authors&gt;&lt;author&gt;Low, K. Graff&lt;/author&gt;&lt;author&gt;Gendaszek, A. E.&lt;/author&gt;&lt;/authors&gt;&lt;/contributors&gt;&lt;titles&gt;&lt;title&gt;Illicit use of psychostimulants among college students: A preliminary study&lt;/title&gt;&lt;secondary-title&gt;Psychology, Health &amp;amp; Medicine&lt;/secondary-title&gt;&lt;/titles&gt;&lt;periodical&gt;&lt;full-title&gt;Psychology, Health &amp;amp; Medicine&lt;/full-title&gt;&lt;/periodical&gt;&lt;pages&gt;283 - 287&lt;/pages&gt;&lt;volume&gt;7&lt;/volume&gt;&lt;number&gt;3&lt;/number&gt;&lt;dates&gt;&lt;year&gt;2002&lt;/year&gt;&lt;/dates&gt;&lt;isbn&gt;1354-8506&lt;/isbn&gt;&lt;urls&gt;&lt;related-urls&gt;&lt;url&gt;http://www.informaworld.com/10.1080/13548500220139386&lt;/url&gt;&lt;/related-urls&gt;&lt;/urls&gt;&lt;access-date&gt;June 01, 2011&lt;/access-date&gt;&lt;/record&gt;&lt;/Cite&gt;&lt;/EndNote&gt;</w:instrText>
      </w:r>
      <w:r>
        <w:fldChar w:fldCharType="separate"/>
      </w:r>
      <w:hyperlink w:anchor="_ENREF_28" w:tooltip="Low, 2002 #421" w:history="1">
        <w:r w:rsidR="00D213F7">
          <w:rPr>
            <w:noProof/>
          </w:rPr>
          <w:t>Low and Gendaszek (2002</w:t>
        </w:r>
      </w:hyperlink>
      <w:r w:rsidR="00A35BE5">
        <w:rPr>
          <w:noProof/>
        </w:rPr>
        <w:t>)</w:t>
      </w:r>
      <w:r>
        <w:fldChar w:fldCharType="end"/>
      </w:r>
      <w:r w:rsidR="001B556A">
        <w:t xml:space="preserve"> </w:t>
      </w:r>
      <w:r w:rsidR="000D1CDB">
        <w:t>studie</w:t>
      </w:r>
      <w:r w:rsidR="004C5439">
        <w:t>d</w:t>
      </w:r>
      <w:r w:rsidR="000D1CDB">
        <w:t xml:space="preserve"> </w:t>
      </w:r>
      <w:r w:rsidR="0025541B">
        <w:t>whether students</w:t>
      </w:r>
      <w:r w:rsidR="004E724B">
        <w:t>’</w:t>
      </w:r>
      <w:r w:rsidR="0025541B">
        <w:t xml:space="preserve"> need for perfection </w:t>
      </w:r>
      <w:r w:rsidR="004E724B">
        <w:t>and</w:t>
      </w:r>
      <w:r w:rsidR="0025541B">
        <w:t xml:space="preserve"> sensation seeking contribute</w:t>
      </w:r>
      <w:r w:rsidR="000D1CDB">
        <w:t>d</w:t>
      </w:r>
      <w:r w:rsidR="0025541B">
        <w:t xml:space="preserve"> to their nonmedical use of prescription stimulants</w:t>
      </w:r>
      <w:r w:rsidR="004A3D45">
        <w:t>. They</w:t>
      </w:r>
      <w:r w:rsidR="001B556A">
        <w:t xml:space="preserve"> collect</w:t>
      </w:r>
      <w:r w:rsidR="000D1CDB">
        <w:t>ed</w:t>
      </w:r>
      <w:r w:rsidR="001B556A">
        <w:t xml:space="preserve"> data on students’ motivation for illicitly using prescription stimulants on two personality dimensions, perfectionism and sensation seeking. They </w:t>
      </w:r>
      <w:r w:rsidR="000D1CDB">
        <w:t>used</w:t>
      </w:r>
      <w:r w:rsidR="001B556A">
        <w:t xml:space="preserve"> a convenience sample of 150 students from </w:t>
      </w:r>
      <w:r w:rsidR="007B7785">
        <w:t xml:space="preserve">various </w:t>
      </w:r>
      <w:r w:rsidR="001B556A">
        <w:t>undergraduate psychology classes</w:t>
      </w:r>
      <w:r w:rsidR="000D1CDB">
        <w:t xml:space="preserve"> </w:t>
      </w:r>
      <w:r w:rsidR="00126312">
        <w:t>at a single institution</w:t>
      </w:r>
      <w:r w:rsidR="001B556A">
        <w:t xml:space="preserve">. Students were asked </w:t>
      </w:r>
      <w:r w:rsidR="00976D46">
        <w:t>whether</w:t>
      </w:r>
      <w:r w:rsidR="001B556A">
        <w:t xml:space="preserve"> they have engaged in nonmedical use of prescription stimulants or street amphetamines including </w:t>
      </w:r>
      <w:r w:rsidR="00976D46">
        <w:t>cocaine</w:t>
      </w:r>
      <w:r w:rsidR="001B556A">
        <w:t xml:space="preserve"> and </w:t>
      </w:r>
      <w:r w:rsidR="00976D46">
        <w:t>ecstasy</w:t>
      </w:r>
      <w:r w:rsidR="001B556A">
        <w:t xml:space="preserve">. Additionally, </w:t>
      </w:r>
      <w:r w:rsidR="000D1CDB">
        <w:t xml:space="preserve">they </w:t>
      </w:r>
      <w:r w:rsidR="001B556A">
        <w:t>used two scales for assess</w:t>
      </w:r>
      <w:r w:rsidR="007B7785">
        <w:t>ing</w:t>
      </w:r>
      <w:r w:rsidR="001B556A">
        <w:t xml:space="preserve"> perfectionism and sensation seeking. For evaluating perfectionism, they used the Multidimensional Perfectionism Scale </w:t>
      </w:r>
      <w:r>
        <w:fldChar w:fldCharType="begin"/>
      </w:r>
      <w:r w:rsidR="004C5439">
        <w:instrText xml:space="preserve"> ADDIN EN.CITE &lt;EndNote&gt;&lt;Cite&gt;&lt;Author&gt;Frost&lt;/Author&gt;&lt;Year&gt;1990&lt;/Year&gt;&lt;RecNum&gt;444&lt;/RecNum&gt;&lt;DisplayText&gt;(Frost, Marten, Lahart, &amp;amp; Rosenblatt, 1990)&lt;/DisplayText&gt;&lt;record&gt;&lt;rec-number&gt;444&lt;/rec-number&gt;&lt;foreign-keys&gt;&lt;key app="EN" db-id="02dwfapew02tdked2f4p0xerwdapvw5vztpp"&gt;444&lt;/key&gt;&lt;/foreign-keys&gt;&lt;ref-type name="Journal Article"&gt;17&lt;/ref-type&gt;&lt;contributors&gt;&lt;authors&gt;&lt;author&gt;Frost, R.O.&lt;/author&gt;&lt;author&gt;Marten, P&lt;/author&gt;&lt;author&gt;Lahart, C&lt;/author&gt;&lt;author&gt;Rosenblatt, R&lt;/author&gt;&lt;/authors&gt;&lt;/contributors&gt;&lt;titles&gt;&lt;title&gt;The dimensions of perfectionism&lt;/title&gt;&lt;secondary-title&gt;Cognitive Therapy and Research&lt;/secondary-title&gt;&lt;/titles&gt;&lt;periodical&gt;&lt;full-title&gt;Cognitive Therapy and Research&lt;/full-title&gt;&lt;/periodical&gt;&lt;pages&gt;449-468&lt;/pages&gt;&lt;volume&gt;14&lt;/volume&gt;&lt;dates&gt;&lt;year&gt;1990&lt;/year&gt;&lt;/dates&gt;&lt;urls&gt;&lt;/urls&gt;&lt;/record&gt;&lt;/Cite&gt;&lt;/EndNote&gt;</w:instrText>
      </w:r>
      <w:r>
        <w:fldChar w:fldCharType="separate"/>
      </w:r>
      <w:r w:rsidR="004C5439">
        <w:rPr>
          <w:noProof/>
        </w:rPr>
        <w:t>(</w:t>
      </w:r>
      <w:hyperlink w:anchor="_ENREF_17" w:tooltip="Frost, 1990 #444" w:history="1">
        <w:r w:rsidR="00D213F7">
          <w:rPr>
            <w:noProof/>
          </w:rPr>
          <w:t>Frost, Marten, Lahart, &amp; Rosenblatt, 1990</w:t>
        </w:r>
      </w:hyperlink>
      <w:r w:rsidR="004C5439">
        <w:rPr>
          <w:noProof/>
        </w:rPr>
        <w:t>)</w:t>
      </w:r>
      <w:r>
        <w:fldChar w:fldCharType="end"/>
      </w:r>
      <w:r w:rsidR="004C5439">
        <w:t xml:space="preserve"> </w:t>
      </w:r>
      <w:r w:rsidR="001B556A">
        <w:t>and the Sensation Seeking Scale</w:t>
      </w:r>
      <w:r w:rsidR="004C5439">
        <w:t xml:space="preserve"> </w:t>
      </w:r>
      <w:r>
        <w:fldChar w:fldCharType="begin"/>
      </w:r>
      <w:r w:rsidR="004C5439">
        <w:instrText xml:space="preserve"> ADDIN EN.CITE &lt;EndNote&gt;&lt;Cite&gt;&lt;Author&gt;Zuckerman&lt;/Author&gt;&lt;Year&gt;1964&lt;/Year&gt;&lt;RecNum&gt;445&lt;/RecNum&gt;&lt;DisplayText&gt;(Zuckerman, Kolin, Price, &amp;amp; Zoob, 1964)&lt;/DisplayText&gt;&lt;record&gt;&lt;rec-number&gt;445&lt;/rec-number&gt;&lt;foreign-keys&gt;&lt;key app="EN" db-id="02dwfapew02tdked2f4p0xerwdapvw5vztpp"&gt;445&lt;/key&gt;&lt;/foreign-keys&gt;&lt;ref-type name="Journal Article"&gt;17&lt;/ref-type&gt;&lt;contributors&gt;&lt;authors&gt;&lt;author&gt;Zuckerman, M&lt;/author&gt;&lt;author&gt;Kolin, E.A.&lt;/author&gt;&lt;author&gt;Price, L&lt;/author&gt;&lt;author&gt;Zoob, I&lt;/author&gt;&lt;/authors&gt;&lt;/contributors&gt;&lt;titles&gt;&lt;title&gt;Development of a sensation seeking scale&lt;/title&gt;&lt;secondary-title&gt;Journal of Counsulting Psychology&lt;/secondary-title&gt;&lt;/titles&gt;&lt;periodical&gt;&lt;full-title&gt;Journal of Counsulting Psychology&lt;/full-title&gt;&lt;/periodical&gt;&lt;pages&gt;477-482&lt;/pages&gt;&lt;volume&gt;28&lt;/volume&gt;&lt;dates&gt;&lt;year&gt;1964&lt;/year&gt;&lt;/dates&gt;&lt;urls&gt;&lt;/urls&gt;&lt;/record&gt;&lt;/Cite&gt;&lt;/EndNote&gt;</w:instrText>
      </w:r>
      <w:r>
        <w:fldChar w:fldCharType="separate"/>
      </w:r>
      <w:r w:rsidR="004C5439">
        <w:rPr>
          <w:noProof/>
        </w:rPr>
        <w:t>(</w:t>
      </w:r>
      <w:hyperlink w:anchor="_ENREF_61" w:tooltip="Zuckerman, 1964 #445" w:history="1">
        <w:r w:rsidR="00D213F7">
          <w:rPr>
            <w:noProof/>
          </w:rPr>
          <w:t>Zuckerman, Kolin, Price, &amp; Zoob, 1964</w:t>
        </w:r>
      </w:hyperlink>
      <w:r w:rsidR="004C5439">
        <w:rPr>
          <w:noProof/>
        </w:rPr>
        <w:t>)</w:t>
      </w:r>
      <w:r>
        <w:fldChar w:fldCharType="end"/>
      </w:r>
      <w:r w:rsidR="004E724B">
        <w:t xml:space="preserve"> for evaluating sensation seeking</w:t>
      </w:r>
      <w:r w:rsidR="001B556A">
        <w:t>.</w:t>
      </w:r>
      <w:r w:rsidR="00A20C02">
        <w:t xml:space="preserve"> In order to analyze whether sensation seeking and perfectionism related to illicit stimulant use, they conducted a 2x2 ANOVA with the illicit use of prescription stimulants as the dependent variable. </w:t>
      </w:r>
    </w:p>
    <w:p w:rsidR="001B556A" w:rsidRPr="0086450C" w:rsidRDefault="007B7785" w:rsidP="003F6BB5">
      <w:r>
        <w:t>From the sample of 150</w:t>
      </w:r>
      <w:r w:rsidR="001B556A">
        <w:t xml:space="preserve">, 24% indicated using both Ritalin® and Adderall®. </w:t>
      </w:r>
      <w:r w:rsidR="004E724B">
        <w:t>O</w:t>
      </w:r>
      <w:r w:rsidR="00A20C02">
        <w:t xml:space="preserve">nly 4% </w:t>
      </w:r>
      <w:r w:rsidR="004E7091">
        <w:t>indicated</w:t>
      </w:r>
      <w:r w:rsidR="00A20C02">
        <w:t xml:space="preserve"> using Adderall® and 7.3</w:t>
      </w:r>
      <w:r>
        <w:t>%</w:t>
      </w:r>
      <w:r w:rsidR="00A20C02">
        <w:t xml:space="preserve"> indicated </w:t>
      </w:r>
      <w:r w:rsidR="000D1CDB">
        <w:t xml:space="preserve">only </w:t>
      </w:r>
      <w:r w:rsidR="00A20C02">
        <w:t>using Ritalin®. Students reported the primary motivations for using prescription stimulants as improving intelle</w:t>
      </w:r>
      <w:r>
        <w:t>ctual performance (23.3%), improving</w:t>
      </w:r>
      <w:r w:rsidR="00A20C02">
        <w:t xml:space="preserve"> efficien</w:t>
      </w:r>
      <w:r>
        <w:t>cy</w:t>
      </w:r>
      <w:r w:rsidR="00A20C02">
        <w:t xml:space="preserve"> with academics (22%), and us</w:t>
      </w:r>
      <w:r>
        <w:t>ing in</w:t>
      </w:r>
      <w:r w:rsidR="00A20C02">
        <w:t xml:space="preserve"> combination with alcohol </w:t>
      </w:r>
      <w:r w:rsidR="00A20C02">
        <w:lastRenderedPageBreak/>
        <w:t xml:space="preserve">(19.3%). The 2x2 ANOVA revealed that students </w:t>
      </w:r>
      <w:r>
        <w:t xml:space="preserve">that </w:t>
      </w:r>
      <w:r w:rsidR="000D1CDB">
        <w:t>were</w:t>
      </w:r>
      <w:r>
        <w:t xml:space="preserve"> </w:t>
      </w:r>
      <w:r w:rsidR="00A20C02">
        <w:t>high sensat</w:t>
      </w:r>
      <w:r>
        <w:t>ion seeking perfectionists ha</w:t>
      </w:r>
      <w:r w:rsidR="000D1CDB">
        <w:t>d</w:t>
      </w:r>
      <w:r w:rsidR="00A20C02">
        <w:t xml:space="preserve"> the greatest self-reported abuse </w:t>
      </w:r>
      <w:r>
        <w:t xml:space="preserve">rate </w:t>
      </w:r>
      <w:r w:rsidR="00A20C02">
        <w:t>of prescription stimulants</w:t>
      </w:r>
      <w:r w:rsidR="00126312">
        <w:t>.</w:t>
      </w:r>
      <w:r w:rsidR="0086450C">
        <w:t xml:space="preserve"> Additionally, sensation seeking was a significant main effect for predicting prescription stimulant abuse (</w:t>
      </w:r>
      <w:r w:rsidR="0086450C" w:rsidRPr="0086450C">
        <w:rPr>
          <w:i/>
        </w:rPr>
        <w:t>F=</w:t>
      </w:r>
      <w:r w:rsidR="0086450C">
        <w:t xml:space="preserve">8.8, (1,145), </w:t>
      </w:r>
      <w:r w:rsidR="0086450C" w:rsidRPr="0086450C">
        <w:rPr>
          <w:i/>
        </w:rPr>
        <w:t>p</w:t>
      </w:r>
      <w:r w:rsidR="0086450C">
        <w:rPr>
          <w:i/>
        </w:rPr>
        <w:t xml:space="preserve"> </w:t>
      </w:r>
      <w:r w:rsidR="0086450C">
        <w:t xml:space="preserve">= .004); however, </w:t>
      </w:r>
      <w:r w:rsidR="0086450C" w:rsidRPr="0086450C">
        <w:t xml:space="preserve">perfectionism </w:t>
      </w:r>
      <w:r w:rsidR="0086450C">
        <w:t>was no</w:t>
      </w:r>
      <w:r>
        <w:t>t</w:t>
      </w:r>
      <w:r w:rsidR="0086450C">
        <w:t xml:space="preserve"> significantly related to self-reported use of prescription stimulants (</w:t>
      </w:r>
      <w:r w:rsidR="0086450C" w:rsidRPr="0086450C">
        <w:rPr>
          <w:i/>
        </w:rPr>
        <w:t>F=</w:t>
      </w:r>
      <w:r w:rsidR="0086450C">
        <w:t xml:space="preserve">0.011, (1,145), </w:t>
      </w:r>
      <w:r w:rsidR="0086450C" w:rsidRPr="0086450C">
        <w:rPr>
          <w:i/>
        </w:rPr>
        <w:t>p</w:t>
      </w:r>
      <w:r w:rsidR="0086450C">
        <w:rPr>
          <w:i/>
        </w:rPr>
        <w:t xml:space="preserve"> </w:t>
      </w:r>
      <w:r w:rsidR="0086450C">
        <w:t>= .92)</w:t>
      </w:r>
      <w:r w:rsidR="00126312">
        <w:t xml:space="preserve"> </w:t>
      </w:r>
      <w:r w:rsidR="00550107">
        <w:fldChar w:fldCharType="begin"/>
      </w:r>
      <w:r w:rsidR="00126312">
        <w:instrText xml:space="preserve"> ADDIN EN.CITE &lt;EndNote&gt;&lt;Cite&gt;&lt;Author&gt;Low&lt;/Author&gt;&lt;Year&gt;2002&lt;/Year&gt;&lt;RecNum&gt;421&lt;/RecNum&gt;&lt;DisplayText&gt;(Low &amp;amp; Gendaszek, 2002)&lt;/DisplayText&gt;&lt;record&gt;&lt;rec-number&gt;421&lt;/rec-number&gt;&lt;foreign-keys&gt;&lt;key app="EN" db-id="02dwfapew02tdked2f4p0xerwdapvw5vztpp"&gt;421&lt;/key&gt;&lt;/foreign-keys&gt;&lt;ref-type name="Journal Article"&gt;17&lt;/ref-type&gt;&lt;contributors&gt;&lt;authors&gt;&lt;author&gt;Low, K. Graff&lt;/author&gt;&lt;author&gt;Gendaszek, A. E.&lt;/author&gt;&lt;/authors&gt;&lt;/contributors&gt;&lt;titles&gt;&lt;title&gt;Illicit use of psychostimulants among college students: A preliminary study&lt;/title&gt;&lt;secondary-title&gt;Psychology, Health &amp;amp; Medicine&lt;/secondary-title&gt;&lt;/titles&gt;&lt;periodical&gt;&lt;full-title&gt;Psychology, Health &amp;amp; Medicine&lt;/full-title&gt;&lt;/periodical&gt;&lt;pages&gt;283 - 287&lt;/pages&gt;&lt;volume&gt;7&lt;/volume&gt;&lt;number&gt;3&lt;/number&gt;&lt;dates&gt;&lt;year&gt;2002&lt;/year&gt;&lt;/dates&gt;&lt;isbn&gt;1354-8506&lt;/isbn&gt;&lt;urls&gt;&lt;related-urls&gt;&lt;url&gt;http://www.informaworld.com/10.1080/13548500220139386&lt;/url&gt;&lt;/related-urls&gt;&lt;/urls&gt;&lt;access-date&gt;June 01, 2011&lt;/access-date&gt;&lt;/record&gt;&lt;/Cite&gt;&lt;/EndNote&gt;</w:instrText>
      </w:r>
      <w:r w:rsidR="00550107">
        <w:fldChar w:fldCharType="separate"/>
      </w:r>
      <w:r w:rsidR="00126312">
        <w:rPr>
          <w:noProof/>
        </w:rPr>
        <w:t>(</w:t>
      </w:r>
      <w:hyperlink w:anchor="_ENREF_28" w:tooltip="Low, 2002 #421" w:history="1">
        <w:r w:rsidR="00D213F7">
          <w:rPr>
            <w:noProof/>
          </w:rPr>
          <w:t>Low &amp; Gendaszek, 2002</w:t>
        </w:r>
      </w:hyperlink>
      <w:r w:rsidR="00126312">
        <w:rPr>
          <w:noProof/>
        </w:rPr>
        <w:t>)</w:t>
      </w:r>
      <w:r w:rsidR="00550107">
        <w:fldChar w:fldCharType="end"/>
      </w:r>
      <w:r w:rsidR="00126312">
        <w:t>.</w:t>
      </w:r>
    </w:p>
    <w:p w:rsidR="000D1CDB" w:rsidRDefault="004C5439" w:rsidP="003F6BB5">
      <w:r>
        <w:t xml:space="preserve">The data from </w:t>
      </w:r>
      <w:r w:rsidR="0086450C">
        <w:t>Low and Grandaszek (2002) indicate</w:t>
      </w:r>
      <w:r w:rsidR="000D1CDB">
        <w:t>d</w:t>
      </w:r>
      <w:r w:rsidR="0086450C">
        <w:t xml:space="preserve"> that students who ha</w:t>
      </w:r>
      <w:r w:rsidR="000D1CDB">
        <w:t>d</w:t>
      </w:r>
      <w:r w:rsidR="0086450C">
        <w:t xml:space="preserve"> high sen</w:t>
      </w:r>
      <w:r w:rsidR="004E724B">
        <w:t xml:space="preserve">sation seeking </w:t>
      </w:r>
      <w:r w:rsidR="000D1CDB">
        <w:t>attitudes were</w:t>
      </w:r>
      <w:r w:rsidR="004E724B">
        <w:t xml:space="preserve"> more likely </w:t>
      </w:r>
      <w:proofErr w:type="gramStart"/>
      <w:r w:rsidR="004E724B">
        <w:t>t</w:t>
      </w:r>
      <w:r w:rsidR="0086450C">
        <w:t>o illicitly us</w:t>
      </w:r>
      <w:r w:rsidR="004E724B">
        <w:t>e</w:t>
      </w:r>
      <w:proofErr w:type="gramEnd"/>
      <w:r w:rsidR="004E724B">
        <w:t xml:space="preserve"> </w:t>
      </w:r>
      <w:r w:rsidR="0086450C">
        <w:t xml:space="preserve">prescription stimulants than those </w:t>
      </w:r>
      <w:r w:rsidR="00ED13B0">
        <w:t>with</w:t>
      </w:r>
      <w:r w:rsidR="0086450C">
        <w:t xml:space="preserve"> low sensation seeking attitude</w:t>
      </w:r>
      <w:r w:rsidR="00ED13B0">
        <w:t>s</w:t>
      </w:r>
      <w:r w:rsidR="0086450C">
        <w:t xml:space="preserve">. </w:t>
      </w:r>
      <w:r w:rsidR="00CD6EF8">
        <w:t xml:space="preserve">However, what was unclear from Low and Grandaszek’s (2002) study was students’ </w:t>
      </w:r>
      <w:r w:rsidR="000D1CDB">
        <w:t xml:space="preserve">perceptions of the </w:t>
      </w:r>
      <w:r w:rsidR="00CD6EF8">
        <w:t xml:space="preserve">harmfulness </w:t>
      </w:r>
      <w:r w:rsidR="000D1CDB">
        <w:t xml:space="preserve">of use, </w:t>
      </w:r>
      <w:r w:rsidR="00CD6EF8">
        <w:t xml:space="preserve">and whether that affected </w:t>
      </w:r>
      <w:r w:rsidR="000D1CDB">
        <w:t xml:space="preserve">their </w:t>
      </w:r>
      <w:r w:rsidR="00CD6EF8">
        <w:t xml:space="preserve">willingness to </w:t>
      </w:r>
      <w:r w:rsidR="004B0EDA">
        <w:t>engage</w:t>
      </w:r>
      <w:r w:rsidR="00CD6EF8">
        <w:t xml:space="preserve"> in prescription stimulants. </w:t>
      </w:r>
    </w:p>
    <w:p w:rsidR="004B0EDA" w:rsidRDefault="00550107" w:rsidP="003F6BB5">
      <w:r>
        <w:fldChar w:fldCharType="begin"/>
      </w:r>
      <w:r w:rsidR="00E96A70">
        <w:instrText xml:space="preserve"> ADDIN EN.CITE &lt;EndNote&gt;&lt;Cite AuthorYear="1"&gt;&lt;Author&gt;Arria&lt;/Author&gt;&lt;Year&gt;2008&lt;/Year&gt;&lt;RecNum&gt;402&lt;/RecNum&gt;&lt;DisplayText&gt;Arria, Caldeira, Vincent, O’Grady, and Wish (2008)&lt;/DisplayText&gt;&lt;record&gt;&lt;rec-number&gt;402&lt;/rec-number&gt;&lt;foreign-keys&gt;&lt;key app="EN" db-id="02dwfapew02tdked2f4p0xerwdapvw5vztpp"&gt;402&lt;/key&gt;&lt;key app="ENWeb" db-id="R1rfKArtmCQAAH0-ETQ"&gt;885&lt;/key&gt;&lt;/foreign-keys&gt;&lt;ref-type name="Journal Article"&gt;17&lt;/ref-type&gt;&lt;contributors&gt;&lt;authors&gt;&lt;author&gt;Arria, Amelia&lt;/author&gt;&lt;author&gt;Caldeira, Kimberly&lt;/author&gt;&lt;author&gt;Vincent, Kathryn&lt;/author&gt;&lt;author&gt;O’Grady, Kevin&lt;/author&gt;&lt;author&gt;Wish, Eric&lt;/author&gt;&lt;/authors&gt;&lt;/contributors&gt;&lt;titles&gt;&lt;title&gt;Perceived Harmfulness Predicts Nonmedical Use of Prescription Drugs Among College Students: Interactions with Sensation-Seeking&lt;/title&gt;&lt;secondary-title&gt;Prevention Science&lt;/secondary-title&gt;&lt;/titles&gt;&lt;periodical&gt;&lt;full-title&gt;Prevention Science&lt;/full-title&gt;&lt;/periodical&gt;&lt;pages&gt;191-201&lt;/pages&gt;&lt;volume&gt;9&lt;/volume&gt;&lt;number&gt;3&lt;/number&gt;&lt;keywords&gt;&lt;keyword&gt;Behavioral Science&lt;/keyword&gt;&lt;/keywords&gt;&lt;dates&gt;&lt;year&gt;2008&lt;/year&gt;&lt;/dates&gt;&lt;publisher&gt;Springer Netherlands&lt;/publisher&gt;&lt;isbn&gt;1389-4986&lt;/isbn&gt;&lt;urls&gt;&lt;related-urls&gt;&lt;url&gt;http://dx.doi.org/10.1007/s11121-008-0095-8&lt;/url&gt;&lt;/related-urls&gt;&lt;/urls&gt;&lt;electronic-resource-num&gt;10.1007/s11121-008-0095-8&lt;/electronic-resource-num&gt;&lt;/record&gt;&lt;/Cite&gt;&lt;/EndNote&gt;</w:instrText>
      </w:r>
      <w:r>
        <w:fldChar w:fldCharType="separate"/>
      </w:r>
      <w:hyperlink w:anchor="_ENREF_4" w:tooltip="Arria, 2008 #402" w:history="1">
        <w:r w:rsidR="00D213F7">
          <w:rPr>
            <w:noProof/>
          </w:rPr>
          <w:t>Arria, Caldeira, Vincent, O’Grady, and Wish (2008</w:t>
        </w:r>
      </w:hyperlink>
      <w:r w:rsidR="00E96A70">
        <w:rPr>
          <w:noProof/>
        </w:rPr>
        <w:t>)</w:t>
      </w:r>
      <w:r>
        <w:fldChar w:fldCharType="end"/>
      </w:r>
      <w:r w:rsidR="00CD6EF8">
        <w:t xml:space="preserve"> filled this gap by evaluating students</w:t>
      </w:r>
      <w:r w:rsidR="00ED13B0">
        <w:t>’</w:t>
      </w:r>
      <w:r w:rsidR="00CD6EF8">
        <w:t xml:space="preserve"> level of sensation seeking as it relates to perceived harmfulness for illicitly using prescription stimulants. </w:t>
      </w:r>
      <w:r w:rsidR="004B0EDA">
        <w:t>A screening survey was administered to 3,401</w:t>
      </w:r>
      <w:r w:rsidR="007B7785">
        <w:t xml:space="preserve"> </w:t>
      </w:r>
      <w:r w:rsidR="004B0EDA">
        <w:t xml:space="preserve">incoming students attending orientation at a large Mid-Atlantic institution considered diverse. Students who indicated never illicitly using prescription stimulants </w:t>
      </w:r>
      <w:proofErr w:type="gramStart"/>
      <w:r w:rsidR="004B0EDA">
        <w:t>were excluded</w:t>
      </w:r>
      <w:proofErr w:type="gramEnd"/>
      <w:r w:rsidR="004B0EDA">
        <w:t xml:space="preserve"> from the survey. After the initial screening, p</w:t>
      </w:r>
      <w:r w:rsidR="004B0EDA" w:rsidRPr="004B0EDA">
        <w:t>ersonal interviews, including questions on sensation seeking and drug use</w:t>
      </w:r>
      <w:r w:rsidR="009B2643">
        <w:t>,</w:t>
      </w:r>
      <w:r w:rsidR="004B0EDA" w:rsidRPr="004B0EDA">
        <w:t xml:space="preserve"> were conducted with 1,253 first year college students. </w:t>
      </w:r>
      <w:r w:rsidR="004B0EDA">
        <w:t>Investigators followed up with p</w:t>
      </w:r>
      <w:r w:rsidR="004B0EDA" w:rsidRPr="004B0EDA">
        <w:t>articipants twice</w:t>
      </w:r>
      <w:r w:rsidR="00D75CB1">
        <w:t>,</w:t>
      </w:r>
      <w:r w:rsidR="004B0EDA" w:rsidRPr="004B0EDA">
        <w:t xml:space="preserve"> at 6-month intervals. At the 12-month follow-up interview, drug use was again assessed. Students who never reported drug use were excused from the study. </w:t>
      </w:r>
      <w:r w:rsidR="004B0EDA">
        <w:t xml:space="preserve">The students were </w:t>
      </w:r>
      <w:r w:rsidR="009B2643">
        <w:t xml:space="preserve">assessed </w:t>
      </w:r>
      <w:r w:rsidR="004B0EDA">
        <w:t>in two areas. The first was s</w:t>
      </w:r>
      <w:r w:rsidR="004B0EDA" w:rsidRPr="004B0EDA">
        <w:t>ensation seeking</w:t>
      </w:r>
      <w:r w:rsidR="004B0EDA">
        <w:t xml:space="preserve">, which </w:t>
      </w:r>
      <w:r w:rsidR="009B2643">
        <w:t>involved</w:t>
      </w:r>
      <w:r w:rsidR="004B0EDA">
        <w:t xml:space="preserve"> a</w:t>
      </w:r>
      <w:r w:rsidR="004B0EDA" w:rsidRPr="004B0EDA">
        <w:t xml:space="preserve"> self-administered </w:t>
      </w:r>
      <w:r w:rsidR="004B0EDA">
        <w:t xml:space="preserve">survey based on </w:t>
      </w:r>
      <w:r w:rsidR="004B0EDA" w:rsidRPr="004B0EDA">
        <w:t xml:space="preserve">the Zuckerman-Kuhlman Personality Questionnaire Short Form </w:t>
      </w:r>
      <w:r>
        <w:fldChar w:fldCharType="begin"/>
      </w:r>
      <w:r w:rsidR="00E96A70">
        <w:instrText xml:space="preserve"> ADDIN EN.CITE &lt;EndNote&gt;&lt;Cite&gt;&lt;Author&gt;Zuckerman&lt;/Author&gt;&lt;Year&gt;1964&lt;/Year&gt;&lt;RecNum&gt;445&lt;/RecNum&gt;&lt;DisplayText&gt;(Zuckerman et al., 1964)&lt;/DisplayText&gt;&lt;record&gt;&lt;rec-number&gt;445&lt;/rec-number&gt;&lt;foreign-keys&gt;&lt;key app="EN" db-id="02dwfapew02tdked2f4p0xerwdapvw5vztpp"&gt;445&lt;/key&gt;&lt;/foreign-keys&gt;&lt;ref-type name="Journal Article"&gt;17&lt;/ref-type&gt;&lt;contributors&gt;&lt;authors&gt;&lt;author&gt;Zuckerman, M&lt;/author&gt;&lt;author&gt;Kolin, E.A.&lt;/author&gt;&lt;author&gt;Price, L&lt;/author&gt;&lt;author&gt;Zoob, I&lt;/author&gt;&lt;/authors&gt;&lt;/contributors&gt;&lt;titles&gt;&lt;title&gt;Development of a sensation seeking scale&lt;/title&gt;&lt;secondary-title&gt;Journal of Counsulting Psychology&lt;/secondary-title&gt;&lt;/titles&gt;&lt;periodical&gt;&lt;full-title&gt;Journal of Counsulting Psychology&lt;/full-title&gt;&lt;/periodical&gt;&lt;pages&gt;477-482&lt;/pages&gt;&lt;volume&gt;28&lt;/volume&gt;&lt;dates&gt;&lt;year&gt;1964&lt;/year&gt;&lt;/dates&gt;&lt;urls&gt;&lt;/urls&gt;&lt;/record&gt;&lt;/Cite&gt;&lt;/EndNote&gt;</w:instrText>
      </w:r>
      <w:r>
        <w:fldChar w:fldCharType="separate"/>
      </w:r>
      <w:r w:rsidR="00E96A70">
        <w:rPr>
          <w:noProof/>
        </w:rPr>
        <w:t>(</w:t>
      </w:r>
      <w:hyperlink w:anchor="_ENREF_61" w:tooltip="Zuckerman, 1964 #445" w:history="1">
        <w:r w:rsidR="00D213F7">
          <w:rPr>
            <w:noProof/>
          </w:rPr>
          <w:t>Zuckerman et al., 1964</w:t>
        </w:r>
      </w:hyperlink>
      <w:r w:rsidR="00E96A70">
        <w:rPr>
          <w:noProof/>
        </w:rPr>
        <w:t>)</w:t>
      </w:r>
      <w:r>
        <w:fldChar w:fldCharType="end"/>
      </w:r>
      <w:r w:rsidR="004B0EDA">
        <w:t>. This survey consists of</w:t>
      </w:r>
      <w:r w:rsidR="004B0EDA" w:rsidRPr="004B0EDA">
        <w:t xml:space="preserve"> seven-item subscales measuring impulsive sensation seeking, need for </w:t>
      </w:r>
      <w:r w:rsidR="004B0EDA" w:rsidRPr="004B0EDA">
        <w:lastRenderedPageBreak/>
        <w:t xml:space="preserve">excitement, unpredictability, and </w:t>
      </w:r>
      <w:r w:rsidR="004B0EDA">
        <w:t>need for new experiences</w:t>
      </w:r>
      <w:r w:rsidR="004B0EDA" w:rsidRPr="004B0EDA">
        <w:t xml:space="preserve">, as well as the tendency </w:t>
      </w:r>
      <w:r w:rsidR="004B0EDA">
        <w:t>for impulsive actions</w:t>
      </w:r>
      <w:r w:rsidR="004B0EDA" w:rsidRPr="004B0EDA">
        <w:t xml:space="preserve">. </w:t>
      </w:r>
      <w:r w:rsidR="004B0EDA">
        <w:t>The other independent variable was perceived h</w:t>
      </w:r>
      <w:r w:rsidR="004B0EDA" w:rsidRPr="004B0EDA">
        <w:t>armfulness</w:t>
      </w:r>
      <w:r w:rsidR="004B0EDA">
        <w:t xml:space="preserve">. This survey </w:t>
      </w:r>
      <w:r w:rsidR="004B0EDA" w:rsidRPr="004B0EDA">
        <w:t xml:space="preserve">included </w:t>
      </w:r>
      <w:r w:rsidR="004B0EDA">
        <w:t xml:space="preserve">questions based </w:t>
      </w:r>
      <w:r w:rsidR="004B0EDA" w:rsidRPr="004B0EDA">
        <w:t xml:space="preserve">on the MTF survey. </w:t>
      </w:r>
      <w:r w:rsidR="004B0EDA">
        <w:t xml:space="preserve">The dependent variables of the study included the </w:t>
      </w:r>
      <w:r w:rsidR="004B0EDA" w:rsidRPr="004B0EDA">
        <w:t>nonmedical use of prescription drugs</w:t>
      </w:r>
      <w:r w:rsidR="004C5439">
        <w:t xml:space="preserve"> that</w:t>
      </w:r>
      <w:r w:rsidR="004B0EDA" w:rsidRPr="004B0EDA">
        <w:t xml:space="preserve"> consisted of a set of expanded questions based on the NSDUH survey.</w:t>
      </w:r>
      <w:r w:rsidR="00126312">
        <w:t xml:space="preserve"> </w:t>
      </w:r>
      <w:r w:rsidR="001A2619">
        <w:t>Weighted frequencies were used for assessing the perceived harmfulness of prescription stimulants. Additionally, weighted frequencies were calculated for cocaine, marijuana, and alcohol serving as a base for comparison. A series of logistic regression models w</w:t>
      </w:r>
      <w:r w:rsidR="004C5439">
        <w:t>ere</w:t>
      </w:r>
      <w:r w:rsidR="001A2619">
        <w:t xml:space="preserve"> </w:t>
      </w:r>
      <w:r w:rsidR="00FF53C1">
        <w:t>calculated</w:t>
      </w:r>
      <w:r w:rsidR="001A2619">
        <w:t xml:space="preserve"> to assess the relationship between the perceived harmfulness and nonmedical use of prescription stimulants. The interaction between perceived harmfulness and sensation seeking w</w:t>
      </w:r>
      <w:r w:rsidR="00D75CB1">
        <w:t>as</w:t>
      </w:r>
      <w:r w:rsidR="001A2619">
        <w:t xml:space="preserve"> also tested in the full logistic regression model</w:t>
      </w:r>
      <w:r w:rsidR="00126312">
        <w:t xml:space="preserve"> </w:t>
      </w:r>
      <w:r>
        <w:fldChar w:fldCharType="begin"/>
      </w:r>
      <w:r w:rsidR="00E96A70">
        <w:instrText xml:space="preserve"> ADDIN EN.CITE &lt;EndNote&gt;&lt;Cite&gt;&lt;Author&gt;Arria&lt;/Author&gt;&lt;Year&gt;2008&lt;/Year&gt;&lt;RecNum&gt;402&lt;/RecNum&gt;&lt;DisplayText&gt;(Arria, Caldeira, Vincent, et al., 2008)&lt;/DisplayText&gt;&lt;record&gt;&lt;rec-number&gt;402&lt;/rec-number&gt;&lt;foreign-keys&gt;&lt;key app="EN" db-id="02dwfapew02tdked2f4p0xerwdapvw5vztpp"&gt;402&lt;/key&gt;&lt;key app="ENWeb" db-id="R1rfKArtmCQAAH0-ETQ"&gt;885&lt;/key&gt;&lt;/foreign-keys&gt;&lt;ref-type name="Journal Article"&gt;17&lt;/ref-type&gt;&lt;contributors&gt;&lt;authors&gt;&lt;author&gt;Arria, Amelia&lt;/author&gt;&lt;author&gt;Caldeira, Kimberly&lt;/author&gt;&lt;author&gt;Vincent, Kathryn&lt;/author&gt;&lt;author&gt;O’Grady, Kevin&lt;/author&gt;&lt;author&gt;Wish, Eric&lt;/author&gt;&lt;/authors&gt;&lt;/contributors&gt;&lt;titles&gt;&lt;title&gt;Perceived Harmfulness Predicts Nonmedical Use of Prescription Drugs Among College Students: Interactions with Sensation-Seeking&lt;/title&gt;&lt;secondary-title&gt;Prevention Science&lt;/secondary-title&gt;&lt;/titles&gt;&lt;periodical&gt;&lt;full-title&gt;Prevention Science&lt;/full-title&gt;&lt;/periodical&gt;&lt;pages&gt;191-201&lt;/pages&gt;&lt;volume&gt;9&lt;/volume&gt;&lt;number&gt;3&lt;/number&gt;&lt;keywords&gt;&lt;keyword&gt;Behavioral Science&lt;/keyword&gt;&lt;/keywords&gt;&lt;dates&gt;&lt;year&gt;2008&lt;/year&gt;&lt;/dates&gt;&lt;publisher&gt;Springer Netherlands&lt;/publisher&gt;&lt;isbn&gt;1389-4986&lt;/isbn&gt;&lt;urls&gt;&lt;related-urls&gt;&lt;url&gt;http://dx.doi.org/10.1007/s11121-008-0095-8&lt;/url&gt;&lt;/related-urls&gt;&lt;/urls&gt;&lt;electronic-resource-num&gt;10.1007/s11121-008-0095-8&lt;/electronic-resource-num&gt;&lt;/record&gt;&lt;/Cite&gt;&lt;/EndNote&gt;</w:instrText>
      </w:r>
      <w:r>
        <w:fldChar w:fldCharType="separate"/>
      </w:r>
      <w:r w:rsidR="00E96A70">
        <w:rPr>
          <w:noProof/>
        </w:rPr>
        <w:t>(</w:t>
      </w:r>
      <w:hyperlink w:anchor="_ENREF_4" w:tooltip="Arria, 2008 #402" w:history="1">
        <w:r w:rsidR="00D213F7">
          <w:rPr>
            <w:noProof/>
          </w:rPr>
          <w:t>Arria, Caldeira, Vincent, et al., 2008</w:t>
        </w:r>
      </w:hyperlink>
      <w:r w:rsidR="00E96A70">
        <w:rPr>
          <w:noProof/>
        </w:rPr>
        <w:t>)</w:t>
      </w:r>
      <w:r>
        <w:fldChar w:fldCharType="end"/>
      </w:r>
      <w:r w:rsidR="001A2619">
        <w:t>.</w:t>
      </w:r>
    </w:p>
    <w:p w:rsidR="001A2619" w:rsidRDefault="001A2619" w:rsidP="003F6BB5">
      <w:r>
        <w:t xml:space="preserve">Students who associated “great risk” with the nonmedical use of prescription stimulants accounted for 25.2% of the sample. The comparisons between cocaine (72.2%), marijuana (7.2%), alcohol (17.4%), and nonmedical prescription stimulant use (25.2%) indicated prescription stimulants </w:t>
      </w:r>
      <w:r w:rsidR="009B2643">
        <w:t>were</w:t>
      </w:r>
      <w:r>
        <w:t xml:space="preserve"> perceived </w:t>
      </w:r>
      <w:r w:rsidR="004E724B">
        <w:t>as</w:t>
      </w:r>
      <w:r>
        <w:t xml:space="preserve"> less risky than cocaine, but more risky than marijuana and drinking five or more alcoholic drinks every weekend. Students that had a low level of perceived harmfulness were 10.3 times more likely </w:t>
      </w:r>
      <w:r w:rsidR="009B2643">
        <w:t>to use</w:t>
      </w:r>
      <w:r w:rsidR="00126312">
        <w:t xml:space="preserve"> </w:t>
      </w:r>
      <w:r>
        <w:t>prescription stimulants, but only 1.1 times more likely with a high level of sensation seeking. Students with prior experience using prescription dru</w:t>
      </w:r>
      <w:r w:rsidR="007B7785">
        <w:t xml:space="preserve">gs were 4.6 times more likely </w:t>
      </w:r>
      <w:proofErr w:type="gramStart"/>
      <w:r w:rsidR="00BA69FB">
        <w:t xml:space="preserve">to </w:t>
      </w:r>
      <w:r>
        <w:t>illicitly us</w:t>
      </w:r>
      <w:r w:rsidR="00BA69FB">
        <w:t>e</w:t>
      </w:r>
      <w:proofErr w:type="gramEnd"/>
      <w:r>
        <w:t xml:space="preserve"> prescription stimulants</w:t>
      </w:r>
      <w:r w:rsidR="00776C9C">
        <w:t xml:space="preserve">. Overall, students with a low level of perceived harmfulness and a high level of sensation seeking </w:t>
      </w:r>
      <w:r w:rsidR="00D75CB1">
        <w:t>were</w:t>
      </w:r>
      <w:r w:rsidR="00126312">
        <w:t xml:space="preserve"> more likely to illicitly use prescription sti</w:t>
      </w:r>
      <w:r w:rsidR="00204E08">
        <w:t>m</w:t>
      </w:r>
      <w:r w:rsidR="00126312">
        <w:t>ulants than students with a high level of perceived harmfulness and a low level of sensation seeking</w:t>
      </w:r>
      <w:r w:rsidR="00AA2123">
        <w:t xml:space="preserve"> </w:t>
      </w:r>
      <w:r w:rsidR="00550107">
        <w:fldChar w:fldCharType="begin"/>
      </w:r>
      <w:r w:rsidR="00E96A70">
        <w:instrText xml:space="preserve"> ADDIN EN.CITE &lt;EndNote&gt;&lt;Cite&gt;&lt;Author&gt;Arria&lt;/Author&gt;&lt;Year&gt;2008&lt;/Year&gt;&lt;RecNum&gt;402&lt;/RecNum&gt;&lt;DisplayText&gt;(Arria, Caldeira, Vincent, et al., 2008)&lt;/DisplayText&gt;&lt;record&gt;&lt;rec-number&gt;402&lt;/rec-number&gt;&lt;foreign-keys&gt;&lt;key app="EN" db-id="02dwfapew02tdked2f4p0xerwdapvw5vztpp"&gt;402&lt;/key&gt;&lt;key app="ENWeb" db-id="R1rfKArtmCQAAH0-ETQ"&gt;885&lt;/key&gt;&lt;/foreign-keys&gt;&lt;ref-type name="Journal Article"&gt;17&lt;/ref-type&gt;&lt;contributors&gt;&lt;authors&gt;&lt;author&gt;Arria, Amelia&lt;/author&gt;&lt;author&gt;Caldeira, Kimberly&lt;/author&gt;&lt;author&gt;Vincent, Kathryn&lt;/author&gt;&lt;author&gt;O’Grady, Kevin&lt;/author&gt;&lt;author&gt;Wish, Eric&lt;/author&gt;&lt;/authors&gt;&lt;/contributors&gt;&lt;titles&gt;&lt;title&gt;Perceived Harmfulness Predicts Nonmedical Use of Prescription Drugs Among College Students: Interactions with Sensation-Seeking&lt;/title&gt;&lt;secondary-title&gt;Prevention Science&lt;/secondary-title&gt;&lt;/titles&gt;&lt;periodical&gt;&lt;full-title&gt;Prevention Science&lt;/full-title&gt;&lt;/periodical&gt;&lt;pages&gt;191-201&lt;/pages&gt;&lt;volume&gt;9&lt;/volume&gt;&lt;number&gt;3&lt;/number&gt;&lt;keywords&gt;&lt;keyword&gt;Behavioral Science&lt;/keyword&gt;&lt;/keywords&gt;&lt;dates&gt;&lt;year&gt;2008&lt;/year&gt;&lt;/dates&gt;&lt;publisher&gt;Springer Netherlands&lt;/publisher&gt;&lt;isbn&gt;1389-4986&lt;/isbn&gt;&lt;urls&gt;&lt;related-urls&gt;&lt;url&gt;http://dx.doi.org/10.1007/s11121-008-0095-8&lt;/url&gt;&lt;/related-urls&gt;&lt;/urls&gt;&lt;electronic-resource-num&gt;10.1007/s11121-008-0095-8&lt;/electronic-resource-num&gt;&lt;/record&gt;&lt;/Cite&gt;&lt;/EndNote&gt;</w:instrText>
      </w:r>
      <w:r w:rsidR="00550107">
        <w:fldChar w:fldCharType="separate"/>
      </w:r>
      <w:r w:rsidR="00E96A70">
        <w:rPr>
          <w:noProof/>
        </w:rPr>
        <w:t>(</w:t>
      </w:r>
      <w:hyperlink w:anchor="_ENREF_4" w:tooltip="Arria, 2008 #402" w:history="1">
        <w:r w:rsidR="00D213F7">
          <w:rPr>
            <w:noProof/>
          </w:rPr>
          <w:t>Arria, Caldeira, Vincent, et al., 2008</w:t>
        </w:r>
      </w:hyperlink>
      <w:r w:rsidR="00E96A70">
        <w:rPr>
          <w:noProof/>
        </w:rPr>
        <w:t>)</w:t>
      </w:r>
      <w:r w:rsidR="00550107">
        <w:fldChar w:fldCharType="end"/>
      </w:r>
      <w:r w:rsidR="00776C9C">
        <w:t>.</w:t>
      </w:r>
    </w:p>
    <w:p w:rsidR="006349DF" w:rsidRDefault="006349DF" w:rsidP="005E47A9">
      <w:pPr>
        <w:tabs>
          <w:tab w:val="left" w:pos="2955"/>
        </w:tabs>
      </w:pPr>
      <w:bookmarkStart w:id="23" w:name="_Toc315010461"/>
    </w:p>
    <w:p w:rsidR="005943BB" w:rsidRDefault="005943BB" w:rsidP="005943BB">
      <w:pPr>
        <w:pStyle w:val="Heading2"/>
      </w:pPr>
      <w:r>
        <w:lastRenderedPageBreak/>
        <w:t>Poly-substance Behavior</w:t>
      </w:r>
      <w:bookmarkEnd w:id="23"/>
    </w:p>
    <w:p w:rsidR="00776C9C" w:rsidRDefault="009B2643" w:rsidP="003F6BB5">
      <w:r>
        <w:t xml:space="preserve">The findings </w:t>
      </w:r>
      <w:r w:rsidR="00C91CDC">
        <w:t xml:space="preserve">from </w:t>
      </w:r>
      <w:r w:rsidR="00550107">
        <w:fldChar w:fldCharType="begin"/>
      </w:r>
      <w:r w:rsidR="00E96A70">
        <w:instrText xml:space="preserve"> ADDIN EN.CITE &lt;EndNote&gt;&lt;Cite AuthorYear="1"&gt;&lt;Author&gt;Rabiner&lt;/Author&gt;&lt;Year&gt;2009&lt;/Year&gt;&lt;RecNum&gt;380&lt;/RecNum&gt;&lt;DisplayText&gt;Rabiner et al. (2009)&lt;/DisplayText&gt;&lt;record&gt;&lt;rec-number&gt;380&lt;/rec-number&gt;&lt;foreign-keys&gt;&lt;key app="EN" db-id="02dwfapew02tdked2f4p0xerwdapvw5vztpp"&gt;380&lt;/key&gt;&lt;key app="ENWeb" db-id="R1rfKArtmCQAAH0-ETQ"&gt;593&lt;/key&gt;&lt;/foreign-keys&gt;&lt;ref-type name="Journal Article"&gt;17&lt;/ref-type&gt;&lt;contributors&gt;&lt;authors&gt;&lt;author&gt;Rabiner, David L.&lt;/author&gt;&lt;author&gt;Anastopoulos, Arthur D.&lt;/author&gt;&lt;author&gt;Costello, E. Jane&lt;/author&gt;&lt;author&gt;Hoyle, Rick H.&lt;/author&gt;&lt;author&gt;McCabe, Sean Esteban&lt;/author&gt;&lt;author&gt;Swartzwelder, H. Scott&lt;/author&gt;&lt;/authors&gt;&lt;/contributors&gt;&lt;titles&gt;&lt;title&gt;Motives and perceived consequences of nonmedical ADHD medication use by college students&lt;/title&gt;&lt;secondary-title&gt;Journal of Attention Disorders&lt;/secondary-title&gt;&lt;/titles&gt;&lt;periodical&gt;&lt;full-title&gt;Journal of Attention Disorders&lt;/full-title&gt;&lt;/periodical&gt;&lt;pages&gt;259-270&lt;/pages&gt;&lt;volume&gt;13&lt;/volume&gt;&lt;number&gt;3&lt;/number&gt;&lt;dates&gt;&lt;year&gt;2009&lt;/year&gt;&lt;pub-dates&gt;&lt;date&gt;November 1, 2009&lt;/date&gt;&lt;/pub-dates&gt;&lt;/dates&gt;&lt;urls&gt;&lt;related-urls&gt;&lt;url&gt;http://jad.sagepub.com/content/13/3/259.abstract&lt;/url&gt;&lt;url&gt;http://jad.sagepub.com/content/13/3/259.full.pdf&lt;/url&gt;&lt;/related-urls&gt;&lt;/urls&gt;&lt;electronic-resource-num&gt;10.1177/1087054708320399&lt;/electronic-resource-num&gt;&lt;/record&gt;&lt;/Cite&gt;&lt;/EndNote&gt;</w:instrText>
      </w:r>
      <w:r w:rsidR="00550107">
        <w:fldChar w:fldCharType="separate"/>
      </w:r>
      <w:hyperlink w:anchor="_ENREF_50" w:tooltip="Rabiner, 2009 #380" w:history="1">
        <w:r w:rsidR="00D213F7">
          <w:rPr>
            <w:noProof/>
          </w:rPr>
          <w:t>Rabiner et al. (2009</w:t>
        </w:r>
      </w:hyperlink>
      <w:r w:rsidR="00E96A70">
        <w:rPr>
          <w:noProof/>
        </w:rPr>
        <w:t>)</w:t>
      </w:r>
      <w:r w:rsidR="00550107">
        <w:fldChar w:fldCharType="end"/>
      </w:r>
      <w:r w:rsidR="00C91CDC">
        <w:t xml:space="preserve">, </w:t>
      </w:r>
      <w:r w:rsidR="00550107">
        <w:fldChar w:fldCharType="begin"/>
      </w:r>
      <w:r w:rsidR="00E96A70">
        <w:instrText xml:space="preserve"> ADDIN EN.CITE &lt;EndNote&gt;&lt;Cite AuthorYear="1"&gt;&lt;Author&gt;Carroll&lt;/Author&gt;&lt;Year&gt;2006&lt;/Year&gt;&lt;RecNum&gt;314&lt;/RecNum&gt;&lt;DisplayText&gt;Carroll et al. (2006)&lt;/DisplayText&gt;&lt;record&gt;&lt;rec-number&gt;314&lt;/rec-number&gt;&lt;foreign-keys&gt;&lt;key app="EN" db-id="02dwfapew02tdked2f4p0xerwdapvw5vztpp"&gt;314&lt;/key&gt;&lt;key app="ENWeb" db-id="R1rfKArtmCQAAH0-ETQ"&gt;860&lt;/key&gt;&lt;/foreign-keys&gt;&lt;ref-type name="Journal Article"&gt;17&lt;/ref-type&gt;&lt;contributors&gt;&lt;authors&gt;&lt;author&gt;Carroll, Bronwen C.&lt;/author&gt;&lt;author&gt;McLaughlin, Thomas J.&lt;/author&gt;&lt;author&gt;Blake, Diane R.&lt;/author&gt;&lt;/authors&gt;&lt;/contributors&gt;&lt;titles&gt;&lt;title&gt;Patterns and knowledge of nonmedical use of stimulants among college students&lt;/title&gt;&lt;secondary-title&gt;Archives of Pediatrics &amp;amp; Adolescent Medicine&lt;/secondary-title&gt;&lt;/titles&gt;&lt;periodical&gt;&lt;full-title&gt;Archives of Pediatrics &amp;amp; Adolescent Medicine&lt;/full-title&gt;&lt;/periodical&gt;&lt;pages&gt;481-485&lt;/pages&gt;&lt;volume&gt;160&lt;/volume&gt;&lt;number&gt;5&lt;/number&gt;&lt;dates&gt;&lt;year&gt;2006&lt;/year&gt;&lt;pub-dates&gt;&lt;date&gt;May 1, 2006&lt;/date&gt;&lt;/pub-dates&gt;&lt;/dates&gt;&lt;urls&gt;&lt;related-urls&gt;&lt;url&gt;http://archpedi.ama-assn.org/cgi/content/abstract/160/5/481&lt;/url&gt;&lt;/related-urls&gt;&lt;/urls&gt;&lt;electronic-resource-num&gt;10.1001/archpedi.160.5.481&lt;/electronic-resource-num&gt;&lt;/record&gt;&lt;/Cite&gt;&lt;/EndNote&gt;</w:instrText>
      </w:r>
      <w:r w:rsidR="00550107">
        <w:fldChar w:fldCharType="separate"/>
      </w:r>
      <w:hyperlink w:anchor="_ENREF_10" w:tooltip="Carroll, 2006 #314" w:history="1">
        <w:r w:rsidR="00D213F7">
          <w:rPr>
            <w:noProof/>
          </w:rPr>
          <w:t>Carroll et al. (2006</w:t>
        </w:r>
      </w:hyperlink>
      <w:r w:rsidR="00E96A70">
        <w:rPr>
          <w:noProof/>
        </w:rPr>
        <w:t>)</w:t>
      </w:r>
      <w:r w:rsidR="00550107">
        <w:fldChar w:fldCharType="end"/>
      </w:r>
      <w:r w:rsidR="00C91CDC">
        <w:t>,</w:t>
      </w:r>
      <w:r w:rsidR="00C91CDC" w:rsidRPr="00C91CDC">
        <w:t xml:space="preserve"> </w:t>
      </w:r>
      <w:r w:rsidR="00550107">
        <w:fldChar w:fldCharType="begin"/>
      </w:r>
      <w:r w:rsidR="00E96A70">
        <w:instrText xml:space="preserve"> ADDIN EN.CITE &lt;EndNote&gt;&lt;Cite AuthorYear="1"&gt;&lt;Author&gt;Low&lt;/Author&gt;&lt;Year&gt;2002&lt;/Year&gt;&lt;RecNum&gt;421&lt;/RecNum&gt;&lt;DisplayText&gt;Low and Gendaszek (2002)&lt;/DisplayText&gt;&lt;record&gt;&lt;rec-number&gt;421&lt;/rec-number&gt;&lt;foreign-keys&gt;&lt;key app="EN" db-id="02dwfapew02tdked2f4p0xerwdapvw5vztpp"&gt;421&lt;/key&gt;&lt;/foreign-keys&gt;&lt;ref-type name="Journal Article"&gt;17&lt;/ref-type&gt;&lt;contributors&gt;&lt;authors&gt;&lt;author&gt;Low, K. Graff&lt;/author&gt;&lt;author&gt;Gendaszek, A. E.&lt;/author&gt;&lt;/authors&gt;&lt;/contributors&gt;&lt;titles&gt;&lt;title&gt;Illicit use of psychostimulants among college students: A preliminary study&lt;/title&gt;&lt;secondary-title&gt;Psychology, Health &amp;amp; Medicine&lt;/secondary-title&gt;&lt;/titles&gt;&lt;periodical&gt;&lt;full-title&gt;Psychology, Health &amp;amp; Medicine&lt;/full-title&gt;&lt;/periodical&gt;&lt;pages&gt;283 - 287&lt;/pages&gt;&lt;volume&gt;7&lt;/volume&gt;&lt;number&gt;3&lt;/number&gt;&lt;dates&gt;&lt;year&gt;2002&lt;/year&gt;&lt;/dates&gt;&lt;isbn&gt;1354-8506&lt;/isbn&gt;&lt;urls&gt;&lt;related-urls&gt;&lt;url&gt;http://www.informaworld.com/10.1080/13548500220139386&lt;/url&gt;&lt;/related-urls&gt;&lt;/urls&gt;&lt;access-date&gt;June 01, 2011&lt;/access-date&gt;&lt;/record&gt;&lt;/Cite&gt;&lt;/EndNote&gt;</w:instrText>
      </w:r>
      <w:r w:rsidR="00550107">
        <w:fldChar w:fldCharType="separate"/>
      </w:r>
      <w:hyperlink w:anchor="_ENREF_28" w:tooltip="Low, 2002 #421" w:history="1">
        <w:r w:rsidR="00D213F7">
          <w:rPr>
            <w:noProof/>
          </w:rPr>
          <w:t>Low and Gendaszek (2002</w:t>
        </w:r>
      </w:hyperlink>
      <w:r w:rsidR="00E96A70">
        <w:rPr>
          <w:noProof/>
        </w:rPr>
        <w:t>)</w:t>
      </w:r>
      <w:r w:rsidR="00550107">
        <w:fldChar w:fldCharType="end"/>
      </w:r>
      <w:r w:rsidR="00A95635">
        <w:t>,</w:t>
      </w:r>
      <w:r w:rsidR="00C91CDC">
        <w:t xml:space="preserve"> and </w:t>
      </w:r>
      <w:r w:rsidR="00550107">
        <w:fldChar w:fldCharType="begin"/>
      </w:r>
      <w:r w:rsidR="00E96A70">
        <w:instrText xml:space="preserve"> ADDIN EN.CITE &lt;EndNote&gt;&lt;Cite AuthorYear="1"&gt;&lt;Author&gt;Arria&lt;/Author&gt;&lt;Year&gt;2008&lt;/Year&gt;&lt;RecNum&gt;402&lt;/RecNum&gt;&lt;DisplayText&gt;Arria, Caldeira, Vincent, et al. (2008)&lt;/DisplayText&gt;&lt;record&gt;&lt;rec-number&gt;402&lt;/rec-number&gt;&lt;foreign-keys&gt;&lt;key app="EN" db-id="02dwfapew02tdked2f4p0xerwdapvw5vztpp"&gt;402&lt;/key&gt;&lt;key app="ENWeb" db-id="R1rfKArtmCQAAH0-ETQ"&gt;885&lt;/key&gt;&lt;/foreign-keys&gt;&lt;ref-type name="Journal Article"&gt;17&lt;/ref-type&gt;&lt;contributors&gt;&lt;authors&gt;&lt;author&gt;Arria, Amelia&lt;/author&gt;&lt;author&gt;Caldeira, Kimberly&lt;/author&gt;&lt;author&gt;Vincent, Kathryn&lt;/author&gt;&lt;author&gt;O’Grady, Kevin&lt;/author&gt;&lt;author&gt;Wish, Eric&lt;/author&gt;&lt;/authors&gt;&lt;/contributors&gt;&lt;titles&gt;&lt;title&gt;Perceived Harmfulness Predicts Nonmedical Use of Prescription Drugs Among College Students: Interactions with Sensation-Seeking&lt;/title&gt;&lt;secondary-title&gt;Prevention Science&lt;/secondary-title&gt;&lt;/titles&gt;&lt;periodical&gt;&lt;full-title&gt;Prevention Science&lt;/full-title&gt;&lt;/periodical&gt;&lt;pages&gt;191-201&lt;/pages&gt;&lt;volume&gt;9&lt;/volume&gt;&lt;number&gt;3&lt;/number&gt;&lt;keywords&gt;&lt;keyword&gt;Behavioral Science&lt;/keyword&gt;&lt;/keywords&gt;&lt;dates&gt;&lt;year&gt;2008&lt;/year&gt;&lt;/dates&gt;&lt;publisher&gt;Springer Netherlands&lt;/publisher&gt;&lt;isbn&gt;1389-4986&lt;/isbn&gt;&lt;urls&gt;&lt;related-urls&gt;&lt;url&gt;http://dx.doi.org/10.1007/s11121-008-0095-8&lt;/url&gt;&lt;/related-urls&gt;&lt;/urls&gt;&lt;electronic-resource-num&gt;10.1007/s11121-008-0095-8&lt;/electronic-resource-num&gt;&lt;/record&gt;&lt;/Cite&gt;&lt;/EndNote&gt;</w:instrText>
      </w:r>
      <w:r w:rsidR="00550107">
        <w:fldChar w:fldCharType="separate"/>
      </w:r>
      <w:hyperlink w:anchor="_ENREF_4" w:tooltip="Arria, 2008 #402" w:history="1">
        <w:r w:rsidR="00D213F7">
          <w:rPr>
            <w:noProof/>
          </w:rPr>
          <w:t>Arria, Caldeira, Vincent, et al. (2008</w:t>
        </w:r>
      </w:hyperlink>
      <w:r w:rsidR="00E96A70">
        <w:rPr>
          <w:noProof/>
        </w:rPr>
        <w:t>)</w:t>
      </w:r>
      <w:r w:rsidR="00550107">
        <w:fldChar w:fldCharType="end"/>
      </w:r>
      <w:r w:rsidR="00776C9C">
        <w:t xml:space="preserve"> present fu</w:t>
      </w:r>
      <w:r w:rsidR="007B7785">
        <w:t xml:space="preserve">rther evidence that </w:t>
      </w:r>
      <w:r w:rsidR="00A364A6">
        <w:t xml:space="preserve">at-risk </w:t>
      </w:r>
      <w:r w:rsidR="007B7785">
        <w:t xml:space="preserve">students </w:t>
      </w:r>
      <w:r w:rsidR="00776C9C">
        <w:t>are those who do not perceive prescription drugs as dangerous</w:t>
      </w:r>
      <w:r w:rsidR="004C5439">
        <w:t>. Students</w:t>
      </w:r>
      <w:r w:rsidR="00776C9C">
        <w:t xml:space="preserve"> who perceive these drugs </w:t>
      </w:r>
      <w:r w:rsidR="004E7091">
        <w:t>to be harmful are less likely</w:t>
      </w:r>
      <w:r>
        <w:t xml:space="preserve"> to use these drugs </w:t>
      </w:r>
      <w:r w:rsidR="00776C9C">
        <w:t xml:space="preserve">illicitly. This information suggests that students who use prescription stimulants have a low level of perceived harmfulness and a high level of sensation seeking, thus making them vulnerable for other substance use. </w:t>
      </w:r>
      <w:r w:rsidR="00550107">
        <w:fldChar w:fldCharType="begin"/>
      </w:r>
      <w:r w:rsidR="00E96A70">
        <w:instrText xml:space="preserve"> ADDIN EN.CITE &lt;EndNote&gt;&lt;Cite AuthorYear="1"&gt;&lt;Author&gt;Teter&lt;/Author&gt;&lt;Year&gt;2003&lt;/Year&gt;&lt;RecNum&gt;398&lt;/RecNum&gt;&lt;DisplayText&gt;Teter, McCabe, Boyd, and Guthrie (2003)&lt;/DisplayText&gt;&lt;record&gt;&lt;rec-number&gt;398&lt;/rec-number&gt;&lt;foreign-keys&gt;&lt;key app="EN" db-id="02dwfapew02tdked2f4p0xerwdapvw5vztpp"&gt;398&lt;/key&gt;&lt;key app="ENWeb" db-id="R1rfKArtmCQAAH0-ETQ"&gt;882&lt;/key&gt;&lt;/foreign-keys&gt;&lt;ref-type name="Journal Article"&gt;17&lt;/ref-type&gt;&lt;contributors&gt;&lt;authors&gt;&lt;author&gt;Teter, C&lt;/author&gt;&lt;author&gt;McCabe, S&lt;/author&gt;&lt;author&gt;Boyd, C&lt;/author&gt;&lt;author&gt;Guthrie, S&lt;/author&gt;&lt;/authors&gt;&lt;/contributors&gt;&lt;titles&gt;&lt;title&gt;Illicit methylphenidate use in an undergraduate student sample: Prevalence and risk factors&lt;/title&gt;&lt;secondary-title&gt;Pharmacotherapy&lt;/secondary-title&gt;&lt;/titles&gt;&lt;periodical&gt;&lt;full-title&gt;Pharmacotherapy&lt;/full-title&gt;&lt;/periodical&gt;&lt;pages&gt;609-617&lt;/pages&gt;&lt;volume&gt;23&lt;/volume&gt;&lt;number&gt;5&lt;/number&gt;&lt;section&gt;609&lt;/section&gt;&lt;dates&gt;&lt;year&gt;2003&lt;/year&gt;&lt;/dates&gt;&lt;urls&gt;&lt;/urls&gt;&lt;electronic-resource-num&gt;10.1592/phco.23.5.609.34187&lt;/electronic-resource-num&gt;&lt;/record&gt;&lt;/Cite&gt;&lt;/EndNote&gt;</w:instrText>
      </w:r>
      <w:r w:rsidR="00550107">
        <w:fldChar w:fldCharType="separate"/>
      </w:r>
      <w:hyperlink w:anchor="_ENREF_56" w:tooltip="Teter, 2003 #398" w:history="1">
        <w:r w:rsidR="00D213F7">
          <w:rPr>
            <w:noProof/>
          </w:rPr>
          <w:t>Teter, McCabe, Boyd, and Guthrie (2003</w:t>
        </w:r>
      </w:hyperlink>
      <w:r w:rsidR="00E96A70">
        <w:rPr>
          <w:noProof/>
        </w:rPr>
        <w:t>)</w:t>
      </w:r>
      <w:r w:rsidR="00550107">
        <w:fldChar w:fldCharType="end"/>
      </w:r>
      <w:r w:rsidR="00776C9C">
        <w:t xml:space="preserve"> </w:t>
      </w:r>
      <w:r w:rsidR="004E7091">
        <w:t>undertook th</w:t>
      </w:r>
      <w:r w:rsidR="007B7785">
        <w:t>e</w:t>
      </w:r>
      <w:r w:rsidR="004E7091">
        <w:t xml:space="preserve"> challenge of identifying other substance abuse behaviors among college students nonmedically using prescription stimulants.</w:t>
      </w:r>
    </w:p>
    <w:p w:rsidR="004E7091" w:rsidRDefault="004E7091" w:rsidP="003F6BB5">
      <w:r>
        <w:t xml:space="preserve">Utilizing the Student Life Survey, </w:t>
      </w:r>
      <w:r w:rsidR="00550107">
        <w:fldChar w:fldCharType="begin"/>
      </w:r>
      <w:r w:rsidR="00E96A70">
        <w:instrText xml:space="preserve"> ADDIN EN.CITE &lt;EndNote&gt;&lt;Cite AuthorYear="1"&gt;&lt;Author&gt;Teter&lt;/Author&gt;&lt;Year&gt;2003&lt;/Year&gt;&lt;RecNum&gt;398&lt;/RecNum&gt;&lt;DisplayText&gt;Teter et al. (2003)&lt;/DisplayText&gt;&lt;record&gt;&lt;rec-number&gt;398&lt;/rec-number&gt;&lt;foreign-keys&gt;&lt;key app="EN" db-id="02dwfapew02tdked2f4p0xerwdapvw5vztpp"&gt;398&lt;/key&gt;&lt;key app="ENWeb" db-id="R1rfKArtmCQAAH0-ETQ"&gt;882&lt;/key&gt;&lt;/foreign-keys&gt;&lt;ref-type name="Journal Article"&gt;17&lt;/ref-type&gt;&lt;contributors&gt;&lt;authors&gt;&lt;author&gt;Teter, C&lt;/author&gt;&lt;author&gt;McCabe, S&lt;/author&gt;&lt;author&gt;Boyd, C&lt;/author&gt;&lt;author&gt;Guthrie, S&lt;/author&gt;&lt;/authors&gt;&lt;/contributors&gt;&lt;titles&gt;&lt;title&gt;Illicit methylphenidate use in an undergraduate student sample: Prevalence and risk factors&lt;/title&gt;&lt;secondary-title&gt;Pharmacotherapy&lt;/secondary-title&gt;&lt;/titles&gt;&lt;periodical&gt;&lt;full-title&gt;Pharmacotherapy&lt;/full-title&gt;&lt;/periodical&gt;&lt;pages&gt;609-617&lt;/pages&gt;&lt;volume&gt;23&lt;/volume&gt;&lt;number&gt;5&lt;/number&gt;&lt;section&gt;609&lt;/section&gt;&lt;dates&gt;&lt;year&gt;2003&lt;/year&gt;&lt;/dates&gt;&lt;urls&gt;&lt;/urls&gt;&lt;electronic-resource-num&gt;10.1592/phco.23.5.609.34187&lt;/electronic-resource-num&gt;&lt;/record&gt;&lt;/Cite&gt;&lt;/EndNote&gt;</w:instrText>
      </w:r>
      <w:r w:rsidR="00550107">
        <w:fldChar w:fldCharType="separate"/>
      </w:r>
      <w:hyperlink w:anchor="_ENREF_56" w:tooltip="Teter, 2003 #398" w:history="1">
        <w:r w:rsidR="00D213F7">
          <w:rPr>
            <w:noProof/>
          </w:rPr>
          <w:t>Teter et al. (2003</w:t>
        </w:r>
      </w:hyperlink>
      <w:r w:rsidR="00E96A70">
        <w:rPr>
          <w:noProof/>
        </w:rPr>
        <w:t>)</w:t>
      </w:r>
      <w:r w:rsidR="00550107">
        <w:fldChar w:fldCharType="end"/>
      </w:r>
      <w:r w:rsidR="00BA69FB">
        <w:t xml:space="preserve"> </w:t>
      </w:r>
      <w:r>
        <w:t>sampled 3,500 full time students at the University of Michig</w:t>
      </w:r>
      <w:r w:rsidR="00C14C65">
        <w:t xml:space="preserve">an. They used </w:t>
      </w:r>
      <w:r w:rsidR="009D4747">
        <w:t xml:space="preserve">a </w:t>
      </w:r>
      <w:r w:rsidR="00C14C65">
        <w:t>chi-square analysi</w:t>
      </w:r>
      <w:r>
        <w:t xml:space="preserve">s for comparing student demographics, </w:t>
      </w:r>
      <w:r w:rsidR="00580B6C">
        <w:t>prescription</w:t>
      </w:r>
      <w:r>
        <w:t xml:space="preserve"> drug use</w:t>
      </w:r>
      <w:r w:rsidR="00580B6C">
        <w:t xml:space="preserve">, and alcohol use among three specific groups. These three groups included students who used prescription stimulants not prescribed by a doctor, students who reported taking the stimulants as prescribed by a doctor, and students who reported no illicit use. One-way ANOVA </w:t>
      </w:r>
      <w:r w:rsidR="00C14C65">
        <w:t>statistical test was also used f</w:t>
      </w:r>
      <w:r w:rsidR="00580B6C">
        <w:t>o</w:t>
      </w:r>
      <w:r w:rsidR="00C14C65">
        <w:t>r</w:t>
      </w:r>
      <w:r w:rsidR="00580B6C">
        <w:t xml:space="preserve"> compar</w:t>
      </w:r>
      <w:r w:rsidR="00C14C65">
        <w:t>ing</w:t>
      </w:r>
      <w:r w:rsidR="00580B6C">
        <w:t xml:space="preserve"> these three groups across multiple continuous measures. The final test conducted was a multiple logistic regression, which was used for predicting other factors that may be associated with students’ illicit use of prescription stimulants. </w:t>
      </w:r>
    </w:p>
    <w:p w:rsidR="00580B6C" w:rsidRDefault="00580B6C" w:rsidP="003F6BB5">
      <w:r>
        <w:t>The final sample size was 2,250</w:t>
      </w:r>
      <w:r w:rsidR="009B2643">
        <w:t>,</w:t>
      </w:r>
      <w:r>
        <w:t xml:space="preserve"> with a response </w:t>
      </w:r>
      <w:r w:rsidR="00C14C65">
        <w:t xml:space="preserve">rate </w:t>
      </w:r>
      <w:r>
        <w:t xml:space="preserve">of 64%. Of those students who reported illicitly using prescription stimulants, 2% </w:t>
      </w:r>
      <w:r w:rsidR="00976D46">
        <w:t>initiated</w:t>
      </w:r>
      <w:r>
        <w:t xml:space="preserve"> </w:t>
      </w:r>
      <w:r w:rsidR="009B2643">
        <w:t xml:space="preserve">use </w:t>
      </w:r>
      <w:r>
        <w:t xml:space="preserve">in junior high school, 19% </w:t>
      </w:r>
      <w:r w:rsidR="00976D46">
        <w:t>initiated</w:t>
      </w:r>
      <w:r>
        <w:t xml:space="preserve"> in high school, and 79% began in college. </w:t>
      </w:r>
      <w:r w:rsidR="00550107">
        <w:fldChar w:fldCharType="begin"/>
      </w:r>
      <w:r w:rsidR="00E96A70">
        <w:instrText xml:space="preserve"> ADDIN EN.CITE &lt;EndNote&gt;&lt;Cite AuthorYear="1"&gt;&lt;Author&gt;Teter&lt;/Author&gt;&lt;Year&gt;2003&lt;/Year&gt;&lt;RecNum&gt;398&lt;/RecNum&gt;&lt;DisplayText&gt;Teter et al. (2003)&lt;/DisplayText&gt;&lt;record&gt;&lt;rec-number&gt;398&lt;/rec-number&gt;&lt;foreign-keys&gt;&lt;key app="EN" db-id="02dwfapew02tdked2f4p0xerwdapvw5vztpp"&gt;398&lt;/key&gt;&lt;key app="ENWeb" db-id="R1rfKArtmCQAAH0-ETQ"&gt;882&lt;/key&gt;&lt;/foreign-keys&gt;&lt;ref-type name="Journal Article"&gt;17&lt;/ref-type&gt;&lt;contributors&gt;&lt;authors&gt;&lt;author&gt;Teter, C&lt;/author&gt;&lt;author&gt;McCabe, S&lt;/author&gt;&lt;author&gt;Boyd, C&lt;/author&gt;&lt;author&gt;Guthrie, S&lt;/author&gt;&lt;/authors&gt;&lt;/contributors&gt;&lt;titles&gt;&lt;title&gt;Illicit methylphenidate use in an undergraduate student sample: Prevalence and risk factors&lt;/title&gt;&lt;secondary-title&gt;Pharmacotherapy&lt;/secondary-title&gt;&lt;/titles&gt;&lt;periodical&gt;&lt;full-title&gt;Pharmacotherapy&lt;/full-title&gt;&lt;/periodical&gt;&lt;pages&gt;609-617&lt;/pages&gt;&lt;volume&gt;23&lt;/volume&gt;&lt;number&gt;5&lt;/number&gt;&lt;section&gt;609&lt;/section&gt;&lt;dates&gt;&lt;year&gt;2003&lt;/year&gt;&lt;/dates&gt;&lt;urls&gt;&lt;/urls&gt;&lt;electronic-resource-num&gt;10.1592/phco.23.5.609.34187&lt;/electronic-resource-num&gt;&lt;/record&gt;&lt;/Cite&gt;&lt;/EndNote&gt;</w:instrText>
      </w:r>
      <w:r w:rsidR="00550107">
        <w:fldChar w:fldCharType="separate"/>
      </w:r>
      <w:hyperlink w:anchor="_ENREF_56" w:tooltip="Teter, 2003 #398" w:history="1">
        <w:r w:rsidR="00D213F7">
          <w:rPr>
            <w:noProof/>
          </w:rPr>
          <w:t>Teter et al. (2003</w:t>
        </w:r>
      </w:hyperlink>
      <w:r w:rsidR="00E96A70">
        <w:rPr>
          <w:noProof/>
        </w:rPr>
        <w:t>)</w:t>
      </w:r>
      <w:r w:rsidR="00550107">
        <w:fldChar w:fldCharType="end"/>
      </w:r>
      <w:r>
        <w:t xml:space="preserve"> found that students who illicitly used prescription stimulants were significantly more likely to use other substances in the </w:t>
      </w:r>
      <w:r>
        <w:lastRenderedPageBreak/>
        <w:t>past month and past year. For example, students who reported taking Ritalin</w:t>
      </w:r>
      <w:proofErr w:type="gramStart"/>
      <w:r>
        <w:t>®</w:t>
      </w:r>
      <w:r w:rsidR="009B2643">
        <w:t>,</w:t>
      </w:r>
      <w:proofErr w:type="gramEnd"/>
      <w:r>
        <w:t xml:space="preserve"> also reported taking eight times more drugs than students who had not illicitly used it. Additionally, students with three or more sexual partners in the past year were 17.04 times more likely to </w:t>
      </w:r>
      <w:r w:rsidR="009B2643">
        <w:t xml:space="preserve">have </w:t>
      </w:r>
      <w:r>
        <w:t>use</w:t>
      </w:r>
      <w:r w:rsidR="009B2643">
        <w:t>d</w:t>
      </w:r>
      <w:r>
        <w:t xml:space="preserve"> other prescription stimulants. </w:t>
      </w:r>
      <w:r w:rsidR="00EF7CAC">
        <w:t>The substance abuse patterns of students who illicitly use</w:t>
      </w:r>
      <w:r w:rsidR="009B2643">
        <w:t>d</w:t>
      </w:r>
      <w:r w:rsidR="00EF7CAC">
        <w:t xml:space="preserve"> prescription stimulants consisted of users reporting significantly more</w:t>
      </w:r>
      <w:r w:rsidR="007B7785">
        <w:t xml:space="preserve"> alcoholic drinks than </w:t>
      </w:r>
      <w:proofErr w:type="gramStart"/>
      <w:r w:rsidR="007B7785">
        <w:t>nonusers</w:t>
      </w:r>
      <w:proofErr w:type="gramEnd"/>
      <w:r w:rsidR="00C14C65">
        <w:t>,</w:t>
      </w:r>
      <w:r w:rsidR="007B7785">
        <w:t xml:space="preserve"> </w:t>
      </w:r>
      <w:r w:rsidR="00EF7CAC">
        <w:t>and they were significantly more likely to use other substances. One such example includes marijuana and ecstasy where 100% and 58% of students report</w:t>
      </w:r>
      <w:r w:rsidR="00C14C65">
        <w:t xml:space="preserve">ed </w:t>
      </w:r>
      <w:r w:rsidR="00EF7CAC">
        <w:t>using those drugs</w:t>
      </w:r>
      <w:r w:rsidR="007B7785">
        <w:t>,</w:t>
      </w:r>
      <w:r w:rsidR="00EF7CAC">
        <w:t xml:space="preserve"> respectively. Th</w:t>
      </w:r>
      <w:r w:rsidR="00347A2D">
        <w:t>e</w:t>
      </w:r>
      <w:r w:rsidR="00EF7CAC">
        <w:t xml:space="preserve"> rate of use </w:t>
      </w:r>
      <w:r w:rsidR="007B7785">
        <w:t>suggests</w:t>
      </w:r>
      <w:r w:rsidR="00EF7CAC">
        <w:t xml:space="preserve"> that students who partied five to nine hours a week were twice as likely</w:t>
      </w:r>
      <w:r w:rsidR="00C14C65">
        <w:t>,</w:t>
      </w:r>
      <w:r w:rsidR="00EF7CAC">
        <w:t xml:space="preserve"> and those who partied 10 or more hours a week were four times more likely</w:t>
      </w:r>
      <w:r w:rsidR="009B2643">
        <w:t>, to use</w:t>
      </w:r>
      <w:r w:rsidR="00A364A6">
        <w:t xml:space="preserve"> </w:t>
      </w:r>
      <w:r w:rsidR="00EF7CAC">
        <w:t>prescription stimulants</w:t>
      </w:r>
      <w:r w:rsidR="007B7785">
        <w:t xml:space="preserve"> </w:t>
      </w:r>
      <w:r w:rsidR="009B2643">
        <w:t>illicitly</w:t>
      </w:r>
      <w:r w:rsidR="00EF7CAC">
        <w:t xml:space="preserve">. </w:t>
      </w:r>
    </w:p>
    <w:p w:rsidR="008D0995" w:rsidRDefault="00347A2D" w:rsidP="003F6BB5">
      <w:r>
        <w:t>C</w:t>
      </w:r>
      <w:r w:rsidR="00EF7CAC">
        <w:t>ollege students us</w:t>
      </w:r>
      <w:r w:rsidR="00765237">
        <w:t>e of</w:t>
      </w:r>
      <w:r w:rsidR="00EF7CAC">
        <w:t xml:space="preserve"> other drugs with prescription stimulants </w:t>
      </w:r>
      <w:r w:rsidR="00AA2123">
        <w:t xml:space="preserve">was also confirmed by </w:t>
      </w:r>
      <w:r w:rsidR="00550107">
        <w:fldChar w:fldCharType="begin"/>
      </w:r>
      <w:r w:rsidR="00E96A70">
        <w:instrText xml:space="preserve"> ADDIN EN.CITE &lt;EndNote&gt;&lt;Cite AuthorYear="1"&gt;&lt;Author&gt;Arria&lt;/Author&gt;&lt;Year&gt;2008&lt;/Year&gt;&lt;RecNum&gt;384&lt;/RecNum&gt;&lt;DisplayText&gt;Arria, Caldeira, O&amp;apos;Grady, et al. (2008)&lt;/DisplayText&gt;&lt;record&gt;&lt;rec-number&gt;384&lt;/rec-number&gt;&lt;foreign-keys&gt;&lt;key app="EN" db-id="02dwfapew02tdked2f4p0xerwdapvw5vztpp"&gt;384&lt;/key&gt;&lt;key app="ENWeb" db-id="R1rfKArtmCQAAH0-ETQ"&gt;875&lt;/key&gt;&lt;/foreign-keys&gt;&lt;ref-type name="Journal Article"&gt;17&lt;/ref-type&gt;&lt;contributors&gt;&lt;authors&gt;&lt;author&gt;Arria, Amelia&lt;/author&gt;&lt;author&gt;Caldeira, K&lt;/author&gt;&lt;author&gt;O&amp;apos;Grady, K&lt;/author&gt;&lt;author&gt;Vincent, K&lt;/author&gt;&lt;author&gt;Johnson, E&lt;/author&gt;&lt;author&gt;Wish, E&lt;/author&gt;&lt;/authors&gt;&lt;/contributors&gt;&lt;titles&gt;&lt;title&gt;Nonmedical use of prescription stimulants among college students: Associations with attention-deficit-hyperactivity disorder and polydrug use&lt;/title&gt;&lt;secondary-title&gt;Pharmacotherapy&lt;/secondary-title&gt;&lt;/titles&gt;&lt;periodical&gt;&lt;full-title&gt;Pharmacotherapy&lt;/full-title&gt;&lt;/periodical&gt;&lt;pages&gt;156-169&lt;/pages&gt;&lt;volume&gt;28&lt;/volume&gt;&lt;number&gt;2&lt;/number&gt;&lt;dates&gt;&lt;year&gt;2008&lt;/year&gt;&lt;/dates&gt;&lt;urls&gt;&lt;/urls&gt;&lt;electronic-resource-num&gt;10.1592/phco.28.2.156&lt;/electronic-resource-num&gt;&lt;/record&gt;&lt;/Cite&gt;&lt;/EndNote&gt;</w:instrText>
      </w:r>
      <w:r w:rsidR="00550107">
        <w:fldChar w:fldCharType="separate"/>
      </w:r>
      <w:hyperlink w:anchor="_ENREF_3" w:tooltip="Arria, 2008 #384" w:history="1">
        <w:r w:rsidR="00D213F7">
          <w:rPr>
            <w:noProof/>
          </w:rPr>
          <w:t>Arria, Caldeira, O'Grady, et al. (2008</w:t>
        </w:r>
      </w:hyperlink>
      <w:r w:rsidR="00E96A70">
        <w:rPr>
          <w:noProof/>
        </w:rPr>
        <w:t>)</w:t>
      </w:r>
      <w:r w:rsidR="00550107">
        <w:fldChar w:fldCharType="end"/>
      </w:r>
      <w:r w:rsidR="009B2643">
        <w:t>,</w:t>
      </w:r>
      <w:r w:rsidR="008D0995">
        <w:t xml:space="preserve"> who </w:t>
      </w:r>
      <w:r w:rsidR="00AF2612">
        <w:t>interviewed</w:t>
      </w:r>
      <w:r w:rsidR="008D0995">
        <w:t xml:space="preserve"> 1,253 students regarding their extent of use</w:t>
      </w:r>
      <w:r w:rsidR="007B7785">
        <w:t>.</w:t>
      </w:r>
      <w:r w:rsidR="008D0995">
        <w:t xml:space="preserve"> </w:t>
      </w:r>
      <w:r w:rsidR="007B7785">
        <w:t xml:space="preserve">The results </w:t>
      </w:r>
      <w:r w:rsidR="008D0995">
        <w:t>confirm</w:t>
      </w:r>
      <w:r w:rsidR="00A364A6">
        <w:t>ed</w:t>
      </w:r>
      <w:r w:rsidR="008D0995">
        <w:t xml:space="preserve"> previous findings regarding the characteristics of students</w:t>
      </w:r>
      <w:r w:rsidR="007B7785">
        <w:t>’</w:t>
      </w:r>
      <w:r w:rsidR="008D0995">
        <w:t xml:space="preserve"> use, and identif</w:t>
      </w:r>
      <w:r w:rsidR="009B2643">
        <w:t>ied</w:t>
      </w:r>
      <w:r w:rsidR="008D0995">
        <w:t xml:space="preserve"> risk factors for students who illicitly use</w:t>
      </w:r>
      <w:r w:rsidR="009B2643">
        <w:t>d</w:t>
      </w:r>
      <w:r w:rsidR="008D0995">
        <w:t xml:space="preserve"> prescription stimulants. </w:t>
      </w:r>
      <w:r w:rsidR="00A364A6">
        <w:t>They</w:t>
      </w:r>
      <w:r w:rsidR="008D0995">
        <w:t xml:space="preserve"> targeted the freshmen class at a large public university in the mid-Atlantic region. After their two-stage sample selection process, they </w:t>
      </w:r>
      <w:r w:rsidR="00206946">
        <w:t>selected</w:t>
      </w:r>
      <w:r w:rsidR="008D0995">
        <w:t xml:space="preserve"> 1,253 students for interviews. They interviewed the students in four areas: medical use of prescription stimulants for ADHD and overuse of prescription stimulants, nonmedical use of prescription stimulants, nonmedical use of other prescription drugs and illicit use, and dependence on alcohol and marijuana. </w:t>
      </w:r>
    </w:p>
    <w:p w:rsidR="003E2306" w:rsidRDefault="00AF2612" w:rsidP="003F6BB5">
      <w:r>
        <w:t xml:space="preserve">Using data from the screening surveys, they </w:t>
      </w:r>
      <w:r w:rsidR="00765237">
        <w:t xml:space="preserve">generated </w:t>
      </w:r>
      <w:r>
        <w:t>descriptive statistics and lo</w:t>
      </w:r>
      <w:r w:rsidR="007B7785">
        <w:t>gistic regressions for predicting</w:t>
      </w:r>
      <w:r>
        <w:t xml:space="preserve"> factors associated with the nonmedical use of prescription stimulants. In total, 45 students reported illicitly using prescription stimulants in their sample. Of those </w:t>
      </w:r>
      <w:r>
        <w:lastRenderedPageBreak/>
        <w:t>students, 88.7% used marijuana in the past year. After controlling for demographic factors such as race, gender, and mother’s education, they determined students who had a prescription for stimulant medication that used it against doctors’ orders were significantly more likely to use hallucinogens, cocaine, ecstasy, and prescription tranquilizers. Additionally, students without a prescription who illicitly used prescription stimulants were almost twice as likely to abuse alcohol and were four times more likely to use marijuana</w:t>
      </w:r>
      <w:r w:rsidR="00765237">
        <w:t>.</w:t>
      </w:r>
      <w:r w:rsidR="00EC3699">
        <w:t xml:space="preserve"> </w:t>
      </w:r>
    </w:p>
    <w:p w:rsidR="00AF2612" w:rsidRDefault="00550107" w:rsidP="003F6BB5">
      <w:r>
        <w:fldChar w:fldCharType="begin"/>
      </w:r>
      <w:r w:rsidR="003E2306">
        <w:instrText xml:space="preserve"> ADDIN EN.CITE &lt;EndNote&gt;&lt;Cite AuthorYear="1"&gt;&lt;Author&gt;Herman-Stahl&lt;/Author&gt;&lt;Year&gt;2007&lt;/Year&gt;&lt;RecNum&gt;327&lt;/RecNum&gt;&lt;DisplayText&gt;Herman-Stahl, Krebs, Kroutil, and Heller (2007)&lt;/DisplayText&gt;&lt;record&gt;&lt;rec-number&gt;327&lt;/rec-number&gt;&lt;foreign-keys&gt;&lt;key app="EN" db-id="02dwfapew02tdked2f4p0xerwdapvw5vztpp"&gt;327&lt;/key&gt;&lt;key app="ENWeb" db-id="R1rfKArtmCQAAH0-ETQ"&gt;673&lt;/key&gt;&lt;/foreign-keys&gt;&lt;ref-type name="Journal Article"&gt;17&lt;/ref-type&gt;&lt;contributors&gt;&lt;authors&gt;&lt;author&gt;Herman-Stahl, MA&lt;/author&gt;&lt;author&gt;Krebs, CP&lt;/author&gt;&lt;author&gt;Kroutil, LA&lt;/author&gt;&lt;author&gt;Heller, DC&lt;/author&gt;&lt;/authors&gt;&lt;/contributors&gt;&lt;titles&gt;&lt;title&gt;Risk and protective factors for methamphetamine use and nonmedical use of prescription stimulants among young adults aged 18 to 25&lt;/title&gt;&lt;secondary-title&gt;Addiction Behavior&lt;/secondary-title&gt;&lt;/titles&gt;&lt;periodical&gt;&lt;full-title&gt;Addiction Behavior&lt;/full-title&gt;&lt;/periodical&gt;&lt;pages&gt;1003 - 1015&lt;/pages&gt;&lt;volume&gt;32&lt;/volume&gt;&lt;number&gt;5&lt;/number&gt;&lt;dates&gt;&lt;year&gt;2007&lt;/year&gt;&lt;/dates&gt;&lt;urls&gt;&lt;/urls&gt;&lt;electronic-resource-num&gt;10.1016/j.addbeh.2006.07.010 &lt;/electronic-resource-num&gt;&lt;/record&gt;&lt;/Cite&gt;&lt;/EndNote&gt;</w:instrText>
      </w:r>
      <w:r>
        <w:fldChar w:fldCharType="separate"/>
      </w:r>
      <w:hyperlink w:anchor="_ENREF_19" w:tooltip="Herman-Stahl, 2007 #327" w:history="1">
        <w:r w:rsidR="00D213F7">
          <w:rPr>
            <w:noProof/>
          </w:rPr>
          <w:t>Herman-Stahl, Krebs, Kroutil, and Heller (2007</w:t>
        </w:r>
      </w:hyperlink>
      <w:r w:rsidR="003E2306">
        <w:rPr>
          <w:noProof/>
        </w:rPr>
        <w:t>)</w:t>
      </w:r>
      <w:r>
        <w:fldChar w:fldCharType="end"/>
      </w:r>
      <w:r w:rsidR="00AF2612">
        <w:t xml:space="preserve"> explored the risk factors associated with prescription drugs and substance abuse by looking at students</w:t>
      </w:r>
      <w:r w:rsidR="00BA69FB">
        <w:t>’</w:t>
      </w:r>
      <w:r w:rsidR="00AF2612">
        <w:t xml:space="preserve"> psychosocial state and overall behavior, not just other substance use. Using the </w:t>
      </w:r>
      <w:r w:rsidR="003E2306">
        <w:t xml:space="preserve">NSDUH </w:t>
      </w:r>
      <w:r w:rsidR="00AF2612">
        <w:t>data from 2002, they conducted logistic regressions analyses of the following measures: demographic, psychosocial, and behavioral correlates of nonmedical stimulant use.</w:t>
      </w:r>
      <w:r w:rsidR="00EC3699">
        <w:t xml:space="preserve"> The logistic regression analyses revealed students with lower levels of religiosity, higher levels of psychological distress, and high levels of deviant behavior were likely to engage in prescription stimulants and other illicit drugs</w:t>
      </w:r>
      <w:r w:rsidR="00347A2D">
        <w:t xml:space="preserve"> </w:t>
      </w:r>
    </w:p>
    <w:p w:rsidR="00EC3699" w:rsidRDefault="00550107" w:rsidP="003F6BB5">
      <w:r>
        <w:fldChar w:fldCharType="begin"/>
      </w:r>
      <w:r w:rsidR="00FF53C1">
        <w:instrText xml:space="preserve"> ADDIN EN.CITE &lt;EndNote&gt;&lt;Cite AuthorYear="1"&gt;&lt;Author&gt;Rabiner&lt;/Author&gt;&lt;Year&gt;2010&lt;/Year&gt;&lt;RecNum&gt;386&lt;/RecNum&gt;&lt;DisplayText&gt;Rabiner, Anastopoulos, Costello, Hoyle, and Swartzwelder (2010)&lt;/DisplayText&gt;&lt;record&gt;&lt;rec-number&gt;386&lt;/rec-number&gt;&lt;foreign-keys&gt;&lt;key app="EN" db-id="02dwfapew02tdked2f4p0xerwdapvw5vztpp"&gt;386&lt;/key&gt;&lt;key app="ENWeb" db-id="R1rfKArtmCQAAH0-ETQ"&gt;876&lt;/key&gt;&lt;/foreign-keys&gt;&lt;ref-type name="Journal Article"&gt;17&lt;/ref-type&gt;&lt;contributors&gt;&lt;authors&gt;&lt;author&gt;Rabiner, David L.&lt;/author&gt;&lt;author&gt;Anastopoulos, Arthur D.&lt;/author&gt;&lt;author&gt;Costello, E. Jane&lt;/author&gt;&lt;author&gt;Hoyle, Rick H.&lt;/author&gt;&lt;author&gt;Swartzwelder, H. Scott&lt;/author&gt;&lt;/authors&gt;&lt;/contributors&gt;&lt;titles&gt;&lt;title&gt;Predictors of nonmedical ADHD medication use by college students&lt;/title&gt;&lt;secondary-title&gt;Journal of Attention Disorders&lt;/secondary-title&gt;&lt;/titles&gt;&lt;periodical&gt;&lt;full-title&gt;Journal of Attention Disorders&lt;/full-title&gt;&lt;/periodical&gt;&lt;pages&gt;640-648&lt;/pages&gt;&lt;volume&gt;13&lt;/volume&gt;&lt;number&gt;6&lt;/number&gt;&lt;section&gt;640&lt;/section&gt;&lt;dates&gt;&lt;year&gt;2010&lt;/year&gt;&lt;/dates&gt;&lt;urls&gt;&lt;/urls&gt;&lt;electronic-resource-num&gt;10.1177/1087054709334505&lt;/electronic-resource-num&gt;&lt;/record&gt;&lt;/Cite&gt;&lt;/EndNote&gt;</w:instrText>
      </w:r>
      <w:r>
        <w:fldChar w:fldCharType="separate"/>
      </w:r>
      <w:hyperlink w:anchor="_ENREF_51" w:tooltip="Rabiner, 2010 #386" w:history="1">
        <w:r w:rsidR="00D213F7">
          <w:rPr>
            <w:noProof/>
          </w:rPr>
          <w:t>Rabiner, Anastopoulos, Costello, Hoyle, and Swartzwelder (2010</w:t>
        </w:r>
      </w:hyperlink>
      <w:r w:rsidR="00FF53C1">
        <w:rPr>
          <w:noProof/>
        </w:rPr>
        <w:t>)</w:t>
      </w:r>
      <w:r>
        <w:fldChar w:fldCharType="end"/>
      </w:r>
      <w:r w:rsidR="00EC3699">
        <w:t xml:space="preserve"> conducted a study with a similar purpose </w:t>
      </w:r>
      <w:r w:rsidR="00765237">
        <w:t>to</w:t>
      </w:r>
      <w:r w:rsidR="00EC3699">
        <w:t xml:space="preserve"> </w:t>
      </w:r>
      <w:r>
        <w:fldChar w:fldCharType="begin"/>
      </w:r>
      <w:r w:rsidR="00E96A70">
        <w:instrText xml:space="preserve"> ADDIN EN.CITE &lt;EndNote&gt;&lt;Cite AuthorYear="1"&gt;&lt;Author&gt;Herman-Stahl&lt;/Author&gt;&lt;Year&gt;2007&lt;/Year&gt;&lt;RecNum&gt;327&lt;/RecNum&gt;&lt;DisplayText&gt;Herman-Stahl et al. (2007)&lt;/DisplayText&gt;&lt;record&gt;&lt;rec-number&gt;327&lt;/rec-number&gt;&lt;foreign-keys&gt;&lt;key app="EN" db-id="02dwfapew02tdked2f4p0xerwdapvw5vztpp"&gt;327&lt;/key&gt;&lt;key app="ENWeb" db-id="R1rfKArtmCQAAH0-ETQ"&gt;673&lt;/key&gt;&lt;/foreign-keys&gt;&lt;ref-type name="Journal Article"&gt;17&lt;/ref-type&gt;&lt;contributors&gt;&lt;authors&gt;&lt;author&gt;Herman-Stahl, MA&lt;/author&gt;&lt;author&gt;Krebs, CP&lt;/author&gt;&lt;author&gt;Kroutil, LA&lt;/author&gt;&lt;author&gt;Heller, DC&lt;/author&gt;&lt;/authors&gt;&lt;/contributors&gt;&lt;titles&gt;&lt;title&gt;Risk and protective factors for methamphetamine use and nonmedical use of prescription stimulants among young adults aged 18 to 25&lt;/title&gt;&lt;secondary-title&gt;Addiction Behavior&lt;/secondary-title&gt;&lt;/titles&gt;&lt;periodical&gt;&lt;full-title&gt;Addiction Behavior&lt;/full-title&gt;&lt;/periodical&gt;&lt;pages&gt;1003 - 1015&lt;/pages&gt;&lt;volume&gt;32&lt;/volume&gt;&lt;number&gt;5&lt;/number&gt;&lt;dates&gt;&lt;year&gt;2007&lt;/year&gt;&lt;/dates&gt;&lt;urls&gt;&lt;/urls&gt;&lt;electronic-resource-num&gt;10.1016/j.addbeh.2006.07.010 &lt;/electronic-resource-num&gt;&lt;/record&gt;&lt;/Cite&gt;&lt;/EndNote&gt;</w:instrText>
      </w:r>
      <w:r>
        <w:fldChar w:fldCharType="separate"/>
      </w:r>
      <w:hyperlink w:anchor="_ENREF_19" w:tooltip="Herman-Stahl, 2007 #327" w:history="1">
        <w:r w:rsidR="00D213F7">
          <w:rPr>
            <w:noProof/>
          </w:rPr>
          <w:t>Herman-Stahl et al. (2007</w:t>
        </w:r>
      </w:hyperlink>
      <w:r w:rsidR="00E96A70">
        <w:rPr>
          <w:noProof/>
        </w:rPr>
        <w:t>)</w:t>
      </w:r>
      <w:r>
        <w:fldChar w:fldCharType="end"/>
      </w:r>
      <w:r w:rsidR="00EA3C48">
        <w:t xml:space="preserve">; however, </w:t>
      </w:r>
      <w:r w:rsidR="00765237">
        <w:t xml:space="preserve">they </w:t>
      </w:r>
      <w:r w:rsidR="00EA3C48">
        <w:t>did not use a national dataset. They develop</w:t>
      </w:r>
      <w:r w:rsidR="00C14C65">
        <w:t>ed a survey designed for</w:t>
      </w:r>
      <w:r w:rsidR="00EA3C48">
        <w:t xml:space="preserve"> elicit</w:t>
      </w:r>
      <w:r w:rsidR="00C14C65">
        <w:t>ing</w:t>
      </w:r>
      <w:r w:rsidR="00EA3C48">
        <w:t xml:space="preserve"> information on a variety of measures such as demographics, nonmedical use of prescription stimulants, alcohol and drug use, attention difficulties, academic concerns, depressive symptoms, and nonmedical use of other medications. They surveyed 843 students who were from a public </w:t>
      </w:r>
      <w:r w:rsidR="003205C5">
        <w:t>or a private university in the S</w:t>
      </w:r>
      <w:r w:rsidR="00EA3C48">
        <w:t>outheastern United States.</w:t>
      </w:r>
    </w:p>
    <w:p w:rsidR="00EA3C48" w:rsidRDefault="00EA3C48" w:rsidP="003F6BB5">
      <w:r>
        <w:t>In order to determine the factors that</w:t>
      </w:r>
      <w:r w:rsidR="00874276">
        <w:t xml:space="preserve"> predict the onset of nonmedical use of prescription stimulants, </w:t>
      </w:r>
      <w:r w:rsidR="00550107">
        <w:fldChar w:fldCharType="begin"/>
      </w:r>
      <w:r w:rsidR="00E96A70">
        <w:instrText xml:space="preserve"> ADDIN EN.CITE &lt;EndNote&gt;&lt;Cite AuthorYear="1"&gt;&lt;Author&gt;Rabiner&lt;/Author&gt;&lt;Year&gt;2010&lt;/Year&gt;&lt;RecNum&gt;386&lt;/RecNum&gt;&lt;DisplayText&gt;Rabiner et al. (2010)&lt;/DisplayText&gt;&lt;record&gt;&lt;rec-number&gt;386&lt;/rec-number&gt;&lt;foreign-keys&gt;&lt;key app="EN" db-id="02dwfapew02tdked2f4p0xerwdapvw5vztpp"&gt;386&lt;/key&gt;&lt;key app="ENWeb" db-id="R1rfKArtmCQAAH0-ETQ"&gt;876&lt;/key&gt;&lt;/foreign-keys&gt;&lt;ref-type name="Journal Article"&gt;17&lt;/ref-type&gt;&lt;contributors&gt;&lt;authors&gt;&lt;author&gt;Rabiner, David L.&lt;/author&gt;&lt;author&gt;Anastopoulos, Arthur D.&lt;/author&gt;&lt;author&gt;Costello, E. Jane&lt;/author&gt;&lt;author&gt;Hoyle, Rick H.&lt;/author&gt;&lt;author&gt;Swartzwelder, H. Scott&lt;/author&gt;&lt;/authors&gt;&lt;/contributors&gt;&lt;titles&gt;&lt;title&gt;Predictors of nonmedical ADHD medication use by college students&lt;/title&gt;&lt;secondary-title&gt;Journal of Attention Disorders&lt;/secondary-title&gt;&lt;/titles&gt;&lt;periodical&gt;&lt;full-title&gt;Journal of Attention Disorders&lt;/full-title&gt;&lt;/periodical&gt;&lt;pages&gt;640-648&lt;/pages&gt;&lt;volume&gt;13&lt;/volume&gt;&lt;number&gt;6&lt;/number&gt;&lt;section&gt;640&lt;/section&gt;&lt;dates&gt;&lt;year&gt;2010&lt;/year&gt;&lt;/dates&gt;&lt;urls&gt;&lt;/urls&gt;&lt;electronic-resource-num&gt;10.1177/1087054709334505&lt;/electronic-resource-num&gt;&lt;/record&gt;&lt;/Cite&gt;&lt;/EndNote&gt;</w:instrText>
      </w:r>
      <w:r w:rsidR="00550107">
        <w:fldChar w:fldCharType="separate"/>
      </w:r>
      <w:hyperlink w:anchor="_ENREF_51" w:tooltip="Rabiner, 2010 #386" w:history="1">
        <w:r w:rsidR="00D213F7">
          <w:rPr>
            <w:noProof/>
          </w:rPr>
          <w:t>Rabiner et al. (2010</w:t>
        </w:r>
      </w:hyperlink>
      <w:r w:rsidR="00E96A70">
        <w:rPr>
          <w:noProof/>
        </w:rPr>
        <w:t>)</w:t>
      </w:r>
      <w:r w:rsidR="00550107">
        <w:fldChar w:fldCharType="end"/>
      </w:r>
      <w:r w:rsidR="00D36A47" w:rsidRPr="00D36A47">
        <w:t xml:space="preserve"> </w:t>
      </w:r>
      <w:r w:rsidR="00874276">
        <w:t xml:space="preserve">used a multiple logistic regression. Central tendencies were also </w:t>
      </w:r>
      <w:r w:rsidR="00FF53C1">
        <w:lastRenderedPageBreak/>
        <w:t>calculated</w:t>
      </w:r>
      <w:r w:rsidR="00874276">
        <w:t xml:space="preserve"> to identify factors that m</w:t>
      </w:r>
      <w:r w:rsidR="00206946">
        <w:t>ight</w:t>
      </w:r>
      <w:r w:rsidR="00874276">
        <w:t xml:space="preserve"> predict stimulant use. The analyses revealed stude</w:t>
      </w:r>
      <w:r w:rsidR="00C14C65">
        <w:t>nts affiliated with fraternities and sororities</w:t>
      </w:r>
      <w:r w:rsidR="00874276">
        <w:t xml:space="preserve"> </w:t>
      </w:r>
      <w:r w:rsidR="00206946">
        <w:t>were</w:t>
      </w:r>
      <w:r w:rsidR="00874276">
        <w:t xml:space="preserve"> twice as likely to engage in the illicit use of prescription stimulants. Additionally, for each substance students </w:t>
      </w:r>
      <w:r w:rsidR="003205C5">
        <w:t>abus</w:t>
      </w:r>
      <w:r w:rsidR="0029166B">
        <w:t>e</w:t>
      </w:r>
      <w:r w:rsidR="00206946">
        <w:t>d</w:t>
      </w:r>
      <w:r w:rsidR="00874276">
        <w:t>, the likelihood for them engaging in prescription stimulants increased three-fold. Students who believed they had attention problems, but had no other substance abuse history</w:t>
      </w:r>
      <w:r w:rsidR="00C14C65">
        <w:t>,</w:t>
      </w:r>
      <w:r w:rsidR="00874276">
        <w:t xml:space="preserve"> were five times more likely than nonusers to e</w:t>
      </w:r>
      <w:r w:rsidR="003205C5">
        <w:t xml:space="preserve">ngage in the felonious </w:t>
      </w:r>
      <w:proofErr w:type="gramStart"/>
      <w:r w:rsidR="003205C5">
        <w:t>behavior</w:t>
      </w:r>
      <w:proofErr w:type="gramEnd"/>
      <w:r w:rsidR="00874276">
        <w:t xml:space="preserve">. However, </w:t>
      </w:r>
      <w:r w:rsidR="00206946">
        <w:t xml:space="preserve">for </w:t>
      </w:r>
      <w:r w:rsidR="00874276">
        <w:t>students who were high substance users, the level of self-perceived attention difficulties did not contribute to their decision for illicitly using prescription stimulants</w:t>
      </w:r>
      <w:r w:rsidR="00D36A47">
        <w:t xml:space="preserve"> </w:t>
      </w:r>
      <w:r w:rsidR="00550107">
        <w:fldChar w:fldCharType="begin"/>
      </w:r>
      <w:r w:rsidR="00E96A70">
        <w:instrText xml:space="preserve"> ADDIN EN.CITE &lt;EndNote&gt;&lt;Cite&gt;&lt;Author&gt;Rabiner&lt;/Author&gt;&lt;Year&gt;2010&lt;/Year&gt;&lt;RecNum&gt;386&lt;/RecNum&gt;&lt;DisplayText&gt;(Rabiner et al., 2010)&lt;/DisplayText&gt;&lt;record&gt;&lt;rec-number&gt;386&lt;/rec-number&gt;&lt;foreign-keys&gt;&lt;key app="EN" db-id="02dwfapew02tdked2f4p0xerwdapvw5vztpp"&gt;386&lt;/key&gt;&lt;key app="ENWeb" db-id="R1rfKArtmCQAAH0-ETQ"&gt;876&lt;/key&gt;&lt;/foreign-keys&gt;&lt;ref-type name="Journal Article"&gt;17&lt;/ref-type&gt;&lt;contributors&gt;&lt;authors&gt;&lt;author&gt;Rabiner, David L.&lt;/author&gt;&lt;author&gt;Anastopoulos, Arthur D.&lt;/author&gt;&lt;author&gt;Costello, E. Jane&lt;/author&gt;&lt;author&gt;Hoyle, Rick H.&lt;/author&gt;&lt;author&gt;Swartzwelder, H. Scott&lt;/author&gt;&lt;/authors&gt;&lt;/contributors&gt;&lt;titles&gt;&lt;title&gt;Predictors of nonmedical ADHD medication use by college students&lt;/title&gt;&lt;secondary-title&gt;Journal of Attention Disorders&lt;/secondary-title&gt;&lt;/titles&gt;&lt;periodical&gt;&lt;full-title&gt;Journal of Attention Disorders&lt;/full-title&gt;&lt;/periodical&gt;&lt;pages&gt;640-648&lt;/pages&gt;&lt;volume&gt;13&lt;/volume&gt;&lt;number&gt;6&lt;/number&gt;&lt;section&gt;640&lt;/section&gt;&lt;dates&gt;&lt;year&gt;2010&lt;/year&gt;&lt;/dates&gt;&lt;urls&gt;&lt;/urls&gt;&lt;electronic-resource-num&gt;10.1177/1087054709334505&lt;/electronic-resource-num&gt;&lt;/record&gt;&lt;/Cite&gt;&lt;/EndNote&gt;</w:instrText>
      </w:r>
      <w:r w:rsidR="00550107">
        <w:fldChar w:fldCharType="separate"/>
      </w:r>
      <w:r w:rsidR="00E96A70">
        <w:rPr>
          <w:noProof/>
        </w:rPr>
        <w:t>(</w:t>
      </w:r>
      <w:hyperlink w:anchor="_ENREF_51" w:tooltip="Rabiner, 2010 #386" w:history="1">
        <w:r w:rsidR="00D213F7">
          <w:rPr>
            <w:noProof/>
          </w:rPr>
          <w:t>Rabiner et al., 2010</w:t>
        </w:r>
      </w:hyperlink>
      <w:r w:rsidR="00E96A70">
        <w:rPr>
          <w:noProof/>
        </w:rPr>
        <w:t>)</w:t>
      </w:r>
      <w:r w:rsidR="00550107">
        <w:fldChar w:fldCharType="end"/>
      </w:r>
      <w:r w:rsidR="00874276">
        <w:t xml:space="preserve">. </w:t>
      </w:r>
    </w:p>
    <w:p w:rsidR="00771DD3" w:rsidRDefault="00874276" w:rsidP="003F6BB5">
      <w:r>
        <w:t xml:space="preserve">It is evident from </w:t>
      </w:r>
      <w:r w:rsidR="00550107">
        <w:fldChar w:fldCharType="begin"/>
      </w:r>
      <w:r w:rsidR="00E96A70">
        <w:instrText xml:space="preserve"> ADDIN EN.CITE &lt;EndNote&gt;&lt;Cite AuthorYear="1"&gt;&lt;Author&gt;Rabiner&lt;/Author&gt;&lt;Year&gt;2010&lt;/Year&gt;&lt;RecNum&gt;386&lt;/RecNum&gt;&lt;DisplayText&gt;Rabiner et al. (2010)&lt;/DisplayText&gt;&lt;record&gt;&lt;rec-number&gt;386&lt;/rec-number&gt;&lt;foreign-keys&gt;&lt;key app="EN" db-id="02dwfapew02tdked2f4p0xerwdapvw5vztpp"&gt;386&lt;/key&gt;&lt;key app="ENWeb" db-id="R1rfKArtmCQAAH0-ETQ"&gt;876&lt;/key&gt;&lt;/foreign-keys&gt;&lt;ref-type name="Journal Article"&gt;17&lt;/ref-type&gt;&lt;contributors&gt;&lt;authors&gt;&lt;author&gt;Rabiner, David L.&lt;/author&gt;&lt;author&gt;Anastopoulos, Arthur D.&lt;/author&gt;&lt;author&gt;Costello, E. Jane&lt;/author&gt;&lt;author&gt;Hoyle, Rick H.&lt;/author&gt;&lt;author&gt;Swartzwelder, H. Scott&lt;/author&gt;&lt;/authors&gt;&lt;/contributors&gt;&lt;titles&gt;&lt;title&gt;Predictors of nonmedical ADHD medication use by college students&lt;/title&gt;&lt;secondary-title&gt;Journal of Attention Disorders&lt;/secondary-title&gt;&lt;/titles&gt;&lt;periodical&gt;&lt;full-title&gt;Journal of Attention Disorders&lt;/full-title&gt;&lt;/periodical&gt;&lt;pages&gt;640-648&lt;/pages&gt;&lt;volume&gt;13&lt;/volume&gt;&lt;number&gt;6&lt;/number&gt;&lt;section&gt;640&lt;/section&gt;&lt;dates&gt;&lt;year&gt;2010&lt;/year&gt;&lt;/dates&gt;&lt;urls&gt;&lt;/urls&gt;&lt;electronic-resource-num&gt;10.1177/1087054709334505&lt;/electronic-resource-num&gt;&lt;/record&gt;&lt;/Cite&gt;&lt;/EndNote&gt;</w:instrText>
      </w:r>
      <w:r w:rsidR="00550107">
        <w:fldChar w:fldCharType="separate"/>
      </w:r>
      <w:hyperlink w:anchor="_ENREF_51" w:tooltip="Rabiner, 2010 #386" w:history="1">
        <w:r w:rsidR="00D213F7">
          <w:rPr>
            <w:noProof/>
          </w:rPr>
          <w:t>Rabiner et al. (2010</w:t>
        </w:r>
      </w:hyperlink>
      <w:r w:rsidR="00E96A70">
        <w:rPr>
          <w:noProof/>
        </w:rPr>
        <w:t>)</w:t>
      </w:r>
      <w:r w:rsidR="00550107">
        <w:fldChar w:fldCharType="end"/>
      </w:r>
      <w:r>
        <w:t xml:space="preserve">, </w:t>
      </w:r>
      <w:r w:rsidR="00550107">
        <w:fldChar w:fldCharType="begin"/>
      </w:r>
      <w:r w:rsidR="00E96A70">
        <w:instrText xml:space="preserve"> ADDIN EN.CITE &lt;EndNote&gt;&lt;Cite AuthorYear="1"&gt;&lt;Author&gt;Herman-Stahl&lt;/Author&gt;&lt;Year&gt;2007&lt;/Year&gt;&lt;RecNum&gt;327&lt;/RecNum&gt;&lt;DisplayText&gt;Herman-Stahl et al. (2007)&lt;/DisplayText&gt;&lt;record&gt;&lt;rec-number&gt;327&lt;/rec-number&gt;&lt;foreign-keys&gt;&lt;key app="EN" db-id="02dwfapew02tdked2f4p0xerwdapvw5vztpp"&gt;327&lt;/key&gt;&lt;key app="ENWeb" db-id="R1rfKArtmCQAAH0-ETQ"&gt;673&lt;/key&gt;&lt;/foreign-keys&gt;&lt;ref-type name="Journal Article"&gt;17&lt;/ref-type&gt;&lt;contributors&gt;&lt;authors&gt;&lt;author&gt;Herman-Stahl, MA&lt;/author&gt;&lt;author&gt;Krebs, CP&lt;/author&gt;&lt;author&gt;Kroutil, LA&lt;/author&gt;&lt;author&gt;Heller, DC&lt;/author&gt;&lt;/authors&gt;&lt;/contributors&gt;&lt;titles&gt;&lt;title&gt;Risk and protective factors for methamphetamine use and nonmedical use of prescription stimulants among young adults aged 18 to 25&lt;/title&gt;&lt;secondary-title&gt;Addiction Behavior&lt;/secondary-title&gt;&lt;/titles&gt;&lt;periodical&gt;&lt;full-title&gt;Addiction Behavior&lt;/full-title&gt;&lt;/periodical&gt;&lt;pages&gt;1003 - 1015&lt;/pages&gt;&lt;volume&gt;32&lt;/volume&gt;&lt;number&gt;5&lt;/number&gt;&lt;dates&gt;&lt;year&gt;2007&lt;/year&gt;&lt;/dates&gt;&lt;urls&gt;&lt;/urls&gt;&lt;electronic-resource-num&gt;10.1016/j.addbeh.2006.07.010 &lt;/electronic-resource-num&gt;&lt;/record&gt;&lt;/Cite&gt;&lt;/EndNote&gt;</w:instrText>
      </w:r>
      <w:r w:rsidR="00550107">
        <w:fldChar w:fldCharType="separate"/>
      </w:r>
      <w:hyperlink w:anchor="_ENREF_19" w:tooltip="Herman-Stahl, 2007 #327" w:history="1">
        <w:r w:rsidR="00D213F7">
          <w:rPr>
            <w:noProof/>
          </w:rPr>
          <w:t>Herman-Stahl et al. (2007</w:t>
        </w:r>
      </w:hyperlink>
      <w:r w:rsidR="00E96A70">
        <w:rPr>
          <w:noProof/>
        </w:rPr>
        <w:t>)</w:t>
      </w:r>
      <w:r w:rsidR="00550107">
        <w:fldChar w:fldCharType="end"/>
      </w:r>
      <w:r>
        <w:t xml:space="preserve">, and </w:t>
      </w:r>
      <w:r w:rsidR="00550107">
        <w:fldChar w:fldCharType="begin"/>
      </w:r>
      <w:r w:rsidR="00E96A70">
        <w:instrText xml:space="preserve"> ADDIN EN.CITE &lt;EndNote&gt;&lt;Cite AuthorYear="1"&gt;&lt;Author&gt;Arria&lt;/Author&gt;&lt;Year&gt;2008&lt;/Year&gt;&lt;RecNum&gt;384&lt;/RecNum&gt;&lt;DisplayText&gt;Arria, Caldeira, O&amp;apos;Grady, et al. (2008)&lt;/DisplayText&gt;&lt;record&gt;&lt;rec-number&gt;384&lt;/rec-number&gt;&lt;foreign-keys&gt;&lt;key app="EN" db-id="02dwfapew02tdked2f4p0xerwdapvw5vztpp"&gt;384&lt;/key&gt;&lt;key app="ENWeb" db-id="R1rfKArtmCQAAH0-ETQ"&gt;875&lt;/key&gt;&lt;/foreign-keys&gt;&lt;ref-type name="Journal Article"&gt;17&lt;/ref-type&gt;&lt;contributors&gt;&lt;authors&gt;&lt;author&gt;Arria, Amelia&lt;/author&gt;&lt;author&gt;Caldeira, K&lt;/author&gt;&lt;author&gt;O&amp;apos;Grady, K&lt;/author&gt;&lt;author&gt;Vincent, K&lt;/author&gt;&lt;author&gt;Johnson, E&lt;/author&gt;&lt;author&gt;Wish, E&lt;/author&gt;&lt;/authors&gt;&lt;/contributors&gt;&lt;titles&gt;&lt;title&gt;Nonmedical use of prescription stimulants among college students: Associations with attention-deficit-hyperactivity disorder and polydrug use&lt;/title&gt;&lt;secondary-title&gt;Pharmacotherapy&lt;/secondary-title&gt;&lt;/titles&gt;&lt;periodical&gt;&lt;full-title&gt;Pharmacotherapy&lt;/full-title&gt;&lt;/periodical&gt;&lt;pages&gt;156-169&lt;/pages&gt;&lt;volume&gt;28&lt;/volume&gt;&lt;number&gt;2&lt;/number&gt;&lt;dates&gt;&lt;year&gt;2008&lt;/year&gt;&lt;/dates&gt;&lt;urls&gt;&lt;/urls&gt;&lt;electronic-resource-num&gt;10.1592/phco.28.2.156&lt;/electronic-resource-num&gt;&lt;/record&gt;&lt;/Cite&gt;&lt;/EndNote&gt;</w:instrText>
      </w:r>
      <w:r w:rsidR="00550107">
        <w:fldChar w:fldCharType="separate"/>
      </w:r>
      <w:hyperlink w:anchor="_ENREF_3" w:tooltip="Arria, 2008 #384" w:history="1">
        <w:r w:rsidR="00D213F7">
          <w:rPr>
            <w:noProof/>
          </w:rPr>
          <w:t>Arria, Caldeira, O'Grady, et al. (2008</w:t>
        </w:r>
      </w:hyperlink>
      <w:r w:rsidR="00E96A70">
        <w:rPr>
          <w:noProof/>
        </w:rPr>
        <w:t>)</w:t>
      </w:r>
      <w:r w:rsidR="00550107">
        <w:fldChar w:fldCharType="end"/>
      </w:r>
      <w:r w:rsidR="00DB6191">
        <w:t>,</w:t>
      </w:r>
      <w:r>
        <w:t xml:space="preserve"> that nonmedical use of prescription stimulants is associated with other problematic behaviors. </w:t>
      </w:r>
      <w:r w:rsidR="00550107">
        <w:fldChar w:fldCharType="begin"/>
      </w:r>
      <w:r w:rsidR="00A35BE5">
        <w:instrText xml:space="preserve"> ADDIN EN.CITE &lt;EndNote&gt;&lt;Cite AuthorYear="1"&gt;&lt;Author&gt;McCabe&lt;/Author&gt;&lt;Year&gt;2006&lt;/Year&gt;&lt;RecNum&gt;415&lt;/RecNum&gt;&lt;DisplayText&gt;McCabe, Cranford, and Boyd (2006)&lt;/DisplayText&gt;&lt;record&gt;&lt;rec-number&gt;415&lt;/rec-number&gt;&lt;foreign-keys&gt;&lt;key app="EN" db-id="02dwfapew02tdked2f4p0xerwdapvw5vztpp"&gt;415&lt;/key&gt;&lt;/foreign-keys&gt;&lt;ref-type name="Journal Article"&gt;17&lt;/ref-type&gt;&lt;contributors&gt;&lt;authors&gt;&lt;author&gt;McCabe, S&lt;/author&gt;&lt;author&gt;Cranford, James A.&lt;/author&gt;&lt;author&gt;Boyd, Carol J.&lt;/author&gt;&lt;/authors&gt;&lt;/contributors&gt;&lt;titles&gt;&lt;title&gt;The relationship between past-year drinking behaviors and nonmedical use of prescription drugs: Prevalence of co-occurrence in a national sample&lt;/title&gt;&lt;secondary-title&gt;Drug and Alcohol Dependence&lt;/secondary-title&gt;&lt;/titles&gt;&lt;periodical&gt;&lt;full-title&gt;Drug and Alcohol Dependence&lt;/full-title&gt;&lt;/periodical&gt;&lt;pages&gt;281-288&lt;/pages&gt;&lt;volume&gt;84&lt;/volume&gt;&lt;number&gt;3&lt;/number&gt;&lt;keywords&gt;&lt;keyword&gt;Epidemiology&lt;/keyword&gt;&lt;keyword&gt;Prescription drugs&lt;/keyword&gt;&lt;keyword&gt;Nonmedical use&lt;/keyword&gt;&lt;keyword&gt;Alcohol use&lt;/keyword&gt;&lt;keyword&gt;DSM-IV alcohol abuse&lt;/keyword&gt;&lt;keyword&gt;DSM-IV alcohol dependence&lt;/keyword&gt;&lt;/keywords&gt;&lt;dates&gt;&lt;year&gt;2006&lt;/year&gt;&lt;/dates&gt;&lt;isbn&gt;0376-8716&lt;/isbn&gt;&lt;urls&gt;&lt;related-urls&gt;&lt;url&gt;http://www.sciencedirect.com/science/article/pii/S0376871606000846&lt;/url&gt;&lt;/related-urls&gt;&lt;/urls&gt;&lt;electronic-resource-num&gt;10.1016/j.drugalcdep.2006.03.006&lt;/electronic-resource-num&gt;&lt;/record&gt;&lt;/Cite&gt;&lt;/EndNote&gt;</w:instrText>
      </w:r>
      <w:r w:rsidR="00550107">
        <w:fldChar w:fldCharType="separate"/>
      </w:r>
      <w:hyperlink w:anchor="_ENREF_34" w:tooltip="McCabe, 2006 #415" w:history="1">
        <w:r w:rsidR="00D213F7">
          <w:rPr>
            <w:noProof/>
          </w:rPr>
          <w:t>McCabe, Cranford, and Boyd (2006</w:t>
        </w:r>
      </w:hyperlink>
      <w:r w:rsidR="00A35BE5">
        <w:rPr>
          <w:noProof/>
        </w:rPr>
        <w:t>)</w:t>
      </w:r>
      <w:r w:rsidR="00550107">
        <w:fldChar w:fldCharType="end"/>
      </w:r>
      <w:r>
        <w:t xml:space="preserve"> explored this </w:t>
      </w:r>
      <w:r w:rsidR="00206946">
        <w:t>relationship</w:t>
      </w:r>
      <w:r>
        <w:t xml:space="preserve"> as it relate</w:t>
      </w:r>
      <w:r w:rsidR="00206946">
        <w:t>d</w:t>
      </w:r>
      <w:r>
        <w:t xml:space="preserve"> to alcohol and past-year drinking behaviors. </w:t>
      </w:r>
      <w:r w:rsidR="00771DD3">
        <w:t>They us</w:t>
      </w:r>
      <w:r w:rsidR="00206946">
        <w:t>ed</w:t>
      </w:r>
      <w:r w:rsidR="00771DD3">
        <w:t xml:space="preserve"> the 2001 – 2002 National Epidemiologic Survey on Alcohol and Related Conditions (NESARC)</w:t>
      </w:r>
      <w:r w:rsidR="00206946">
        <w:t xml:space="preserve"> on a nationally representative sample</w:t>
      </w:r>
      <w:r w:rsidR="00771DD3">
        <w:t xml:space="preserve"> of 43,093 students aged 18 and older. The sample was primarily white (71%) and balanced between men and women (48% vs. 52%). The measures of the survey included basic demographic information, alcohol use disorders, and nonmedical use of prescription drugs. The analysis consisted of a series of logistic regressions for assessing the relationship between alcohol use and nonmedical prescription drug use.</w:t>
      </w:r>
      <w:r w:rsidR="00347A2D">
        <w:t xml:space="preserve"> </w:t>
      </w:r>
      <w:r w:rsidR="00771DD3">
        <w:t>College students were more likely to be binge drinkers and prescription stimulant</w:t>
      </w:r>
      <w:r w:rsidR="00206946">
        <w:t xml:space="preserve"> users</w:t>
      </w:r>
      <w:r w:rsidR="00771DD3">
        <w:t xml:space="preserve">. In fact, students who used prescription stimulants were 36.2 times more likely to have an alcohol dependence problem, and 7.8 times more likely to abuse alcohol. They were </w:t>
      </w:r>
      <w:r w:rsidR="00206946">
        <w:t xml:space="preserve">also </w:t>
      </w:r>
      <w:r w:rsidR="00771DD3">
        <w:t>five times more likely to binge drink without an alcohol disorder. This information confirms previous studies</w:t>
      </w:r>
      <w:r w:rsidR="00C14C65">
        <w:t>’</w:t>
      </w:r>
      <w:r w:rsidR="00771DD3">
        <w:t xml:space="preserve"> suspicions</w:t>
      </w:r>
      <w:r w:rsidR="00C91CDC">
        <w:t xml:space="preserve"> that students </w:t>
      </w:r>
      <w:r w:rsidR="00C91CDC">
        <w:lastRenderedPageBreak/>
        <w:t>are more likely to engage in prescription stimulant use when they are engaging in other risky behaviors such as marijuana and alcohol</w:t>
      </w:r>
      <w:r w:rsidR="00BA69FB">
        <w:rPr>
          <w:noProof/>
        </w:rPr>
        <w:t xml:space="preserve"> </w:t>
      </w:r>
      <w:r w:rsidR="00550107">
        <w:rPr>
          <w:noProof/>
        </w:rPr>
        <w:fldChar w:fldCharType="begin"/>
      </w:r>
      <w:r w:rsidR="00E96A70">
        <w:rPr>
          <w:noProof/>
        </w:rPr>
        <w:instrText xml:space="preserve"> ADDIN EN.CITE &lt;EndNote&gt;&lt;Cite&gt;&lt;Author&gt;McCabe&lt;/Author&gt;&lt;Year&gt;2006&lt;/Year&gt;&lt;RecNum&gt;415&lt;/RecNum&gt;&lt;DisplayText&gt;(McCabe, Cranford, et al., 2006)&lt;/DisplayText&gt;&lt;record&gt;&lt;rec-number&gt;415&lt;/rec-number&gt;&lt;foreign-keys&gt;&lt;key app="EN" db-id="02dwfapew02tdked2f4p0xerwdapvw5vztpp"&gt;415&lt;/key&gt;&lt;/foreign-keys&gt;&lt;ref-type name="Journal Article"&gt;17&lt;/ref-type&gt;&lt;contributors&gt;&lt;authors&gt;&lt;author&gt;McCabe, S&lt;/author&gt;&lt;author&gt;Cranford, James A.&lt;/author&gt;&lt;author&gt;Boyd, Carol J.&lt;/author&gt;&lt;/authors&gt;&lt;/contributors&gt;&lt;titles&gt;&lt;title&gt;The relationship between past-year drinking behaviors and nonmedical use of prescription drugs: Prevalence of co-occurrence in a national sample&lt;/title&gt;&lt;secondary-title&gt;Drug and Alcohol Dependence&lt;/secondary-title&gt;&lt;/titles&gt;&lt;periodical&gt;&lt;full-title&gt;Drug and Alcohol Dependence&lt;/full-title&gt;&lt;/periodical&gt;&lt;pages&gt;281-288&lt;/pages&gt;&lt;volume&gt;84&lt;/volume&gt;&lt;number&gt;3&lt;/number&gt;&lt;keywords&gt;&lt;keyword&gt;Epidemiology&lt;/keyword&gt;&lt;keyword&gt;Prescription drugs&lt;/keyword&gt;&lt;keyword&gt;Nonmedical use&lt;/keyword&gt;&lt;keyword&gt;Alcohol use&lt;/keyword&gt;&lt;keyword&gt;DSM-IV alcohol abuse&lt;/keyword&gt;&lt;keyword&gt;DSM-IV alcohol dependence&lt;/keyword&gt;&lt;/keywords&gt;&lt;dates&gt;&lt;year&gt;2006&lt;/year&gt;&lt;/dates&gt;&lt;isbn&gt;0376-8716&lt;/isbn&gt;&lt;urls&gt;&lt;related-urls&gt;&lt;url&gt;http://www.sciencedirect.com/science/article/pii/S0376871606000846&lt;/url&gt;&lt;/related-urls&gt;&lt;/urls&gt;&lt;electronic-resource-num&gt;10.1016/j.drugalcdep.2006.03.006&lt;/electronic-resource-num&gt;&lt;/record&gt;&lt;/Cite&gt;&lt;/EndNote&gt;</w:instrText>
      </w:r>
      <w:r w:rsidR="00550107">
        <w:rPr>
          <w:noProof/>
        </w:rPr>
        <w:fldChar w:fldCharType="separate"/>
      </w:r>
      <w:r w:rsidR="00E96A70">
        <w:rPr>
          <w:noProof/>
        </w:rPr>
        <w:t>(</w:t>
      </w:r>
      <w:hyperlink w:anchor="_ENREF_34" w:tooltip="McCabe, 2006 #415" w:history="1">
        <w:r w:rsidR="00D213F7">
          <w:rPr>
            <w:noProof/>
          </w:rPr>
          <w:t>McCabe, Cranford, et al., 2006</w:t>
        </w:r>
      </w:hyperlink>
      <w:r w:rsidR="00E96A70">
        <w:rPr>
          <w:noProof/>
        </w:rPr>
        <w:t>)</w:t>
      </w:r>
      <w:r w:rsidR="00550107">
        <w:rPr>
          <w:noProof/>
        </w:rPr>
        <w:fldChar w:fldCharType="end"/>
      </w:r>
      <w:r w:rsidR="00771DD3">
        <w:t xml:space="preserve">. </w:t>
      </w:r>
    </w:p>
    <w:p w:rsidR="003A5643" w:rsidRDefault="00550107" w:rsidP="003F6BB5">
      <w:r>
        <w:fldChar w:fldCharType="begin"/>
      </w:r>
      <w:r w:rsidR="00A35BE5">
        <w:instrText xml:space="preserve"> ADDIN EN.CITE &lt;EndNote&gt;&lt;Cite AuthorYear="1"&gt;&lt;Author&gt;McCabe&lt;/Author&gt;&lt;Year&gt;2007&lt;/Year&gt;&lt;RecNum&gt;315&lt;/RecNum&gt;&lt;DisplayText&gt;McCabe and Teter (2007)&lt;/DisplayText&gt;&lt;record&gt;&lt;rec-number&gt;315&lt;/rec-number&gt;&lt;foreign-keys&gt;&lt;key app="EN" db-id="02dwfapew02tdked2f4p0xerwdapvw5vztpp"&gt;315&lt;/key&gt;&lt;key app="ENWeb" db-id="R1rfKArtmCQAAH0-ETQ"&gt;628&lt;/key&gt;&lt;/foreign-keys&gt;&lt;ref-type name="Journal Article"&gt;17&lt;/ref-type&gt;&lt;contributors&gt;&lt;authors&gt;&lt;author&gt;McCabe, S&lt;/author&gt;&lt;author&gt;Teter, Christian J.&lt;/author&gt;&lt;/authors&gt;&lt;/contributors&gt;&lt;titles&gt;&lt;title&gt;Drug use related problems among nonmedical users of prescription stimulants: A web-based survey of college students from a Midwestern university&lt;/title&gt;&lt;secondary-title&gt;Drug and Alcohol Dependence&lt;/secondary-title&gt;&lt;/titles&gt;&lt;periodical&gt;&lt;full-title&gt;Drug and Alcohol Dependence&lt;/full-title&gt;&lt;/periodical&gt;&lt;pages&gt;69-76&lt;/pages&gt;&lt;volume&gt;91&lt;/volume&gt;&lt;number&gt;1&lt;/number&gt;&lt;keywords&gt;&lt;keyword&gt;Prescription stimulants&lt;/keyword&gt;&lt;keyword&gt;Prescription drug abuse&lt;/keyword&gt;&lt;keyword&gt;Drug dependence&lt;/keyword&gt;&lt;keyword&gt;Screening&lt;/keyword&gt;&lt;keyword&gt;Route of administration&lt;/keyword&gt;&lt;keyword&gt;College students&lt;/keyword&gt;&lt;/keywords&gt;&lt;dates&gt;&lt;year&gt;2007&lt;/year&gt;&lt;/dates&gt;&lt;isbn&gt;0376-8716&lt;/isbn&gt;&lt;urls&gt;&lt;related-urls&gt;&lt;url&gt;http://www.sciencedirect.com/science/article/B6T63-4P5RKVF-1/2/a80acf44809c227b5a6eb0e848835c24&lt;/url&gt;&lt;/related-urls&gt;&lt;/urls&gt;&lt;electronic-resource-num&gt;DOI: 10.1016/j.drugalcdep.2007.05.010&lt;/electronic-resource-num&gt;&lt;/record&gt;&lt;/Cite&gt;&lt;/EndNote&gt;</w:instrText>
      </w:r>
      <w:r>
        <w:fldChar w:fldCharType="separate"/>
      </w:r>
      <w:hyperlink w:anchor="_ENREF_39" w:tooltip="McCabe, 2007 #315" w:history="1">
        <w:r w:rsidR="00D213F7">
          <w:rPr>
            <w:noProof/>
          </w:rPr>
          <w:t>McCabe and Teter (2007</w:t>
        </w:r>
      </w:hyperlink>
      <w:r w:rsidR="00A35BE5">
        <w:rPr>
          <w:noProof/>
        </w:rPr>
        <w:t>)</w:t>
      </w:r>
      <w:r>
        <w:fldChar w:fldCharType="end"/>
      </w:r>
      <w:r w:rsidR="003A5643">
        <w:t xml:space="preserve"> provided additional information regarding the relationship between students illicit us</w:t>
      </w:r>
      <w:r w:rsidR="00206946">
        <w:t>e of</w:t>
      </w:r>
      <w:r w:rsidR="003A5643">
        <w:t xml:space="preserve"> prescription stimulants and other substance abu</w:t>
      </w:r>
      <w:r w:rsidR="0029166B">
        <w:t xml:space="preserve">se. Their primary purpose was </w:t>
      </w:r>
      <w:r w:rsidR="003A5643">
        <w:t>compar</w:t>
      </w:r>
      <w:r w:rsidR="0029166B">
        <w:t>ing</w:t>
      </w:r>
      <w:r w:rsidR="003A5643">
        <w:t xml:space="preserve"> drug use related problems between nonmedical prescription stimulants and other types of drug users</w:t>
      </w:r>
      <w:r w:rsidR="000248B6">
        <w:t xml:space="preserve"> in hopes of identifying characteristics discern</w:t>
      </w:r>
      <w:r w:rsidR="00A40BE8">
        <w:t>ing</w:t>
      </w:r>
      <w:r w:rsidR="000248B6">
        <w:t xml:space="preserve"> </w:t>
      </w:r>
      <w:r w:rsidR="00206946">
        <w:t xml:space="preserve">between </w:t>
      </w:r>
      <w:r w:rsidR="000248B6">
        <w:t xml:space="preserve">the two populations. This study was part of a larger study in 2005 and included a sample of 3,639 students from a large Midwestern institution. The survey assessed four measures: nonmedical use of prescription stimulants, past year drug use, routes of administration, and drug use related problems. </w:t>
      </w:r>
    </w:p>
    <w:p w:rsidR="000248B6" w:rsidRDefault="000248B6" w:rsidP="003F6BB5">
      <w:r>
        <w:t xml:space="preserve">The prevalence rate of illicit stimulant use for this population was 6.5% for past year and 8% for lifetime use. This was the second highest rate of drug use compared to </w:t>
      </w:r>
      <w:r w:rsidR="003205C5">
        <w:t xml:space="preserve">the 35.5% reporting </w:t>
      </w:r>
      <w:r>
        <w:t>marijuana use</w:t>
      </w:r>
      <w:r w:rsidR="003E2306">
        <w:t>.</w:t>
      </w:r>
      <w:r>
        <w:t xml:space="preserve"> Characteristics of students that use</w:t>
      </w:r>
      <w:r w:rsidR="00206946">
        <w:t>d</w:t>
      </w:r>
      <w:r>
        <w:t xml:space="preserve"> prescription stimulants and other drugs included </w:t>
      </w:r>
      <w:r w:rsidR="00765237">
        <w:t xml:space="preserve">being </w:t>
      </w:r>
      <w:r>
        <w:t xml:space="preserve">white, </w:t>
      </w:r>
      <w:r w:rsidR="00A40BE8">
        <w:t>possess</w:t>
      </w:r>
      <w:r w:rsidR="00765237">
        <w:t>ing</w:t>
      </w:r>
      <w:r w:rsidR="003E2306">
        <w:t xml:space="preserve"> </w:t>
      </w:r>
      <w:r>
        <w:t xml:space="preserve">a high family income, and </w:t>
      </w:r>
      <w:r w:rsidR="003205C5">
        <w:t>Greek</w:t>
      </w:r>
      <w:r>
        <w:t xml:space="preserve"> affiliation. Of this sample, over 90% of students reported using prescription stimulants and other drugs. </w:t>
      </w:r>
      <w:r w:rsidR="00A40BE8">
        <w:t>S</w:t>
      </w:r>
      <w:r>
        <w:t>tudents engag</w:t>
      </w:r>
      <w:r w:rsidR="00A40BE8">
        <w:t xml:space="preserve">ing in this behavior </w:t>
      </w:r>
      <w:r w:rsidR="00206946">
        <w:t>were</w:t>
      </w:r>
      <w:r w:rsidR="008410C1">
        <w:t xml:space="preserve"> </w:t>
      </w:r>
      <w:r w:rsidR="00A40BE8">
        <w:t xml:space="preserve">significantly more likely </w:t>
      </w:r>
      <w:r w:rsidR="00FF53C1">
        <w:t>to</w:t>
      </w:r>
      <w:r w:rsidR="00A40BE8">
        <w:t xml:space="preserve"> </w:t>
      </w:r>
      <w:r>
        <w:t>hav</w:t>
      </w:r>
      <w:r w:rsidR="00FF53C1">
        <w:t>e</w:t>
      </w:r>
      <w:r>
        <w:t xml:space="preserve"> an alcohol disorder. The logistic regression revealed that students who ingested prescription stimulants intranasally were nine times more likely to engage in other </w:t>
      </w:r>
      <w:r w:rsidR="0029166B">
        <w:t xml:space="preserve">drug-related </w:t>
      </w:r>
      <w:r>
        <w:t>recreational activities</w:t>
      </w:r>
      <w:r w:rsidR="003205C5">
        <w:t xml:space="preserve"> </w:t>
      </w:r>
      <w:r w:rsidR="00550107">
        <w:fldChar w:fldCharType="begin"/>
      </w:r>
      <w:r w:rsidR="003205C5">
        <w:instrText xml:space="preserve"> ADDIN EN.CITE &lt;EndNote&gt;&lt;Cite&gt;&lt;Author&gt;McCabe&lt;/Author&gt;&lt;Year&gt;2007&lt;/Year&gt;&lt;RecNum&gt;315&lt;/RecNum&gt;&lt;DisplayText&gt;(McCabe &amp;amp; Teter, 2007)&lt;/DisplayText&gt;&lt;record&gt;&lt;rec-number&gt;315&lt;/rec-number&gt;&lt;foreign-keys&gt;&lt;key app="EN" db-id="02dwfapew02tdked2f4p0xerwdapvw5vztpp"&gt;315&lt;/key&gt;&lt;key app="ENWeb" db-id="R1rfKArtmCQAAH0-ETQ"&gt;628&lt;/key&gt;&lt;/foreign-keys&gt;&lt;ref-type name="Journal Article"&gt;17&lt;/ref-type&gt;&lt;contributors&gt;&lt;authors&gt;&lt;author&gt;McCabe, S&lt;/author&gt;&lt;author&gt;Teter, Christian J.&lt;/author&gt;&lt;/authors&gt;&lt;/contributors&gt;&lt;titles&gt;&lt;title&gt;Drug use related problems among nonmedical users of prescription stimulants: A web-based survey of college students from a Midwestern university&lt;/title&gt;&lt;secondary-title&gt;Drug and Alcohol Dependence&lt;/secondary-title&gt;&lt;/titles&gt;&lt;periodical&gt;&lt;full-title&gt;Drug and Alcohol Dependence&lt;/full-title&gt;&lt;/periodical&gt;&lt;pages&gt;69-76&lt;/pages&gt;&lt;volume&gt;91&lt;/volume&gt;&lt;number&gt;1&lt;/number&gt;&lt;keywords&gt;&lt;keyword&gt;Prescription stimulants&lt;/keyword&gt;&lt;keyword&gt;Prescription drug abuse&lt;/keyword&gt;&lt;keyword&gt;Drug dependence&lt;/keyword&gt;&lt;keyword&gt;Screening&lt;/keyword&gt;&lt;keyword&gt;Route of administration&lt;/keyword&gt;&lt;keyword&gt;College students&lt;/keyword&gt;&lt;/keywords&gt;&lt;dates&gt;&lt;year&gt;2007&lt;/year&gt;&lt;/dates&gt;&lt;isbn&gt;0376-8716&lt;/isbn&gt;&lt;urls&gt;&lt;related-urls&gt;&lt;url&gt;http://www.sciencedirect.com/science/article/B6T63-4P5RKVF-1/2/a80acf44809c227b5a6eb0e848835c24&lt;/url&gt;&lt;/related-urls&gt;&lt;/urls&gt;&lt;electronic-resource-num&gt;DOI: 10.1016/j.drugalcdep.2007.05.010&lt;/electronic-resource-num&gt;&lt;/record&gt;&lt;/Cite&gt;&lt;/EndNote&gt;</w:instrText>
      </w:r>
      <w:r w:rsidR="00550107">
        <w:fldChar w:fldCharType="separate"/>
      </w:r>
      <w:r w:rsidR="003205C5">
        <w:rPr>
          <w:noProof/>
        </w:rPr>
        <w:t>(</w:t>
      </w:r>
      <w:hyperlink w:anchor="_ENREF_39" w:tooltip="McCabe, 2007 #315" w:history="1">
        <w:r w:rsidR="00D213F7">
          <w:rPr>
            <w:noProof/>
          </w:rPr>
          <w:t>McCabe &amp; Teter, 2007</w:t>
        </w:r>
      </w:hyperlink>
      <w:r w:rsidR="003205C5">
        <w:rPr>
          <w:noProof/>
        </w:rPr>
        <w:t>)</w:t>
      </w:r>
      <w:r w:rsidR="00550107">
        <w:fldChar w:fldCharType="end"/>
      </w:r>
      <w:r>
        <w:t xml:space="preserve">. </w:t>
      </w:r>
    </w:p>
    <w:p w:rsidR="007B5252" w:rsidRDefault="00550107" w:rsidP="003F6BB5">
      <w:r>
        <w:fldChar w:fldCharType="begin"/>
      </w:r>
      <w:r w:rsidR="00A35BE5">
        <w:instrText xml:space="preserve"> ADDIN EN.CITE &lt;EndNote&gt;&lt;Cite AuthorYear="1"&gt;&lt;Author&gt;Barrett&lt;/Author&gt;&lt;Year&gt;2005&lt;/Year&gt;&lt;RecNum&gt;431&lt;/RecNum&gt;&lt;DisplayText&gt;Barrett, Darredeau, Bordy, and O&amp;apos; Pihl (2005)&lt;/DisplayText&gt;&lt;record&gt;&lt;rec-number&gt;431&lt;/rec-number&gt;&lt;foreign-keys&gt;&lt;key app="EN" db-id="02dwfapew02tdked2f4p0xerwdapvw5vztpp"&gt;431&lt;/key&gt;&lt;/foreign-keys&gt;&lt;ref-type name="Journal Article"&gt;17&lt;/ref-type&gt;&lt;contributors&gt;&lt;authors&gt;&lt;author&gt;Barrett, Sean P.&lt;/author&gt;&lt;author&gt;Darredeau, Christine&lt;/author&gt;&lt;author&gt;Bordy, Lana E.&lt;/author&gt;&lt;author&gt;O&amp;apos; Pihl, Robert O.&lt;/author&gt;&lt;/authors&gt;&lt;/contributors&gt;&lt;auth-address&gt;Barrett, Sean P.: Department of Psychology, McGill University, 1205 Dr Penfield Avenue, Montreal, PQ, Canada, H3A 1B1, barrett@ego.psych.mcgill.ca&lt;/auth-address&gt;&lt;titles&gt;&lt;title&gt;Characteristics of Methylphenidate Misuse in a University Student Sample&lt;/title&gt;&lt;secondary-title&gt;The Canadian Journal of Psychiatry / La Revue canadienne de psychiatrie&lt;/secondary-title&gt;&lt;/titles&gt;&lt;periodical&gt;&lt;full-title&gt;The Canadian Journal of Psychiatry / La Revue canadienne de psychiatrie&lt;/full-title&gt;&lt;/periodical&gt;&lt;pages&gt;457-461&lt;/pages&gt;&lt;volume&gt;50&lt;/volume&gt;&lt;number&gt;8&lt;/number&gt;&lt;keywords&gt;&lt;keyword&gt;methylphenidate&lt;/keyword&gt;&lt;keyword&gt;prescription drug abuse&lt;/keyword&gt;&lt;keyword&gt;stimulant drugs&lt;/keyword&gt;&lt;keyword&gt;characteristics of abusers&lt;/keyword&gt;&lt;keyword&gt;polydrug use&lt;/keyword&gt;&lt;/keywords&gt;&lt;dates&gt;&lt;year&gt;2005&lt;/year&gt;&lt;/dates&gt;&lt;publisher&gt;Canada: Canadian Psychiatric Assn&lt;/publisher&gt;&lt;isbn&gt;1497-0015 (Electronic); 0706-7437 (Print)&lt;/isbn&gt;&lt;urls&gt;&lt;/urls&gt;&lt;/record&gt;&lt;/Cite&gt;&lt;/EndNote&gt;</w:instrText>
      </w:r>
      <w:r>
        <w:fldChar w:fldCharType="separate"/>
      </w:r>
      <w:hyperlink w:anchor="_ENREF_6" w:tooltip="Barrett, 2005 #431" w:history="1">
        <w:r w:rsidR="00D213F7">
          <w:rPr>
            <w:noProof/>
          </w:rPr>
          <w:t>Barrett, Darredeau, Bordy, and O' Pihl (2005</w:t>
        </w:r>
      </w:hyperlink>
      <w:r w:rsidR="00A35BE5">
        <w:rPr>
          <w:noProof/>
        </w:rPr>
        <w:t>)</w:t>
      </w:r>
      <w:r>
        <w:fldChar w:fldCharType="end"/>
      </w:r>
      <w:r w:rsidR="007B5252">
        <w:t xml:space="preserve"> </w:t>
      </w:r>
      <w:r w:rsidR="00197526">
        <w:t xml:space="preserve">examined </w:t>
      </w:r>
      <w:r w:rsidR="007B5252">
        <w:t>prescription stimulant use as it relates to other substance use. However, their primary objective was evaluating the pattern of other substance use among students who use</w:t>
      </w:r>
      <w:r w:rsidR="00197526">
        <w:t xml:space="preserve">d </w:t>
      </w:r>
      <w:r w:rsidR="00C91CDC">
        <w:t>prescription stimulants</w:t>
      </w:r>
      <w:r w:rsidR="007B5252">
        <w:t xml:space="preserve"> for academic purposes compared to students who use</w:t>
      </w:r>
      <w:r w:rsidR="008410C1">
        <w:t>d</w:t>
      </w:r>
      <w:r w:rsidR="007B5252">
        <w:t xml:space="preserve"> it recreation</w:t>
      </w:r>
      <w:r w:rsidR="003205C5">
        <w:t>ally</w:t>
      </w:r>
      <w:r w:rsidR="007B5252">
        <w:t>. They interview</w:t>
      </w:r>
      <w:r w:rsidR="00197526">
        <w:t>ed</w:t>
      </w:r>
      <w:r w:rsidR="007B5252">
        <w:t xml:space="preserve"> 100 students</w:t>
      </w:r>
      <w:r w:rsidR="00B5750D">
        <w:t xml:space="preserve"> from McGill </w:t>
      </w:r>
      <w:r w:rsidR="00B5750D">
        <w:lastRenderedPageBreak/>
        <w:t>University</w:t>
      </w:r>
      <w:r w:rsidR="007B5252">
        <w:t xml:space="preserve">. Half of the students admitted illicitly using prescription stimulants, while the other half were considered nonusers. </w:t>
      </w:r>
      <w:r w:rsidR="00197526">
        <w:t>The students</w:t>
      </w:r>
      <w:r w:rsidR="00F87F24">
        <w:t xml:space="preserve"> </w:t>
      </w:r>
      <w:r w:rsidR="007B5252">
        <w:t xml:space="preserve">were matched for age, sex, and </w:t>
      </w:r>
      <w:r w:rsidR="003A5643">
        <w:t>ethnicity</w:t>
      </w:r>
      <w:r w:rsidR="007B5252">
        <w:t xml:space="preserve"> to help provide further control over the study</w:t>
      </w:r>
      <w:r w:rsidR="003205C5">
        <w:t xml:space="preserve"> </w:t>
      </w:r>
      <w:r>
        <w:fldChar w:fldCharType="begin"/>
      </w:r>
      <w:r w:rsidR="00E96A70">
        <w:instrText xml:space="preserve"> ADDIN EN.CITE &lt;EndNote&gt;&lt;Cite&gt;&lt;Author&gt;Barrett&lt;/Author&gt;&lt;Year&gt;2005&lt;/Year&gt;&lt;RecNum&gt;431&lt;/RecNum&gt;&lt;DisplayText&gt;(Barrett et al., 2005)&lt;/DisplayText&gt;&lt;record&gt;&lt;rec-number&gt;431&lt;/rec-number&gt;&lt;foreign-keys&gt;&lt;key app="EN" db-id="02dwfapew02tdked2f4p0xerwdapvw5vztpp"&gt;431&lt;/key&gt;&lt;/foreign-keys&gt;&lt;ref-type name="Journal Article"&gt;17&lt;/ref-type&gt;&lt;contributors&gt;&lt;authors&gt;&lt;author&gt;Barrett, Sean P.&lt;/author&gt;&lt;author&gt;Darredeau, Christine&lt;/author&gt;&lt;author&gt;Bordy, Lana E.&lt;/author&gt;&lt;author&gt;O&amp;apos; Pihl, Robert O.&lt;/author&gt;&lt;/authors&gt;&lt;/contributors&gt;&lt;auth-address&gt;Barrett, Sean P.: Department of Psychology, McGill University, 1205 Dr Penfield Avenue, Montreal, PQ, Canada, H3A 1B1, barrett@ego.psych.mcgill.ca&lt;/auth-address&gt;&lt;titles&gt;&lt;title&gt;Characteristics of Methylphenidate Misuse in a University Student Sample&lt;/title&gt;&lt;secondary-title&gt;The Canadian Journal of Psychiatry / La Revue canadienne de psychiatrie&lt;/secondary-title&gt;&lt;/titles&gt;&lt;periodical&gt;&lt;full-title&gt;The Canadian Journal of Psychiatry / La Revue canadienne de psychiatrie&lt;/full-title&gt;&lt;/periodical&gt;&lt;pages&gt;457-461&lt;/pages&gt;&lt;volume&gt;50&lt;/volume&gt;&lt;number&gt;8&lt;/number&gt;&lt;keywords&gt;&lt;keyword&gt;methylphenidate&lt;/keyword&gt;&lt;keyword&gt;prescription drug abuse&lt;/keyword&gt;&lt;keyword&gt;stimulant drugs&lt;/keyword&gt;&lt;keyword&gt;characteristics of abusers&lt;/keyword&gt;&lt;keyword&gt;polydrug use&lt;/keyword&gt;&lt;/keywords&gt;&lt;dates&gt;&lt;year&gt;2005&lt;/year&gt;&lt;/dates&gt;&lt;publisher&gt;Canada: Canadian Psychiatric Assn&lt;/publisher&gt;&lt;isbn&gt;1497-0015 (Electronic); 0706-7437 (Print)&lt;/isbn&gt;&lt;urls&gt;&lt;/urls&gt;&lt;/record&gt;&lt;/Cite&gt;&lt;/EndNote&gt;</w:instrText>
      </w:r>
      <w:r>
        <w:fldChar w:fldCharType="separate"/>
      </w:r>
      <w:r w:rsidR="00E96A70">
        <w:rPr>
          <w:noProof/>
        </w:rPr>
        <w:t>(</w:t>
      </w:r>
      <w:hyperlink w:anchor="_ENREF_6" w:tooltip="Barrett, 2005 #431" w:history="1">
        <w:r w:rsidR="00D213F7">
          <w:rPr>
            <w:noProof/>
          </w:rPr>
          <w:t>Barrett et al., 2005</w:t>
        </w:r>
      </w:hyperlink>
      <w:r w:rsidR="00E96A70">
        <w:rPr>
          <w:noProof/>
        </w:rPr>
        <w:t>)</w:t>
      </w:r>
      <w:r>
        <w:fldChar w:fldCharType="end"/>
      </w:r>
      <w:r w:rsidR="007B5252">
        <w:t>.</w:t>
      </w:r>
    </w:p>
    <w:p w:rsidR="003A5643" w:rsidRDefault="003A5643" w:rsidP="003F6BB5">
      <w:r>
        <w:t xml:space="preserve">The interviews focused on routes of administration, substances of abuse, and motivations for use. After collecting their data, they used sample t tests for identifying differences between the two groups of students. Furthermore, they compared students who used </w:t>
      </w:r>
      <w:r w:rsidR="005E1946">
        <w:t xml:space="preserve">stimulants </w:t>
      </w:r>
      <w:r>
        <w:t>recreationally and exclusively for academics. The results confirmed students who use</w:t>
      </w:r>
      <w:r w:rsidR="00197526">
        <w:t>d</w:t>
      </w:r>
      <w:r>
        <w:t xml:space="preserve"> prescription stimulants </w:t>
      </w:r>
      <w:r w:rsidR="00197526">
        <w:t>were</w:t>
      </w:r>
      <w:r>
        <w:t xml:space="preserve"> more likely to use other substances. Students who illicitly used prescription stimulants were seven times more likely to use other substances compared to nonusers. However, what </w:t>
      </w:r>
      <w:proofErr w:type="gramStart"/>
      <w:r w:rsidR="000B2AAB">
        <w:t>w</w:t>
      </w:r>
      <w:r w:rsidR="00197526">
        <w:t>as</w:t>
      </w:r>
      <w:proofErr w:type="gramEnd"/>
      <w:r>
        <w:t xml:space="preserve"> different about these results </w:t>
      </w:r>
      <w:r w:rsidR="00197526">
        <w:t xml:space="preserve">from other studies </w:t>
      </w:r>
      <w:r>
        <w:t>w</w:t>
      </w:r>
      <w:r w:rsidR="00197526">
        <w:t>as</w:t>
      </w:r>
      <w:r>
        <w:t xml:space="preserve"> the comparisons between </w:t>
      </w:r>
      <w:r w:rsidR="000B2AAB">
        <w:t xml:space="preserve">students’ </w:t>
      </w:r>
      <w:r>
        <w:t xml:space="preserve">academic and recreational </w:t>
      </w:r>
      <w:r w:rsidR="000B2AAB">
        <w:t>use</w:t>
      </w:r>
      <w:r w:rsidR="00765237">
        <w:t>.</w:t>
      </w:r>
      <w:r w:rsidR="000B2AAB">
        <w:t xml:space="preserve"> </w:t>
      </w:r>
      <w:r>
        <w:t>Students who reported using stimulants exclusively for academics were significantly less likely to use the drug intranasally</w:t>
      </w:r>
      <w:r w:rsidR="00197526">
        <w:t>,</w:t>
      </w:r>
      <w:r>
        <w:t xml:space="preserve"> and were less likely to use the drug with other substances. Furthermore, students who used prescription stimulants exclusively for academics reported less use of ecstasy, cocaine, and methamphetamine. This information suggests a distinct difference between students who use prescription stimulants for </w:t>
      </w:r>
      <w:r w:rsidR="000B2AAB">
        <w:t>academics</w:t>
      </w:r>
      <w:r>
        <w:t xml:space="preserve"> compared to those who use stimulants recreationally</w:t>
      </w:r>
      <w:r w:rsidR="000B2AAB">
        <w:t xml:space="preserve"> </w:t>
      </w:r>
      <w:r w:rsidR="00550107">
        <w:fldChar w:fldCharType="begin"/>
      </w:r>
      <w:r w:rsidR="00E96A70">
        <w:instrText xml:space="preserve"> ADDIN EN.CITE &lt;EndNote&gt;&lt;Cite&gt;&lt;Author&gt;Barrett&lt;/Author&gt;&lt;Year&gt;2005&lt;/Year&gt;&lt;RecNum&gt;431&lt;/RecNum&gt;&lt;DisplayText&gt;(Barrett et al., 2005)&lt;/DisplayText&gt;&lt;record&gt;&lt;rec-number&gt;431&lt;/rec-number&gt;&lt;foreign-keys&gt;&lt;key app="EN" db-id="02dwfapew02tdked2f4p0xerwdapvw5vztpp"&gt;431&lt;/key&gt;&lt;/foreign-keys&gt;&lt;ref-type name="Journal Article"&gt;17&lt;/ref-type&gt;&lt;contributors&gt;&lt;authors&gt;&lt;author&gt;Barrett, Sean P.&lt;/author&gt;&lt;author&gt;Darredeau, Christine&lt;/author&gt;&lt;author&gt;Bordy, Lana E.&lt;/author&gt;&lt;author&gt;O&amp;apos; Pihl, Robert O.&lt;/author&gt;&lt;/authors&gt;&lt;/contributors&gt;&lt;auth-address&gt;Barrett, Sean P.: Department of Psychology, McGill University, 1205 Dr Penfield Avenue, Montreal, PQ, Canada, H3A 1B1, barrett@ego.psych.mcgill.ca&lt;/auth-address&gt;&lt;titles&gt;&lt;title&gt;Characteristics of Methylphenidate Misuse in a University Student Sample&lt;/title&gt;&lt;secondary-title&gt;The Canadian Journal of Psychiatry / La Revue canadienne de psychiatrie&lt;/secondary-title&gt;&lt;/titles&gt;&lt;periodical&gt;&lt;full-title&gt;The Canadian Journal of Psychiatry / La Revue canadienne de psychiatrie&lt;/full-title&gt;&lt;/periodical&gt;&lt;pages&gt;457-461&lt;/pages&gt;&lt;volume&gt;50&lt;/volume&gt;&lt;number&gt;8&lt;/number&gt;&lt;keywords&gt;&lt;keyword&gt;methylphenidate&lt;/keyword&gt;&lt;keyword&gt;prescription drug abuse&lt;/keyword&gt;&lt;keyword&gt;stimulant drugs&lt;/keyword&gt;&lt;keyword&gt;characteristics of abusers&lt;/keyword&gt;&lt;keyword&gt;polydrug use&lt;/keyword&gt;&lt;/keywords&gt;&lt;dates&gt;&lt;year&gt;2005&lt;/year&gt;&lt;/dates&gt;&lt;publisher&gt;Canada: Canadian Psychiatric Assn&lt;/publisher&gt;&lt;isbn&gt;1497-0015 (Electronic); 0706-7437 (Print)&lt;/isbn&gt;&lt;urls&gt;&lt;/urls&gt;&lt;/record&gt;&lt;/Cite&gt;&lt;/EndNote&gt;</w:instrText>
      </w:r>
      <w:r w:rsidR="00550107">
        <w:fldChar w:fldCharType="separate"/>
      </w:r>
      <w:r w:rsidR="00E96A70">
        <w:rPr>
          <w:noProof/>
        </w:rPr>
        <w:t>(</w:t>
      </w:r>
      <w:hyperlink w:anchor="_ENREF_6" w:tooltip="Barrett, 2005 #431" w:history="1">
        <w:r w:rsidR="00D213F7">
          <w:rPr>
            <w:noProof/>
          </w:rPr>
          <w:t>Barrett et al., 2005</w:t>
        </w:r>
      </w:hyperlink>
      <w:r w:rsidR="00E96A70">
        <w:rPr>
          <w:noProof/>
        </w:rPr>
        <w:t>)</w:t>
      </w:r>
      <w:r w:rsidR="00550107">
        <w:fldChar w:fldCharType="end"/>
      </w:r>
      <w:r>
        <w:t>.</w:t>
      </w:r>
    </w:p>
    <w:p w:rsidR="00874276" w:rsidRDefault="007E7A95" w:rsidP="003F6BB5">
      <w:r>
        <w:t xml:space="preserve">It is evident from the </w:t>
      </w:r>
      <w:r w:rsidR="00A40BE8">
        <w:t>literature</w:t>
      </w:r>
      <w:r>
        <w:t xml:space="preserve"> that </w:t>
      </w:r>
      <w:r w:rsidR="00197526">
        <w:t xml:space="preserve">the use of </w:t>
      </w:r>
      <w:r>
        <w:t xml:space="preserve">prescription stimulants </w:t>
      </w:r>
      <w:r w:rsidR="00197526">
        <w:t>is</w:t>
      </w:r>
      <w:r>
        <w:t xml:space="preserve"> occurring nationally</w:t>
      </w:r>
      <w:r w:rsidR="00197526">
        <w:t>,</w:t>
      </w:r>
      <w:r>
        <w:t xml:space="preserve"> </w:t>
      </w:r>
      <w:r w:rsidR="008410C1">
        <w:t xml:space="preserve">most </w:t>
      </w:r>
      <w:r w:rsidR="00C91CDC">
        <w:t xml:space="preserve">especially on </w:t>
      </w:r>
      <w:r>
        <w:t xml:space="preserve">college campuses. </w:t>
      </w:r>
      <w:r w:rsidR="000B2AAB">
        <w:t>Furthermore</w:t>
      </w:r>
      <w:r>
        <w:t xml:space="preserve">, </w:t>
      </w:r>
      <w:r w:rsidR="000B2AAB">
        <w:t>the research suggests prescription stimulant use</w:t>
      </w:r>
      <w:r>
        <w:t xml:space="preserve"> is not an isolated behavior. Students </w:t>
      </w:r>
      <w:r w:rsidR="00197526">
        <w:t xml:space="preserve">who use prescription stimulants </w:t>
      </w:r>
      <w:r>
        <w:t xml:space="preserve">are at risk for engaging in other illicit drugs and abusing alcohol at an increased rate. </w:t>
      </w:r>
    </w:p>
    <w:p w:rsidR="006349DF" w:rsidRDefault="006349DF" w:rsidP="009243B2">
      <w:bookmarkStart w:id="24" w:name="_Toc315010462"/>
    </w:p>
    <w:p w:rsidR="007E7A95" w:rsidRDefault="007E7A95" w:rsidP="007E7A95">
      <w:pPr>
        <w:pStyle w:val="Heading1"/>
      </w:pPr>
      <w:r>
        <w:lastRenderedPageBreak/>
        <w:t>Summary</w:t>
      </w:r>
      <w:bookmarkEnd w:id="24"/>
    </w:p>
    <w:p w:rsidR="00197526" w:rsidRDefault="00736A5F" w:rsidP="003F6BB5">
      <w:r>
        <w:t xml:space="preserve">Extensive research has been conducted regarding prescription stimulants in terms of the motivations </w:t>
      </w:r>
      <w:r w:rsidR="0029166B">
        <w:t>f</w:t>
      </w:r>
      <w:r>
        <w:t>o</w:t>
      </w:r>
      <w:r w:rsidR="0029166B">
        <w:t>r</w:t>
      </w:r>
      <w:r>
        <w:t xml:space="preserve"> use, perceptions</w:t>
      </w:r>
      <w:r w:rsidR="00197526">
        <w:t xml:space="preserve"> of</w:t>
      </w:r>
      <w:r>
        <w:t>, beliefs</w:t>
      </w:r>
      <w:r w:rsidR="00197526">
        <w:t xml:space="preserve"> about</w:t>
      </w:r>
      <w:r>
        <w:t xml:space="preserve">, prevalence, and rates of abuse. </w:t>
      </w:r>
      <w:r w:rsidR="00197526">
        <w:t>College s</w:t>
      </w:r>
      <w:r>
        <w:t xml:space="preserve">tudents are </w:t>
      </w:r>
      <w:r w:rsidR="00347A2D">
        <w:t xml:space="preserve">primarily </w:t>
      </w:r>
      <w:r>
        <w:t>using prescription stimulants for academic and recreational purpose</w:t>
      </w:r>
      <w:r w:rsidR="00347A2D">
        <w:t>s</w:t>
      </w:r>
      <w:r>
        <w:t>. Additionally, students are self-diagnosing attent</w:t>
      </w:r>
      <w:r w:rsidR="0029166B">
        <w:t xml:space="preserve">ion </w:t>
      </w:r>
      <w:r w:rsidR="00197526">
        <w:t xml:space="preserve">deficit </w:t>
      </w:r>
      <w:r w:rsidR="0029166B">
        <w:t>disorders and are seeking</w:t>
      </w:r>
      <w:r>
        <w:t xml:space="preserve"> the medication for prescription stimulants. This behavior comes with a serious </w:t>
      </w:r>
      <w:r w:rsidR="000B2AAB">
        <w:t>risk</w:t>
      </w:r>
      <w:r>
        <w:t xml:space="preserve">, which is an increase in other substance abuse for those students who use the drugs recreationally and academically. </w:t>
      </w:r>
    </w:p>
    <w:p w:rsidR="0029166B" w:rsidRDefault="00736A5F" w:rsidP="00D20CA5">
      <w:r>
        <w:t xml:space="preserve">However, </w:t>
      </w:r>
      <w:r w:rsidR="00197526">
        <w:t xml:space="preserve">there is a </w:t>
      </w:r>
      <w:r>
        <w:t xml:space="preserve">distinct </w:t>
      </w:r>
      <w:r w:rsidR="00174252">
        <w:t xml:space="preserve">gap </w:t>
      </w:r>
      <w:r w:rsidR="00197526">
        <w:t xml:space="preserve">in the existing literature </w:t>
      </w:r>
      <w:r w:rsidR="00174252">
        <w:t xml:space="preserve">regarding the information known </w:t>
      </w:r>
      <w:r w:rsidR="00197526">
        <w:t>about</w:t>
      </w:r>
      <w:r w:rsidR="00174252">
        <w:t xml:space="preserve"> prescription drug abuse. First, it is known students use for either recreational, academic, or mixed reasons</w:t>
      </w:r>
      <w:r w:rsidR="003E2306">
        <w:t>. A</w:t>
      </w:r>
      <w:r w:rsidR="00197526">
        <w:t xml:space="preserve">s is most pertinent to this study, </w:t>
      </w:r>
      <w:r w:rsidR="00174252">
        <w:t>the trend data suggests students between the ages of 21 and 25 are also a</w:t>
      </w:r>
      <w:r w:rsidR="00A40BE8">
        <w:t>t</w:t>
      </w:r>
      <w:r w:rsidR="00174252">
        <w:t xml:space="preserve"> risk for abusing prescription stimulants; however, there is no information </w:t>
      </w:r>
      <w:r w:rsidR="00681D9F">
        <w:t xml:space="preserve">about </w:t>
      </w:r>
      <w:r w:rsidR="00174252">
        <w:t xml:space="preserve">the illicit use of prescription stimulants among </w:t>
      </w:r>
      <w:r w:rsidR="00197526">
        <w:t xml:space="preserve">this group. </w:t>
      </w:r>
      <w:r w:rsidR="00681D9F">
        <w:t xml:space="preserve">Yet </w:t>
      </w:r>
      <w:r w:rsidR="00A75157">
        <w:t>a large student group, graduate students, belongs</w:t>
      </w:r>
      <w:r w:rsidR="00A40BE8">
        <w:t xml:space="preserve"> to this age gr</w:t>
      </w:r>
      <w:r w:rsidR="00A75157">
        <w:t>oup</w:t>
      </w:r>
      <w:r w:rsidR="00174252">
        <w:t xml:space="preserve">. </w:t>
      </w:r>
    </w:p>
    <w:p w:rsidR="00D20CA5" w:rsidRDefault="000B2AAB" w:rsidP="0029166B">
      <w:r>
        <w:t xml:space="preserve">The research conducted thus far on prescription stimulant abuse </w:t>
      </w:r>
      <w:r w:rsidR="00681D9F">
        <w:t xml:space="preserve">has </w:t>
      </w:r>
      <w:r>
        <w:t>focuse</w:t>
      </w:r>
      <w:r w:rsidR="00681D9F">
        <w:t>d</w:t>
      </w:r>
      <w:r>
        <w:t xml:space="preserve"> on undergraduate students. The </w:t>
      </w:r>
      <w:r w:rsidR="00A75157">
        <w:t>exhausting</w:t>
      </w:r>
      <w:r w:rsidR="00681D9F">
        <w:t xml:space="preserve"> </w:t>
      </w:r>
      <w:r>
        <w:t>literature d</w:t>
      </w:r>
      <w:r w:rsidR="00681D9F">
        <w:t xml:space="preserve">oes </w:t>
      </w:r>
      <w:r>
        <w:t xml:space="preserve">not mention </w:t>
      </w:r>
      <w:r w:rsidR="00681D9F">
        <w:t xml:space="preserve">graduate students </w:t>
      </w:r>
      <w:r>
        <w:t>or the prevalence rates, risk factors, or polysubstance abuse relationships among graduate students</w:t>
      </w:r>
      <w:r w:rsidR="002A6C7F">
        <w:t xml:space="preserve"> </w:t>
      </w:r>
      <w:r w:rsidR="00681D9F">
        <w:t>in spite of the fact that</w:t>
      </w:r>
      <w:r w:rsidR="00A75157">
        <w:t xml:space="preserve"> </w:t>
      </w:r>
      <w:r w:rsidR="00681D9F">
        <w:t xml:space="preserve">many </w:t>
      </w:r>
      <w:r>
        <w:t xml:space="preserve">graduate students </w:t>
      </w:r>
      <w:r w:rsidR="00681D9F">
        <w:t xml:space="preserve">fall </w:t>
      </w:r>
      <w:r>
        <w:t xml:space="preserve">within the age range of high risk users, 21 to 25 </w:t>
      </w:r>
      <w:r w:rsidR="00550107">
        <w:fldChar w:fldCharType="begin"/>
      </w:r>
      <w:r w:rsidR="00E96A70">
        <w:instrText xml:space="preserve"> ADDIN EN.CITE &lt;EndNote&gt;&lt;Cite&gt;&lt;Author&gt;Johnston&lt;/Author&gt;&lt;Year&gt;2010&lt;/Year&gt;&lt;RecNum&gt;139&lt;/RecNum&gt;&lt;DisplayText&gt;(Johnston et al., 2010; Substance Abuse and Mental Health Services Administration, 2010)&lt;/DisplayText&gt;&lt;record&gt;&lt;rec-number&gt;139&lt;/rec-number&gt;&lt;foreign-keys&gt;&lt;key app="EN" db-id="02dwfapew02tdked2f4p0xerwdapvw5vztpp"&gt;139&lt;/key&gt;&lt;key app="ENWeb" db-id="R1rfKArtmCQAAH0-ETQ"&gt;798&lt;/key&gt;&lt;/foreign-keys&gt;&lt;ref-type name="Government Document"&gt;46&lt;/ref-type&gt;&lt;contributors&gt;&lt;authors&gt;&lt;author&gt;Johnston, Lloyd&lt;/author&gt;&lt;author&gt;O&amp;apos;Malley, Patrick&lt;/author&gt;&lt;author&gt;Bachman, Jerald&lt;/author&gt;&lt;author&gt;Schulenberg, John&lt;/author&gt;&lt;/authors&gt;&lt;/contributors&gt;&lt;titles&gt;&lt;title&gt;Monitoring the Future national survey results on drug use, 1975-2009. Volume II: College students and adults ages 19-50&lt;/title&gt;&lt;/titles&gt;&lt;pages&gt;307&lt;/pages&gt;&lt;dates&gt;&lt;year&gt;2010&lt;/year&gt;&lt;/dates&gt;&lt;pub-location&gt;Bethesda, MD&lt;/pub-location&gt;&lt;publisher&gt;National Institute on Drug Abuse&lt;/publisher&gt;&lt;isbn&gt;NIH Publication No. 07-6206&lt;/isbn&gt;&lt;urls&gt;&lt;/urls&gt;&lt;/record&gt;&lt;/Cite&gt;&lt;Cite&gt;&lt;Author&gt;Substance Abuse and Mental Health Services Administration&lt;/Author&gt;&lt;Year&gt;2010&lt;/Year&gt;&lt;RecNum&gt;420&lt;/RecNum&gt;&lt;record&gt;&lt;rec-number&gt;420&lt;/rec-number&gt;&lt;foreign-keys&gt;&lt;key app="EN" db-id="02dwfapew02tdked2f4p0xerwdapvw5vztpp"&gt;420&lt;/key&gt;&lt;/foreign-keys&gt;&lt;ref-type name="Government Document"&gt;46&lt;/ref-type&gt;&lt;contributors&gt;&lt;authors&gt;&lt;author&gt;Substance Abuse and Mental Health Services Administration,&lt;/author&gt;&lt;/authors&gt;&lt;/contributors&gt;&lt;titles&gt;&lt;title&gt;Results from the 2009 National Survey on Drug Use and Health: Volume I. Summary of National Findings&lt;/title&gt;&lt;/titles&gt;&lt;dates&gt;&lt;year&gt;2010&lt;/year&gt;&lt;/dates&gt;&lt;pub-location&gt;Rockville, MD&lt;/pub-location&gt;&lt;isbn&gt;Office of Applied Studies, NSDUH Series H-38A, HHS Publication No. SMA 10-4586Findings&lt;/isbn&gt;&lt;urls&gt;&lt;/urls&gt;&lt;/record&gt;&lt;/Cite&gt;&lt;/EndNote&gt;</w:instrText>
      </w:r>
      <w:r w:rsidR="00550107">
        <w:fldChar w:fldCharType="separate"/>
      </w:r>
      <w:r w:rsidR="00E96A70">
        <w:rPr>
          <w:noProof/>
        </w:rPr>
        <w:t>(</w:t>
      </w:r>
      <w:hyperlink w:anchor="_ENREF_24" w:tooltip="Johnston, 2010 #139" w:history="1">
        <w:r w:rsidR="00D213F7">
          <w:rPr>
            <w:noProof/>
          </w:rPr>
          <w:t>Johnston et al., 2010</w:t>
        </w:r>
      </w:hyperlink>
      <w:r w:rsidR="00E96A70">
        <w:rPr>
          <w:noProof/>
        </w:rPr>
        <w:t xml:space="preserve">; </w:t>
      </w:r>
      <w:hyperlink w:anchor="_ENREF_53" w:tooltip="Substance Abuse and Mental Health Services Administration, 2010 #420" w:history="1">
        <w:r w:rsidR="00D213F7">
          <w:rPr>
            <w:noProof/>
          </w:rPr>
          <w:t>Substance Abuse and Mental Health Services Administration, 2010</w:t>
        </w:r>
      </w:hyperlink>
      <w:r w:rsidR="00E96A70">
        <w:rPr>
          <w:noProof/>
        </w:rPr>
        <w:t>)</w:t>
      </w:r>
      <w:r w:rsidR="00550107">
        <w:fldChar w:fldCharType="end"/>
      </w:r>
      <w:r>
        <w:t xml:space="preserve">. Further research </w:t>
      </w:r>
      <w:proofErr w:type="gramStart"/>
      <w:r>
        <w:t>is needed</w:t>
      </w:r>
      <w:proofErr w:type="gramEnd"/>
      <w:r>
        <w:t xml:space="preserve"> on graduate students’ illicit use of prescription stimulants and whether they are at the same risks as undergraduate</w:t>
      </w:r>
      <w:r w:rsidR="00174252">
        <w:t xml:space="preserve"> students for polysubstance use. </w:t>
      </w:r>
    </w:p>
    <w:p w:rsidR="006349DF" w:rsidRDefault="006349DF" w:rsidP="0029166B"/>
    <w:p w:rsidR="006349DF" w:rsidRDefault="006349DF" w:rsidP="0029166B">
      <w:pPr>
        <w:sectPr w:rsidR="006349DF" w:rsidSect="00FE256D">
          <w:headerReference w:type="default" r:id="rId11"/>
          <w:pgSz w:w="12240" w:h="15840"/>
          <w:pgMar w:top="1440" w:right="1440" w:bottom="1440" w:left="1440" w:header="1440" w:footer="720" w:gutter="0"/>
          <w:cols w:space="720"/>
          <w:docGrid w:linePitch="360"/>
        </w:sectPr>
      </w:pPr>
    </w:p>
    <w:p w:rsidR="009C5658" w:rsidRDefault="009C5658" w:rsidP="009C4731">
      <w:pPr>
        <w:pStyle w:val="Heading1"/>
      </w:pPr>
      <w:r w:rsidRPr="009C4731">
        <w:rPr>
          <w:b w:val="0"/>
        </w:rPr>
        <w:lastRenderedPageBreak/>
        <w:t>CHAPTER</w:t>
      </w:r>
      <w:r>
        <w:t xml:space="preserve"> </w:t>
      </w:r>
      <w:r w:rsidRPr="009C4731">
        <w:rPr>
          <w:b w:val="0"/>
        </w:rPr>
        <w:t>III</w:t>
      </w:r>
    </w:p>
    <w:p w:rsidR="009C5658" w:rsidRDefault="009C5658" w:rsidP="009C5658">
      <w:pPr>
        <w:pStyle w:val="Heading1"/>
      </w:pPr>
      <w:bookmarkStart w:id="25" w:name="_Toc315010463"/>
      <w:r>
        <w:t>Methods and Procedures</w:t>
      </w:r>
      <w:bookmarkEnd w:id="25"/>
    </w:p>
    <w:p w:rsidR="002A6C7F" w:rsidRPr="00DA24C1" w:rsidRDefault="002A6C7F" w:rsidP="002A6C7F">
      <w:r w:rsidRPr="00DA24C1">
        <w:t xml:space="preserve">The purpose of this study is to </w:t>
      </w:r>
      <w:r>
        <w:t>measure graduate student prescription stimulant use by assessing the extent of use, reasons for use, and poly-substance use.</w:t>
      </w:r>
      <w:r w:rsidRPr="00DA24C1">
        <w:t xml:space="preserve"> </w:t>
      </w:r>
    </w:p>
    <w:p w:rsidR="009C5658" w:rsidRDefault="009C5658" w:rsidP="009C5658">
      <w:r>
        <w:t>The three research questions guiding this study were:</w:t>
      </w:r>
    </w:p>
    <w:p w:rsidR="009C5658" w:rsidRPr="00DA24C1" w:rsidRDefault="009C5658" w:rsidP="00CE2EBF">
      <w:pPr>
        <w:pStyle w:val="ListParagraph"/>
        <w:numPr>
          <w:ilvl w:val="0"/>
          <w:numId w:val="9"/>
        </w:numPr>
      </w:pPr>
      <w:r w:rsidRPr="00DA24C1">
        <w:t>What is the extent of prescri</w:t>
      </w:r>
      <w:r>
        <w:t xml:space="preserve">ption stimulant abuse among </w:t>
      </w:r>
      <w:r w:rsidRPr="00DA24C1">
        <w:t>graduate</w:t>
      </w:r>
      <w:r>
        <w:t xml:space="preserve"> students</w:t>
      </w:r>
      <w:r w:rsidRPr="00DA24C1">
        <w:t xml:space="preserve"> on college campuses?</w:t>
      </w:r>
    </w:p>
    <w:p w:rsidR="009C5658" w:rsidRPr="00DA24C1" w:rsidRDefault="009C5658" w:rsidP="00CE2EBF">
      <w:pPr>
        <w:pStyle w:val="ListParagraph"/>
        <w:numPr>
          <w:ilvl w:val="0"/>
          <w:numId w:val="9"/>
        </w:numPr>
      </w:pPr>
      <w:r w:rsidRPr="00DA24C1">
        <w:t xml:space="preserve">What </w:t>
      </w:r>
      <w:r>
        <w:t xml:space="preserve">are the reasons for graduate </w:t>
      </w:r>
      <w:r w:rsidRPr="00DA24C1">
        <w:t>students’ illicit us</w:t>
      </w:r>
      <w:r>
        <w:t>e of</w:t>
      </w:r>
      <w:r w:rsidRPr="00DA24C1">
        <w:t xml:space="preserve"> prescription stimulants?</w:t>
      </w:r>
    </w:p>
    <w:p w:rsidR="009C5658" w:rsidRPr="00DA24C1" w:rsidRDefault="009C5658" w:rsidP="00CE2EBF">
      <w:pPr>
        <w:pStyle w:val="ListParagraph"/>
        <w:numPr>
          <w:ilvl w:val="0"/>
          <w:numId w:val="9"/>
        </w:numPr>
      </w:pPr>
      <w:r>
        <w:t>Are graduate students who abuse prescription stimulants more likely to abuse other substances?</w:t>
      </w:r>
    </w:p>
    <w:p w:rsidR="009C5658" w:rsidRDefault="009C5658" w:rsidP="009C5658">
      <w:r>
        <w:t>This chapter details the methods and procedures used in the conduct of the study. The chapter includes a description of the study design, site and population, instrumentation, and procedures undertaken in implementing the study as well as collecting and analyzing the data.</w:t>
      </w:r>
    </w:p>
    <w:p w:rsidR="009C5658" w:rsidRDefault="009C5658" w:rsidP="009C5658">
      <w:pPr>
        <w:pStyle w:val="Heading1"/>
      </w:pPr>
      <w:bookmarkStart w:id="26" w:name="_Toc315010464"/>
      <w:r>
        <w:t>Design of the Study</w:t>
      </w:r>
      <w:bookmarkEnd w:id="26"/>
    </w:p>
    <w:p w:rsidR="009C5658" w:rsidRDefault="009C5658" w:rsidP="009C5658">
      <w:pPr>
        <w:pStyle w:val="Heading2"/>
      </w:pPr>
      <w:bookmarkStart w:id="27" w:name="_Toc315010465"/>
      <w:r>
        <w:t>Research Design</w:t>
      </w:r>
      <w:bookmarkEnd w:id="27"/>
    </w:p>
    <w:p w:rsidR="009C5658" w:rsidRDefault="009C5658" w:rsidP="009C5658">
      <w:r>
        <w:t xml:space="preserve">The study employed a cross-sectional survey research design using an online, self-administered questionnaire to assess the prevalence rates of prescription stimulant use among graduate students, reasons for use, and graduate students’ likelihood for poly-substance use. Survey design allows for reaching a large number of participants and securing a breadth of responses. This method also allows for generalizations to be made about the target population’s use of prescription stimulants </w:t>
      </w:r>
      <w:r w:rsidR="00550107">
        <w:fldChar w:fldCharType="begin"/>
      </w:r>
      <w:r>
        <w:instrText xml:space="preserve"> ADDIN EN.CITE &lt;EndNote&gt;&lt;Cite&gt;&lt;Author&gt;Creswell&lt;/Author&gt;&lt;Year&gt;2003&lt;/Year&gt;&lt;RecNum&gt;446&lt;/RecNum&gt;&lt;DisplayText&gt;(Creswell, 2003)&lt;/DisplayText&gt;&lt;record&gt;&lt;rec-number&gt;446&lt;/rec-number&gt;&lt;foreign-keys&gt;&lt;key app="EN" db-id="02dwfapew02tdked2f4p0xerwdapvw5vztpp"&gt;446&lt;/key&gt;&lt;/foreign-keys&gt;&lt;ref-type name="Book"&gt;6&lt;/ref-type&gt;&lt;contributors&gt;&lt;authors&gt;&lt;author&gt;Creswell, John&lt;/author&gt;&lt;/authors&gt;&lt;/contributors&gt;&lt;titles&gt;&lt;title&gt;Research design: Qualitative, quantitative, and mixed methods approaches&lt;/title&gt;&lt;/titles&gt;&lt;edition&gt;2&lt;/edition&gt;&lt;dates&gt;&lt;year&gt;2003&lt;/year&gt;&lt;/dates&gt;&lt;pub-location&gt;Thousand Oaks, CA&lt;/pub-location&gt;&lt;publisher&gt;Sage Publications&lt;/publisher&gt;&lt;urls&gt;&lt;/urls&gt;&lt;/record&gt;&lt;/Cite&gt;&lt;/EndNote&gt;</w:instrText>
      </w:r>
      <w:r w:rsidR="00550107">
        <w:fldChar w:fldCharType="separate"/>
      </w:r>
      <w:r>
        <w:rPr>
          <w:noProof/>
        </w:rPr>
        <w:t>(</w:t>
      </w:r>
      <w:hyperlink w:anchor="_ENREF_13" w:tooltip="Creswell, 2003 #446" w:history="1">
        <w:r w:rsidR="00D213F7">
          <w:rPr>
            <w:noProof/>
          </w:rPr>
          <w:t>Creswell, 2003</w:t>
        </w:r>
      </w:hyperlink>
      <w:r>
        <w:rPr>
          <w:noProof/>
        </w:rPr>
        <w:t>)</w:t>
      </w:r>
      <w:r w:rsidR="00550107">
        <w:fldChar w:fldCharType="end"/>
      </w:r>
      <w:r>
        <w:t>.</w:t>
      </w:r>
    </w:p>
    <w:p w:rsidR="009C5658" w:rsidRDefault="009C5658" w:rsidP="009C5658"/>
    <w:p w:rsidR="009C5658" w:rsidRDefault="009C5658" w:rsidP="009C5658">
      <w:pPr>
        <w:pStyle w:val="Heading2"/>
      </w:pPr>
      <w:bookmarkStart w:id="28" w:name="_Toc315010466"/>
      <w:r>
        <w:lastRenderedPageBreak/>
        <w:t>Site and Population</w:t>
      </w:r>
      <w:bookmarkEnd w:id="28"/>
    </w:p>
    <w:p w:rsidR="009C5658" w:rsidRDefault="009C5658" w:rsidP="009C5658">
      <w:r>
        <w:t xml:space="preserve">The target population for this study was part-time and full time graduate students enrolled at a public university in the Southeast, classified by the Carnegie Commission as a research university with very high research activity. The university has an overall student population of 27,500. The graduate student population accounts for approximately 6,000 students. The overall student population is approximately 51% male and 49% female. With respect to graduate students, males account for 47%, and females account for 53%. Of the 6,000 graduate students, the international population constitutes 844 graduate students from 114 countries. </w:t>
      </w:r>
    </w:p>
    <w:p w:rsidR="009C5658" w:rsidRDefault="009C5658" w:rsidP="009C5658">
      <w:r>
        <w:t xml:space="preserve">The academic programs vary across both undergraduate and graduate levels. The university offers more than 300 undergraduate degree programs, and has more than 1,400 </w:t>
      </w:r>
      <w:proofErr w:type="gramStart"/>
      <w:r>
        <w:t>faculty</w:t>
      </w:r>
      <w:proofErr w:type="gramEnd"/>
      <w:r>
        <w:t xml:space="preserve">. The university offers 60 doctoral degrees, 81 master’s degrees, three specialist degrees, three professional programs, and 31 graduate certificate programs in eleven colleges. </w:t>
      </w:r>
    </w:p>
    <w:p w:rsidR="009C5658" w:rsidRDefault="009C5658" w:rsidP="009C5658">
      <w:pPr>
        <w:pStyle w:val="Heading1"/>
      </w:pPr>
      <w:bookmarkStart w:id="29" w:name="_Toc315010467"/>
      <w:r>
        <w:t>Instrumentation</w:t>
      </w:r>
      <w:bookmarkEnd w:id="29"/>
    </w:p>
    <w:p w:rsidR="009C5658" w:rsidRDefault="009C5658" w:rsidP="009C5658">
      <w:r>
        <w:t xml:space="preserve">A single instrument was used to gather data from the participants about their use of prescription stimulants. The instrument is the Student Life Survey (SLS) </w:t>
      </w:r>
      <w:r w:rsidR="00550107">
        <w:fldChar w:fldCharType="begin"/>
      </w:r>
      <w:r>
        <w:instrText xml:space="preserve"> ADDIN EN.CITE &lt;EndNote&gt;&lt;Cite&gt;&lt;Author&gt;Boyd&lt;/Author&gt;&lt;Year&gt;2010&lt;/Year&gt;&lt;RecNum&gt;439&lt;/RecNum&gt;&lt;DisplayText&gt;(CJ Boyd &amp;amp; McCabe, 2010)&lt;/DisplayText&gt;&lt;record&gt;&lt;rec-number&gt;439&lt;/rec-number&gt;&lt;foreign-keys&gt;&lt;key app="EN" db-id="02dwfapew02tdked2f4p0xerwdapvw5vztpp"&gt;439&lt;/key&gt;&lt;/foreign-keys&gt;&lt;ref-type name="Generic"&gt;13&lt;/ref-type&gt;&lt;contributors&gt;&lt;authors&gt;&lt;author&gt;Boyd, CJ&lt;/author&gt;&lt;author&gt;McCabe, SE&lt;/author&gt;&lt;/authors&gt;&lt;/contributors&gt;&lt;titles&gt;&lt;title&gt;Student Life Survey&lt;/title&gt;&lt;/titles&gt;&lt;dates&gt;&lt;year&gt;2010&lt;/year&gt;&lt;/dates&gt;&lt;urls&gt;&lt;/urls&gt;&lt;/record&gt;&lt;/Cite&gt;&lt;/EndNote&gt;</w:instrText>
      </w:r>
      <w:r w:rsidR="00550107">
        <w:fldChar w:fldCharType="separate"/>
      </w:r>
      <w:r>
        <w:rPr>
          <w:noProof/>
        </w:rPr>
        <w:t>(</w:t>
      </w:r>
      <w:hyperlink w:anchor="_ENREF_8" w:tooltip="Boyd, 2010 #439" w:history="1">
        <w:r w:rsidR="00D213F7">
          <w:rPr>
            <w:noProof/>
          </w:rPr>
          <w:t>CJ Boyd &amp; McCabe, 2010</w:t>
        </w:r>
      </w:hyperlink>
      <w:r>
        <w:rPr>
          <w:noProof/>
        </w:rPr>
        <w:t>)</w:t>
      </w:r>
      <w:r w:rsidR="00550107">
        <w:fldChar w:fldCharType="end"/>
      </w:r>
      <w:r>
        <w:t xml:space="preserve">, which was originally developed and pilot tested for undergraduate and graduate students in 1993 and 1999 </w:t>
      </w:r>
      <w:r w:rsidR="00550107">
        <w:fldChar w:fldCharType="begin"/>
      </w:r>
      <w:r>
        <w:instrText xml:space="preserve"> ADDIN EN.CITE &lt;EndNote&gt;&lt;Cite&gt;&lt;Author&gt;McCabe&lt;/Author&gt;&lt;Year&gt;2002&lt;/Year&gt;&lt;RecNum&gt;373&lt;/RecNum&gt;&lt;DisplayText&gt;(McCabe, Boyd, Couper, Crawford, &amp;amp; D&amp;apos;Arcy, 2002)&lt;/DisplayText&gt;&lt;record&gt;&lt;rec-number&gt;373&lt;/rec-number&gt;&lt;foreign-keys&gt;&lt;key app="EN" db-id="02dwfapew02tdked2f4p0xerwdapvw5vztpp"&gt;373&lt;/key&gt;&lt;key app="ENWeb" db-id="R1rfKArtmCQAAH0-ETQ"&gt;627&lt;/key&gt;&lt;/foreign-keys&gt;&lt;ref-type name="Journal Article"&gt;17&lt;/ref-type&gt;&lt;contributors&gt;&lt;authors&gt;&lt;author&gt;McCabe, S&lt;/author&gt;&lt;author&gt;Boyd, CJ&lt;/author&gt;&lt;author&gt;Couper, MP&lt;/author&gt;&lt;author&gt;Crawford, S&lt;/author&gt;&lt;author&gt;D&amp;apos;Arcy, H&lt;/author&gt;&lt;/authors&gt;&lt;/contributors&gt;&lt;titles&gt;&lt;title&gt;Mode effects for collecting alcohol and other drug use data: Web and U.S. mail&lt;/title&gt;&lt;secondary-title&gt;Journal of Studies on Alcohol&lt;/secondary-title&gt;&lt;/titles&gt;&lt;periodical&gt;&lt;full-title&gt;Journal of Studies on Alcohol&lt;/full-title&gt;&lt;/periodical&gt;&lt;pages&gt;755 - 761&lt;/pages&gt;&lt;volume&gt;63&lt;/volume&gt;&lt;number&gt;6&lt;/number&gt;&lt;dates&gt;&lt;year&gt;2002&lt;/year&gt;&lt;/dates&gt;&lt;urls&gt;&lt;/urls&gt;&lt;/record&gt;&lt;/Cite&gt;&lt;/EndNote&gt;</w:instrText>
      </w:r>
      <w:r w:rsidR="00550107">
        <w:fldChar w:fldCharType="separate"/>
      </w:r>
      <w:r>
        <w:rPr>
          <w:noProof/>
        </w:rPr>
        <w:t>(</w:t>
      </w:r>
      <w:hyperlink w:anchor="_ENREF_31" w:tooltip="McCabe, 2002 #373" w:history="1">
        <w:r w:rsidR="00D213F7">
          <w:rPr>
            <w:noProof/>
          </w:rPr>
          <w:t>McCabe, Boyd, Couper, Crawford, &amp; D'Arcy, 2002</w:t>
        </w:r>
      </w:hyperlink>
      <w:r>
        <w:rPr>
          <w:noProof/>
        </w:rPr>
        <w:t>)</w:t>
      </w:r>
      <w:r w:rsidR="00550107">
        <w:fldChar w:fldCharType="end"/>
      </w:r>
      <w:r>
        <w:t xml:space="preserve">. However, graduate students have not been a part of the survey for the past ten years (C. Boyd, personal communication, June 17, 2011). The development of the survey originally included graduate students in addition to undergraduate students, which suggests it is acceptable to use the SLS on graduate students for this study. </w:t>
      </w:r>
    </w:p>
    <w:p w:rsidR="009C5658" w:rsidRDefault="009C5658" w:rsidP="009C5658">
      <w:r>
        <w:lastRenderedPageBreak/>
        <w:t xml:space="preserve">The original survey includes items from the Monitoring the Future survey, CORE survey, and the College Alcohol Study </w:t>
      </w:r>
      <w:r w:rsidR="00550107">
        <w:fldChar w:fldCharType="begin">
          <w:fldData xml:space="preserve">PEVuZE5vdGU+PENpdGU+PEF1dGhvcj5Kb2huc3RvbjwvQXV0aG9yPjxZZWFyPjE5OTk8L1llYXI+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</w:fldData>
        </w:fldChar>
      </w:r>
      <w:r>
        <w:instrText xml:space="preserve"> ADDIN EN.CITE </w:instrText>
      </w:r>
      <w:r w:rsidR="00550107">
        <w:fldChar w:fldCharType="begin">
          <w:fldData xml:space="preserve">PEVuZE5vdGU+PENpdGU+PEF1dGhvcj5Kb2huc3RvbjwvQXV0aG9yPjxZZWFyPjE5OTk8L1llYXI+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</w:fldData>
        </w:fldChar>
      </w:r>
      <w:r>
        <w:instrText xml:space="preserve"> ADDIN EN.CITE.DATA </w:instrText>
      </w:r>
      <w:r w:rsidR="00550107">
        <w:fldChar w:fldCharType="end"/>
      </w:r>
      <w:r w:rsidR="00550107">
        <w:fldChar w:fldCharType="separate"/>
      </w:r>
      <w:r>
        <w:rPr>
          <w:noProof/>
        </w:rPr>
        <w:t>(</w:t>
      </w:r>
      <w:hyperlink w:anchor="_ENREF_7" w:tooltip="Bostwick, 2007 #447" w:history="1">
        <w:r w:rsidR="00D213F7">
          <w:rPr>
            <w:noProof/>
          </w:rPr>
          <w:t>Bostwick et al., 2007</w:t>
        </w:r>
      </w:hyperlink>
      <w:r>
        <w:rPr>
          <w:noProof/>
        </w:rPr>
        <w:t xml:space="preserve">; </w:t>
      </w:r>
      <w:hyperlink w:anchor="_ENREF_23" w:tooltip="Johnston, 1999 #441" w:history="1">
        <w:r w:rsidR="00D213F7">
          <w:rPr>
            <w:noProof/>
          </w:rPr>
          <w:t>Johnston, O'Malley, &amp; Bachman, 1999</w:t>
        </w:r>
      </w:hyperlink>
      <w:r>
        <w:rPr>
          <w:noProof/>
        </w:rPr>
        <w:t xml:space="preserve">; </w:t>
      </w:r>
      <w:hyperlink w:anchor="_ENREF_47" w:tooltip="Presley, 1996 #440" w:history="1">
        <w:r w:rsidR="00D213F7">
          <w:rPr>
            <w:noProof/>
          </w:rPr>
          <w:t>Presley, Meilman, &amp; Cashin, 1996</w:t>
        </w:r>
      </w:hyperlink>
      <w:r>
        <w:rPr>
          <w:noProof/>
        </w:rPr>
        <w:t xml:space="preserve">; </w:t>
      </w:r>
      <w:hyperlink w:anchor="_ENREF_59" w:tooltip="Wechsler, 2000 #442" w:history="1">
        <w:r w:rsidR="00D213F7">
          <w:rPr>
            <w:noProof/>
          </w:rPr>
          <w:t>Wechsler, Lee, Kuo, &amp; Lee, 2000</w:t>
        </w:r>
      </w:hyperlink>
      <w:r>
        <w:rPr>
          <w:noProof/>
        </w:rPr>
        <w:t>)</w:t>
      </w:r>
      <w:r w:rsidR="00550107">
        <w:fldChar w:fldCharType="end"/>
      </w:r>
      <w:r>
        <w:t xml:space="preserve">. Boyd and McCabe </w:t>
      </w:r>
      <w:r w:rsidR="00550107">
        <w:fldChar w:fldCharType="begin"/>
      </w:r>
      <w:r>
        <w:instrText xml:space="preserve"> ADDIN EN.CITE &lt;EndNote&gt;&lt;Cite ExcludeAuth="1"&gt;&lt;Author&gt;Boyd&lt;/Author&gt;&lt;Year&gt;2010&lt;/Year&gt;&lt;RecNum&gt;439&lt;/RecNum&gt;&lt;DisplayText&gt;(2010)&lt;/DisplayText&gt;&lt;record&gt;&lt;rec-number&gt;439&lt;/rec-number&gt;&lt;foreign-keys&gt;&lt;key app="EN" db-id="02dwfapew02tdked2f4p0xerwdapvw5vztpp"&gt;439&lt;/key&gt;&lt;/foreign-keys&gt;&lt;ref-type name="Generic"&gt;13&lt;/ref-type&gt;&lt;contributors&gt;&lt;authors&gt;&lt;author&gt;Boyd, CJ&lt;/author&gt;&lt;author&gt;McCabe, SE&lt;/author&gt;&lt;/authors&gt;&lt;/contributors&gt;&lt;titles&gt;&lt;title&gt;Student Life Survey&lt;/title&gt;&lt;/titles&gt;&lt;dates&gt;&lt;year&gt;2010&lt;/year&gt;&lt;/dates&gt;&lt;urls&gt;&lt;/urls&gt;&lt;/record&gt;&lt;/Cite&gt;&lt;/EndNote&gt;</w:instrText>
      </w:r>
      <w:r w:rsidR="00550107">
        <w:fldChar w:fldCharType="separate"/>
      </w:r>
      <w:r>
        <w:rPr>
          <w:noProof/>
        </w:rPr>
        <w:t>(</w:t>
      </w:r>
      <w:hyperlink w:anchor="_ENREF_8" w:tooltip="Boyd, 2010 #439" w:history="1">
        <w:r w:rsidR="00D213F7">
          <w:rPr>
            <w:noProof/>
          </w:rPr>
          <w:t>2010</w:t>
        </w:r>
      </w:hyperlink>
      <w:r>
        <w:rPr>
          <w:noProof/>
        </w:rPr>
        <w:t>)</w:t>
      </w:r>
      <w:r w:rsidR="00550107">
        <w:fldChar w:fldCharType="end"/>
      </w:r>
      <w:r>
        <w:t xml:space="preserve"> created additional survey items pertaining to demographics and ADHD symptoms. This is the survey used for this study, with modifications as indicated.</w:t>
      </w:r>
    </w:p>
    <w:p w:rsidR="009C5658" w:rsidRDefault="009C5658" w:rsidP="009C5658">
      <w:r>
        <w:t xml:space="preserve">The Student Life Survey (SLS) used in the study consists of a demographic section with nine questions. It includes items that appear on the original survey such as gender, age, race/ethnicity, and family income. Additional demographic items have been added to accommodate the graduate student population. These items include enrollment status, marriage status, </w:t>
      </w:r>
      <w:r w:rsidR="00B33B62">
        <w:t>native count</w:t>
      </w:r>
      <w:r w:rsidR="00E900E1">
        <w:t>r</w:t>
      </w:r>
      <w:r w:rsidR="00B33B62">
        <w:t>y</w:t>
      </w:r>
      <w:r>
        <w:t>, and English as first language.</w:t>
      </w:r>
    </w:p>
    <w:p w:rsidR="009C5658" w:rsidRDefault="009C5658" w:rsidP="009C5658">
      <w:r>
        <w:t xml:space="preserve">The survey then consists of 65 questions from the original survey that asks about the prevalence and use of illegal drug use, including marijuana, cocaine, LSD, other psychedelics, crystal meth, heroin, inhalants, ecstasy, and the illicit use of prescription drugs, specifically opiates and stimulants. There are four questions specifically addressing illicit drugs followed by 46 questions addressing the illicit use of prescription stimulants (23 questions) and opiates (23 questions), which are dependent upon a participant’s response to using prescription stimulants </w:t>
      </w:r>
      <w:r w:rsidR="00333834">
        <w:t>or</w:t>
      </w:r>
      <w:r>
        <w:t xml:space="preserve"> opiates. The questions on prescription opiates and stimulants seeks the respondents’ perceptions about prescription stimulants and opiate use, attitudes toward substance abuse, lifetime and past month use, age of initiation, and types of prescription drugs used. There are eight questions regarding symptoms for Attention Deficit Hyperactivity Disorder. A copy of the survey used in the study appears in Appendix </w:t>
      </w:r>
      <w:r w:rsidR="00B33B62">
        <w:t>A</w:t>
      </w:r>
      <w:r>
        <w:t>.</w:t>
      </w:r>
    </w:p>
    <w:p w:rsidR="006349DF" w:rsidRDefault="006349DF" w:rsidP="009243B2">
      <w:bookmarkStart w:id="30" w:name="_Toc315010468"/>
    </w:p>
    <w:p w:rsidR="009C5658" w:rsidRDefault="009C5658" w:rsidP="009C5658">
      <w:pPr>
        <w:pStyle w:val="Heading2"/>
      </w:pPr>
      <w:r>
        <w:lastRenderedPageBreak/>
        <w:t>Reliability and Validity of the Student Life Survey</w:t>
      </w:r>
      <w:bookmarkEnd w:id="30"/>
    </w:p>
    <w:p w:rsidR="009C5658" w:rsidRDefault="009C5658" w:rsidP="009C5658">
      <w:r>
        <w:t xml:space="preserve">The survey instrument was developed using previously tested items from national studies, including the Monitoring the Future, CORE study, and the College Alcohol Study </w:t>
      </w:r>
      <w:r w:rsidR="00550107">
        <w:fldChar w:fldCharType="begin">
          <w:fldData xml:space="preserve">PEVuZE5vdGU+PENpdGU+PEF1dGhvcj5Kb2huc3RvbjwvQXV0aG9yPjxZZWFyPjE5OTk8L1llYXI+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</w:fldData>
        </w:fldChar>
      </w:r>
      <w:r>
        <w:instrText xml:space="preserve"> ADDIN EN.CITE </w:instrText>
      </w:r>
      <w:r w:rsidR="00550107">
        <w:fldChar w:fldCharType="begin">
          <w:fldData xml:space="preserve">PEVuZE5vdGU+PENpdGU+PEF1dGhvcj5Kb2huc3RvbjwvQXV0aG9yPjxZZWFyPjE5OTk8L1llYXI+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</w:fldData>
        </w:fldChar>
      </w:r>
      <w:r>
        <w:instrText xml:space="preserve"> ADDIN EN.CITE.DATA </w:instrText>
      </w:r>
      <w:r w:rsidR="00550107">
        <w:fldChar w:fldCharType="end"/>
      </w:r>
      <w:r w:rsidR="00550107">
        <w:fldChar w:fldCharType="separate"/>
      </w:r>
      <w:r>
        <w:rPr>
          <w:noProof/>
        </w:rPr>
        <w:t>(</w:t>
      </w:r>
      <w:hyperlink w:anchor="_ENREF_7" w:tooltip="Bostwick, 2007 #447" w:history="1">
        <w:r w:rsidR="00D213F7">
          <w:rPr>
            <w:noProof/>
          </w:rPr>
          <w:t>Bostwick et al., 2007</w:t>
        </w:r>
      </w:hyperlink>
      <w:r>
        <w:rPr>
          <w:noProof/>
        </w:rPr>
        <w:t xml:space="preserve">; </w:t>
      </w:r>
      <w:hyperlink w:anchor="_ENREF_23" w:tooltip="Johnston, 1999 #441" w:history="1">
        <w:r w:rsidR="00D213F7">
          <w:rPr>
            <w:noProof/>
          </w:rPr>
          <w:t>Johnston et al., 1999</w:t>
        </w:r>
      </w:hyperlink>
      <w:r>
        <w:rPr>
          <w:noProof/>
        </w:rPr>
        <w:t xml:space="preserve">; </w:t>
      </w:r>
      <w:hyperlink w:anchor="_ENREF_47" w:tooltip="Presley, 1996 #440" w:history="1">
        <w:r w:rsidR="00D213F7">
          <w:rPr>
            <w:noProof/>
          </w:rPr>
          <w:t>Presley et al., 1996</w:t>
        </w:r>
      </w:hyperlink>
      <w:r>
        <w:rPr>
          <w:noProof/>
        </w:rPr>
        <w:t xml:space="preserve">; </w:t>
      </w:r>
      <w:hyperlink w:anchor="_ENREF_59" w:tooltip="Wechsler, 2000 #442" w:history="1">
        <w:r w:rsidR="00D213F7">
          <w:rPr>
            <w:noProof/>
          </w:rPr>
          <w:t>Wechsler et al., 2000</w:t>
        </w:r>
      </w:hyperlink>
      <w:r>
        <w:rPr>
          <w:noProof/>
        </w:rPr>
        <w:t>)</w:t>
      </w:r>
      <w:r w:rsidR="00550107">
        <w:fldChar w:fldCharType="end"/>
      </w:r>
      <w:r>
        <w:t xml:space="preserve">. Additionally, the Student Life Survey was pilot tested twice during its development. The developers of the survey instrument have not conducted validity or reliability tests; however, since its development, the Student Life Survey has been used in studies published in numerous journals indicating its acceptance as a reliable and valid instrument </w:t>
      </w:r>
      <w:r w:rsidR="00550107">
        <w:fldChar w:fldCharType="begin">
          <w:fldData xml:space="preserve">PEVuZE5vdGU+PENpdGU+PEF1dGhvcj5Cb3N0d2ljazwvQXV0aG9yPjxZZWFyPjIwMDc8L1llYXI+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</w:fldData>
        </w:fldChar>
      </w:r>
      <w:r w:rsidR="00F26218">
        <w:instrText xml:space="preserve"> ADDIN EN.CITE </w:instrText>
      </w:r>
      <w:r w:rsidR="00550107">
        <w:fldChar w:fldCharType="begin">
          <w:fldData xml:space="preserve">PEVuZE5vdGU+PENpdGU+PEF1dGhvcj5Cb3N0d2ljazwvQXV0aG9yPjxZZWFyPjIwMDc8L1llYXI+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</w:fldData>
        </w:fldChar>
      </w:r>
      <w:r w:rsidR="00F26218">
        <w:instrText xml:space="preserve"> ADDIN EN.CITE.DATA </w:instrText>
      </w:r>
      <w:r w:rsidR="00550107">
        <w:fldChar w:fldCharType="end"/>
      </w:r>
      <w:r w:rsidR="00550107">
        <w:fldChar w:fldCharType="separate"/>
      </w:r>
      <w:r w:rsidR="00F26218">
        <w:rPr>
          <w:noProof/>
        </w:rPr>
        <w:t>(</w:t>
      </w:r>
      <w:hyperlink w:anchor="_ENREF_7" w:tooltip="Bostwick, 2007 #447" w:history="1">
        <w:r w:rsidR="00D213F7">
          <w:rPr>
            <w:noProof/>
          </w:rPr>
          <w:t>Bostwick et al., 2007</w:t>
        </w:r>
      </w:hyperlink>
      <w:r w:rsidR="00F26218">
        <w:rPr>
          <w:noProof/>
        </w:rPr>
        <w:t xml:space="preserve">; </w:t>
      </w:r>
      <w:hyperlink w:anchor="_ENREF_9" w:tooltip="Boyd, 2003 #455" w:history="1">
        <w:r w:rsidR="00D213F7">
          <w:rPr>
            <w:noProof/>
          </w:rPr>
          <w:t>C Boyd, McCabe, &amp; d'Arcy, 2003</w:t>
        </w:r>
      </w:hyperlink>
      <w:r w:rsidR="00F26218">
        <w:rPr>
          <w:noProof/>
        </w:rPr>
        <w:t xml:space="preserve">; </w:t>
      </w:r>
      <w:hyperlink w:anchor="_ENREF_32" w:tooltip="McCabe, 2003 #457" w:history="1">
        <w:r w:rsidR="00D213F7">
          <w:rPr>
            <w:noProof/>
          </w:rPr>
          <w:t>McCabe, Boyd, Hughes, &amp; d'Arcy, 2003</w:t>
        </w:r>
      </w:hyperlink>
      <w:r w:rsidR="00F26218">
        <w:rPr>
          <w:noProof/>
        </w:rPr>
        <w:t xml:space="preserve">; </w:t>
      </w:r>
      <w:hyperlink w:anchor="_ENREF_33" w:tooltip="McCabe, 2009 #416" w:history="1">
        <w:r w:rsidR="00D213F7">
          <w:rPr>
            <w:noProof/>
          </w:rPr>
          <w:t>McCabe et al., 2009</w:t>
        </w:r>
      </w:hyperlink>
      <w:r w:rsidR="00F26218">
        <w:rPr>
          <w:noProof/>
        </w:rPr>
        <w:t xml:space="preserve">; </w:t>
      </w:r>
      <w:hyperlink w:anchor="_ENREF_36" w:tooltip="McCabe, 2005 #450" w:history="1">
        <w:r w:rsidR="00D213F7">
          <w:rPr>
            <w:noProof/>
          </w:rPr>
          <w:t>McCabe, Teter, &amp; Boyd, 2005</w:t>
        </w:r>
      </w:hyperlink>
      <w:r w:rsidR="00F26218">
        <w:rPr>
          <w:noProof/>
        </w:rPr>
        <w:t xml:space="preserve">; </w:t>
      </w:r>
      <w:hyperlink w:anchor="_ENREF_39" w:tooltip="McCabe, 2007 #315" w:history="1">
        <w:r w:rsidR="00D213F7">
          <w:rPr>
            <w:noProof/>
          </w:rPr>
          <w:t>McCabe &amp; Teter, 2007</w:t>
        </w:r>
      </w:hyperlink>
      <w:r w:rsidR="00F26218">
        <w:rPr>
          <w:noProof/>
        </w:rPr>
        <w:t xml:space="preserve">; </w:t>
      </w:r>
      <w:hyperlink w:anchor="_ENREF_57" w:tooltip="Teter, 2005 #86" w:history="1">
        <w:r w:rsidR="00D213F7">
          <w:rPr>
            <w:noProof/>
          </w:rPr>
          <w:t>Teter et al., 2005</w:t>
        </w:r>
      </w:hyperlink>
      <w:r w:rsidR="00F26218">
        <w:rPr>
          <w:noProof/>
        </w:rPr>
        <w:t xml:space="preserve">; </w:t>
      </w:r>
      <w:hyperlink w:anchor="_ENREF_60" w:tooltip="Young, 2005 #452" w:history="1">
        <w:r w:rsidR="00D213F7">
          <w:rPr>
            <w:noProof/>
          </w:rPr>
          <w:t>Young, Morales, McCabe, Boyd, &amp; d'Arcy, 2005</w:t>
        </w:r>
      </w:hyperlink>
      <w:r w:rsidR="00F26218">
        <w:rPr>
          <w:noProof/>
        </w:rPr>
        <w:t>)</w:t>
      </w:r>
      <w:r w:rsidR="00550107">
        <w:fldChar w:fldCharType="end"/>
      </w:r>
      <w:r>
        <w:t xml:space="preserve">. The principal investigator sent Sean McCabe, the co-principal investigator of the Student Life Survey, the survey for this study. He confirmed the survey was almost identical to the SLS and should properly measure prescription stimulant abuse among graduate students (S. McCabe, personal communication, September 15, 2011). </w:t>
      </w:r>
      <w:r w:rsidR="00A66978">
        <w:t>Additionally</w:t>
      </w:r>
      <w:r>
        <w:t>, to further validate the survey for this study, the principal investigator convene</w:t>
      </w:r>
      <w:r w:rsidR="00B9658E">
        <w:t>d</w:t>
      </w:r>
      <w:r>
        <w:t xml:space="preserve"> a panel of professionals to review the survey to establish </w:t>
      </w:r>
      <w:r w:rsidR="00E900E1">
        <w:t>construct</w:t>
      </w:r>
      <w:r>
        <w:t xml:space="preserve"> validity, which has been cited as an acceptable means of validity </w:t>
      </w:r>
      <w:r w:rsidR="00550107">
        <w:fldChar w:fldCharType="begin"/>
      </w:r>
      <w:r>
        <w:instrText xml:space="preserve"> ADDIN EN.CITE &lt;EndNote&gt;&lt;Cite&gt;&lt;Author&gt;Colton&lt;/Author&gt;&lt;Year&gt;2007&lt;/Year&gt;&lt;RecNum&gt;460&lt;/RecNum&gt;&lt;DisplayText&gt;(Colton &amp;amp; Covert, 2007)&lt;/DisplayText&gt;&lt;record&gt;&lt;rec-number&gt;460&lt;/rec-number&gt;&lt;foreign-keys&gt;&lt;key app="EN" db-id="02dwfapew02tdked2f4p0xerwdapvw5vztpp"&gt;460&lt;/key&gt;&lt;/foreign-keys&gt;&lt;ref-type name="Book"&gt;6&lt;/ref-type&gt;&lt;contributors&gt;&lt;authors&gt;&lt;author&gt;Colton, D&lt;/author&gt;&lt;author&gt;Covert, R&lt;/author&gt;&lt;/authors&gt;&lt;/contributors&gt;&lt;titles&gt;&lt;title&gt;Designing and constructing instruments for social research and evaluation&lt;/title&gt;&lt;/titles&gt;&lt;dates&gt;&lt;year&gt;2007&lt;/year&gt;&lt;/dates&gt;&lt;pub-location&gt;San Francisco&lt;/pub-location&gt;&lt;publisher&gt;Jossey Bass&lt;/publisher&gt;&lt;urls&gt;&lt;/urls&gt;&lt;/record&gt;&lt;/Cite&gt;&lt;/EndNote&gt;</w:instrText>
      </w:r>
      <w:r w:rsidR="00550107">
        <w:fldChar w:fldCharType="separate"/>
      </w:r>
      <w:r>
        <w:rPr>
          <w:noProof/>
        </w:rPr>
        <w:t>(</w:t>
      </w:r>
      <w:hyperlink w:anchor="_ENREF_11" w:tooltip="Colton, 2007 #460" w:history="1">
        <w:r w:rsidR="00D213F7">
          <w:rPr>
            <w:noProof/>
          </w:rPr>
          <w:t>Colton &amp; Covert, 2007</w:t>
        </w:r>
      </w:hyperlink>
      <w:r>
        <w:rPr>
          <w:noProof/>
        </w:rPr>
        <w:t>)</w:t>
      </w:r>
      <w:r w:rsidR="00550107">
        <w:fldChar w:fldCharType="end"/>
      </w:r>
      <w:r>
        <w:t xml:space="preserve">. </w:t>
      </w:r>
      <w:r w:rsidR="00B9658E">
        <w:t>The professional panel also confirmed the survey for this study should properly measure prescription stimulant abuse among graduate students.</w:t>
      </w:r>
    </w:p>
    <w:p w:rsidR="009C5658" w:rsidRDefault="009C5658" w:rsidP="009C5658">
      <w:pPr>
        <w:pStyle w:val="Heading1"/>
      </w:pPr>
      <w:bookmarkStart w:id="31" w:name="_Toc315010469"/>
      <w:r>
        <w:t>Procedures</w:t>
      </w:r>
      <w:bookmarkEnd w:id="31"/>
    </w:p>
    <w:p w:rsidR="009C5658" w:rsidRDefault="009C5658" w:rsidP="009C5658">
      <w:r>
        <w:t>After securing IRB approval from The University of Tennessee</w:t>
      </w:r>
      <w:r w:rsidR="002D7714">
        <w:t>,</w:t>
      </w:r>
      <w:r>
        <w:t xml:space="preserve"> Knoxville for conducting the research study, the principal investigator distributed the online survey via email to all graduate students at the selected institution. The email addresses were obtained from the </w:t>
      </w:r>
      <w:r>
        <w:lastRenderedPageBreak/>
        <w:t xml:space="preserve">institution’s Office of the Registrar. The email sent to participants introduced the research and the researcher, described the nature and purpose of the study, the time commitment for participating (15 to 20 minutes), and explained that all data would be aggregated for reporting purposes, thereby ensuring that the identity of the institution </w:t>
      </w:r>
      <w:r w:rsidR="002B2B41">
        <w:t xml:space="preserve">and of individuals participating </w:t>
      </w:r>
      <w:r>
        <w:t xml:space="preserve">would be protected. </w:t>
      </w:r>
    </w:p>
    <w:p w:rsidR="009C5658" w:rsidRDefault="009C5658" w:rsidP="00CE2EBF">
      <w:r>
        <w:t xml:space="preserve">Additionally, the email explained that participants could enter a drawing to win </w:t>
      </w:r>
      <w:r w:rsidR="00C949A2">
        <w:t>one of 10</w:t>
      </w:r>
      <w:r>
        <w:t xml:space="preserve"> $</w:t>
      </w:r>
      <w:r w:rsidR="00C949A2">
        <w:t>25</w:t>
      </w:r>
      <w:r>
        <w:t xml:space="preserve"> Amazon gift certificate</w:t>
      </w:r>
      <w:r w:rsidR="00C949A2">
        <w:t>s</w:t>
      </w:r>
      <w:r>
        <w:t xml:space="preserve"> by the </w:t>
      </w:r>
      <w:r w:rsidR="00CE2EBF">
        <w:t>last</w:t>
      </w:r>
      <w:r>
        <w:t xml:space="preserve"> week of </w:t>
      </w:r>
      <w:r w:rsidR="00CE2EBF">
        <w:t>January and the drawing taking place the second week in February</w:t>
      </w:r>
      <w:r>
        <w:t>. The information collected for the drawing would be solicited and kept separately from the survey for this stud</w:t>
      </w:r>
      <w:r w:rsidR="009224F6">
        <w:t>y; thus, further protecting the</w:t>
      </w:r>
      <w:r w:rsidR="0041697A">
        <w:t xml:space="preserve"> </w:t>
      </w:r>
      <w:r w:rsidR="009224F6">
        <w:t>i</w:t>
      </w:r>
      <w:r>
        <w:t xml:space="preserve">dentity </w:t>
      </w:r>
      <w:r w:rsidR="009224F6">
        <w:t xml:space="preserve">of participants </w:t>
      </w:r>
      <w:r>
        <w:t xml:space="preserve">and the institution. The email concluded with instructions for accessing the online survey and a statement indicating </w:t>
      </w:r>
      <w:r w:rsidR="006E7D5E">
        <w:t>proceeding to</w:t>
      </w:r>
      <w:r>
        <w:t xml:space="preserve"> the survey would constitute informed consent. A copy of this e-mail can be found in Appendix </w:t>
      </w:r>
      <w:r w:rsidR="00B33B62">
        <w:t>B</w:t>
      </w:r>
      <w:r>
        <w:t xml:space="preserve">. </w:t>
      </w:r>
    </w:p>
    <w:p w:rsidR="009C5658" w:rsidRDefault="009C5658" w:rsidP="009C5658">
      <w:r>
        <w:t xml:space="preserve">After accessing the hyperlink, participants were directed to the informed consent to review and print for their records. The informed consent </w:t>
      </w:r>
      <w:r w:rsidR="00E603F8">
        <w:t xml:space="preserve">repeats the information about the study contained in the email. In addition, </w:t>
      </w:r>
      <w:r w:rsidR="00342CC4">
        <w:t xml:space="preserve">the informed consent </w:t>
      </w:r>
      <w:r>
        <w:t xml:space="preserve">outlines </w:t>
      </w:r>
      <w:r w:rsidR="00CE2EBF">
        <w:t>potential</w:t>
      </w:r>
      <w:r>
        <w:t xml:space="preserve"> risks, </w:t>
      </w:r>
      <w:r w:rsidR="00B30629">
        <w:t xml:space="preserve">identity and institution </w:t>
      </w:r>
      <w:r>
        <w:t xml:space="preserve">protection measures, </w:t>
      </w:r>
      <w:r w:rsidR="00CE2EBF">
        <w:t xml:space="preserve">incentive information, </w:t>
      </w:r>
      <w:r>
        <w:t xml:space="preserve">contact information for drug </w:t>
      </w:r>
      <w:r w:rsidR="00E603F8">
        <w:t xml:space="preserve">use or the </w:t>
      </w:r>
      <w:proofErr w:type="gramStart"/>
      <w:r w:rsidR="00E603F8">
        <w:t>like</w:t>
      </w:r>
      <w:r>
        <w:t>,</w:t>
      </w:r>
      <w:proofErr w:type="gramEnd"/>
      <w:r>
        <w:t xml:space="preserve"> and contact information for the principal investigator</w:t>
      </w:r>
      <w:r w:rsidR="00342CC4">
        <w:t>,</w:t>
      </w:r>
      <w:r>
        <w:t xml:space="preserve"> advisor</w:t>
      </w:r>
      <w:r w:rsidR="00342CC4">
        <w:t>, and Office of Research overseeing the conduct of this study</w:t>
      </w:r>
      <w:r>
        <w:t xml:space="preserve"> (see Appendix </w:t>
      </w:r>
      <w:r w:rsidR="00B33B62">
        <w:t>C</w:t>
      </w:r>
      <w:r>
        <w:t xml:space="preserve">). The conclusion of the informed consent provided a hyperlink to the research survey with a statement informing participants that </w:t>
      </w:r>
      <w:r w:rsidR="006E7D5E">
        <w:t>proceeding to</w:t>
      </w:r>
      <w:r>
        <w:t xml:space="preserve"> the survey implied informed consent. </w:t>
      </w:r>
    </w:p>
    <w:p w:rsidR="009C5658" w:rsidRDefault="009C5658" w:rsidP="009C5658">
      <w:r>
        <w:t>After distributing the first email, the principal investigator waited a week and sent another email</w:t>
      </w:r>
      <w:r w:rsidR="00E603F8">
        <w:t xml:space="preserve">, </w:t>
      </w:r>
      <w:r w:rsidR="006E7D5E">
        <w:t xml:space="preserve">almost </w:t>
      </w:r>
      <w:r w:rsidR="00E603F8">
        <w:t>identical to the first email,</w:t>
      </w:r>
      <w:r>
        <w:t xml:space="preserve"> to each participant. The principal investigator </w:t>
      </w:r>
      <w:r>
        <w:lastRenderedPageBreak/>
        <w:t xml:space="preserve">waited an additional week and sent a third email to all participants. The second </w:t>
      </w:r>
      <w:r w:rsidR="006E7D5E">
        <w:t>and third emails were identical (see Appendix D)</w:t>
      </w:r>
      <w:r>
        <w:t xml:space="preserve">. The identity of those who chose to participate was protected by sending emails to all graduate students multiple times. In order to protect participants further, the email list was destroyed after the third email was sent. Students’ responses remained anonymous since an individual email </w:t>
      </w:r>
      <w:proofErr w:type="gramStart"/>
      <w:r>
        <w:t>was sent</w:t>
      </w:r>
      <w:proofErr w:type="gramEnd"/>
      <w:r>
        <w:t xml:space="preserve"> to each student requesting participation</w:t>
      </w:r>
      <w:r w:rsidR="00CE2EBF">
        <w:t>,</w:t>
      </w:r>
      <w:r>
        <w:t xml:space="preserve"> thereby protecting participants from seeing other participants email addresses. If students chose to respond to the survey, their answers were not linked to their email address or IP address, thus protecting their identity and responses. </w:t>
      </w:r>
    </w:p>
    <w:p w:rsidR="009C5658" w:rsidRDefault="009C5658" w:rsidP="009C5658">
      <w:r>
        <w:t xml:space="preserve">The survey data were initially stored on </w:t>
      </w:r>
      <w:proofErr w:type="spellStart"/>
      <w:r>
        <w:t>Psychdata’s</w:t>
      </w:r>
      <w:proofErr w:type="spellEnd"/>
      <w:r>
        <w:t xml:space="preserve"> servers</w:t>
      </w:r>
      <w:r w:rsidR="00382D22">
        <w:t>, the host for the online survey,</w:t>
      </w:r>
      <w:r>
        <w:t xml:space="preserve"> while survey </w:t>
      </w:r>
      <w:r w:rsidR="00382D22">
        <w:t>data were being collected</w:t>
      </w:r>
      <w:r w:rsidR="00002FEE">
        <w:t>.</w:t>
      </w:r>
      <w:r>
        <w:t xml:space="preserve"> The data were encrypted and not made available to anyone other than the principal investigator. Upon analysis, the data were downloaded to the primary investigator</w:t>
      </w:r>
      <w:r w:rsidR="007E41EE">
        <w:t>’</w:t>
      </w:r>
      <w:r>
        <w:t>s external hard drive, which is double password protected.</w:t>
      </w:r>
      <w:r w:rsidRPr="00895CCF">
        <w:t xml:space="preserve"> </w:t>
      </w:r>
      <w:r>
        <w:t>Furthermore, the external hard drive will be stored in a locked desk drawer in the principal investigator’s office at 1021 Francis St</w:t>
      </w:r>
      <w:r w:rsidR="007E41EE">
        <w:t>.,</w:t>
      </w:r>
      <w:r>
        <w:t xml:space="preserve"> Knoxville, Tennessee. The data were deleted from the server after being downloaded and properly secured. The data will be destroyed from the principal investigator’s external hard drive in five years, in accordance with Department of Defense 5220 deletion standards.</w:t>
      </w:r>
    </w:p>
    <w:p w:rsidR="009C5658" w:rsidRDefault="009C5658" w:rsidP="009C5658">
      <w:pPr>
        <w:pStyle w:val="Heading1"/>
      </w:pPr>
      <w:bookmarkStart w:id="32" w:name="_Toc315010470"/>
      <w:r>
        <w:t>Data Analysis</w:t>
      </w:r>
      <w:bookmarkEnd w:id="32"/>
    </w:p>
    <w:p w:rsidR="009C5658" w:rsidRDefault="009C5658" w:rsidP="009C5658">
      <w:r>
        <w:t>The data were imported int</w:t>
      </w:r>
      <w:r w:rsidR="006349DF">
        <w:t>o the statistical package SPSS 20</w:t>
      </w:r>
      <w:r>
        <w:t xml:space="preserve"> and cleaned for any </w:t>
      </w:r>
      <w:r w:rsidR="009F48C5">
        <w:t xml:space="preserve">possible </w:t>
      </w:r>
      <w:r>
        <w:t>outliers and missing data</w:t>
      </w:r>
      <w:r w:rsidR="00C0281A">
        <w:t xml:space="preserve">. </w:t>
      </w:r>
      <w:r w:rsidR="00B75497">
        <w:t>There were no outliers in the dataset.</w:t>
      </w:r>
      <w:r w:rsidR="00B75497">
        <w:t xml:space="preserve"> </w:t>
      </w:r>
      <w:r w:rsidR="00C0281A">
        <w:t xml:space="preserve">Participants’ answers </w:t>
      </w:r>
      <w:proofErr w:type="gramStart"/>
      <w:r w:rsidR="00C0281A">
        <w:t>were deleted</w:t>
      </w:r>
      <w:proofErr w:type="gramEnd"/>
      <w:r w:rsidR="00C0281A">
        <w:t xml:space="preserve"> if they quit the survey before completion. </w:t>
      </w:r>
    </w:p>
    <w:p w:rsidR="009C5658" w:rsidRDefault="009C5658" w:rsidP="009C5658">
      <w:r>
        <w:lastRenderedPageBreak/>
        <w:t xml:space="preserve">In order to answer research question one, </w:t>
      </w:r>
      <w:r w:rsidRPr="00DA24C1">
        <w:t>What is the extent of prescri</w:t>
      </w:r>
      <w:r>
        <w:t xml:space="preserve">ption stimulant abuse among </w:t>
      </w:r>
      <w:r w:rsidRPr="00DA24C1">
        <w:t>graduate</w:t>
      </w:r>
      <w:r>
        <w:t xml:space="preserve"> students</w:t>
      </w:r>
      <w:r w:rsidRPr="00DA24C1">
        <w:t xml:space="preserve"> on college campuses</w:t>
      </w:r>
      <w:proofErr w:type="gramStart"/>
      <w:r w:rsidRPr="00DA24C1">
        <w:t>?</w:t>
      </w:r>
      <w:r>
        <w:t>,</w:t>
      </w:r>
      <w:proofErr w:type="gramEnd"/>
      <w:r>
        <w:t xml:space="preserve"> descriptive statistics were calculated. These included frequencies, means, and percentages identifying the prevalence of prescription stimulant use by graduate students. </w:t>
      </w:r>
    </w:p>
    <w:p w:rsidR="009C5658" w:rsidRDefault="009C5658" w:rsidP="009C5658">
      <w:r>
        <w:t xml:space="preserve">To answer research question two, </w:t>
      </w:r>
      <w:r w:rsidRPr="00DA24C1">
        <w:t xml:space="preserve">What </w:t>
      </w:r>
      <w:r>
        <w:t xml:space="preserve">are the reasons for graduate </w:t>
      </w:r>
      <w:r w:rsidRPr="00DA24C1">
        <w:t>students’ illicit us</w:t>
      </w:r>
      <w:r>
        <w:t>e of</w:t>
      </w:r>
      <w:r w:rsidRPr="00DA24C1">
        <w:t xml:space="preserve"> prescription stimulants</w:t>
      </w:r>
      <w:proofErr w:type="gramStart"/>
      <w:r w:rsidRPr="00DA24C1">
        <w:t>?</w:t>
      </w:r>
      <w:r>
        <w:t>,</w:t>
      </w:r>
      <w:proofErr w:type="gramEnd"/>
      <w:r>
        <w:t xml:space="preserve"> central tendencies and frequencies were calculated.</w:t>
      </w:r>
    </w:p>
    <w:p w:rsidR="009C5658" w:rsidRDefault="009C5658" w:rsidP="009C5658">
      <w:pPr>
        <w:ind w:firstLine="0"/>
        <w:sectPr w:rsidR="009C5658" w:rsidSect="00FE256D">
          <w:headerReference w:type="default" r:id="rId12"/>
          <w:pgSz w:w="12240" w:h="15840"/>
          <w:pgMar w:top="1440" w:right="1440" w:bottom="1440" w:left="1440" w:header="1440" w:footer="720" w:gutter="0"/>
          <w:cols w:space="720"/>
          <w:docGrid w:linePitch="360"/>
        </w:sectPr>
      </w:pPr>
      <w:r>
        <w:tab/>
        <w:t xml:space="preserve">To answer question three, Are graduate students who abuse prescription stimulants more likely to abuse other substances?, a </w:t>
      </w:r>
      <w:r w:rsidR="00B9658E">
        <w:t xml:space="preserve">stepwise </w:t>
      </w:r>
      <w:r>
        <w:t xml:space="preserve">logistic regression was calculated to determine the relationships between prescription stimulant abuse and illicit use of other substances such as </w:t>
      </w:r>
      <w:r w:rsidR="00B75497">
        <w:t>cocaine, marijuana, ecstasy, LSD, steroids, inhalants, and psychedelics</w:t>
      </w:r>
      <w:r>
        <w:t xml:space="preserve">. The logistic regression analysis provides an odds ratio for determining the likelihood a participant who illicitly uses prescription stimulants will engage in other deviant behavior such as </w:t>
      </w:r>
      <w:r w:rsidR="006E7D5E">
        <w:t>smoking marijuana</w:t>
      </w:r>
      <w:r w:rsidR="002D7714">
        <w:t xml:space="preserve"> or consuming cocaine</w:t>
      </w:r>
      <w:r w:rsidR="006E7D5E">
        <w:t xml:space="preserve">. Additionally, the logistic regression was the most appropriate test because the dependent variable was binomial </w:t>
      </w:r>
      <w:r w:rsidR="006E7D5E">
        <w:fldChar w:fldCharType="begin"/>
      </w:r>
      <w:r w:rsidR="006E7D5E">
        <w:instrText xml:space="preserve"> ADDIN EN.CITE &lt;EndNote&gt;&lt;Cite&gt;&lt;Author&gt;Tabachnick&lt;/Author&gt;&lt;Year&gt;2007&lt;/Year&gt;&lt;RecNum&gt;461&lt;/RecNum&gt;&lt;DisplayText&gt;(Tabachnick &amp;amp; Fidell, 2007)&lt;/DisplayText&gt;&lt;record&gt;&lt;rec-number&gt;461&lt;/rec-number&gt;&lt;foreign-keys&gt;&lt;key app="EN" db-id="02dwfapew02tdked2f4p0xerwdapvw5vztpp"&gt;461&lt;/key&gt;&lt;/foreign-keys&gt;&lt;ref-type name="Book"&gt;6&lt;/ref-type&gt;&lt;contributors&gt;&lt;authors&gt;&lt;author&gt;Tabachnick, Barbara&lt;/author&gt;&lt;author&gt;Fidell, Linda&lt;/author&gt;&lt;/authors&gt;&lt;/contributors&gt;&lt;titles&gt;&lt;title&gt;Using multivariate statistics&lt;/title&gt;&lt;/titles&gt;&lt;edition&gt;5th&lt;/edition&gt;&lt;dates&gt;&lt;year&gt;2007&lt;/year&gt;&lt;/dates&gt;&lt;pub-location&gt;Boston&lt;/pub-location&gt;&lt;publisher&gt;Pearson Education&lt;/publisher&gt;&lt;urls&gt;&lt;/urls&gt;&lt;/record&gt;&lt;/Cite&gt;&lt;/EndNote&gt;</w:instrText>
      </w:r>
      <w:r w:rsidR="006E7D5E">
        <w:fldChar w:fldCharType="separate"/>
      </w:r>
      <w:r w:rsidR="006E7D5E">
        <w:rPr>
          <w:noProof/>
        </w:rPr>
        <w:t>(</w:t>
      </w:r>
      <w:hyperlink w:anchor="_ENREF_55" w:tooltip="Tabachnick, 2007 #461" w:history="1">
        <w:r w:rsidR="00D213F7">
          <w:rPr>
            <w:noProof/>
          </w:rPr>
          <w:t>Tabachnick &amp; Fidell, 2007</w:t>
        </w:r>
      </w:hyperlink>
      <w:r w:rsidR="006E7D5E">
        <w:rPr>
          <w:noProof/>
        </w:rPr>
        <w:t>)</w:t>
      </w:r>
      <w:r w:rsidR="006E7D5E">
        <w:fldChar w:fldCharType="end"/>
      </w:r>
      <w:r w:rsidR="006E7D5E">
        <w:t xml:space="preserve">. Furthermore, logistic regression accounts for significantly unequal group sizes between those who used prescription stimulants and those who did not </w:t>
      </w:r>
      <w:r w:rsidR="006E7D5E">
        <w:fldChar w:fldCharType="begin"/>
      </w:r>
      <w:r w:rsidR="006E7D5E">
        <w:instrText xml:space="preserve"> ADDIN EN.CITE &lt;EndNote&gt;&lt;Cite&gt;&lt;Author&gt;Tabachnick&lt;/Author&gt;&lt;Year&gt;2007&lt;/Year&gt;&lt;RecNum&gt;461&lt;/RecNum&gt;&lt;DisplayText&gt;(Tabachnick &amp;amp; Fidell, 2007)&lt;/DisplayText&gt;&lt;record&gt;&lt;rec-number&gt;461&lt;/rec-number&gt;&lt;foreign-keys&gt;&lt;key app="EN" db-id="02dwfapew02tdked2f4p0xerwdapvw5vztpp"&gt;461&lt;/key&gt;&lt;/foreign-keys&gt;&lt;ref-type name="Book"&gt;6&lt;/ref-type&gt;&lt;contributors&gt;&lt;authors&gt;&lt;author&gt;Tabachnick, Barbara&lt;/author&gt;&lt;author&gt;Fidell, Linda&lt;/author&gt;&lt;/authors&gt;&lt;/contributors&gt;&lt;titles&gt;&lt;title&gt;Using multivariate statistics&lt;/title&gt;&lt;/titles&gt;&lt;edition&gt;5th&lt;/edition&gt;&lt;dates&gt;&lt;year&gt;2007&lt;/year&gt;&lt;/dates&gt;&lt;pub-location&gt;Boston&lt;/pub-location&gt;&lt;publisher&gt;Pearson Education&lt;/publisher&gt;&lt;urls&gt;&lt;/urls&gt;&lt;/record&gt;&lt;/Cite&gt;&lt;/EndNote&gt;</w:instrText>
      </w:r>
      <w:r w:rsidR="006E7D5E">
        <w:fldChar w:fldCharType="separate"/>
      </w:r>
      <w:r w:rsidR="006E7D5E">
        <w:rPr>
          <w:noProof/>
        </w:rPr>
        <w:t>(</w:t>
      </w:r>
      <w:hyperlink w:anchor="_ENREF_55" w:tooltip="Tabachnick, 2007 #461" w:history="1">
        <w:r w:rsidR="00D213F7">
          <w:rPr>
            <w:noProof/>
          </w:rPr>
          <w:t>Tabachnick &amp; Fidell, 2007</w:t>
        </w:r>
      </w:hyperlink>
      <w:r w:rsidR="006E7D5E">
        <w:rPr>
          <w:noProof/>
        </w:rPr>
        <w:t>)</w:t>
      </w:r>
      <w:r w:rsidR="006E7D5E">
        <w:fldChar w:fldCharType="end"/>
      </w:r>
      <w:r w:rsidR="006E7D5E">
        <w:t>.</w:t>
      </w:r>
      <w:r>
        <w:t xml:space="preserve"> The independent variables </w:t>
      </w:r>
      <w:r w:rsidR="00B9658E">
        <w:t>included alcohol use, drug use,</w:t>
      </w:r>
      <w:r>
        <w:t xml:space="preserve"> reasons for use, and frequency of use.</w:t>
      </w:r>
    </w:p>
    <w:p w:rsidR="008E0BEE" w:rsidRPr="00B9658E" w:rsidRDefault="008E0BEE" w:rsidP="00B9658E">
      <w:pPr>
        <w:pStyle w:val="Heading1"/>
        <w:rPr>
          <w:b w:val="0"/>
        </w:rPr>
      </w:pPr>
      <w:r w:rsidRPr="00B9658E">
        <w:rPr>
          <w:b w:val="0"/>
        </w:rPr>
        <w:lastRenderedPageBreak/>
        <w:t>CHAPTER IV</w:t>
      </w:r>
    </w:p>
    <w:p w:rsidR="008E0BEE" w:rsidRDefault="008E0BEE" w:rsidP="009243B2">
      <w:pPr>
        <w:pStyle w:val="Heading1"/>
      </w:pPr>
      <w:r>
        <w:t>Findings of the Study</w:t>
      </w:r>
    </w:p>
    <w:p w:rsidR="008E0BEE" w:rsidRPr="00DA24C1" w:rsidRDefault="008E0BEE" w:rsidP="008E0BEE">
      <w:r w:rsidRPr="00DA24C1">
        <w:t xml:space="preserve">The purpose of this study is to </w:t>
      </w:r>
      <w:r>
        <w:t>measure graduate student prescription stimulant use by assessing the extent of use, reasons for use, and poly-substance use.</w:t>
      </w:r>
      <w:r w:rsidRPr="00DA24C1">
        <w:t xml:space="preserve"> </w:t>
      </w:r>
      <w:r>
        <w:t xml:space="preserve">Graduate students enrolled at a large Southeastern university completed the Student Life Survey </w:t>
      </w:r>
      <w:r>
        <w:fldChar w:fldCharType="begin"/>
      </w:r>
      <w:r w:rsidR="00D213F7">
        <w:instrText xml:space="preserve"> ADDIN EN.CITE &lt;EndNote&gt;&lt;Cite&gt;&lt;Author&gt;Boyd&lt;/Author&gt;&lt;Year&gt;2010&lt;/Year&gt;&lt;RecNum&gt;439&lt;/RecNum&gt;&lt;DisplayText&gt;(CJ Boyd &amp;amp; McCabe, 2010)&lt;/DisplayText&gt;&lt;record&gt;&lt;rec-number&gt;439&lt;/rec-number&gt;&lt;foreign-keys&gt;&lt;key app="EN" db-id="02dwfapew02tdked2f4p0xerwdapvw5vztpp"&gt;439&lt;/key&gt;&lt;/foreign-keys&gt;&lt;ref-type name="Generic"&gt;13&lt;/ref-type&gt;&lt;contributors&gt;&lt;authors&gt;&lt;author&gt;Boyd, CJ&lt;/author&gt;&lt;author&gt;McCabe, SE&lt;/author&gt;&lt;/authors&gt;&lt;/contributors&gt;&lt;titles&gt;&lt;title&gt;Student Life Survey&lt;/title&gt;&lt;/titles&gt;&lt;dates&gt;&lt;year&gt;2010&lt;/year&gt;&lt;/dates&gt;&lt;urls&gt;&lt;/urls&gt;&lt;/record&gt;&lt;/Cite&gt;&lt;/EndNote&gt;</w:instrText>
      </w:r>
      <w:r>
        <w:fldChar w:fldCharType="separate"/>
      </w:r>
      <w:r w:rsidR="00D213F7">
        <w:rPr>
          <w:noProof/>
        </w:rPr>
        <w:t>(</w:t>
      </w:r>
      <w:hyperlink w:anchor="_ENREF_8" w:tooltip="Boyd, 2010 #439" w:history="1">
        <w:r w:rsidR="00D213F7">
          <w:rPr>
            <w:noProof/>
          </w:rPr>
          <w:t>CJ Boyd &amp; McCabe, 2010</w:t>
        </w:r>
      </w:hyperlink>
      <w:r w:rsidR="00D213F7">
        <w:rPr>
          <w:noProof/>
        </w:rPr>
        <w:t>)</w:t>
      </w:r>
      <w:r>
        <w:fldChar w:fldCharType="end"/>
      </w:r>
      <w:r>
        <w:t>. The data were analyzed using descriptive statistics, frequencies, and a stepwise logistic regression in order to answer the research questions guiding this study:</w:t>
      </w:r>
    </w:p>
    <w:p w:rsidR="008E0BEE" w:rsidRPr="00DA24C1" w:rsidRDefault="008E0BEE" w:rsidP="00B35DC8">
      <w:pPr>
        <w:pStyle w:val="ListParagraph"/>
        <w:numPr>
          <w:ilvl w:val="0"/>
          <w:numId w:val="15"/>
        </w:numPr>
      </w:pPr>
      <w:r w:rsidRPr="00DA24C1">
        <w:t>What is the extent of prescri</w:t>
      </w:r>
      <w:r>
        <w:t xml:space="preserve">ption stimulant abuse among </w:t>
      </w:r>
      <w:r w:rsidRPr="00DA24C1">
        <w:t>graduate</w:t>
      </w:r>
      <w:r>
        <w:t xml:space="preserve"> students</w:t>
      </w:r>
      <w:r w:rsidRPr="00DA24C1">
        <w:t xml:space="preserve"> on college campuses?</w:t>
      </w:r>
    </w:p>
    <w:p w:rsidR="008E0BEE" w:rsidRPr="00DA24C1" w:rsidRDefault="008E0BEE" w:rsidP="00B35DC8">
      <w:pPr>
        <w:pStyle w:val="ListParagraph"/>
        <w:numPr>
          <w:ilvl w:val="0"/>
          <w:numId w:val="15"/>
        </w:numPr>
      </w:pPr>
      <w:r w:rsidRPr="00DA24C1">
        <w:t xml:space="preserve">What </w:t>
      </w:r>
      <w:r>
        <w:t xml:space="preserve">are the reasons for graduate </w:t>
      </w:r>
      <w:r w:rsidRPr="00DA24C1">
        <w:t>students’ illicit us</w:t>
      </w:r>
      <w:r>
        <w:t>e of</w:t>
      </w:r>
      <w:r w:rsidRPr="00DA24C1">
        <w:t xml:space="preserve"> prescription stimulants?</w:t>
      </w:r>
    </w:p>
    <w:p w:rsidR="008E0BEE" w:rsidRPr="00DA24C1" w:rsidRDefault="008E0BEE" w:rsidP="00B35DC8">
      <w:pPr>
        <w:pStyle w:val="ListParagraph"/>
        <w:numPr>
          <w:ilvl w:val="0"/>
          <w:numId w:val="15"/>
        </w:numPr>
      </w:pPr>
      <w:r>
        <w:t>Are graduate students who abuse prescription stimulants more likely to abuse other substances?</w:t>
      </w:r>
    </w:p>
    <w:p w:rsidR="008E0BEE" w:rsidRDefault="008E0BEE" w:rsidP="008E0BEE">
      <w:r>
        <w:t>The findings of the study are presented in this chapter. Following the demographic description of the participants in the study, the findings are presented in terms of three research questions.</w:t>
      </w:r>
    </w:p>
    <w:p w:rsidR="008E0BEE" w:rsidRDefault="008E0BEE" w:rsidP="008E0BEE">
      <w:pPr>
        <w:pStyle w:val="Heading1"/>
      </w:pPr>
      <w:r>
        <w:t>Demographic Data</w:t>
      </w:r>
    </w:p>
    <w:p w:rsidR="008E0BEE" w:rsidRDefault="008E0BEE" w:rsidP="008E0BEE">
      <w:r>
        <w:t xml:space="preserve">The 5,042 graduate students at the selected university were invited to participate in the study. Of this population, 1,015 graduate students completed the study for a 20% response rate. The participants included 314 males (31.7%) and 658 females (66.3%), with 37 participants not reporting their gender (3.6%). The average age of participants was 29.7 years old. The majority of respondents were 23 years old (12.4%), 24 years old (11.7%), and 25 years old (10.3%). </w:t>
      </w:r>
    </w:p>
    <w:p w:rsidR="008E0BEE" w:rsidRDefault="008E0BEE" w:rsidP="008E0BEE">
      <w:r>
        <w:lastRenderedPageBreak/>
        <w:t xml:space="preserve">The majority of graduate students who responded to the survey were Caucasian (873; 88%), followed by African Americans (40; 4.1%), Asian (25; 2.5%), Hispanic/Latino (19; 1.9%), and American Indian (11; 1.1%). Twenty-three (2.2%) graduate students opted not to disclose their race. Full-time </w:t>
      </w:r>
      <w:r w:rsidR="00872FDE">
        <w:t>master’s</w:t>
      </w:r>
      <w:r>
        <w:t xml:space="preserve"> students accounted for 37.3% (370) of participants, while full-time doctoral students accounted for 31.9% (312). Part-time </w:t>
      </w:r>
      <w:r w:rsidR="00872FDE">
        <w:t>master’s</w:t>
      </w:r>
      <w:r>
        <w:t xml:space="preserve"> students were 13.3% (132) of the population, while part-time doctoral students were 5.8% (58). Professional students accounted for 8.9% (88) of the population. </w:t>
      </w:r>
    </w:p>
    <w:p w:rsidR="008E0BEE" w:rsidRDefault="008E0BEE" w:rsidP="008E0BEE">
      <w:r>
        <w:t>The majority of participants indicated they had an annual income of less than $30,000 (633, 64.8%); 13.9% (138) indicated an annual income between $30,000 and $49,000; and 12.5% (122) indicated an annual income of $50,000 to $99,999. A majority of the participants were single (542, 54.6%) or married (376, 37.9%). A small percentage was divorced or separated (43, 4.3%).</w:t>
      </w:r>
    </w:p>
    <w:p w:rsidR="008E0BEE" w:rsidRDefault="008E0BEE" w:rsidP="008E0BEE">
      <w:pPr>
        <w:pStyle w:val="Heading1"/>
      </w:pPr>
      <w:bookmarkStart w:id="33" w:name="_GoBack"/>
      <w:bookmarkEnd w:id="33"/>
      <w:r>
        <w:t>Findings</w:t>
      </w:r>
    </w:p>
    <w:p w:rsidR="008E0BEE" w:rsidRDefault="008E0BEE" w:rsidP="008E0BEE">
      <w:pPr>
        <w:pStyle w:val="Heading3"/>
      </w:pPr>
      <w:r>
        <w:t xml:space="preserve">Research Question 1: </w:t>
      </w:r>
      <w:r w:rsidRPr="009F61E4">
        <w:t>What is the extent of prescription stimulant abuse among graduate students on college campuses?</w:t>
      </w:r>
    </w:p>
    <w:p w:rsidR="008E0BEE" w:rsidRDefault="008E0BEE" w:rsidP="008E0BEE">
      <w:r>
        <w:t xml:space="preserve">The Student Life Survey solicited information about the students’ use of prescription stimulants throughout their life by asking, “In your lifetime, have you ever taken prescription stimulant medication for ADHD, not prescribed to you by a doctor?” Additionally, the survey solicited information about the illicit use over the past twelve months without a prescription by asking “On how many occasions in the past twelve months have you used prescription stimulant medication for ADHD, not prescribed to you?” Of the 1,015 graduate students responding to these questions, 15.8% (157) indicated illicit use of prescription stimulants without a prescription </w:t>
      </w:r>
      <w:r>
        <w:lastRenderedPageBreak/>
        <w:t>over their lifetime. Females accounted for 57% (91) compared to 41% (65) of males indicating illicitly using prescription stimulants within the past year. Graduates students between the ages of 23 and 29 accounted for 64.9% (102) of those illicitly using prescription stimulants over their lifetime.</w:t>
      </w:r>
    </w:p>
    <w:p w:rsidR="008E0BEE" w:rsidRDefault="008E0BEE" w:rsidP="008E0BEE">
      <w:r>
        <w:t xml:space="preserve">Individuals with incomes of less than $30,000 accounted for 70% (110) of those illicitly using prescription stimulants whereas individuals with an income of $30,000 to $49,999 accounted for 14%. Full-time masters (63, 40%) and doctoral students (50, 31.8%) accounted for the largest number of individuals illicitly using prescription stimulants. Professional students (19, 12.1%), part-time masters students (11, 7%), and part-time doctoral students (8, 5%) followed, in that order. Caucasian students accounted for 91% (143) of those illicitly using prescription stimulants. Two (1%) African Americans indicated illicit use as well as one Asian, four (2.5%) American Indians, two (1%) Hispanics; 11 participants did not identify their race/ethnicity. </w:t>
      </w:r>
    </w:p>
    <w:p w:rsidR="008E0BEE" w:rsidRDefault="008E0BEE" w:rsidP="008E0BEE">
      <w:r>
        <w:t xml:space="preserve">Graduate students that responded in the affirmative for taking prescription stimulants without a prescription over their lifetime were </w:t>
      </w:r>
      <w:r w:rsidR="00880244">
        <w:t>asked,</w:t>
      </w:r>
      <w:r>
        <w:t xml:space="preserve"> “On how many occasions in your lifetime have you used prescription stimulant medication for ADHD not prescribed to you?” Of the 1,015 participants, 4.6% indicated illicitly taking the drug one to two times over their lifetime; 4.0% indicated three to five times; 1.9% indicated six to nine times; 2.1% indicated 10 to 19 times; 1.4% indic</w:t>
      </w:r>
      <w:r w:rsidR="007951EC">
        <w:t>a</w:t>
      </w:r>
      <w:r>
        <w:t>ted 20 to 39 times; and 1.3% indicated they had taken prescription stimulants without a prescription 40 or more times. Most of the 157 graduate students (106, 67.5%) had not taken prescription stimulants in the past twelve months. A small percentage (51,</w:t>
      </w:r>
      <w:r>
        <w:rPr>
          <w:i/>
        </w:rPr>
        <w:t xml:space="preserve"> </w:t>
      </w:r>
      <w:r>
        <w:t xml:space="preserve">5.1%) of the 157 graduate students reported taking prescription stimulants within the past twelve months without a prescription; </w:t>
      </w:r>
      <w:r w:rsidRPr="00EE063D">
        <w:t xml:space="preserve">the other 95% had illicitly taken prescription stimulants not within the past twelve </w:t>
      </w:r>
      <w:r w:rsidRPr="00EE063D">
        <w:lastRenderedPageBreak/>
        <w:t xml:space="preserve">months, but at some other point </w:t>
      </w:r>
      <w:r>
        <w:t>during</w:t>
      </w:r>
      <w:r w:rsidRPr="00EE063D">
        <w:t xml:space="preserve"> their lifetime</w:t>
      </w:r>
      <w:r>
        <w:t xml:space="preserve">. Those respondents indicating use in the past twelve months were </w:t>
      </w:r>
      <w:r w:rsidR="00880244">
        <w:t>asked,</w:t>
      </w:r>
      <w:r>
        <w:t xml:space="preserve"> “On how many occasions in the past 12 months have you used prescription stimulant medication for ADHD, not prescribed to you?” Of the 51 students who had taken prescription stimulants in the past twelve months, 27(17.2%) had taken them on one to two occasions, 10 (6.4%) had taken the drugs on three to five occasions, seven (4.5%) had used them on six to nine occasions, and seven (4.5%) on 10 to 39 occasions</w:t>
      </w:r>
      <w:r w:rsidRPr="00646194">
        <w:t xml:space="preserve"> </w:t>
      </w:r>
      <w:r>
        <w:t>within the past twelve months. Additionally, of those 51 students who took a prescription stimulant without a prescription in the last twelve months, only 16 (31.3%) had done so within the last thirty days.</w:t>
      </w:r>
    </w:p>
    <w:p w:rsidR="008E0BEE" w:rsidRDefault="008E0BEE" w:rsidP="008E0BEE">
      <w:r>
        <w:t>The drug of choice for graduate students who illicitly used prescription stimulants without a prescription over the past twelve months was Adderall® (36, 70.6%). The second most popular drug was Adderall® XR (19, 37.3%), followed by Vyvanse® (12, 23.5%). Nine graduate students (17.6%) indicated using Concerta, and four indicated Ritalin® (7.8%).</w:t>
      </w:r>
    </w:p>
    <w:p w:rsidR="008E0BEE" w:rsidRDefault="008E0BEE" w:rsidP="008E0BEE">
      <w:r>
        <w:t>Graduate students that used prescription stimulants without a prescription in the last twelve months obtained the drugs primarily from friends who were not graduate students (76, 48.4%). Twenty-two graduate students indicated both a friend who was a fellow graduate student (14%) and an acquaintance who was not a graduate student (14%) as the source for the drug. Some students reported they obtained the prescription stimulants from roommates (19, 12.1%), romantic partners (17, 10.8%), siblings (11, 7%), or a drug dealer (7, 4.4%).</w:t>
      </w:r>
    </w:p>
    <w:p w:rsidR="008E0BEE" w:rsidRDefault="008E0BEE" w:rsidP="008E0BEE">
      <w:pPr>
        <w:pStyle w:val="Heading3"/>
      </w:pPr>
      <w:r>
        <w:t>Research Question 2: W</w:t>
      </w:r>
      <w:r w:rsidRPr="00F95F60">
        <w:t>hat are the reasons for graduate students’ illicit use of prescription stimulants?</w:t>
      </w:r>
    </w:p>
    <w:p w:rsidR="008E0BEE" w:rsidRDefault="008E0BEE" w:rsidP="008E0BEE">
      <w:r>
        <w:t xml:space="preserve">Graduate students that indicated illicit use in their lifetime were asked to “provide the reason(s) why you used stimulant medication not prescribed to you.” Graduate students indicated </w:t>
      </w:r>
      <w:r>
        <w:lastRenderedPageBreak/>
        <w:t xml:space="preserve">academic reasons as the primary reason for illicitly using prescription stimulants. A majority of graduate students (106, 67.5%) indicated they illicitly used prescription stimulants to concentrate better while studying; 56% (88) to increase their alertness in order to study longer, or 36.31% (57) to concentrate better while working. Furthermore, some graduate students took the drugs to enhance their academic performance (50, 31.85%) or help keep track of academic assignments (11, 7.01%). Other reasons included using the simulants illicitly to prolong the effects of other substances such as alcohol (20, 12.74%), experimentation (32, 20.38%), to get high (28, 17.83%), </w:t>
      </w:r>
      <w:r w:rsidR="00872FDE">
        <w:t>self-medicate</w:t>
      </w:r>
      <w:r>
        <w:t xml:space="preserve"> (18, 11.46%), to lose weight (12, 7.64%),</w:t>
      </w:r>
      <w:r w:rsidR="00F87F24">
        <w:t xml:space="preserve"> </w:t>
      </w:r>
      <w:r>
        <w:t>calm down while working (18, 11.46%),</w:t>
      </w:r>
      <w:r w:rsidR="00F87F24">
        <w:t xml:space="preserve"> </w:t>
      </w:r>
      <w:r>
        <w:t>increase alertness while driving (9, 5.73%),</w:t>
      </w:r>
      <w:r w:rsidR="00F87F24">
        <w:t xml:space="preserve"> </w:t>
      </w:r>
      <w:r>
        <w:t>prevent other students from having an academic edge (6, 3.82%), or because it is safer than street drugs (5, 3.18%).</w:t>
      </w:r>
    </w:p>
    <w:p w:rsidR="008E0BEE" w:rsidRDefault="008E0BEE" w:rsidP="008E0BEE">
      <w:r>
        <w:t xml:space="preserve">Participants indicated other, non-academically–related reasons for taking prescription stimulants. The other responses indicated by respondents included running out of insurance coverage to obtain own prescription, running out of a personal prescription when the stimulant was needed, a girlfriend who was taking the drugs persuaded the respondent to take stimulants, to enhance sexual intercourse, to complete domestic chores more quickly and effectively, and to test whether the stimulants were effective and worth obtaining a prescription. </w:t>
      </w:r>
    </w:p>
    <w:p w:rsidR="008E0BEE" w:rsidRDefault="008E0BEE" w:rsidP="008E0BEE">
      <w:pPr>
        <w:sectPr w:rsidR="008E0BEE" w:rsidSect="00FE256D">
          <w:pgSz w:w="12240" w:h="15840"/>
          <w:pgMar w:top="1440" w:right="1440" w:bottom="1440" w:left="1440" w:header="1440" w:footer="720" w:gutter="0"/>
          <w:cols w:space="720"/>
          <w:docGrid w:linePitch="360"/>
        </w:sectPr>
      </w:pPr>
      <w:r>
        <w:t xml:space="preserve">As indicated in Table 1, women indicated academics slightly more often than </w:t>
      </w:r>
      <w:proofErr w:type="gramStart"/>
      <w:r>
        <w:t>men</w:t>
      </w:r>
      <w:proofErr w:type="gramEnd"/>
      <w:r>
        <w:t xml:space="preserve"> as a reason for illicitly using prescription stimulants. In terms of recreational reasons, men and women had comparable responses. Women indicated using prescription stimulants to lose weight. Women were the only ones to indicate losing weight as a reason for using prescription stimulants illicitly.</w:t>
      </w:r>
      <w:r w:rsidRPr="0081600A">
        <w:t xml:space="preserve"> </w:t>
      </w:r>
    </w:p>
    <w:tbl>
      <w:tblPr>
        <w:tblW w:w="9327" w:type="dxa"/>
        <w:tblInd w:w="93" w:type="dxa"/>
        <w:tblLook w:val="04A0" w:firstRow="1" w:lastRow="0" w:firstColumn="1" w:lastColumn="0" w:noHBand="0" w:noVBand="1"/>
      </w:tblPr>
      <w:tblGrid>
        <w:gridCol w:w="7575"/>
        <w:gridCol w:w="776"/>
        <w:gridCol w:w="976"/>
      </w:tblGrid>
      <w:tr w:rsidR="008E0BEE" w:rsidRPr="00E059D1" w:rsidTr="00203FEE">
        <w:trPr>
          <w:trHeight w:val="315"/>
        </w:trPr>
        <w:tc>
          <w:tcPr>
            <w:tcW w:w="7575" w:type="dxa"/>
            <w:tcBorders>
              <w:top w:val="nil"/>
              <w:left w:val="nil"/>
              <w:bottom w:val="nil"/>
              <w:right w:val="nil"/>
            </w:tcBorders>
            <w:shd w:val="clear" w:color="auto" w:fill="auto"/>
            <w:noWrap/>
            <w:vAlign w:val="bottom"/>
            <w:hideMark/>
          </w:tcPr>
          <w:p w:rsidR="008E0BEE" w:rsidRPr="00E059D1" w:rsidRDefault="008E0BEE" w:rsidP="00203FEE">
            <w:pPr>
              <w:spacing w:line="240" w:lineRule="auto"/>
              <w:ind w:firstLine="0"/>
              <w:rPr>
                <w:rFonts w:eastAsia="Times New Roman"/>
                <w:color w:val="000000"/>
                <w:szCs w:val="24"/>
              </w:rPr>
            </w:pPr>
            <w:r>
              <w:rPr>
                <w:rFonts w:eastAsia="Times New Roman"/>
                <w:color w:val="000000"/>
                <w:szCs w:val="24"/>
              </w:rPr>
              <w:lastRenderedPageBreak/>
              <w:t>Table 1</w:t>
            </w:r>
          </w:p>
        </w:tc>
        <w:tc>
          <w:tcPr>
            <w:tcW w:w="776" w:type="dxa"/>
            <w:tcBorders>
              <w:top w:val="nil"/>
              <w:left w:val="nil"/>
              <w:bottom w:val="nil"/>
              <w:right w:val="nil"/>
            </w:tcBorders>
            <w:shd w:val="clear" w:color="auto" w:fill="auto"/>
            <w:noWrap/>
            <w:vAlign w:val="bottom"/>
            <w:hideMark/>
          </w:tcPr>
          <w:p w:rsidR="008E0BEE" w:rsidRPr="00E059D1" w:rsidRDefault="008E0BEE" w:rsidP="00203FEE">
            <w:pPr>
              <w:spacing w:line="240" w:lineRule="auto"/>
              <w:ind w:firstLine="0"/>
              <w:rPr>
                <w:rFonts w:ascii="Calibri" w:eastAsia="Times New Roman" w:hAnsi="Calibri" w:cs="Calibri"/>
                <w:color w:val="000000"/>
              </w:rPr>
            </w:pPr>
          </w:p>
        </w:tc>
        <w:tc>
          <w:tcPr>
            <w:tcW w:w="976" w:type="dxa"/>
            <w:tcBorders>
              <w:top w:val="nil"/>
              <w:left w:val="nil"/>
              <w:bottom w:val="nil"/>
              <w:right w:val="nil"/>
            </w:tcBorders>
            <w:shd w:val="clear" w:color="auto" w:fill="auto"/>
            <w:noWrap/>
            <w:vAlign w:val="bottom"/>
            <w:hideMark/>
          </w:tcPr>
          <w:p w:rsidR="008E0BEE" w:rsidRPr="00E059D1" w:rsidRDefault="008E0BEE" w:rsidP="00203FEE">
            <w:pPr>
              <w:spacing w:line="240" w:lineRule="auto"/>
              <w:ind w:firstLine="0"/>
              <w:rPr>
                <w:rFonts w:ascii="Calibri" w:eastAsia="Times New Roman" w:hAnsi="Calibri" w:cs="Calibri"/>
                <w:color w:val="000000"/>
              </w:rPr>
            </w:pPr>
          </w:p>
        </w:tc>
      </w:tr>
      <w:tr w:rsidR="008E0BEE" w:rsidRPr="00E059D1" w:rsidTr="00203FEE">
        <w:trPr>
          <w:trHeight w:val="315"/>
        </w:trPr>
        <w:tc>
          <w:tcPr>
            <w:tcW w:w="7575" w:type="dxa"/>
            <w:tcBorders>
              <w:top w:val="nil"/>
              <w:left w:val="nil"/>
              <w:bottom w:val="single" w:sz="4" w:space="0" w:color="auto"/>
              <w:right w:val="nil"/>
            </w:tcBorders>
            <w:shd w:val="clear" w:color="auto" w:fill="auto"/>
            <w:noWrap/>
            <w:vAlign w:val="bottom"/>
            <w:hideMark/>
          </w:tcPr>
          <w:p w:rsidR="008E0BEE" w:rsidRPr="00E059D1" w:rsidRDefault="008E0BEE" w:rsidP="00203FEE">
            <w:pPr>
              <w:spacing w:line="240" w:lineRule="auto"/>
              <w:ind w:firstLine="0"/>
              <w:rPr>
                <w:rFonts w:eastAsia="Times New Roman"/>
                <w:i/>
                <w:iCs/>
                <w:color w:val="000000"/>
                <w:szCs w:val="24"/>
              </w:rPr>
            </w:pPr>
            <w:r w:rsidRPr="00E059D1">
              <w:rPr>
                <w:rFonts w:eastAsia="Times New Roman"/>
                <w:i/>
                <w:iCs/>
                <w:color w:val="000000"/>
                <w:szCs w:val="24"/>
              </w:rPr>
              <w:t>Reason for use by Gender</w:t>
            </w:r>
          </w:p>
        </w:tc>
        <w:tc>
          <w:tcPr>
            <w:tcW w:w="776" w:type="dxa"/>
            <w:tcBorders>
              <w:top w:val="nil"/>
              <w:left w:val="nil"/>
              <w:bottom w:val="single" w:sz="4" w:space="0" w:color="auto"/>
              <w:right w:val="nil"/>
            </w:tcBorders>
            <w:shd w:val="clear" w:color="auto" w:fill="auto"/>
            <w:noWrap/>
            <w:vAlign w:val="bottom"/>
            <w:hideMark/>
          </w:tcPr>
          <w:p w:rsidR="008E0BEE" w:rsidRPr="00E059D1" w:rsidRDefault="008E0BEE" w:rsidP="00203FEE">
            <w:pPr>
              <w:spacing w:line="240" w:lineRule="auto"/>
              <w:ind w:firstLine="0"/>
              <w:rPr>
                <w:rFonts w:ascii="Calibri" w:eastAsia="Times New Roman" w:hAnsi="Calibri" w:cs="Calibri"/>
                <w:color w:val="000000"/>
              </w:rPr>
            </w:pPr>
            <w:r w:rsidRPr="00E059D1">
              <w:rPr>
                <w:rFonts w:ascii="Calibri" w:eastAsia="Times New Roman" w:hAnsi="Calibri" w:cs="Calibri"/>
                <w:color w:val="000000"/>
                <w:sz w:val="22"/>
              </w:rPr>
              <w:t> </w:t>
            </w:r>
          </w:p>
        </w:tc>
        <w:tc>
          <w:tcPr>
            <w:tcW w:w="976" w:type="dxa"/>
            <w:tcBorders>
              <w:top w:val="nil"/>
              <w:left w:val="nil"/>
              <w:bottom w:val="single" w:sz="4" w:space="0" w:color="auto"/>
              <w:right w:val="nil"/>
            </w:tcBorders>
            <w:shd w:val="clear" w:color="auto" w:fill="auto"/>
            <w:noWrap/>
            <w:vAlign w:val="bottom"/>
            <w:hideMark/>
          </w:tcPr>
          <w:p w:rsidR="008E0BEE" w:rsidRPr="00E059D1" w:rsidRDefault="008E0BEE" w:rsidP="00203FEE">
            <w:pPr>
              <w:spacing w:line="240" w:lineRule="auto"/>
              <w:ind w:firstLine="0"/>
              <w:rPr>
                <w:rFonts w:ascii="Calibri" w:eastAsia="Times New Roman" w:hAnsi="Calibri" w:cs="Calibri"/>
                <w:color w:val="000000"/>
              </w:rPr>
            </w:pPr>
            <w:r w:rsidRPr="00E059D1">
              <w:rPr>
                <w:rFonts w:ascii="Calibri" w:eastAsia="Times New Roman" w:hAnsi="Calibri" w:cs="Calibri"/>
                <w:color w:val="000000"/>
                <w:sz w:val="22"/>
              </w:rPr>
              <w:t> </w:t>
            </w:r>
          </w:p>
        </w:tc>
      </w:tr>
      <w:tr w:rsidR="008E0BEE" w:rsidRPr="00E059D1" w:rsidTr="00203FEE">
        <w:trPr>
          <w:trHeight w:val="315"/>
        </w:trPr>
        <w:tc>
          <w:tcPr>
            <w:tcW w:w="7575" w:type="dxa"/>
            <w:tcBorders>
              <w:top w:val="nil"/>
              <w:left w:val="nil"/>
              <w:bottom w:val="nil"/>
              <w:right w:val="nil"/>
            </w:tcBorders>
            <w:shd w:val="clear" w:color="auto" w:fill="auto"/>
            <w:noWrap/>
            <w:vAlign w:val="bottom"/>
            <w:hideMark/>
          </w:tcPr>
          <w:p w:rsidR="008E0BEE" w:rsidRPr="00E059D1" w:rsidRDefault="008E0BEE" w:rsidP="00203FEE">
            <w:pPr>
              <w:spacing w:line="240" w:lineRule="auto"/>
              <w:ind w:firstLine="0"/>
              <w:rPr>
                <w:rFonts w:ascii="Calibri" w:eastAsia="Times New Roman" w:hAnsi="Calibri" w:cs="Calibri"/>
                <w:color w:val="000000"/>
              </w:rPr>
            </w:pPr>
          </w:p>
        </w:tc>
        <w:tc>
          <w:tcPr>
            <w:tcW w:w="776" w:type="dxa"/>
            <w:tcBorders>
              <w:top w:val="nil"/>
              <w:left w:val="nil"/>
              <w:bottom w:val="nil"/>
              <w:right w:val="nil"/>
            </w:tcBorders>
            <w:shd w:val="clear" w:color="auto" w:fill="auto"/>
            <w:noWrap/>
            <w:vAlign w:val="bottom"/>
            <w:hideMark/>
          </w:tcPr>
          <w:p w:rsidR="008E0BEE" w:rsidRPr="00E059D1" w:rsidRDefault="008E0BEE" w:rsidP="00EB0228">
            <w:pPr>
              <w:spacing w:line="240" w:lineRule="auto"/>
              <w:ind w:firstLine="0"/>
              <w:jc w:val="center"/>
              <w:rPr>
                <w:rFonts w:eastAsia="Times New Roman"/>
                <w:color w:val="000000"/>
                <w:szCs w:val="24"/>
              </w:rPr>
            </w:pPr>
            <w:r w:rsidRPr="00E059D1">
              <w:rPr>
                <w:rFonts w:eastAsia="Times New Roman"/>
                <w:color w:val="000000"/>
                <w:szCs w:val="24"/>
              </w:rPr>
              <w:t>Men</w:t>
            </w:r>
          </w:p>
        </w:tc>
        <w:tc>
          <w:tcPr>
            <w:tcW w:w="976" w:type="dxa"/>
            <w:tcBorders>
              <w:top w:val="nil"/>
              <w:left w:val="nil"/>
              <w:bottom w:val="nil"/>
              <w:right w:val="nil"/>
            </w:tcBorders>
            <w:shd w:val="clear" w:color="auto" w:fill="auto"/>
            <w:noWrap/>
            <w:vAlign w:val="bottom"/>
            <w:hideMark/>
          </w:tcPr>
          <w:p w:rsidR="008E0BEE" w:rsidRPr="00E059D1" w:rsidRDefault="008E0BEE" w:rsidP="00EB0228">
            <w:pPr>
              <w:spacing w:line="240" w:lineRule="auto"/>
              <w:ind w:firstLine="0"/>
              <w:jc w:val="center"/>
              <w:rPr>
                <w:rFonts w:eastAsia="Times New Roman"/>
                <w:color w:val="000000"/>
                <w:szCs w:val="24"/>
              </w:rPr>
            </w:pPr>
            <w:r w:rsidRPr="00E059D1">
              <w:rPr>
                <w:rFonts w:eastAsia="Times New Roman"/>
                <w:color w:val="000000"/>
                <w:szCs w:val="24"/>
              </w:rPr>
              <w:t>Women</w:t>
            </w:r>
          </w:p>
        </w:tc>
      </w:tr>
      <w:tr w:rsidR="008E0BEE" w:rsidRPr="00E059D1" w:rsidTr="00203FEE">
        <w:trPr>
          <w:trHeight w:val="315"/>
        </w:trPr>
        <w:tc>
          <w:tcPr>
            <w:tcW w:w="7575" w:type="dxa"/>
            <w:tcBorders>
              <w:top w:val="single" w:sz="4" w:space="0" w:color="auto"/>
              <w:left w:val="nil"/>
              <w:bottom w:val="nil"/>
              <w:right w:val="nil"/>
            </w:tcBorders>
            <w:shd w:val="clear" w:color="auto" w:fill="auto"/>
            <w:noWrap/>
            <w:vAlign w:val="center"/>
            <w:hideMark/>
          </w:tcPr>
          <w:p w:rsidR="008E0BEE" w:rsidRPr="00E059D1" w:rsidRDefault="008E0BEE" w:rsidP="00203FEE">
            <w:pPr>
              <w:spacing w:line="240" w:lineRule="auto"/>
              <w:ind w:firstLine="0"/>
              <w:rPr>
                <w:rFonts w:eastAsia="Times New Roman"/>
                <w:color w:val="000000"/>
                <w:szCs w:val="24"/>
              </w:rPr>
            </w:pPr>
            <w:r w:rsidRPr="00E059D1">
              <w:rPr>
                <w:rFonts w:eastAsia="Times New Roman"/>
                <w:color w:val="000000"/>
                <w:szCs w:val="24"/>
              </w:rPr>
              <w:t>To increase my alertness while driving</w:t>
            </w:r>
          </w:p>
        </w:tc>
        <w:tc>
          <w:tcPr>
            <w:tcW w:w="776" w:type="dxa"/>
            <w:tcBorders>
              <w:top w:val="single" w:sz="4" w:space="0" w:color="auto"/>
              <w:left w:val="nil"/>
              <w:bottom w:val="nil"/>
              <w:right w:val="nil"/>
            </w:tcBorders>
            <w:shd w:val="clear" w:color="auto" w:fill="auto"/>
            <w:noWrap/>
            <w:vAlign w:val="bottom"/>
            <w:hideMark/>
          </w:tcPr>
          <w:p w:rsidR="008E0BEE" w:rsidRPr="00E059D1" w:rsidRDefault="008E0BEE" w:rsidP="00EB0228">
            <w:pPr>
              <w:spacing w:line="240" w:lineRule="auto"/>
              <w:ind w:firstLine="0"/>
              <w:jc w:val="center"/>
              <w:rPr>
                <w:rFonts w:eastAsia="Times New Roman"/>
                <w:color w:val="000000"/>
                <w:szCs w:val="24"/>
              </w:rPr>
            </w:pPr>
            <w:r w:rsidRPr="00E059D1">
              <w:rPr>
                <w:rFonts w:eastAsia="Times New Roman"/>
                <w:color w:val="000000"/>
                <w:szCs w:val="24"/>
              </w:rPr>
              <w:t>5</w:t>
            </w:r>
          </w:p>
        </w:tc>
        <w:tc>
          <w:tcPr>
            <w:tcW w:w="976" w:type="dxa"/>
            <w:tcBorders>
              <w:top w:val="single" w:sz="4" w:space="0" w:color="auto"/>
              <w:left w:val="nil"/>
              <w:bottom w:val="nil"/>
              <w:right w:val="nil"/>
            </w:tcBorders>
            <w:shd w:val="clear" w:color="auto" w:fill="auto"/>
            <w:noWrap/>
            <w:vAlign w:val="bottom"/>
            <w:hideMark/>
          </w:tcPr>
          <w:p w:rsidR="008E0BEE" w:rsidRPr="00E059D1" w:rsidRDefault="008E0BEE" w:rsidP="00EB0228">
            <w:pPr>
              <w:spacing w:line="240" w:lineRule="auto"/>
              <w:ind w:firstLine="0"/>
              <w:jc w:val="center"/>
              <w:rPr>
                <w:rFonts w:eastAsia="Times New Roman"/>
                <w:color w:val="000000"/>
                <w:szCs w:val="24"/>
              </w:rPr>
            </w:pPr>
            <w:r w:rsidRPr="00E059D1">
              <w:rPr>
                <w:rFonts w:eastAsia="Times New Roman"/>
                <w:color w:val="000000"/>
                <w:szCs w:val="24"/>
              </w:rPr>
              <w:t>4</w:t>
            </w:r>
          </w:p>
        </w:tc>
      </w:tr>
      <w:tr w:rsidR="008E0BEE" w:rsidRPr="00E059D1" w:rsidTr="00203FEE">
        <w:trPr>
          <w:trHeight w:val="315"/>
        </w:trPr>
        <w:tc>
          <w:tcPr>
            <w:tcW w:w="7575" w:type="dxa"/>
            <w:tcBorders>
              <w:top w:val="nil"/>
              <w:left w:val="nil"/>
              <w:bottom w:val="nil"/>
              <w:right w:val="nil"/>
            </w:tcBorders>
            <w:shd w:val="clear" w:color="auto" w:fill="auto"/>
            <w:noWrap/>
            <w:vAlign w:val="center"/>
            <w:hideMark/>
          </w:tcPr>
          <w:p w:rsidR="008E0BEE" w:rsidRPr="00E059D1" w:rsidRDefault="008E0BEE" w:rsidP="00203FEE">
            <w:pPr>
              <w:spacing w:line="240" w:lineRule="auto"/>
              <w:ind w:firstLine="0"/>
              <w:rPr>
                <w:rFonts w:eastAsia="Times New Roman"/>
                <w:color w:val="000000"/>
                <w:szCs w:val="24"/>
              </w:rPr>
            </w:pPr>
            <w:r w:rsidRPr="00E059D1">
              <w:rPr>
                <w:rFonts w:eastAsia="Times New Roman"/>
                <w:color w:val="000000"/>
                <w:szCs w:val="24"/>
              </w:rPr>
              <w:t>To get high</w:t>
            </w:r>
          </w:p>
        </w:tc>
        <w:tc>
          <w:tcPr>
            <w:tcW w:w="776" w:type="dxa"/>
            <w:tcBorders>
              <w:top w:val="nil"/>
              <w:left w:val="nil"/>
              <w:bottom w:val="nil"/>
              <w:right w:val="nil"/>
            </w:tcBorders>
            <w:shd w:val="clear" w:color="auto" w:fill="auto"/>
            <w:noWrap/>
            <w:vAlign w:val="bottom"/>
            <w:hideMark/>
          </w:tcPr>
          <w:p w:rsidR="008E0BEE" w:rsidRPr="00E059D1" w:rsidRDefault="008E0BEE" w:rsidP="00EB0228">
            <w:pPr>
              <w:spacing w:line="240" w:lineRule="auto"/>
              <w:ind w:firstLine="0"/>
              <w:jc w:val="center"/>
              <w:rPr>
                <w:rFonts w:eastAsia="Times New Roman"/>
                <w:color w:val="000000"/>
                <w:szCs w:val="24"/>
              </w:rPr>
            </w:pPr>
            <w:r w:rsidRPr="00E059D1">
              <w:rPr>
                <w:rFonts w:eastAsia="Times New Roman"/>
                <w:color w:val="000000"/>
                <w:szCs w:val="24"/>
              </w:rPr>
              <w:t>14</w:t>
            </w:r>
          </w:p>
        </w:tc>
        <w:tc>
          <w:tcPr>
            <w:tcW w:w="976" w:type="dxa"/>
            <w:tcBorders>
              <w:top w:val="nil"/>
              <w:left w:val="nil"/>
              <w:bottom w:val="nil"/>
              <w:right w:val="nil"/>
            </w:tcBorders>
            <w:shd w:val="clear" w:color="auto" w:fill="auto"/>
            <w:noWrap/>
            <w:vAlign w:val="bottom"/>
            <w:hideMark/>
          </w:tcPr>
          <w:p w:rsidR="008E0BEE" w:rsidRPr="00E059D1" w:rsidRDefault="008E0BEE" w:rsidP="00EB0228">
            <w:pPr>
              <w:spacing w:line="240" w:lineRule="auto"/>
              <w:ind w:firstLine="0"/>
              <w:jc w:val="center"/>
              <w:rPr>
                <w:rFonts w:eastAsia="Times New Roman"/>
                <w:color w:val="000000"/>
                <w:szCs w:val="24"/>
              </w:rPr>
            </w:pPr>
            <w:r w:rsidRPr="00E059D1">
              <w:rPr>
                <w:rFonts w:eastAsia="Times New Roman"/>
                <w:color w:val="000000"/>
                <w:szCs w:val="24"/>
              </w:rPr>
              <w:t>14</w:t>
            </w:r>
          </w:p>
        </w:tc>
      </w:tr>
      <w:tr w:rsidR="008E0BEE" w:rsidRPr="00E059D1" w:rsidTr="00203FEE">
        <w:trPr>
          <w:trHeight w:val="315"/>
        </w:trPr>
        <w:tc>
          <w:tcPr>
            <w:tcW w:w="7575" w:type="dxa"/>
            <w:tcBorders>
              <w:top w:val="nil"/>
              <w:left w:val="nil"/>
              <w:bottom w:val="nil"/>
              <w:right w:val="nil"/>
            </w:tcBorders>
            <w:shd w:val="clear" w:color="auto" w:fill="auto"/>
            <w:noWrap/>
            <w:vAlign w:val="center"/>
            <w:hideMark/>
          </w:tcPr>
          <w:p w:rsidR="008E0BEE" w:rsidRPr="00E059D1" w:rsidRDefault="008E0BEE" w:rsidP="00203FEE">
            <w:pPr>
              <w:spacing w:line="240" w:lineRule="auto"/>
              <w:ind w:firstLine="0"/>
              <w:rPr>
                <w:rFonts w:eastAsia="Times New Roman"/>
                <w:color w:val="000000"/>
                <w:szCs w:val="24"/>
              </w:rPr>
            </w:pPr>
            <w:r w:rsidRPr="00E059D1">
              <w:rPr>
                <w:rFonts w:eastAsia="Times New Roman"/>
                <w:color w:val="000000"/>
                <w:szCs w:val="24"/>
              </w:rPr>
              <w:t>To counteract the effects of other drugs</w:t>
            </w:r>
          </w:p>
        </w:tc>
        <w:tc>
          <w:tcPr>
            <w:tcW w:w="776" w:type="dxa"/>
            <w:tcBorders>
              <w:top w:val="nil"/>
              <w:left w:val="nil"/>
              <w:bottom w:val="nil"/>
              <w:right w:val="nil"/>
            </w:tcBorders>
            <w:shd w:val="clear" w:color="auto" w:fill="auto"/>
            <w:noWrap/>
            <w:vAlign w:val="bottom"/>
            <w:hideMark/>
          </w:tcPr>
          <w:p w:rsidR="008E0BEE" w:rsidRPr="00E059D1" w:rsidRDefault="008E0BEE" w:rsidP="00EB0228">
            <w:pPr>
              <w:spacing w:line="240" w:lineRule="auto"/>
              <w:ind w:firstLine="0"/>
              <w:jc w:val="center"/>
              <w:rPr>
                <w:rFonts w:eastAsia="Times New Roman"/>
                <w:color w:val="000000"/>
                <w:szCs w:val="24"/>
              </w:rPr>
            </w:pPr>
            <w:r w:rsidRPr="00E059D1">
              <w:rPr>
                <w:rFonts w:eastAsia="Times New Roman"/>
                <w:color w:val="000000"/>
                <w:szCs w:val="24"/>
              </w:rPr>
              <w:t>2</w:t>
            </w:r>
          </w:p>
        </w:tc>
        <w:tc>
          <w:tcPr>
            <w:tcW w:w="976" w:type="dxa"/>
            <w:tcBorders>
              <w:top w:val="nil"/>
              <w:left w:val="nil"/>
              <w:bottom w:val="nil"/>
              <w:right w:val="nil"/>
            </w:tcBorders>
            <w:shd w:val="clear" w:color="auto" w:fill="auto"/>
            <w:noWrap/>
            <w:vAlign w:val="bottom"/>
            <w:hideMark/>
          </w:tcPr>
          <w:p w:rsidR="008E0BEE" w:rsidRPr="00E059D1" w:rsidRDefault="008E0BEE" w:rsidP="00EB0228">
            <w:pPr>
              <w:spacing w:line="240" w:lineRule="auto"/>
              <w:ind w:firstLine="0"/>
              <w:jc w:val="center"/>
              <w:rPr>
                <w:rFonts w:eastAsia="Times New Roman"/>
                <w:color w:val="000000"/>
                <w:szCs w:val="24"/>
              </w:rPr>
            </w:pPr>
            <w:r w:rsidRPr="00E059D1">
              <w:rPr>
                <w:rFonts w:eastAsia="Times New Roman"/>
                <w:color w:val="000000"/>
                <w:szCs w:val="24"/>
              </w:rPr>
              <w:t>2</w:t>
            </w:r>
          </w:p>
        </w:tc>
      </w:tr>
      <w:tr w:rsidR="008E0BEE" w:rsidRPr="00E059D1" w:rsidTr="00203FEE">
        <w:trPr>
          <w:trHeight w:val="315"/>
        </w:trPr>
        <w:tc>
          <w:tcPr>
            <w:tcW w:w="7575" w:type="dxa"/>
            <w:tcBorders>
              <w:top w:val="nil"/>
              <w:left w:val="nil"/>
              <w:bottom w:val="nil"/>
              <w:right w:val="nil"/>
            </w:tcBorders>
            <w:shd w:val="clear" w:color="auto" w:fill="auto"/>
            <w:noWrap/>
            <w:vAlign w:val="center"/>
            <w:hideMark/>
          </w:tcPr>
          <w:p w:rsidR="008E0BEE" w:rsidRPr="00E059D1" w:rsidRDefault="008E0BEE" w:rsidP="00203FEE">
            <w:pPr>
              <w:spacing w:line="240" w:lineRule="auto"/>
              <w:ind w:firstLine="0"/>
              <w:rPr>
                <w:rFonts w:eastAsia="Times New Roman"/>
                <w:color w:val="000000"/>
                <w:szCs w:val="24"/>
              </w:rPr>
            </w:pPr>
            <w:r w:rsidRPr="00E059D1">
              <w:rPr>
                <w:rFonts w:eastAsia="Times New Roman"/>
                <w:color w:val="000000"/>
                <w:szCs w:val="24"/>
              </w:rPr>
              <w:t>To concentrate better while studying</w:t>
            </w:r>
          </w:p>
        </w:tc>
        <w:tc>
          <w:tcPr>
            <w:tcW w:w="776" w:type="dxa"/>
            <w:tcBorders>
              <w:top w:val="nil"/>
              <w:left w:val="nil"/>
              <w:bottom w:val="nil"/>
              <w:right w:val="nil"/>
            </w:tcBorders>
            <w:shd w:val="clear" w:color="auto" w:fill="auto"/>
            <w:noWrap/>
            <w:vAlign w:val="bottom"/>
            <w:hideMark/>
          </w:tcPr>
          <w:p w:rsidR="008E0BEE" w:rsidRPr="00E059D1" w:rsidRDefault="008E0BEE" w:rsidP="00EB0228">
            <w:pPr>
              <w:spacing w:line="240" w:lineRule="auto"/>
              <w:ind w:firstLine="0"/>
              <w:jc w:val="center"/>
              <w:rPr>
                <w:rFonts w:eastAsia="Times New Roman"/>
                <w:color w:val="000000"/>
                <w:szCs w:val="24"/>
              </w:rPr>
            </w:pPr>
            <w:r w:rsidRPr="00E059D1">
              <w:rPr>
                <w:rFonts w:eastAsia="Times New Roman"/>
                <w:color w:val="000000"/>
                <w:szCs w:val="24"/>
              </w:rPr>
              <w:t>46</w:t>
            </w:r>
          </w:p>
        </w:tc>
        <w:tc>
          <w:tcPr>
            <w:tcW w:w="976" w:type="dxa"/>
            <w:tcBorders>
              <w:top w:val="nil"/>
              <w:left w:val="nil"/>
              <w:bottom w:val="nil"/>
              <w:right w:val="nil"/>
            </w:tcBorders>
            <w:shd w:val="clear" w:color="auto" w:fill="auto"/>
            <w:noWrap/>
            <w:vAlign w:val="bottom"/>
            <w:hideMark/>
          </w:tcPr>
          <w:p w:rsidR="008E0BEE" w:rsidRPr="00E059D1" w:rsidRDefault="008E0BEE" w:rsidP="00EB0228">
            <w:pPr>
              <w:spacing w:line="240" w:lineRule="auto"/>
              <w:ind w:firstLine="0"/>
              <w:jc w:val="center"/>
              <w:rPr>
                <w:rFonts w:eastAsia="Times New Roman"/>
                <w:color w:val="000000"/>
                <w:szCs w:val="24"/>
              </w:rPr>
            </w:pPr>
            <w:r w:rsidRPr="00E059D1">
              <w:rPr>
                <w:rFonts w:eastAsia="Times New Roman"/>
                <w:color w:val="000000"/>
                <w:szCs w:val="24"/>
              </w:rPr>
              <w:t>60</w:t>
            </w:r>
          </w:p>
        </w:tc>
      </w:tr>
      <w:tr w:rsidR="008E0BEE" w:rsidRPr="00E059D1" w:rsidTr="00203FEE">
        <w:trPr>
          <w:trHeight w:val="315"/>
        </w:trPr>
        <w:tc>
          <w:tcPr>
            <w:tcW w:w="7575" w:type="dxa"/>
            <w:tcBorders>
              <w:top w:val="nil"/>
              <w:left w:val="nil"/>
              <w:bottom w:val="nil"/>
              <w:right w:val="nil"/>
            </w:tcBorders>
            <w:shd w:val="clear" w:color="auto" w:fill="auto"/>
            <w:noWrap/>
            <w:vAlign w:val="center"/>
            <w:hideMark/>
          </w:tcPr>
          <w:p w:rsidR="008E0BEE" w:rsidRPr="00E059D1" w:rsidRDefault="008E0BEE" w:rsidP="00203FEE">
            <w:pPr>
              <w:spacing w:line="240" w:lineRule="auto"/>
              <w:ind w:firstLine="0"/>
              <w:rPr>
                <w:rFonts w:eastAsia="Times New Roman"/>
                <w:color w:val="000000"/>
                <w:szCs w:val="24"/>
              </w:rPr>
            </w:pPr>
            <w:r w:rsidRPr="00E059D1">
              <w:rPr>
                <w:rFonts w:eastAsia="Times New Roman"/>
                <w:color w:val="000000"/>
                <w:szCs w:val="24"/>
              </w:rPr>
              <w:t>To increase my alertness in order to study longer</w:t>
            </w:r>
          </w:p>
        </w:tc>
        <w:tc>
          <w:tcPr>
            <w:tcW w:w="776" w:type="dxa"/>
            <w:tcBorders>
              <w:top w:val="nil"/>
              <w:left w:val="nil"/>
              <w:bottom w:val="nil"/>
              <w:right w:val="nil"/>
            </w:tcBorders>
            <w:shd w:val="clear" w:color="auto" w:fill="auto"/>
            <w:noWrap/>
            <w:vAlign w:val="bottom"/>
            <w:hideMark/>
          </w:tcPr>
          <w:p w:rsidR="008E0BEE" w:rsidRPr="00E059D1" w:rsidRDefault="008E0BEE" w:rsidP="00EB0228">
            <w:pPr>
              <w:spacing w:line="240" w:lineRule="auto"/>
              <w:ind w:firstLine="0"/>
              <w:jc w:val="center"/>
              <w:rPr>
                <w:rFonts w:eastAsia="Times New Roman"/>
                <w:color w:val="000000"/>
                <w:szCs w:val="24"/>
              </w:rPr>
            </w:pPr>
            <w:r w:rsidRPr="00E059D1">
              <w:rPr>
                <w:rFonts w:eastAsia="Times New Roman"/>
                <w:color w:val="000000"/>
                <w:szCs w:val="24"/>
              </w:rPr>
              <w:t>35</w:t>
            </w:r>
          </w:p>
        </w:tc>
        <w:tc>
          <w:tcPr>
            <w:tcW w:w="976" w:type="dxa"/>
            <w:tcBorders>
              <w:top w:val="nil"/>
              <w:left w:val="nil"/>
              <w:bottom w:val="nil"/>
              <w:right w:val="nil"/>
            </w:tcBorders>
            <w:shd w:val="clear" w:color="auto" w:fill="auto"/>
            <w:noWrap/>
            <w:vAlign w:val="bottom"/>
            <w:hideMark/>
          </w:tcPr>
          <w:p w:rsidR="008E0BEE" w:rsidRPr="00E059D1" w:rsidRDefault="008E0BEE" w:rsidP="00EB0228">
            <w:pPr>
              <w:spacing w:line="240" w:lineRule="auto"/>
              <w:ind w:firstLine="0"/>
              <w:jc w:val="center"/>
              <w:rPr>
                <w:rFonts w:eastAsia="Times New Roman"/>
                <w:color w:val="000000"/>
                <w:szCs w:val="24"/>
              </w:rPr>
            </w:pPr>
            <w:r w:rsidRPr="00E059D1">
              <w:rPr>
                <w:rFonts w:eastAsia="Times New Roman"/>
                <w:color w:val="000000"/>
                <w:szCs w:val="24"/>
              </w:rPr>
              <w:t>52</w:t>
            </w:r>
          </w:p>
        </w:tc>
      </w:tr>
      <w:tr w:rsidR="008E0BEE" w:rsidRPr="00E059D1" w:rsidTr="00203FEE">
        <w:trPr>
          <w:trHeight w:val="315"/>
        </w:trPr>
        <w:tc>
          <w:tcPr>
            <w:tcW w:w="7575" w:type="dxa"/>
            <w:tcBorders>
              <w:top w:val="nil"/>
              <w:left w:val="nil"/>
              <w:bottom w:val="nil"/>
              <w:right w:val="nil"/>
            </w:tcBorders>
            <w:shd w:val="clear" w:color="auto" w:fill="auto"/>
            <w:noWrap/>
            <w:vAlign w:val="center"/>
            <w:hideMark/>
          </w:tcPr>
          <w:p w:rsidR="008E0BEE" w:rsidRPr="00E059D1" w:rsidRDefault="008E0BEE" w:rsidP="00203FEE">
            <w:pPr>
              <w:spacing w:line="240" w:lineRule="auto"/>
              <w:ind w:firstLine="0"/>
              <w:rPr>
                <w:rFonts w:eastAsia="Times New Roman"/>
                <w:color w:val="000000"/>
                <w:szCs w:val="24"/>
              </w:rPr>
            </w:pPr>
            <w:r w:rsidRPr="00E059D1">
              <w:rPr>
                <w:rFonts w:eastAsia="Times New Roman"/>
                <w:color w:val="000000"/>
                <w:szCs w:val="24"/>
              </w:rPr>
              <w:t>To lose weight</w:t>
            </w:r>
          </w:p>
        </w:tc>
        <w:tc>
          <w:tcPr>
            <w:tcW w:w="776" w:type="dxa"/>
            <w:tcBorders>
              <w:top w:val="nil"/>
              <w:left w:val="nil"/>
              <w:bottom w:val="nil"/>
              <w:right w:val="nil"/>
            </w:tcBorders>
            <w:shd w:val="clear" w:color="auto" w:fill="auto"/>
            <w:noWrap/>
            <w:vAlign w:val="bottom"/>
            <w:hideMark/>
          </w:tcPr>
          <w:p w:rsidR="008E0BEE" w:rsidRPr="00E059D1" w:rsidRDefault="008E0BEE" w:rsidP="00EB0228">
            <w:pPr>
              <w:spacing w:line="240" w:lineRule="auto"/>
              <w:ind w:firstLine="0"/>
              <w:jc w:val="center"/>
              <w:rPr>
                <w:rFonts w:eastAsia="Times New Roman"/>
                <w:color w:val="000000"/>
                <w:szCs w:val="24"/>
              </w:rPr>
            </w:pPr>
            <w:r w:rsidRPr="00E059D1">
              <w:rPr>
                <w:rFonts w:eastAsia="Times New Roman"/>
                <w:color w:val="000000"/>
                <w:szCs w:val="24"/>
              </w:rPr>
              <w:t>0</w:t>
            </w:r>
          </w:p>
        </w:tc>
        <w:tc>
          <w:tcPr>
            <w:tcW w:w="976" w:type="dxa"/>
            <w:tcBorders>
              <w:top w:val="nil"/>
              <w:left w:val="nil"/>
              <w:bottom w:val="nil"/>
              <w:right w:val="nil"/>
            </w:tcBorders>
            <w:shd w:val="clear" w:color="auto" w:fill="auto"/>
            <w:noWrap/>
            <w:vAlign w:val="bottom"/>
            <w:hideMark/>
          </w:tcPr>
          <w:p w:rsidR="008E0BEE" w:rsidRPr="00E059D1" w:rsidRDefault="008E0BEE" w:rsidP="00EB0228">
            <w:pPr>
              <w:spacing w:line="240" w:lineRule="auto"/>
              <w:ind w:firstLine="0"/>
              <w:jc w:val="center"/>
              <w:rPr>
                <w:rFonts w:eastAsia="Times New Roman"/>
                <w:color w:val="000000"/>
                <w:szCs w:val="24"/>
              </w:rPr>
            </w:pPr>
            <w:r w:rsidRPr="00E059D1">
              <w:rPr>
                <w:rFonts w:eastAsia="Times New Roman"/>
                <w:color w:val="000000"/>
                <w:szCs w:val="24"/>
              </w:rPr>
              <w:t>12</w:t>
            </w:r>
          </w:p>
        </w:tc>
      </w:tr>
      <w:tr w:rsidR="008E0BEE" w:rsidRPr="00E059D1" w:rsidTr="00203FEE">
        <w:trPr>
          <w:trHeight w:val="315"/>
        </w:trPr>
        <w:tc>
          <w:tcPr>
            <w:tcW w:w="7575" w:type="dxa"/>
            <w:tcBorders>
              <w:top w:val="nil"/>
              <w:left w:val="nil"/>
              <w:bottom w:val="nil"/>
              <w:right w:val="nil"/>
            </w:tcBorders>
            <w:shd w:val="clear" w:color="auto" w:fill="auto"/>
            <w:noWrap/>
            <w:vAlign w:val="center"/>
            <w:hideMark/>
          </w:tcPr>
          <w:p w:rsidR="008E0BEE" w:rsidRPr="00E059D1" w:rsidRDefault="008E0BEE" w:rsidP="00203FEE">
            <w:pPr>
              <w:spacing w:line="240" w:lineRule="auto"/>
              <w:ind w:firstLine="0"/>
              <w:rPr>
                <w:rFonts w:eastAsia="Times New Roman"/>
                <w:color w:val="000000"/>
                <w:szCs w:val="24"/>
              </w:rPr>
            </w:pPr>
            <w:r w:rsidRPr="00E059D1">
              <w:rPr>
                <w:rFonts w:eastAsia="Times New Roman"/>
                <w:color w:val="000000"/>
                <w:szCs w:val="24"/>
              </w:rPr>
              <w:t>To enhance my athletic performance</w:t>
            </w:r>
          </w:p>
        </w:tc>
        <w:tc>
          <w:tcPr>
            <w:tcW w:w="776" w:type="dxa"/>
            <w:tcBorders>
              <w:top w:val="nil"/>
              <w:left w:val="nil"/>
              <w:bottom w:val="nil"/>
              <w:right w:val="nil"/>
            </w:tcBorders>
            <w:shd w:val="clear" w:color="auto" w:fill="auto"/>
            <w:noWrap/>
            <w:vAlign w:val="bottom"/>
            <w:hideMark/>
          </w:tcPr>
          <w:p w:rsidR="008E0BEE" w:rsidRPr="00E059D1" w:rsidRDefault="008E0BEE" w:rsidP="00EB0228">
            <w:pPr>
              <w:spacing w:line="240" w:lineRule="auto"/>
              <w:ind w:firstLine="0"/>
              <w:jc w:val="center"/>
              <w:rPr>
                <w:rFonts w:eastAsia="Times New Roman"/>
                <w:color w:val="000000"/>
                <w:szCs w:val="24"/>
              </w:rPr>
            </w:pPr>
            <w:r w:rsidRPr="00E059D1">
              <w:rPr>
                <w:rFonts w:eastAsia="Times New Roman"/>
                <w:color w:val="000000"/>
                <w:szCs w:val="24"/>
              </w:rPr>
              <w:t>0</w:t>
            </w:r>
          </w:p>
        </w:tc>
        <w:tc>
          <w:tcPr>
            <w:tcW w:w="976" w:type="dxa"/>
            <w:tcBorders>
              <w:top w:val="nil"/>
              <w:left w:val="nil"/>
              <w:bottom w:val="nil"/>
              <w:right w:val="nil"/>
            </w:tcBorders>
            <w:shd w:val="clear" w:color="auto" w:fill="auto"/>
            <w:noWrap/>
            <w:vAlign w:val="bottom"/>
            <w:hideMark/>
          </w:tcPr>
          <w:p w:rsidR="008E0BEE" w:rsidRPr="00E059D1" w:rsidRDefault="008E0BEE" w:rsidP="00EB0228">
            <w:pPr>
              <w:spacing w:line="240" w:lineRule="auto"/>
              <w:ind w:firstLine="0"/>
              <w:jc w:val="center"/>
              <w:rPr>
                <w:rFonts w:eastAsia="Times New Roman"/>
                <w:color w:val="000000"/>
                <w:szCs w:val="24"/>
              </w:rPr>
            </w:pPr>
            <w:r w:rsidRPr="00E059D1">
              <w:rPr>
                <w:rFonts w:eastAsia="Times New Roman"/>
                <w:color w:val="000000"/>
                <w:szCs w:val="24"/>
              </w:rPr>
              <w:t>0</w:t>
            </w:r>
          </w:p>
        </w:tc>
      </w:tr>
      <w:tr w:rsidR="008E0BEE" w:rsidRPr="00E059D1" w:rsidTr="00203FEE">
        <w:trPr>
          <w:trHeight w:val="315"/>
        </w:trPr>
        <w:tc>
          <w:tcPr>
            <w:tcW w:w="7575" w:type="dxa"/>
            <w:tcBorders>
              <w:top w:val="nil"/>
              <w:left w:val="nil"/>
              <w:bottom w:val="nil"/>
              <w:right w:val="nil"/>
            </w:tcBorders>
            <w:shd w:val="clear" w:color="auto" w:fill="auto"/>
            <w:noWrap/>
            <w:vAlign w:val="center"/>
            <w:hideMark/>
          </w:tcPr>
          <w:p w:rsidR="008E0BEE" w:rsidRPr="00E059D1" w:rsidRDefault="008E0BEE" w:rsidP="00203FEE">
            <w:pPr>
              <w:spacing w:line="240" w:lineRule="auto"/>
              <w:ind w:firstLine="0"/>
              <w:rPr>
                <w:rFonts w:eastAsia="Times New Roman"/>
                <w:color w:val="000000"/>
                <w:szCs w:val="24"/>
              </w:rPr>
            </w:pPr>
            <w:r w:rsidRPr="00E059D1">
              <w:rPr>
                <w:rFonts w:eastAsia="Times New Roman"/>
                <w:color w:val="000000"/>
                <w:szCs w:val="24"/>
              </w:rPr>
              <w:t>To prolong the intoxicating effects of alcohol or other substances</w:t>
            </w:r>
          </w:p>
        </w:tc>
        <w:tc>
          <w:tcPr>
            <w:tcW w:w="776" w:type="dxa"/>
            <w:tcBorders>
              <w:top w:val="nil"/>
              <w:left w:val="nil"/>
              <w:bottom w:val="nil"/>
              <w:right w:val="nil"/>
            </w:tcBorders>
            <w:shd w:val="clear" w:color="auto" w:fill="auto"/>
            <w:noWrap/>
            <w:vAlign w:val="bottom"/>
            <w:hideMark/>
          </w:tcPr>
          <w:p w:rsidR="008E0BEE" w:rsidRPr="00E059D1" w:rsidRDefault="008E0BEE" w:rsidP="00EB0228">
            <w:pPr>
              <w:spacing w:line="240" w:lineRule="auto"/>
              <w:ind w:firstLine="0"/>
              <w:jc w:val="center"/>
              <w:rPr>
                <w:rFonts w:eastAsia="Times New Roman"/>
                <w:color w:val="000000"/>
                <w:szCs w:val="24"/>
              </w:rPr>
            </w:pPr>
            <w:r w:rsidRPr="00E059D1">
              <w:rPr>
                <w:rFonts w:eastAsia="Times New Roman"/>
                <w:color w:val="000000"/>
                <w:szCs w:val="24"/>
              </w:rPr>
              <w:t>9</w:t>
            </w:r>
          </w:p>
        </w:tc>
        <w:tc>
          <w:tcPr>
            <w:tcW w:w="976" w:type="dxa"/>
            <w:tcBorders>
              <w:top w:val="nil"/>
              <w:left w:val="nil"/>
              <w:bottom w:val="nil"/>
              <w:right w:val="nil"/>
            </w:tcBorders>
            <w:shd w:val="clear" w:color="auto" w:fill="auto"/>
            <w:noWrap/>
            <w:vAlign w:val="bottom"/>
            <w:hideMark/>
          </w:tcPr>
          <w:p w:rsidR="008E0BEE" w:rsidRPr="00E059D1" w:rsidRDefault="008E0BEE" w:rsidP="00EB0228">
            <w:pPr>
              <w:spacing w:line="240" w:lineRule="auto"/>
              <w:ind w:firstLine="0"/>
              <w:jc w:val="center"/>
              <w:rPr>
                <w:rFonts w:eastAsia="Times New Roman"/>
                <w:color w:val="000000"/>
                <w:szCs w:val="24"/>
              </w:rPr>
            </w:pPr>
            <w:r w:rsidRPr="00E059D1">
              <w:rPr>
                <w:rFonts w:eastAsia="Times New Roman"/>
                <w:color w:val="000000"/>
                <w:szCs w:val="24"/>
              </w:rPr>
              <w:t>11</w:t>
            </w:r>
          </w:p>
        </w:tc>
      </w:tr>
      <w:tr w:rsidR="008E0BEE" w:rsidRPr="00E059D1" w:rsidTr="00203FEE">
        <w:trPr>
          <w:trHeight w:val="315"/>
        </w:trPr>
        <w:tc>
          <w:tcPr>
            <w:tcW w:w="7575" w:type="dxa"/>
            <w:tcBorders>
              <w:top w:val="nil"/>
              <w:left w:val="nil"/>
              <w:bottom w:val="nil"/>
              <w:right w:val="nil"/>
            </w:tcBorders>
            <w:shd w:val="clear" w:color="auto" w:fill="auto"/>
            <w:noWrap/>
            <w:vAlign w:val="center"/>
            <w:hideMark/>
          </w:tcPr>
          <w:p w:rsidR="008E0BEE" w:rsidRPr="00E059D1" w:rsidRDefault="008E0BEE" w:rsidP="00203FEE">
            <w:pPr>
              <w:spacing w:line="240" w:lineRule="auto"/>
              <w:ind w:firstLine="0"/>
              <w:rPr>
                <w:rFonts w:eastAsia="Times New Roman"/>
                <w:color w:val="000000"/>
                <w:szCs w:val="24"/>
              </w:rPr>
            </w:pPr>
            <w:r w:rsidRPr="00E059D1">
              <w:rPr>
                <w:rFonts w:eastAsia="Times New Roman"/>
                <w:color w:val="000000"/>
                <w:szCs w:val="24"/>
              </w:rPr>
              <w:t>To prevent other students who do this from having an “edge” over me academically</w:t>
            </w:r>
          </w:p>
        </w:tc>
        <w:tc>
          <w:tcPr>
            <w:tcW w:w="776" w:type="dxa"/>
            <w:tcBorders>
              <w:top w:val="nil"/>
              <w:left w:val="nil"/>
              <w:bottom w:val="nil"/>
              <w:right w:val="nil"/>
            </w:tcBorders>
            <w:shd w:val="clear" w:color="auto" w:fill="auto"/>
            <w:noWrap/>
            <w:vAlign w:val="bottom"/>
            <w:hideMark/>
          </w:tcPr>
          <w:p w:rsidR="008E0BEE" w:rsidRPr="00E059D1" w:rsidRDefault="008E0BEE" w:rsidP="00EB0228">
            <w:pPr>
              <w:spacing w:line="240" w:lineRule="auto"/>
              <w:ind w:firstLine="0"/>
              <w:jc w:val="center"/>
              <w:rPr>
                <w:rFonts w:eastAsia="Times New Roman"/>
                <w:color w:val="000000"/>
                <w:szCs w:val="24"/>
              </w:rPr>
            </w:pPr>
            <w:r w:rsidRPr="00E059D1">
              <w:rPr>
                <w:rFonts w:eastAsia="Times New Roman"/>
                <w:color w:val="000000"/>
                <w:szCs w:val="24"/>
              </w:rPr>
              <w:t>3</w:t>
            </w:r>
          </w:p>
        </w:tc>
        <w:tc>
          <w:tcPr>
            <w:tcW w:w="976" w:type="dxa"/>
            <w:tcBorders>
              <w:top w:val="nil"/>
              <w:left w:val="nil"/>
              <w:bottom w:val="nil"/>
              <w:right w:val="nil"/>
            </w:tcBorders>
            <w:shd w:val="clear" w:color="auto" w:fill="auto"/>
            <w:noWrap/>
            <w:vAlign w:val="bottom"/>
            <w:hideMark/>
          </w:tcPr>
          <w:p w:rsidR="008E0BEE" w:rsidRPr="00E059D1" w:rsidRDefault="008E0BEE" w:rsidP="00EB0228">
            <w:pPr>
              <w:spacing w:line="240" w:lineRule="auto"/>
              <w:ind w:firstLine="0"/>
              <w:jc w:val="center"/>
              <w:rPr>
                <w:rFonts w:eastAsia="Times New Roman"/>
                <w:color w:val="000000"/>
                <w:szCs w:val="24"/>
              </w:rPr>
            </w:pPr>
            <w:r w:rsidRPr="00E059D1">
              <w:rPr>
                <w:rFonts w:eastAsia="Times New Roman"/>
                <w:color w:val="000000"/>
                <w:szCs w:val="24"/>
              </w:rPr>
              <w:t>3</w:t>
            </w:r>
          </w:p>
        </w:tc>
      </w:tr>
      <w:tr w:rsidR="008E0BEE" w:rsidRPr="00E059D1" w:rsidTr="00203FEE">
        <w:trPr>
          <w:trHeight w:val="315"/>
        </w:trPr>
        <w:tc>
          <w:tcPr>
            <w:tcW w:w="7575" w:type="dxa"/>
            <w:tcBorders>
              <w:top w:val="nil"/>
              <w:left w:val="nil"/>
              <w:bottom w:val="nil"/>
              <w:right w:val="nil"/>
            </w:tcBorders>
            <w:shd w:val="clear" w:color="auto" w:fill="auto"/>
            <w:noWrap/>
            <w:vAlign w:val="center"/>
            <w:hideMark/>
          </w:tcPr>
          <w:p w:rsidR="008E0BEE" w:rsidRPr="00E059D1" w:rsidRDefault="008E0BEE" w:rsidP="00203FEE">
            <w:pPr>
              <w:spacing w:line="240" w:lineRule="auto"/>
              <w:ind w:firstLine="0"/>
              <w:rPr>
                <w:rFonts w:eastAsia="Times New Roman"/>
                <w:color w:val="000000"/>
                <w:szCs w:val="24"/>
              </w:rPr>
            </w:pPr>
            <w:r w:rsidRPr="00E059D1">
              <w:rPr>
                <w:rFonts w:eastAsia="Times New Roman"/>
                <w:color w:val="000000"/>
                <w:szCs w:val="24"/>
              </w:rPr>
              <w:t>To feel restless while studying</w:t>
            </w:r>
          </w:p>
        </w:tc>
        <w:tc>
          <w:tcPr>
            <w:tcW w:w="776" w:type="dxa"/>
            <w:tcBorders>
              <w:top w:val="nil"/>
              <w:left w:val="nil"/>
              <w:bottom w:val="nil"/>
              <w:right w:val="nil"/>
            </w:tcBorders>
            <w:shd w:val="clear" w:color="auto" w:fill="auto"/>
            <w:noWrap/>
            <w:vAlign w:val="bottom"/>
            <w:hideMark/>
          </w:tcPr>
          <w:p w:rsidR="008E0BEE" w:rsidRPr="00E059D1" w:rsidRDefault="008E0BEE" w:rsidP="00EB0228">
            <w:pPr>
              <w:spacing w:line="240" w:lineRule="auto"/>
              <w:ind w:firstLine="0"/>
              <w:jc w:val="center"/>
              <w:rPr>
                <w:rFonts w:eastAsia="Times New Roman"/>
                <w:color w:val="000000"/>
                <w:szCs w:val="24"/>
              </w:rPr>
            </w:pPr>
            <w:r w:rsidRPr="00E059D1">
              <w:rPr>
                <w:rFonts w:eastAsia="Times New Roman"/>
                <w:color w:val="000000"/>
                <w:szCs w:val="24"/>
              </w:rPr>
              <w:t>5</w:t>
            </w:r>
          </w:p>
        </w:tc>
        <w:tc>
          <w:tcPr>
            <w:tcW w:w="976" w:type="dxa"/>
            <w:tcBorders>
              <w:top w:val="nil"/>
              <w:left w:val="nil"/>
              <w:bottom w:val="nil"/>
              <w:right w:val="nil"/>
            </w:tcBorders>
            <w:shd w:val="clear" w:color="auto" w:fill="auto"/>
            <w:noWrap/>
            <w:vAlign w:val="bottom"/>
            <w:hideMark/>
          </w:tcPr>
          <w:p w:rsidR="008E0BEE" w:rsidRPr="00E059D1" w:rsidRDefault="008E0BEE" w:rsidP="00EB0228">
            <w:pPr>
              <w:spacing w:line="240" w:lineRule="auto"/>
              <w:ind w:firstLine="0"/>
              <w:jc w:val="center"/>
              <w:rPr>
                <w:rFonts w:eastAsia="Times New Roman"/>
                <w:color w:val="000000"/>
                <w:szCs w:val="24"/>
              </w:rPr>
            </w:pPr>
            <w:r w:rsidRPr="00E059D1">
              <w:rPr>
                <w:rFonts w:eastAsia="Times New Roman"/>
                <w:color w:val="000000"/>
                <w:szCs w:val="24"/>
              </w:rPr>
              <w:t>2</w:t>
            </w:r>
          </w:p>
        </w:tc>
      </w:tr>
      <w:tr w:rsidR="008E0BEE" w:rsidRPr="00E059D1" w:rsidTr="00203FEE">
        <w:trPr>
          <w:trHeight w:val="315"/>
        </w:trPr>
        <w:tc>
          <w:tcPr>
            <w:tcW w:w="7575" w:type="dxa"/>
            <w:tcBorders>
              <w:top w:val="nil"/>
              <w:left w:val="nil"/>
              <w:bottom w:val="nil"/>
              <w:right w:val="nil"/>
            </w:tcBorders>
            <w:shd w:val="clear" w:color="auto" w:fill="auto"/>
            <w:noWrap/>
            <w:vAlign w:val="center"/>
            <w:hideMark/>
          </w:tcPr>
          <w:p w:rsidR="008E0BEE" w:rsidRPr="00E059D1" w:rsidRDefault="008E0BEE" w:rsidP="00203FEE">
            <w:pPr>
              <w:spacing w:line="240" w:lineRule="auto"/>
              <w:ind w:firstLine="0"/>
              <w:rPr>
                <w:rFonts w:eastAsia="Times New Roman"/>
                <w:color w:val="000000"/>
                <w:szCs w:val="24"/>
              </w:rPr>
            </w:pPr>
            <w:r w:rsidRPr="00E059D1">
              <w:rPr>
                <w:rFonts w:eastAsia="Times New Roman"/>
                <w:color w:val="000000"/>
                <w:szCs w:val="24"/>
              </w:rPr>
              <w:t>Because I have ADHD</w:t>
            </w:r>
          </w:p>
        </w:tc>
        <w:tc>
          <w:tcPr>
            <w:tcW w:w="776" w:type="dxa"/>
            <w:tcBorders>
              <w:top w:val="nil"/>
              <w:left w:val="nil"/>
              <w:bottom w:val="nil"/>
              <w:right w:val="nil"/>
            </w:tcBorders>
            <w:shd w:val="clear" w:color="auto" w:fill="auto"/>
            <w:noWrap/>
            <w:vAlign w:val="bottom"/>
            <w:hideMark/>
          </w:tcPr>
          <w:p w:rsidR="008E0BEE" w:rsidRPr="00E059D1" w:rsidRDefault="008E0BEE" w:rsidP="00EB0228">
            <w:pPr>
              <w:spacing w:line="240" w:lineRule="auto"/>
              <w:ind w:firstLine="0"/>
              <w:jc w:val="center"/>
              <w:rPr>
                <w:rFonts w:eastAsia="Times New Roman"/>
                <w:color w:val="000000"/>
                <w:szCs w:val="24"/>
              </w:rPr>
            </w:pPr>
            <w:r w:rsidRPr="00E059D1">
              <w:rPr>
                <w:rFonts w:eastAsia="Times New Roman"/>
                <w:color w:val="000000"/>
                <w:szCs w:val="24"/>
              </w:rPr>
              <w:t>8</w:t>
            </w:r>
          </w:p>
        </w:tc>
        <w:tc>
          <w:tcPr>
            <w:tcW w:w="976" w:type="dxa"/>
            <w:tcBorders>
              <w:top w:val="nil"/>
              <w:left w:val="nil"/>
              <w:bottom w:val="nil"/>
              <w:right w:val="nil"/>
            </w:tcBorders>
            <w:shd w:val="clear" w:color="auto" w:fill="auto"/>
            <w:noWrap/>
            <w:vAlign w:val="bottom"/>
            <w:hideMark/>
          </w:tcPr>
          <w:p w:rsidR="008E0BEE" w:rsidRPr="00E059D1" w:rsidRDefault="008E0BEE" w:rsidP="00EB0228">
            <w:pPr>
              <w:spacing w:line="240" w:lineRule="auto"/>
              <w:ind w:firstLine="0"/>
              <w:jc w:val="center"/>
              <w:rPr>
                <w:rFonts w:eastAsia="Times New Roman"/>
                <w:color w:val="000000"/>
                <w:szCs w:val="24"/>
              </w:rPr>
            </w:pPr>
            <w:r w:rsidRPr="00E059D1">
              <w:rPr>
                <w:rFonts w:eastAsia="Times New Roman"/>
                <w:color w:val="000000"/>
                <w:szCs w:val="24"/>
              </w:rPr>
              <w:t>10</w:t>
            </w:r>
          </w:p>
        </w:tc>
      </w:tr>
      <w:tr w:rsidR="008E0BEE" w:rsidRPr="00E059D1" w:rsidTr="00203FEE">
        <w:trPr>
          <w:trHeight w:val="315"/>
        </w:trPr>
        <w:tc>
          <w:tcPr>
            <w:tcW w:w="7575" w:type="dxa"/>
            <w:tcBorders>
              <w:top w:val="nil"/>
              <w:left w:val="nil"/>
              <w:bottom w:val="nil"/>
              <w:right w:val="nil"/>
            </w:tcBorders>
            <w:shd w:val="clear" w:color="auto" w:fill="auto"/>
            <w:noWrap/>
            <w:vAlign w:val="center"/>
            <w:hideMark/>
          </w:tcPr>
          <w:p w:rsidR="008E0BEE" w:rsidRPr="00E059D1" w:rsidRDefault="008E0BEE" w:rsidP="00203FEE">
            <w:pPr>
              <w:spacing w:line="240" w:lineRule="auto"/>
              <w:ind w:firstLine="0"/>
              <w:rPr>
                <w:rFonts w:eastAsia="Times New Roman"/>
                <w:color w:val="000000"/>
                <w:szCs w:val="24"/>
              </w:rPr>
            </w:pPr>
            <w:r w:rsidRPr="00E059D1">
              <w:rPr>
                <w:rFonts w:eastAsia="Times New Roman"/>
                <w:color w:val="000000"/>
                <w:szCs w:val="24"/>
              </w:rPr>
              <w:t>To keep better track of my class assignments</w:t>
            </w:r>
          </w:p>
        </w:tc>
        <w:tc>
          <w:tcPr>
            <w:tcW w:w="776" w:type="dxa"/>
            <w:tcBorders>
              <w:top w:val="nil"/>
              <w:left w:val="nil"/>
              <w:bottom w:val="nil"/>
              <w:right w:val="nil"/>
            </w:tcBorders>
            <w:shd w:val="clear" w:color="auto" w:fill="auto"/>
            <w:noWrap/>
            <w:vAlign w:val="bottom"/>
            <w:hideMark/>
          </w:tcPr>
          <w:p w:rsidR="008E0BEE" w:rsidRPr="00E059D1" w:rsidRDefault="008E0BEE" w:rsidP="00EB0228">
            <w:pPr>
              <w:spacing w:line="240" w:lineRule="auto"/>
              <w:ind w:firstLine="0"/>
              <w:jc w:val="center"/>
              <w:rPr>
                <w:rFonts w:eastAsia="Times New Roman"/>
                <w:color w:val="000000"/>
                <w:szCs w:val="24"/>
              </w:rPr>
            </w:pPr>
            <w:r w:rsidRPr="00E059D1">
              <w:rPr>
                <w:rFonts w:eastAsia="Times New Roman"/>
                <w:color w:val="000000"/>
                <w:szCs w:val="24"/>
              </w:rPr>
              <w:t>4</w:t>
            </w:r>
          </w:p>
        </w:tc>
        <w:tc>
          <w:tcPr>
            <w:tcW w:w="976" w:type="dxa"/>
            <w:tcBorders>
              <w:top w:val="nil"/>
              <w:left w:val="nil"/>
              <w:bottom w:val="nil"/>
              <w:right w:val="nil"/>
            </w:tcBorders>
            <w:shd w:val="clear" w:color="auto" w:fill="auto"/>
            <w:noWrap/>
            <w:vAlign w:val="bottom"/>
            <w:hideMark/>
          </w:tcPr>
          <w:p w:rsidR="008E0BEE" w:rsidRPr="00E059D1" w:rsidRDefault="008E0BEE" w:rsidP="00EB0228">
            <w:pPr>
              <w:spacing w:line="240" w:lineRule="auto"/>
              <w:ind w:firstLine="0"/>
              <w:jc w:val="center"/>
              <w:rPr>
                <w:rFonts w:eastAsia="Times New Roman"/>
                <w:color w:val="000000"/>
                <w:szCs w:val="24"/>
              </w:rPr>
            </w:pPr>
            <w:r w:rsidRPr="00E059D1">
              <w:rPr>
                <w:rFonts w:eastAsia="Times New Roman"/>
                <w:color w:val="000000"/>
                <w:szCs w:val="24"/>
              </w:rPr>
              <w:t>7</w:t>
            </w:r>
          </w:p>
        </w:tc>
      </w:tr>
      <w:tr w:rsidR="008E0BEE" w:rsidRPr="00E059D1" w:rsidTr="00203FEE">
        <w:trPr>
          <w:trHeight w:val="315"/>
        </w:trPr>
        <w:tc>
          <w:tcPr>
            <w:tcW w:w="7575" w:type="dxa"/>
            <w:tcBorders>
              <w:top w:val="nil"/>
              <w:left w:val="nil"/>
              <w:bottom w:val="nil"/>
              <w:right w:val="nil"/>
            </w:tcBorders>
            <w:shd w:val="clear" w:color="auto" w:fill="auto"/>
            <w:noWrap/>
            <w:vAlign w:val="center"/>
            <w:hideMark/>
          </w:tcPr>
          <w:p w:rsidR="008E0BEE" w:rsidRPr="00E059D1" w:rsidRDefault="008E0BEE" w:rsidP="00203FEE">
            <w:pPr>
              <w:spacing w:line="240" w:lineRule="auto"/>
              <w:ind w:firstLine="0"/>
              <w:rPr>
                <w:rFonts w:eastAsia="Times New Roman"/>
                <w:color w:val="000000"/>
                <w:szCs w:val="24"/>
              </w:rPr>
            </w:pPr>
            <w:r w:rsidRPr="00E059D1">
              <w:rPr>
                <w:rFonts w:eastAsia="Times New Roman"/>
                <w:color w:val="000000"/>
                <w:szCs w:val="24"/>
              </w:rPr>
              <w:t>To concentrate better while working</w:t>
            </w:r>
          </w:p>
        </w:tc>
        <w:tc>
          <w:tcPr>
            <w:tcW w:w="776" w:type="dxa"/>
            <w:tcBorders>
              <w:top w:val="nil"/>
              <w:left w:val="nil"/>
              <w:bottom w:val="nil"/>
              <w:right w:val="nil"/>
            </w:tcBorders>
            <w:shd w:val="clear" w:color="auto" w:fill="auto"/>
            <w:noWrap/>
            <w:vAlign w:val="bottom"/>
            <w:hideMark/>
          </w:tcPr>
          <w:p w:rsidR="008E0BEE" w:rsidRPr="00E059D1" w:rsidRDefault="008E0BEE" w:rsidP="00EB0228">
            <w:pPr>
              <w:spacing w:line="240" w:lineRule="auto"/>
              <w:ind w:firstLine="0"/>
              <w:jc w:val="center"/>
              <w:rPr>
                <w:rFonts w:eastAsia="Times New Roman"/>
                <w:color w:val="000000"/>
                <w:szCs w:val="24"/>
              </w:rPr>
            </w:pPr>
            <w:r w:rsidRPr="00E059D1">
              <w:rPr>
                <w:rFonts w:eastAsia="Times New Roman"/>
                <w:color w:val="000000"/>
                <w:szCs w:val="24"/>
              </w:rPr>
              <w:t>27</w:t>
            </w:r>
          </w:p>
        </w:tc>
        <w:tc>
          <w:tcPr>
            <w:tcW w:w="976" w:type="dxa"/>
            <w:tcBorders>
              <w:top w:val="nil"/>
              <w:left w:val="nil"/>
              <w:bottom w:val="nil"/>
              <w:right w:val="nil"/>
            </w:tcBorders>
            <w:shd w:val="clear" w:color="auto" w:fill="auto"/>
            <w:noWrap/>
            <w:vAlign w:val="bottom"/>
            <w:hideMark/>
          </w:tcPr>
          <w:p w:rsidR="008E0BEE" w:rsidRPr="00E059D1" w:rsidRDefault="008E0BEE" w:rsidP="00EB0228">
            <w:pPr>
              <w:spacing w:line="240" w:lineRule="auto"/>
              <w:ind w:firstLine="0"/>
              <w:jc w:val="center"/>
              <w:rPr>
                <w:rFonts w:eastAsia="Times New Roman"/>
                <w:color w:val="000000"/>
                <w:szCs w:val="24"/>
              </w:rPr>
            </w:pPr>
            <w:r w:rsidRPr="00E059D1">
              <w:rPr>
                <w:rFonts w:eastAsia="Times New Roman"/>
                <w:color w:val="000000"/>
                <w:szCs w:val="24"/>
              </w:rPr>
              <w:t>29</w:t>
            </w:r>
          </w:p>
        </w:tc>
      </w:tr>
      <w:tr w:rsidR="008E0BEE" w:rsidRPr="00E059D1" w:rsidTr="00203FEE">
        <w:trPr>
          <w:trHeight w:val="315"/>
        </w:trPr>
        <w:tc>
          <w:tcPr>
            <w:tcW w:w="7575" w:type="dxa"/>
            <w:tcBorders>
              <w:top w:val="nil"/>
              <w:left w:val="nil"/>
              <w:bottom w:val="nil"/>
              <w:right w:val="nil"/>
            </w:tcBorders>
            <w:shd w:val="clear" w:color="auto" w:fill="auto"/>
            <w:noWrap/>
            <w:vAlign w:val="center"/>
            <w:hideMark/>
          </w:tcPr>
          <w:p w:rsidR="008E0BEE" w:rsidRPr="00E059D1" w:rsidRDefault="008E0BEE" w:rsidP="00203FEE">
            <w:pPr>
              <w:spacing w:line="240" w:lineRule="auto"/>
              <w:ind w:firstLine="0"/>
              <w:rPr>
                <w:rFonts w:eastAsia="Times New Roman"/>
                <w:color w:val="000000"/>
                <w:szCs w:val="24"/>
              </w:rPr>
            </w:pPr>
            <w:r w:rsidRPr="00E059D1">
              <w:rPr>
                <w:rFonts w:eastAsia="Times New Roman"/>
                <w:color w:val="000000"/>
                <w:szCs w:val="24"/>
              </w:rPr>
              <w:t>To feel less restless while working</w:t>
            </w:r>
          </w:p>
        </w:tc>
        <w:tc>
          <w:tcPr>
            <w:tcW w:w="776" w:type="dxa"/>
            <w:tcBorders>
              <w:top w:val="nil"/>
              <w:left w:val="nil"/>
              <w:bottom w:val="nil"/>
              <w:right w:val="nil"/>
            </w:tcBorders>
            <w:shd w:val="clear" w:color="auto" w:fill="auto"/>
            <w:noWrap/>
            <w:vAlign w:val="bottom"/>
            <w:hideMark/>
          </w:tcPr>
          <w:p w:rsidR="008E0BEE" w:rsidRPr="00E059D1" w:rsidRDefault="008E0BEE" w:rsidP="00EB0228">
            <w:pPr>
              <w:spacing w:line="240" w:lineRule="auto"/>
              <w:ind w:firstLine="0"/>
              <w:jc w:val="center"/>
              <w:rPr>
                <w:rFonts w:eastAsia="Times New Roman"/>
                <w:color w:val="000000"/>
                <w:szCs w:val="24"/>
              </w:rPr>
            </w:pPr>
            <w:r w:rsidRPr="00E059D1">
              <w:rPr>
                <w:rFonts w:eastAsia="Times New Roman"/>
                <w:color w:val="000000"/>
                <w:szCs w:val="24"/>
              </w:rPr>
              <w:t>10</w:t>
            </w:r>
          </w:p>
        </w:tc>
        <w:tc>
          <w:tcPr>
            <w:tcW w:w="976" w:type="dxa"/>
            <w:tcBorders>
              <w:top w:val="nil"/>
              <w:left w:val="nil"/>
              <w:bottom w:val="nil"/>
              <w:right w:val="nil"/>
            </w:tcBorders>
            <w:shd w:val="clear" w:color="auto" w:fill="auto"/>
            <w:noWrap/>
            <w:vAlign w:val="bottom"/>
            <w:hideMark/>
          </w:tcPr>
          <w:p w:rsidR="008E0BEE" w:rsidRPr="00E059D1" w:rsidRDefault="008E0BEE" w:rsidP="00EB0228">
            <w:pPr>
              <w:spacing w:line="240" w:lineRule="auto"/>
              <w:ind w:firstLine="0"/>
              <w:jc w:val="center"/>
              <w:rPr>
                <w:rFonts w:eastAsia="Times New Roman"/>
                <w:color w:val="000000"/>
                <w:szCs w:val="24"/>
              </w:rPr>
            </w:pPr>
            <w:r w:rsidRPr="00E059D1">
              <w:rPr>
                <w:rFonts w:eastAsia="Times New Roman"/>
                <w:color w:val="000000"/>
                <w:szCs w:val="24"/>
              </w:rPr>
              <w:t>8</w:t>
            </w:r>
          </w:p>
        </w:tc>
      </w:tr>
      <w:tr w:rsidR="008E0BEE" w:rsidRPr="00E059D1" w:rsidTr="00203FEE">
        <w:trPr>
          <w:trHeight w:val="315"/>
        </w:trPr>
        <w:tc>
          <w:tcPr>
            <w:tcW w:w="7575" w:type="dxa"/>
            <w:tcBorders>
              <w:top w:val="nil"/>
              <w:left w:val="nil"/>
              <w:bottom w:val="nil"/>
              <w:right w:val="nil"/>
            </w:tcBorders>
            <w:shd w:val="clear" w:color="auto" w:fill="auto"/>
            <w:noWrap/>
            <w:vAlign w:val="center"/>
            <w:hideMark/>
          </w:tcPr>
          <w:p w:rsidR="008E0BEE" w:rsidRPr="00E059D1" w:rsidRDefault="008E0BEE" w:rsidP="00203FEE">
            <w:pPr>
              <w:spacing w:line="240" w:lineRule="auto"/>
              <w:ind w:firstLine="0"/>
              <w:rPr>
                <w:rFonts w:eastAsia="Times New Roman"/>
                <w:color w:val="000000"/>
                <w:szCs w:val="24"/>
              </w:rPr>
            </w:pPr>
            <w:r w:rsidRPr="00E059D1">
              <w:rPr>
                <w:rFonts w:eastAsia="Times New Roman"/>
                <w:color w:val="000000"/>
                <w:szCs w:val="24"/>
              </w:rPr>
              <w:t>Because I’m addicted</w:t>
            </w:r>
          </w:p>
        </w:tc>
        <w:tc>
          <w:tcPr>
            <w:tcW w:w="776" w:type="dxa"/>
            <w:tcBorders>
              <w:top w:val="nil"/>
              <w:left w:val="nil"/>
              <w:bottom w:val="nil"/>
              <w:right w:val="nil"/>
            </w:tcBorders>
            <w:shd w:val="clear" w:color="auto" w:fill="auto"/>
            <w:noWrap/>
            <w:vAlign w:val="bottom"/>
            <w:hideMark/>
          </w:tcPr>
          <w:p w:rsidR="008E0BEE" w:rsidRPr="00E059D1" w:rsidRDefault="008E0BEE" w:rsidP="00EB0228">
            <w:pPr>
              <w:spacing w:line="240" w:lineRule="auto"/>
              <w:ind w:firstLine="0"/>
              <w:jc w:val="center"/>
              <w:rPr>
                <w:rFonts w:eastAsia="Times New Roman"/>
                <w:color w:val="000000"/>
                <w:szCs w:val="24"/>
              </w:rPr>
            </w:pPr>
            <w:r w:rsidRPr="00E059D1">
              <w:rPr>
                <w:rFonts w:eastAsia="Times New Roman"/>
                <w:color w:val="000000"/>
                <w:szCs w:val="24"/>
              </w:rPr>
              <w:t>1</w:t>
            </w:r>
          </w:p>
        </w:tc>
        <w:tc>
          <w:tcPr>
            <w:tcW w:w="976" w:type="dxa"/>
            <w:tcBorders>
              <w:top w:val="nil"/>
              <w:left w:val="nil"/>
              <w:bottom w:val="nil"/>
              <w:right w:val="nil"/>
            </w:tcBorders>
            <w:shd w:val="clear" w:color="auto" w:fill="auto"/>
            <w:noWrap/>
            <w:vAlign w:val="bottom"/>
            <w:hideMark/>
          </w:tcPr>
          <w:p w:rsidR="008E0BEE" w:rsidRPr="00E059D1" w:rsidRDefault="008E0BEE" w:rsidP="00EB0228">
            <w:pPr>
              <w:spacing w:line="240" w:lineRule="auto"/>
              <w:ind w:firstLine="0"/>
              <w:jc w:val="center"/>
              <w:rPr>
                <w:rFonts w:eastAsia="Times New Roman"/>
                <w:color w:val="000000"/>
                <w:szCs w:val="24"/>
              </w:rPr>
            </w:pPr>
            <w:r w:rsidRPr="00E059D1">
              <w:rPr>
                <w:rFonts w:eastAsia="Times New Roman"/>
                <w:color w:val="000000"/>
                <w:szCs w:val="24"/>
              </w:rPr>
              <w:t>1</w:t>
            </w:r>
          </w:p>
        </w:tc>
      </w:tr>
      <w:tr w:rsidR="008E0BEE" w:rsidRPr="00E059D1" w:rsidTr="00203FEE">
        <w:trPr>
          <w:trHeight w:val="315"/>
        </w:trPr>
        <w:tc>
          <w:tcPr>
            <w:tcW w:w="7575" w:type="dxa"/>
            <w:tcBorders>
              <w:top w:val="nil"/>
              <w:left w:val="nil"/>
              <w:bottom w:val="nil"/>
              <w:right w:val="nil"/>
            </w:tcBorders>
            <w:shd w:val="clear" w:color="auto" w:fill="auto"/>
            <w:noWrap/>
            <w:vAlign w:val="center"/>
            <w:hideMark/>
          </w:tcPr>
          <w:p w:rsidR="008E0BEE" w:rsidRPr="00E059D1" w:rsidRDefault="008E0BEE" w:rsidP="00203FEE">
            <w:pPr>
              <w:spacing w:line="240" w:lineRule="auto"/>
              <w:ind w:firstLine="0"/>
              <w:rPr>
                <w:rFonts w:eastAsia="Times New Roman"/>
                <w:color w:val="000000"/>
                <w:szCs w:val="24"/>
              </w:rPr>
            </w:pPr>
            <w:r w:rsidRPr="00E059D1">
              <w:rPr>
                <w:rFonts w:eastAsia="Times New Roman"/>
                <w:color w:val="000000"/>
                <w:szCs w:val="24"/>
              </w:rPr>
              <w:t>Because it’s safer than street drugs</w:t>
            </w:r>
          </w:p>
        </w:tc>
        <w:tc>
          <w:tcPr>
            <w:tcW w:w="776" w:type="dxa"/>
            <w:tcBorders>
              <w:top w:val="nil"/>
              <w:left w:val="nil"/>
              <w:bottom w:val="nil"/>
              <w:right w:val="nil"/>
            </w:tcBorders>
            <w:shd w:val="clear" w:color="auto" w:fill="auto"/>
            <w:noWrap/>
            <w:vAlign w:val="bottom"/>
            <w:hideMark/>
          </w:tcPr>
          <w:p w:rsidR="008E0BEE" w:rsidRPr="00E059D1" w:rsidRDefault="008E0BEE" w:rsidP="00EB0228">
            <w:pPr>
              <w:spacing w:line="240" w:lineRule="auto"/>
              <w:ind w:firstLine="0"/>
              <w:jc w:val="center"/>
              <w:rPr>
                <w:rFonts w:eastAsia="Times New Roman"/>
                <w:color w:val="000000"/>
                <w:szCs w:val="24"/>
              </w:rPr>
            </w:pPr>
            <w:r w:rsidRPr="00E059D1">
              <w:rPr>
                <w:rFonts w:eastAsia="Times New Roman"/>
                <w:color w:val="000000"/>
                <w:szCs w:val="24"/>
              </w:rPr>
              <w:t>3</w:t>
            </w:r>
          </w:p>
        </w:tc>
        <w:tc>
          <w:tcPr>
            <w:tcW w:w="976" w:type="dxa"/>
            <w:tcBorders>
              <w:top w:val="nil"/>
              <w:left w:val="nil"/>
              <w:bottom w:val="nil"/>
              <w:right w:val="nil"/>
            </w:tcBorders>
            <w:shd w:val="clear" w:color="auto" w:fill="auto"/>
            <w:noWrap/>
            <w:vAlign w:val="bottom"/>
            <w:hideMark/>
          </w:tcPr>
          <w:p w:rsidR="008E0BEE" w:rsidRPr="00E059D1" w:rsidRDefault="008E0BEE" w:rsidP="00EB0228">
            <w:pPr>
              <w:spacing w:line="240" w:lineRule="auto"/>
              <w:ind w:firstLine="0"/>
              <w:jc w:val="center"/>
              <w:rPr>
                <w:rFonts w:eastAsia="Times New Roman"/>
                <w:color w:val="000000"/>
                <w:szCs w:val="24"/>
              </w:rPr>
            </w:pPr>
            <w:r w:rsidRPr="00E059D1">
              <w:rPr>
                <w:rFonts w:eastAsia="Times New Roman"/>
                <w:color w:val="000000"/>
                <w:szCs w:val="24"/>
              </w:rPr>
              <w:t>2</w:t>
            </w:r>
          </w:p>
        </w:tc>
      </w:tr>
      <w:tr w:rsidR="008E0BEE" w:rsidRPr="00E059D1" w:rsidTr="00203FEE">
        <w:trPr>
          <w:trHeight w:val="315"/>
        </w:trPr>
        <w:tc>
          <w:tcPr>
            <w:tcW w:w="7575" w:type="dxa"/>
            <w:tcBorders>
              <w:top w:val="nil"/>
              <w:left w:val="nil"/>
              <w:bottom w:val="nil"/>
              <w:right w:val="nil"/>
            </w:tcBorders>
            <w:shd w:val="clear" w:color="auto" w:fill="auto"/>
            <w:noWrap/>
            <w:vAlign w:val="center"/>
            <w:hideMark/>
          </w:tcPr>
          <w:p w:rsidR="008E0BEE" w:rsidRPr="00E059D1" w:rsidRDefault="008E0BEE" w:rsidP="00203FEE">
            <w:pPr>
              <w:spacing w:line="240" w:lineRule="auto"/>
              <w:ind w:firstLine="0"/>
              <w:rPr>
                <w:rFonts w:eastAsia="Times New Roman"/>
                <w:color w:val="000000"/>
                <w:szCs w:val="24"/>
              </w:rPr>
            </w:pPr>
            <w:r w:rsidRPr="00E059D1">
              <w:rPr>
                <w:rFonts w:eastAsia="Times New Roman"/>
                <w:color w:val="000000"/>
                <w:szCs w:val="24"/>
              </w:rPr>
              <w:t>To enhance my academic performance</w:t>
            </w:r>
          </w:p>
        </w:tc>
        <w:tc>
          <w:tcPr>
            <w:tcW w:w="776" w:type="dxa"/>
            <w:tcBorders>
              <w:top w:val="nil"/>
              <w:left w:val="nil"/>
              <w:bottom w:val="nil"/>
              <w:right w:val="nil"/>
            </w:tcBorders>
            <w:shd w:val="clear" w:color="auto" w:fill="auto"/>
            <w:noWrap/>
            <w:vAlign w:val="bottom"/>
            <w:hideMark/>
          </w:tcPr>
          <w:p w:rsidR="008E0BEE" w:rsidRPr="00E059D1" w:rsidRDefault="008E0BEE" w:rsidP="00EB0228">
            <w:pPr>
              <w:spacing w:line="240" w:lineRule="auto"/>
              <w:ind w:firstLine="0"/>
              <w:jc w:val="center"/>
              <w:rPr>
                <w:rFonts w:eastAsia="Times New Roman"/>
                <w:color w:val="000000"/>
                <w:szCs w:val="24"/>
              </w:rPr>
            </w:pPr>
            <w:r w:rsidRPr="00E059D1">
              <w:rPr>
                <w:rFonts w:eastAsia="Times New Roman"/>
                <w:color w:val="000000"/>
                <w:szCs w:val="24"/>
              </w:rPr>
              <w:t>26</w:t>
            </w:r>
          </w:p>
        </w:tc>
        <w:tc>
          <w:tcPr>
            <w:tcW w:w="976" w:type="dxa"/>
            <w:tcBorders>
              <w:top w:val="nil"/>
              <w:left w:val="nil"/>
              <w:bottom w:val="nil"/>
              <w:right w:val="nil"/>
            </w:tcBorders>
            <w:shd w:val="clear" w:color="auto" w:fill="auto"/>
            <w:noWrap/>
            <w:vAlign w:val="bottom"/>
            <w:hideMark/>
          </w:tcPr>
          <w:p w:rsidR="008E0BEE" w:rsidRPr="00E059D1" w:rsidRDefault="008E0BEE" w:rsidP="00EB0228">
            <w:pPr>
              <w:spacing w:line="240" w:lineRule="auto"/>
              <w:ind w:firstLine="0"/>
              <w:jc w:val="center"/>
              <w:rPr>
                <w:rFonts w:eastAsia="Times New Roman"/>
                <w:color w:val="000000"/>
                <w:szCs w:val="24"/>
              </w:rPr>
            </w:pPr>
            <w:r w:rsidRPr="00E059D1">
              <w:rPr>
                <w:rFonts w:eastAsia="Times New Roman"/>
                <w:color w:val="000000"/>
                <w:szCs w:val="24"/>
              </w:rPr>
              <w:t>23</w:t>
            </w:r>
          </w:p>
        </w:tc>
      </w:tr>
      <w:tr w:rsidR="008E0BEE" w:rsidRPr="00E059D1" w:rsidTr="00203FEE">
        <w:trPr>
          <w:trHeight w:val="315"/>
        </w:trPr>
        <w:tc>
          <w:tcPr>
            <w:tcW w:w="7575" w:type="dxa"/>
            <w:tcBorders>
              <w:top w:val="nil"/>
              <w:left w:val="nil"/>
              <w:bottom w:val="nil"/>
              <w:right w:val="nil"/>
            </w:tcBorders>
            <w:shd w:val="clear" w:color="auto" w:fill="auto"/>
            <w:noWrap/>
            <w:vAlign w:val="center"/>
            <w:hideMark/>
          </w:tcPr>
          <w:p w:rsidR="008E0BEE" w:rsidRPr="00E059D1" w:rsidRDefault="008E0BEE" w:rsidP="00203FEE">
            <w:pPr>
              <w:spacing w:line="240" w:lineRule="auto"/>
              <w:ind w:firstLine="0"/>
              <w:rPr>
                <w:rFonts w:eastAsia="Times New Roman"/>
                <w:color w:val="000000"/>
                <w:szCs w:val="24"/>
              </w:rPr>
            </w:pPr>
            <w:r w:rsidRPr="00E059D1">
              <w:rPr>
                <w:rFonts w:eastAsia="Times New Roman"/>
                <w:color w:val="000000"/>
                <w:szCs w:val="24"/>
              </w:rPr>
              <w:t>To increase my alertness in order to work longer</w:t>
            </w:r>
          </w:p>
        </w:tc>
        <w:tc>
          <w:tcPr>
            <w:tcW w:w="776" w:type="dxa"/>
            <w:tcBorders>
              <w:top w:val="nil"/>
              <w:left w:val="nil"/>
              <w:bottom w:val="nil"/>
              <w:right w:val="nil"/>
            </w:tcBorders>
            <w:shd w:val="clear" w:color="auto" w:fill="auto"/>
            <w:noWrap/>
            <w:vAlign w:val="bottom"/>
            <w:hideMark/>
          </w:tcPr>
          <w:p w:rsidR="008E0BEE" w:rsidRPr="00E059D1" w:rsidRDefault="008E0BEE" w:rsidP="00EB0228">
            <w:pPr>
              <w:spacing w:line="240" w:lineRule="auto"/>
              <w:ind w:firstLine="0"/>
              <w:jc w:val="center"/>
              <w:rPr>
                <w:rFonts w:eastAsia="Times New Roman"/>
                <w:color w:val="000000"/>
                <w:szCs w:val="24"/>
              </w:rPr>
            </w:pPr>
            <w:r w:rsidRPr="00E059D1">
              <w:rPr>
                <w:rFonts w:eastAsia="Times New Roman"/>
                <w:color w:val="000000"/>
                <w:szCs w:val="24"/>
              </w:rPr>
              <w:t>18</w:t>
            </w:r>
          </w:p>
        </w:tc>
        <w:tc>
          <w:tcPr>
            <w:tcW w:w="976" w:type="dxa"/>
            <w:tcBorders>
              <w:top w:val="nil"/>
              <w:left w:val="nil"/>
              <w:bottom w:val="nil"/>
              <w:right w:val="nil"/>
            </w:tcBorders>
            <w:shd w:val="clear" w:color="auto" w:fill="auto"/>
            <w:noWrap/>
            <w:vAlign w:val="bottom"/>
            <w:hideMark/>
          </w:tcPr>
          <w:p w:rsidR="008E0BEE" w:rsidRPr="00E059D1" w:rsidRDefault="008E0BEE" w:rsidP="00EB0228">
            <w:pPr>
              <w:spacing w:line="240" w:lineRule="auto"/>
              <w:ind w:firstLine="0"/>
              <w:jc w:val="center"/>
              <w:rPr>
                <w:rFonts w:eastAsia="Times New Roman"/>
                <w:color w:val="000000"/>
                <w:szCs w:val="24"/>
              </w:rPr>
            </w:pPr>
            <w:r w:rsidRPr="00E059D1">
              <w:rPr>
                <w:rFonts w:eastAsia="Times New Roman"/>
                <w:color w:val="000000"/>
                <w:szCs w:val="24"/>
              </w:rPr>
              <w:t>27</w:t>
            </w:r>
          </w:p>
        </w:tc>
      </w:tr>
      <w:tr w:rsidR="008E0BEE" w:rsidRPr="00E059D1" w:rsidTr="00203FEE">
        <w:trPr>
          <w:trHeight w:val="315"/>
        </w:trPr>
        <w:tc>
          <w:tcPr>
            <w:tcW w:w="7575" w:type="dxa"/>
            <w:tcBorders>
              <w:top w:val="nil"/>
              <w:left w:val="nil"/>
              <w:bottom w:val="single" w:sz="4" w:space="0" w:color="auto"/>
              <w:right w:val="nil"/>
            </w:tcBorders>
            <w:shd w:val="clear" w:color="auto" w:fill="auto"/>
            <w:noWrap/>
            <w:vAlign w:val="center"/>
            <w:hideMark/>
          </w:tcPr>
          <w:p w:rsidR="008E0BEE" w:rsidRPr="00E059D1" w:rsidRDefault="008E0BEE" w:rsidP="00203FEE">
            <w:pPr>
              <w:spacing w:line="240" w:lineRule="auto"/>
              <w:ind w:firstLine="0"/>
              <w:rPr>
                <w:rFonts w:eastAsia="Times New Roman"/>
                <w:color w:val="000000"/>
                <w:szCs w:val="24"/>
              </w:rPr>
            </w:pPr>
            <w:r w:rsidRPr="00E059D1">
              <w:rPr>
                <w:rFonts w:eastAsia="Times New Roman"/>
                <w:color w:val="000000"/>
                <w:szCs w:val="24"/>
              </w:rPr>
              <w:t>To experiment</w:t>
            </w:r>
          </w:p>
        </w:tc>
        <w:tc>
          <w:tcPr>
            <w:tcW w:w="776" w:type="dxa"/>
            <w:tcBorders>
              <w:top w:val="nil"/>
              <w:left w:val="nil"/>
              <w:bottom w:val="single" w:sz="4" w:space="0" w:color="auto"/>
              <w:right w:val="nil"/>
            </w:tcBorders>
            <w:shd w:val="clear" w:color="auto" w:fill="auto"/>
            <w:noWrap/>
            <w:vAlign w:val="bottom"/>
            <w:hideMark/>
          </w:tcPr>
          <w:p w:rsidR="008E0BEE" w:rsidRPr="00E059D1" w:rsidRDefault="008E0BEE" w:rsidP="00EB0228">
            <w:pPr>
              <w:spacing w:line="240" w:lineRule="auto"/>
              <w:ind w:firstLine="0"/>
              <w:jc w:val="center"/>
              <w:rPr>
                <w:rFonts w:eastAsia="Times New Roman"/>
                <w:color w:val="000000"/>
                <w:szCs w:val="24"/>
              </w:rPr>
            </w:pPr>
            <w:r w:rsidRPr="00E059D1">
              <w:rPr>
                <w:rFonts w:eastAsia="Times New Roman"/>
                <w:color w:val="000000"/>
                <w:szCs w:val="24"/>
              </w:rPr>
              <w:t>14</w:t>
            </w:r>
          </w:p>
        </w:tc>
        <w:tc>
          <w:tcPr>
            <w:tcW w:w="976" w:type="dxa"/>
            <w:tcBorders>
              <w:top w:val="nil"/>
              <w:left w:val="nil"/>
              <w:bottom w:val="single" w:sz="4" w:space="0" w:color="auto"/>
              <w:right w:val="nil"/>
            </w:tcBorders>
            <w:shd w:val="clear" w:color="auto" w:fill="auto"/>
            <w:noWrap/>
            <w:vAlign w:val="bottom"/>
            <w:hideMark/>
          </w:tcPr>
          <w:p w:rsidR="008E0BEE" w:rsidRPr="00E059D1" w:rsidRDefault="008E0BEE" w:rsidP="00EB0228">
            <w:pPr>
              <w:spacing w:line="240" w:lineRule="auto"/>
              <w:ind w:firstLine="0"/>
              <w:jc w:val="center"/>
              <w:rPr>
                <w:rFonts w:eastAsia="Times New Roman"/>
                <w:color w:val="000000"/>
                <w:szCs w:val="24"/>
              </w:rPr>
            </w:pPr>
            <w:r w:rsidRPr="00E059D1">
              <w:rPr>
                <w:rFonts w:eastAsia="Times New Roman"/>
                <w:color w:val="000000"/>
                <w:szCs w:val="24"/>
              </w:rPr>
              <w:t>18</w:t>
            </w:r>
          </w:p>
        </w:tc>
      </w:tr>
    </w:tbl>
    <w:p w:rsidR="008E0BEE" w:rsidRDefault="008E0BEE" w:rsidP="008E0BEE">
      <w:pPr>
        <w:pStyle w:val="Heading3"/>
        <w:spacing w:before="240"/>
        <w:sectPr w:rsidR="008E0BEE" w:rsidSect="00FE256D">
          <w:pgSz w:w="12240" w:h="15840"/>
          <w:pgMar w:top="1440" w:right="1440" w:bottom="1440" w:left="1440" w:header="1440" w:footer="720" w:gutter="0"/>
          <w:cols w:space="720"/>
          <w:docGrid w:linePitch="360"/>
        </w:sectPr>
      </w:pPr>
    </w:p>
    <w:p w:rsidR="008E0BEE" w:rsidRPr="00DA24C1" w:rsidRDefault="008E0BEE" w:rsidP="008E0BEE">
      <w:pPr>
        <w:pStyle w:val="Heading3"/>
        <w:spacing w:before="240"/>
      </w:pPr>
      <w:r>
        <w:lastRenderedPageBreak/>
        <w:t>Research Question 3: Are graduate students who abuse prescription stimulants more likely to abuse other substances?</w:t>
      </w:r>
    </w:p>
    <w:p w:rsidR="008E0BEE" w:rsidRDefault="008E0BEE" w:rsidP="008E0BEE">
      <w:r>
        <w:t>A stepwise logistic regression analysis was used to answer research question three</w:t>
      </w:r>
      <w:r w:rsidR="00C0281A">
        <w:t xml:space="preserve"> because of logistic regression’s predictive power</w:t>
      </w:r>
      <w:r>
        <w:t>. A six step logistic model was constructed to analyze whether using prescription stimulants without a prescription in their lifetime increased the likelihood graduate students would abuse marijuana, cocaine, ecstasy, heroin, steroids, inhalants, psychedelics, crystal meth, or LSD. The stepwise logistic regression model produced two blocks: the beginning model (</w:t>
      </w:r>
      <w:r w:rsidRPr="006B006D">
        <w:t>B</w:t>
      </w:r>
      <w:r w:rsidRPr="00AF052F">
        <w:t>lock 1)</w:t>
      </w:r>
      <w:r>
        <w:rPr>
          <w:b/>
        </w:rPr>
        <w:t xml:space="preserve"> </w:t>
      </w:r>
      <w:r>
        <w:t xml:space="preserve">and the subsequent model. Block one controlled for gender, race, and income. Without controlling for gender, race, and income, the model failed the Hosmer and Lemeshow Test indicating the model did not adequately fit the data; therefore, the model could not accurately predict correct classification of illicit stimulant use. Block 2 began the forward stepwise logistic regression for marijuana, cocaine, ecstasy, heroin, steroids, inhalants, psychedelics, crystal meth, and LSD. Step </w:t>
      </w:r>
      <w:proofErr w:type="gramStart"/>
      <w:r>
        <w:t>one added marijuana</w:t>
      </w:r>
      <w:proofErr w:type="gramEnd"/>
      <w:r>
        <w:t xml:space="preserve">, step two added LSD, step three added ecstasy, step four added crystal meth, step five removed LSD, and step 6 added cocaine. Steroids, heroin, and inhalants were not entered into the model because no respondent indicated using these drugs within the last twelve months. </w:t>
      </w:r>
    </w:p>
    <w:p w:rsidR="008E0BEE" w:rsidRDefault="008E0BEE" w:rsidP="008E0BEE">
      <w:r>
        <w:t>The step with the best goodness of fit was selected, which was the sixth. The sixth step included yearly use of marijuana, cocaine, crystal meth, and ecstasy. The sixth step passed the Hosmer and Lemeshow test (χ</w:t>
      </w:r>
      <w:r>
        <w:rPr>
          <w:vertAlign w:val="superscript"/>
        </w:rPr>
        <w:t xml:space="preserve">2 </w:t>
      </w:r>
      <w:r w:rsidRPr="00E73422">
        <w:t>(</w:t>
      </w:r>
      <w:r>
        <w:t xml:space="preserve">7) = 11.501, </w:t>
      </w:r>
      <w:r>
        <w:rPr>
          <w:i/>
        </w:rPr>
        <w:t xml:space="preserve">p </w:t>
      </w:r>
      <w:r>
        <w:t>= .074) as a good fit for the data, indicating illicit stimulant use significantly predict</w:t>
      </w:r>
      <w:r w:rsidR="00331650">
        <w:t>s</w:t>
      </w:r>
      <w:r>
        <w:t xml:space="preserve"> polysubstance use. Additionally, step six had the lowest </w:t>
      </w:r>
      <w:r w:rsidR="00EB0228">
        <w:br/>
      </w:r>
      <w:r>
        <w:t>-2Log Goodness of Fit value of 699.515 (χ</w:t>
      </w:r>
      <w:r>
        <w:rPr>
          <w:vertAlign w:val="superscript"/>
        </w:rPr>
        <w:t xml:space="preserve">2 </w:t>
      </w:r>
      <w:r w:rsidRPr="00E73422">
        <w:t>(</w:t>
      </w:r>
      <w:r>
        <w:t xml:space="preserve">6) = 123.439, </w:t>
      </w:r>
      <w:r>
        <w:rPr>
          <w:i/>
        </w:rPr>
        <w:t>p</w:t>
      </w:r>
      <w:r>
        <w:t xml:space="preserve"> &lt; .001) with a</w:t>
      </w:r>
      <w:r>
        <w:rPr>
          <w:i/>
        </w:rPr>
        <w:t xml:space="preserve"> </w:t>
      </w:r>
      <w:r>
        <w:t>Cox &amp; Snell R</w:t>
      </w:r>
      <w:r>
        <w:rPr>
          <w:vertAlign w:val="superscript"/>
        </w:rPr>
        <w:t xml:space="preserve">2 </w:t>
      </w:r>
      <w:r>
        <w:t>of .123 also indicating the model to be a good fit for the data.</w:t>
      </w:r>
    </w:p>
    <w:p w:rsidR="008E0BEE" w:rsidRDefault="008E0BEE" w:rsidP="008E0BEE">
      <w:r>
        <w:lastRenderedPageBreak/>
        <w:t xml:space="preserve">The classification metrics indicate the sensitivity and specificity of the model in predicting illicit use of illegal drugs and prescription stimulants. In other words, as indicated in Table 2, the classification table indicates the accuracy for predicating illicit use of prescription stimulants. Of those that did not illicitly use prescription stimulants, 97.2% </w:t>
      </w:r>
      <w:proofErr w:type="gramStart"/>
      <w:r>
        <w:t>were correctly classified</w:t>
      </w:r>
      <w:proofErr w:type="gramEnd"/>
      <w:r>
        <w:t xml:space="preserve"> and 24.8% of those who did illicitly use prescription stimulants were also correctly classified, which presented an overall correct classification of 8</w:t>
      </w:r>
      <w:r w:rsidR="00024EAE">
        <w:t>6</w:t>
      </w:r>
      <w:r>
        <w:t>%. The model was able to correctly predict those who illicitly used prescription stimulants 24.8% of the time, and for those who did not illicitly use prescription stimulants, the model was able to successfully predict respondents 97.2% of the time for an overall correct predication rate of 8</w:t>
      </w:r>
      <w:r w:rsidR="00024EAE">
        <w:t>6</w:t>
      </w:r>
      <w:r>
        <w:t>%.</w:t>
      </w:r>
    </w:p>
    <w:tbl>
      <w:tblPr>
        <w:tblW w:w="6069" w:type="dxa"/>
        <w:jc w:val="center"/>
        <w:tblInd w:w="93" w:type="dxa"/>
        <w:tblLook w:val="04A0" w:firstRow="1" w:lastRow="0" w:firstColumn="1" w:lastColumn="0" w:noHBand="0" w:noVBand="1"/>
      </w:tblPr>
      <w:tblGrid>
        <w:gridCol w:w="960"/>
        <w:gridCol w:w="960"/>
        <w:gridCol w:w="960"/>
        <w:gridCol w:w="960"/>
        <w:gridCol w:w="960"/>
        <w:gridCol w:w="1269"/>
      </w:tblGrid>
      <w:tr w:rsidR="008E0BEE" w:rsidRPr="00E60223" w:rsidTr="00203FEE">
        <w:trPr>
          <w:trHeight w:val="315"/>
          <w:jc w:val="center"/>
        </w:trPr>
        <w:tc>
          <w:tcPr>
            <w:tcW w:w="960" w:type="dxa"/>
            <w:tcBorders>
              <w:top w:val="nil"/>
              <w:left w:val="nil"/>
              <w:bottom w:val="nil"/>
              <w:right w:val="nil"/>
            </w:tcBorders>
            <w:shd w:val="clear" w:color="auto" w:fill="auto"/>
            <w:noWrap/>
            <w:vAlign w:val="bottom"/>
            <w:hideMark/>
          </w:tcPr>
          <w:p w:rsidR="008E0BEE" w:rsidRPr="00E60223" w:rsidRDefault="008E0BEE" w:rsidP="00203FEE">
            <w:pPr>
              <w:spacing w:line="240" w:lineRule="auto"/>
              <w:ind w:firstLine="0"/>
              <w:rPr>
                <w:rFonts w:eastAsia="Times New Roman"/>
                <w:color w:val="000000"/>
                <w:szCs w:val="24"/>
              </w:rPr>
            </w:pPr>
            <w:r>
              <w:rPr>
                <w:rFonts w:eastAsia="Times New Roman"/>
                <w:color w:val="000000"/>
                <w:szCs w:val="24"/>
              </w:rPr>
              <w:t>Table 2</w:t>
            </w:r>
          </w:p>
        </w:tc>
        <w:tc>
          <w:tcPr>
            <w:tcW w:w="960" w:type="dxa"/>
            <w:tcBorders>
              <w:top w:val="nil"/>
              <w:left w:val="nil"/>
              <w:bottom w:val="nil"/>
              <w:right w:val="nil"/>
            </w:tcBorders>
            <w:shd w:val="clear" w:color="auto" w:fill="auto"/>
            <w:noWrap/>
            <w:vAlign w:val="bottom"/>
            <w:hideMark/>
          </w:tcPr>
          <w:p w:rsidR="008E0BEE" w:rsidRPr="00E60223" w:rsidRDefault="008E0BEE" w:rsidP="00203FEE">
            <w:pPr>
              <w:spacing w:line="240" w:lineRule="auto"/>
              <w:ind w:firstLine="0"/>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8E0BEE" w:rsidRPr="00E60223" w:rsidRDefault="008E0BEE" w:rsidP="00203FEE">
            <w:pPr>
              <w:spacing w:line="240" w:lineRule="auto"/>
              <w:ind w:firstLine="0"/>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8E0BEE" w:rsidRPr="00E60223" w:rsidRDefault="008E0BEE" w:rsidP="00203FEE">
            <w:pPr>
              <w:spacing w:line="240" w:lineRule="auto"/>
              <w:ind w:firstLine="0"/>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8E0BEE" w:rsidRPr="00E60223" w:rsidRDefault="008E0BEE" w:rsidP="00203FEE">
            <w:pPr>
              <w:spacing w:line="240" w:lineRule="auto"/>
              <w:ind w:firstLine="0"/>
              <w:rPr>
                <w:rFonts w:ascii="Calibri" w:eastAsia="Times New Roman" w:hAnsi="Calibri" w:cs="Calibri"/>
                <w:color w:val="000000"/>
              </w:rPr>
            </w:pPr>
          </w:p>
        </w:tc>
        <w:tc>
          <w:tcPr>
            <w:tcW w:w="1269" w:type="dxa"/>
            <w:tcBorders>
              <w:top w:val="nil"/>
              <w:left w:val="nil"/>
              <w:bottom w:val="nil"/>
              <w:right w:val="nil"/>
            </w:tcBorders>
            <w:shd w:val="clear" w:color="auto" w:fill="auto"/>
            <w:noWrap/>
            <w:vAlign w:val="bottom"/>
            <w:hideMark/>
          </w:tcPr>
          <w:p w:rsidR="008E0BEE" w:rsidRPr="00E60223" w:rsidRDefault="008E0BEE" w:rsidP="00203FEE">
            <w:pPr>
              <w:spacing w:line="240" w:lineRule="auto"/>
              <w:ind w:firstLine="0"/>
              <w:rPr>
                <w:rFonts w:ascii="Calibri" w:eastAsia="Times New Roman" w:hAnsi="Calibri" w:cs="Calibri"/>
                <w:color w:val="000000"/>
              </w:rPr>
            </w:pPr>
          </w:p>
        </w:tc>
      </w:tr>
      <w:tr w:rsidR="008E0BEE" w:rsidRPr="00E60223" w:rsidTr="00203FEE">
        <w:trPr>
          <w:trHeight w:val="315"/>
          <w:jc w:val="center"/>
        </w:trPr>
        <w:tc>
          <w:tcPr>
            <w:tcW w:w="6069" w:type="dxa"/>
            <w:gridSpan w:val="6"/>
            <w:tcBorders>
              <w:top w:val="nil"/>
              <w:left w:val="nil"/>
              <w:bottom w:val="single" w:sz="4" w:space="0" w:color="auto"/>
              <w:right w:val="nil"/>
            </w:tcBorders>
            <w:shd w:val="clear" w:color="auto" w:fill="auto"/>
            <w:vAlign w:val="center"/>
            <w:hideMark/>
          </w:tcPr>
          <w:p w:rsidR="008E0BEE" w:rsidRPr="00E60223" w:rsidRDefault="008E0BEE" w:rsidP="00203FEE">
            <w:pPr>
              <w:spacing w:line="240" w:lineRule="auto"/>
              <w:ind w:firstLine="0"/>
              <w:rPr>
                <w:rFonts w:eastAsia="Times New Roman"/>
                <w:i/>
                <w:iCs/>
                <w:color w:val="000000"/>
                <w:szCs w:val="24"/>
              </w:rPr>
            </w:pPr>
            <w:r w:rsidRPr="00E60223">
              <w:rPr>
                <w:rFonts w:eastAsia="Times New Roman"/>
                <w:i/>
                <w:iCs/>
                <w:color w:val="000000"/>
                <w:szCs w:val="24"/>
              </w:rPr>
              <w:t xml:space="preserve">Classification </w:t>
            </w:r>
            <w:proofErr w:type="spellStart"/>
            <w:r w:rsidRPr="00E60223">
              <w:rPr>
                <w:rFonts w:eastAsia="Times New Roman"/>
                <w:i/>
                <w:iCs/>
                <w:color w:val="000000"/>
                <w:szCs w:val="24"/>
              </w:rPr>
              <w:t>Table</w:t>
            </w:r>
            <w:r w:rsidRPr="00E60223">
              <w:rPr>
                <w:rFonts w:eastAsia="Times New Roman"/>
                <w:i/>
                <w:iCs/>
                <w:color w:val="000000"/>
                <w:szCs w:val="24"/>
                <w:vertAlign w:val="superscript"/>
              </w:rPr>
              <w:t>a</w:t>
            </w:r>
            <w:proofErr w:type="spellEnd"/>
          </w:p>
        </w:tc>
      </w:tr>
      <w:tr w:rsidR="008E0BEE" w:rsidRPr="00E60223" w:rsidTr="00203FEE">
        <w:trPr>
          <w:trHeight w:val="315"/>
          <w:jc w:val="center"/>
        </w:trPr>
        <w:tc>
          <w:tcPr>
            <w:tcW w:w="2880" w:type="dxa"/>
            <w:gridSpan w:val="3"/>
            <w:vMerge w:val="restart"/>
            <w:tcBorders>
              <w:top w:val="single" w:sz="4" w:space="0" w:color="auto"/>
              <w:left w:val="nil"/>
              <w:bottom w:val="single" w:sz="4" w:space="0" w:color="000000"/>
              <w:right w:val="nil"/>
            </w:tcBorders>
            <w:shd w:val="clear" w:color="auto" w:fill="auto"/>
            <w:vAlign w:val="bottom"/>
            <w:hideMark/>
          </w:tcPr>
          <w:p w:rsidR="008E0BEE" w:rsidRPr="00E60223" w:rsidRDefault="008E0BEE" w:rsidP="00203FEE">
            <w:pPr>
              <w:spacing w:line="240" w:lineRule="auto"/>
              <w:ind w:firstLine="0"/>
              <w:rPr>
                <w:rFonts w:eastAsia="Times New Roman"/>
                <w:color w:val="000000"/>
                <w:szCs w:val="24"/>
              </w:rPr>
            </w:pPr>
            <w:r w:rsidRPr="00E60223">
              <w:rPr>
                <w:rFonts w:eastAsia="Times New Roman"/>
                <w:color w:val="000000"/>
                <w:szCs w:val="24"/>
              </w:rPr>
              <w:t>Observed</w:t>
            </w:r>
          </w:p>
        </w:tc>
        <w:tc>
          <w:tcPr>
            <w:tcW w:w="3189" w:type="dxa"/>
            <w:gridSpan w:val="3"/>
            <w:tcBorders>
              <w:top w:val="single" w:sz="4" w:space="0" w:color="auto"/>
              <w:left w:val="nil"/>
              <w:bottom w:val="single" w:sz="4" w:space="0" w:color="000000"/>
              <w:right w:val="nil"/>
            </w:tcBorders>
            <w:shd w:val="clear" w:color="auto" w:fill="auto"/>
            <w:vAlign w:val="bottom"/>
            <w:hideMark/>
          </w:tcPr>
          <w:p w:rsidR="008E0BEE" w:rsidRPr="00E60223" w:rsidRDefault="008E0BEE" w:rsidP="00203FEE">
            <w:pPr>
              <w:spacing w:line="240" w:lineRule="auto"/>
              <w:ind w:firstLine="0"/>
              <w:jc w:val="center"/>
              <w:rPr>
                <w:rFonts w:eastAsia="Times New Roman"/>
                <w:color w:val="000000"/>
                <w:szCs w:val="24"/>
              </w:rPr>
            </w:pPr>
            <w:r w:rsidRPr="00E60223">
              <w:rPr>
                <w:rFonts w:eastAsia="Times New Roman"/>
                <w:color w:val="000000"/>
                <w:szCs w:val="24"/>
              </w:rPr>
              <w:t>Predicted</w:t>
            </w:r>
          </w:p>
        </w:tc>
      </w:tr>
      <w:tr w:rsidR="008E0BEE" w:rsidRPr="00E60223" w:rsidTr="00203FEE">
        <w:trPr>
          <w:trHeight w:val="315"/>
          <w:jc w:val="center"/>
        </w:trPr>
        <w:tc>
          <w:tcPr>
            <w:tcW w:w="2880" w:type="dxa"/>
            <w:gridSpan w:val="3"/>
            <w:vMerge/>
            <w:tcBorders>
              <w:top w:val="single" w:sz="4" w:space="0" w:color="auto"/>
              <w:left w:val="nil"/>
              <w:bottom w:val="single" w:sz="4" w:space="0" w:color="000000"/>
              <w:right w:val="nil"/>
            </w:tcBorders>
            <w:vAlign w:val="center"/>
            <w:hideMark/>
          </w:tcPr>
          <w:p w:rsidR="008E0BEE" w:rsidRPr="00E60223" w:rsidRDefault="008E0BEE" w:rsidP="00203FEE">
            <w:pPr>
              <w:spacing w:line="240" w:lineRule="auto"/>
              <w:ind w:firstLine="0"/>
              <w:rPr>
                <w:rFonts w:eastAsia="Times New Roman"/>
                <w:color w:val="000000"/>
                <w:szCs w:val="24"/>
              </w:rPr>
            </w:pPr>
          </w:p>
        </w:tc>
        <w:tc>
          <w:tcPr>
            <w:tcW w:w="1920" w:type="dxa"/>
            <w:gridSpan w:val="2"/>
            <w:tcBorders>
              <w:top w:val="single" w:sz="4" w:space="0" w:color="000000"/>
              <w:left w:val="nil"/>
              <w:bottom w:val="single" w:sz="4" w:space="0" w:color="000000"/>
              <w:right w:val="nil"/>
            </w:tcBorders>
            <w:shd w:val="clear" w:color="auto" w:fill="auto"/>
            <w:vAlign w:val="bottom"/>
            <w:hideMark/>
          </w:tcPr>
          <w:p w:rsidR="008E0BEE" w:rsidRPr="00E60223" w:rsidRDefault="008E0BEE" w:rsidP="00203FEE">
            <w:pPr>
              <w:spacing w:line="240" w:lineRule="auto"/>
              <w:ind w:firstLine="0"/>
              <w:jc w:val="center"/>
              <w:rPr>
                <w:rFonts w:eastAsia="Times New Roman"/>
                <w:color w:val="000000"/>
                <w:szCs w:val="24"/>
              </w:rPr>
            </w:pPr>
            <w:r w:rsidRPr="00E60223">
              <w:rPr>
                <w:rFonts w:eastAsia="Times New Roman"/>
                <w:color w:val="000000"/>
                <w:szCs w:val="24"/>
              </w:rPr>
              <w:t>Illicit use</w:t>
            </w:r>
          </w:p>
        </w:tc>
        <w:tc>
          <w:tcPr>
            <w:tcW w:w="1269" w:type="dxa"/>
            <w:vMerge w:val="restart"/>
            <w:tcBorders>
              <w:top w:val="nil"/>
              <w:left w:val="nil"/>
              <w:bottom w:val="single" w:sz="4" w:space="0" w:color="000000"/>
              <w:right w:val="nil"/>
            </w:tcBorders>
            <w:shd w:val="clear" w:color="auto" w:fill="auto"/>
            <w:vAlign w:val="bottom"/>
            <w:hideMark/>
          </w:tcPr>
          <w:p w:rsidR="008E0BEE" w:rsidRPr="00E60223" w:rsidRDefault="008E0BEE" w:rsidP="00203FEE">
            <w:pPr>
              <w:spacing w:line="240" w:lineRule="auto"/>
              <w:ind w:firstLine="0"/>
              <w:jc w:val="center"/>
              <w:rPr>
                <w:rFonts w:eastAsia="Times New Roman"/>
                <w:color w:val="000000"/>
                <w:szCs w:val="24"/>
              </w:rPr>
            </w:pPr>
            <w:r w:rsidRPr="00E60223">
              <w:rPr>
                <w:rFonts w:eastAsia="Times New Roman"/>
                <w:color w:val="000000"/>
                <w:szCs w:val="24"/>
              </w:rPr>
              <w:t>Percentage Correct</w:t>
            </w:r>
          </w:p>
        </w:tc>
      </w:tr>
      <w:tr w:rsidR="008E0BEE" w:rsidRPr="00E60223" w:rsidTr="00203FEE">
        <w:trPr>
          <w:trHeight w:val="315"/>
          <w:jc w:val="center"/>
        </w:trPr>
        <w:tc>
          <w:tcPr>
            <w:tcW w:w="2880" w:type="dxa"/>
            <w:gridSpan w:val="3"/>
            <w:vMerge/>
            <w:tcBorders>
              <w:top w:val="single" w:sz="4" w:space="0" w:color="auto"/>
              <w:left w:val="nil"/>
              <w:bottom w:val="single" w:sz="4" w:space="0" w:color="000000"/>
              <w:right w:val="nil"/>
            </w:tcBorders>
            <w:vAlign w:val="center"/>
            <w:hideMark/>
          </w:tcPr>
          <w:p w:rsidR="008E0BEE" w:rsidRPr="00E60223" w:rsidRDefault="008E0BEE" w:rsidP="00203FEE">
            <w:pPr>
              <w:spacing w:line="240" w:lineRule="auto"/>
              <w:ind w:firstLine="0"/>
              <w:rPr>
                <w:rFonts w:eastAsia="Times New Roman"/>
                <w:color w:val="000000"/>
                <w:szCs w:val="24"/>
              </w:rPr>
            </w:pPr>
          </w:p>
        </w:tc>
        <w:tc>
          <w:tcPr>
            <w:tcW w:w="960" w:type="dxa"/>
            <w:tcBorders>
              <w:top w:val="nil"/>
              <w:left w:val="nil"/>
              <w:bottom w:val="single" w:sz="4" w:space="0" w:color="auto"/>
              <w:right w:val="nil"/>
            </w:tcBorders>
            <w:shd w:val="clear" w:color="auto" w:fill="auto"/>
            <w:vAlign w:val="bottom"/>
            <w:hideMark/>
          </w:tcPr>
          <w:p w:rsidR="008E0BEE" w:rsidRPr="00E60223" w:rsidRDefault="008E0BEE" w:rsidP="00203FEE">
            <w:pPr>
              <w:spacing w:line="240" w:lineRule="auto"/>
              <w:ind w:firstLine="0"/>
              <w:jc w:val="center"/>
              <w:rPr>
                <w:rFonts w:eastAsia="Times New Roman"/>
                <w:color w:val="000000"/>
                <w:szCs w:val="24"/>
              </w:rPr>
            </w:pPr>
            <w:r w:rsidRPr="00E60223">
              <w:rPr>
                <w:rFonts w:eastAsia="Times New Roman"/>
                <w:color w:val="000000"/>
                <w:szCs w:val="24"/>
              </w:rPr>
              <w:t>No</w:t>
            </w:r>
          </w:p>
        </w:tc>
        <w:tc>
          <w:tcPr>
            <w:tcW w:w="960" w:type="dxa"/>
            <w:tcBorders>
              <w:top w:val="nil"/>
              <w:left w:val="nil"/>
              <w:bottom w:val="single" w:sz="4" w:space="0" w:color="auto"/>
              <w:right w:val="nil"/>
            </w:tcBorders>
            <w:shd w:val="clear" w:color="auto" w:fill="auto"/>
            <w:vAlign w:val="bottom"/>
            <w:hideMark/>
          </w:tcPr>
          <w:p w:rsidR="008E0BEE" w:rsidRPr="00E60223" w:rsidRDefault="008E0BEE" w:rsidP="00203FEE">
            <w:pPr>
              <w:spacing w:line="240" w:lineRule="auto"/>
              <w:ind w:firstLine="0"/>
              <w:jc w:val="center"/>
              <w:rPr>
                <w:rFonts w:eastAsia="Times New Roman"/>
                <w:color w:val="000000"/>
                <w:szCs w:val="24"/>
              </w:rPr>
            </w:pPr>
            <w:r w:rsidRPr="00E60223">
              <w:rPr>
                <w:rFonts w:eastAsia="Times New Roman"/>
                <w:color w:val="000000"/>
                <w:szCs w:val="24"/>
              </w:rPr>
              <w:t>Yes</w:t>
            </w:r>
          </w:p>
        </w:tc>
        <w:tc>
          <w:tcPr>
            <w:tcW w:w="1269" w:type="dxa"/>
            <w:vMerge/>
            <w:tcBorders>
              <w:top w:val="nil"/>
              <w:left w:val="nil"/>
              <w:bottom w:val="single" w:sz="4" w:space="0" w:color="000000"/>
              <w:right w:val="nil"/>
            </w:tcBorders>
            <w:vAlign w:val="center"/>
            <w:hideMark/>
          </w:tcPr>
          <w:p w:rsidR="008E0BEE" w:rsidRPr="00E60223" w:rsidRDefault="008E0BEE" w:rsidP="00203FEE">
            <w:pPr>
              <w:spacing w:line="240" w:lineRule="auto"/>
              <w:ind w:firstLine="0"/>
              <w:rPr>
                <w:rFonts w:eastAsia="Times New Roman"/>
                <w:color w:val="000000"/>
                <w:szCs w:val="24"/>
              </w:rPr>
            </w:pPr>
          </w:p>
        </w:tc>
      </w:tr>
      <w:tr w:rsidR="008E0BEE" w:rsidRPr="00E60223" w:rsidTr="00203FEE">
        <w:trPr>
          <w:trHeight w:val="315"/>
          <w:jc w:val="center"/>
        </w:trPr>
        <w:tc>
          <w:tcPr>
            <w:tcW w:w="960" w:type="dxa"/>
            <w:vMerge w:val="restart"/>
            <w:tcBorders>
              <w:top w:val="nil"/>
              <w:left w:val="nil"/>
              <w:bottom w:val="single" w:sz="4" w:space="0" w:color="000000"/>
              <w:right w:val="nil"/>
            </w:tcBorders>
            <w:shd w:val="clear" w:color="auto" w:fill="auto"/>
            <w:hideMark/>
          </w:tcPr>
          <w:p w:rsidR="008E0BEE" w:rsidRPr="00E60223" w:rsidRDefault="008E0BEE" w:rsidP="00203FEE">
            <w:pPr>
              <w:spacing w:line="240" w:lineRule="auto"/>
              <w:ind w:firstLine="0"/>
              <w:rPr>
                <w:rFonts w:eastAsia="Times New Roman"/>
                <w:color w:val="000000"/>
                <w:szCs w:val="24"/>
              </w:rPr>
            </w:pPr>
            <w:r w:rsidRPr="00E60223">
              <w:rPr>
                <w:rFonts w:eastAsia="Times New Roman"/>
                <w:color w:val="000000"/>
                <w:szCs w:val="24"/>
              </w:rPr>
              <w:t>Step 1</w:t>
            </w:r>
          </w:p>
        </w:tc>
        <w:tc>
          <w:tcPr>
            <w:tcW w:w="960" w:type="dxa"/>
            <w:vMerge w:val="restart"/>
            <w:tcBorders>
              <w:top w:val="nil"/>
              <w:left w:val="nil"/>
              <w:bottom w:val="nil"/>
              <w:right w:val="nil"/>
            </w:tcBorders>
            <w:shd w:val="clear" w:color="auto" w:fill="auto"/>
            <w:hideMark/>
          </w:tcPr>
          <w:p w:rsidR="008E0BEE" w:rsidRPr="00E60223" w:rsidRDefault="008E0BEE" w:rsidP="00203FEE">
            <w:pPr>
              <w:spacing w:line="240" w:lineRule="auto"/>
              <w:ind w:firstLine="0"/>
              <w:rPr>
                <w:rFonts w:eastAsia="Times New Roman"/>
                <w:color w:val="000000"/>
                <w:szCs w:val="24"/>
              </w:rPr>
            </w:pPr>
            <w:r w:rsidRPr="00E60223">
              <w:rPr>
                <w:rFonts w:eastAsia="Times New Roman"/>
                <w:color w:val="000000"/>
                <w:szCs w:val="24"/>
              </w:rPr>
              <w:t>Illicit use</w:t>
            </w:r>
          </w:p>
        </w:tc>
        <w:tc>
          <w:tcPr>
            <w:tcW w:w="960" w:type="dxa"/>
            <w:tcBorders>
              <w:top w:val="nil"/>
              <w:left w:val="nil"/>
              <w:bottom w:val="nil"/>
              <w:right w:val="nil"/>
            </w:tcBorders>
            <w:shd w:val="clear" w:color="auto" w:fill="auto"/>
            <w:hideMark/>
          </w:tcPr>
          <w:p w:rsidR="008E0BEE" w:rsidRPr="00E60223" w:rsidRDefault="008E0BEE" w:rsidP="00203FEE">
            <w:pPr>
              <w:spacing w:line="240" w:lineRule="auto"/>
              <w:ind w:firstLine="0"/>
              <w:rPr>
                <w:rFonts w:eastAsia="Times New Roman"/>
                <w:color w:val="000000"/>
                <w:szCs w:val="24"/>
              </w:rPr>
            </w:pPr>
            <w:r w:rsidRPr="00E60223">
              <w:rPr>
                <w:rFonts w:eastAsia="Times New Roman"/>
                <w:color w:val="000000"/>
                <w:szCs w:val="24"/>
              </w:rPr>
              <w:t>No</w:t>
            </w:r>
          </w:p>
        </w:tc>
        <w:tc>
          <w:tcPr>
            <w:tcW w:w="960" w:type="dxa"/>
            <w:tcBorders>
              <w:top w:val="nil"/>
              <w:left w:val="nil"/>
              <w:bottom w:val="nil"/>
              <w:right w:val="nil"/>
            </w:tcBorders>
            <w:shd w:val="clear" w:color="auto" w:fill="auto"/>
            <w:noWrap/>
            <w:hideMark/>
          </w:tcPr>
          <w:p w:rsidR="008E0BEE" w:rsidRPr="00E60223" w:rsidRDefault="008E0BEE" w:rsidP="00203FEE">
            <w:pPr>
              <w:spacing w:line="240" w:lineRule="auto"/>
              <w:ind w:firstLine="0"/>
              <w:jc w:val="center"/>
              <w:rPr>
                <w:rFonts w:eastAsia="Times New Roman"/>
                <w:color w:val="000000"/>
                <w:szCs w:val="24"/>
              </w:rPr>
            </w:pPr>
            <w:r>
              <w:rPr>
                <w:rFonts w:eastAsia="Times New Roman"/>
                <w:color w:val="000000"/>
                <w:szCs w:val="24"/>
              </w:rPr>
              <w:t>772</w:t>
            </w:r>
          </w:p>
        </w:tc>
        <w:tc>
          <w:tcPr>
            <w:tcW w:w="960" w:type="dxa"/>
            <w:tcBorders>
              <w:top w:val="nil"/>
              <w:left w:val="nil"/>
              <w:bottom w:val="nil"/>
              <w:right w:val="nil"/>
            </w:tcBorders>
            <w:shd w:val="clear" w:color="auto" w:fill="auto"/>
            <w:noWrap/>
            <w:hideMark/>
          </w:tcPr>
          <w:p w:rsidR="008E0BEE" w:rsidRPr="00E60223" w:rsidRDefault="008E0BEE" w:rsidP="00203FEE">
            <w:pPr>
              <w:spacing w:line="240" w:lineRule="auto"/>
              <w:ind w:firstLine="0"/>
              <w:jc w:val="center"/>
              <w:rPr>
                <w:rFonts w:eastAsia="Times New Roman"/>
                <w:color w:val="000000"/>
                <w:szCs w:val="24"/>
              </w:rPr>
            </w:pPr>
            <w:r w:rsidRPr="00E60223">
              <w:rPr>
                <w:rFonts w:eastAsia="Times New Roman"/>
                <w:color w:val="000000"/>
                <w:szCs w:val="24"/>
              </w:rPr>
              <w:t>22</w:t>
            </w:r>
          </w:p>
        </w:tc>
        <w:tc>
          <w:tcPr>
            <w:tcW w:w="1269" w:type="dxa"/>
            <w:tcBorders>
              <w:top w:val="nil"/>
              <w:left w:val="nil"/>
              <w:bottom w:val="nil"/>
              <w:right w:val="nil"/>
            </w:tcBorders>
            <w:shd w:val="clear" w:color="auto" w:fill="auto"/>
            <w:noWrap/>
            <w:hideMark/>
          </w:tcPr>
          <w:p w:rsidR="008E0BEE" w:rsidRPr="00E60223" w:rsidRDefault="008E0BEE" w:rsidP="00203FEE">
            <w:pPr>
              <w:spacing w:line="240" w:lineRule="auto"/>
              <w:ind w:firstLine="0"/>
              <w:jc w:val="center"/>
              <w:rPr>
                <w:rFonts w:eastAsia="Times New Roman"/>
                <w:color w:val="000000"/>
                <w:szCs w:val="24"/>
              </w:rPr>
            </w:pPr>
            <w:r>
              <w:rPr>
                <w:rFonts w:eastAsia="Times New Roman"/>
                <w:color w:val="000000"/>
                <w:szCs w:val="24"/>
              </w:rPr>
              <w:t>97.2</w:t>
            </w:r>
          </w:p>
        </w:tc>
      </w:tr>
      <w:tr w:rsidR="008E0BEE" w:rsidRPr="00E60223" w:rsidTr="00203FEE">
        <w:trPr>
          <w:trHeight w:val="315"/>
          <w:jc w:val="center"/>
        </w:trPr>
        <w:tc>
          <w:tcPr>
            <w:tcW w:w="960" w:type="dxa"/>
            <w:vMerge/>
            <w:tcBorders>
              <w:top w:val="nil"/>
              <w:left w:val="nil"/>
              <w:bottom w:val="single" w:sz="4" w:space="0" w:color="000000"/>
              <w:right w:val="nil"/>
            </w:tcBorders>
            <w:vAlign w:val="center"/>
            <w:hideMark/>
          </w:tcPr>
          <w:p w:rsidR="008E0BEE" w:rsidRPr="00E60223" w:rsidRDefault="008E0BEE" w:rsidP="00203FEE">
            <w:pPr>
              <w:spacing w:line="240" w:lineRule="auto"/>
              <w:ind w:firstLine="0"/>
              <w:rPr>
                <w:rFonts w:eastAsia="Times New Roman"/>
                <w:color w:val="000000"/>
                <w:szCs w:val="24"/>
              </w:rPr>
            </w:pPr>
          </w:p>
        </w:tc>
        <w:tc>
          <w:tcPr>
            <w:tcW w:w="960" w:type="dxa"/>
            <w:vMerge/>
            <w:tcBorders>
              <w:top w:val="nil"/>
              <w:left w:val="nil"/>
              <w:bottom w:val="nil"/>
              <w:right w:val="nil"/>
            </w:tcBorders>
            <w:vAlign w:val="center"/>
            <w:hideMark/>
          </w:tcPr>
          <w:p w:rsidR="008E0BEE" w:rsidRPr="00E60223" w:rsidRDefault="008E0BEE" w:rsidP="00203FEE">
            <w:pPr>
              <w:spacing w:line="240" w:lineRule="auto"/>
              <w:ind w:firstLine="0"/>
              <w:rPr>
                <w:rFonts w:eastAsia="Times New Roman"/>
                <w:color w:val="000000"/>
                <w:szCs w:val="24"/>
              </w:rPr>
            </w:pPr>
          </w:p>
        </w:tc>
        <w:tc>
          <w:tcPr>
            <w:tcW w:w="960" w:type="dxa"/>
            <w:tcBorders>
              <w:top w:val="nil"/>
              <w:left w:val="nil"/>
              <w:bottom w:val="nil"/>
              <w:right w:val="nil"/>
            </w:tcBorders>
            <w:shd w:val="clear" w:color="auto" w:fill="auto"/>
            <w:hideMark/>
          </w:tcPr>
          <w:p w:rsidR="008E0BEE" w:rsidRPr="00E60223" w:rsidRDefault="008E0BEE" w:rsidP="00203FEE">
            <w:pPr>
              <w:spacing w:line="240" w:lineRule="auto"/>
              <w:ind w:firstLine="0"/>
              <w:rPr>
                <w:rFonts w:eastAsia="Times New Roman"/>
                <w:color w:val="000000"/>
                <w:szCs w:val="24"/>
              </w:rPr>
            </w:pPr>
            <w:r w:rsidRPr="00E60223">
              <w:rPr>
                <w:rFonts w:eastAsia="Times New Roman"/>
                <w:color w:val="000000"/>
                <w:szCs w:val="24"/>
              </w:rPr>
              <w:t>Yes</w:t>
            </w:r>
          </w:p>
        </w:tc>
        <w:tc>
          <w:tcPr>
            <w:tcW w:w="960" w:type="dxa"/>
            <w:tcBorders>
              <w:top w:val="nil"/>
              <w:left w:val="nil"/>
              <w:bottom w:val="nil"/>
              <w:right w:val="nil"/>
            </w:tcBorders>
            <w:shd w:val="clear" w:color="auto" w:fill="auto"/>
            <w:noWrap/>
            <w:hideMark/>
          </w:tcPr>
          <w:p w:rsidR="008E0BEE" w:rsidRPr="00E60223" w:rsidRDefault="008E0BEE" w:rsidP="00203FEE">
            <w:pPr>
              <w:spacing w:line="240" w:lineRule="auto"/>
              <w:ind w:firstLine="0"/>
              <w:jc w:val="center"/>
              <w:rPr>
                <w:rFonts w:eastAsia="Times New Roman"/>
                <w:color w:val="000000"/>
                <w:szCs w:val="24"/>
              </w:rPr>
            </w:pPr>
            <w:r w:rsidRPr="00E60223">
              <w:rPr>
                <w:rFonts w:eastAsia="Times New Roman"/>
                <w:color w:val="000000"/>
                <w:szCs w:val="24"/>
              </w:rPr>
              <w:t>112</w:t>
            </w:r>
          </w:p>
        </w:tc>
        <w:tc>
          <w:tcPr>
            <w:tcW w:w="960" w:type="dxa"/>
            <w:tcBorders>
              <w:top w:val="nil"/>
              <w:left w:val="nil"/>
              <w:bottom w:val="nil"/>
              <w:right w:val="nil"/>
            </w:tcBorders>
            <w:shd w:val="clear" w:color="auto" w:fill="auto"/>
            <w:noWrap/>
            <w:hideMark/>
          </w:tcPr>
          <w:p w:rsidR="008E0BEE" w:rsidRPr="00E60223" w:rsidRDefault="008E0BEE" w:rsidP="00203FEE">
            <w:pPr>
              <w:spacing w:line="240" w:lineRule="auto"/>
              <w:ind w:firstLine="0"/>
              <w:jc w:val="center"/>
              <w:rPr>
                <w:rFonts w:eastAsia="Times New Roman"/>
                <w:color w:val="000000"/>
                <w:szCs w:val="24"/>
              </w:rPr>
            </w:pPr>
            <w:r w:rsidRPr="00E60223">
              <w:rPr>
                <w:rFonts w:eastAsia="Times New Roman"/>
                <w:color w:val="000000"/>
                <w:szCs w:val="24"/>
              </w:rPr>
              <w:t>3</w:t>
            </w:r>
            <w:r>
              <w:rPr>
                <w:rFonts w:eastAsia="Times New Roman"/>
                <w:color w:val="000000"/>
                <w:szCs w:val="24"/>
              </w:rPr>
              <w:t>7</w:t>
            </w:r>
          </w:p>
        </w:tc>
        <w:tc>
          <w:tcPr>
            <w:tcW w:w="1269" w:type="dxa"/>
            <w:tcBorders>
              <w:top w:val="nil"/>
              <w:left w:val="nil"/>
              <w:bottom w:val="nil"/>
              <w:right w:val="nil"/>
            </w:tcBorders>
            <w:shd w:val="clear" w:color="auto" w:fill="auto"/>
            <w:noWrap/>
            <w:hideMark/>
          </w:tcPr>
          <w:p w:rsidR="008E0BEE" w:rsidRPr="00E60223" w:rsidRDefault="008E0BEE" w:rsidP="00203FEE">
            <w:pPr>
              <w:spacing w:line="240" w:lineRule="auto"/>
              <w:ind w:firstLine="0"/>
              <w:jc w:val="center"/>
              <w:rPr>
                <w:rFonts w:eastAsia="Times New Roman"/>
                <w:color w:val="000000"/>
                <w:szCs w:val="24"/>
              </w:rPr>
            </w:pPr>
            <w:r w:rsidRPr="00E60223">
              <w:rPr>
                <w:rFonts w:eastAsia="Times New Roman"/>
                <w:color w:val="000000"/>
                <w:szCs w:val="24"/>
              </w:rPr>
              <w:t>2</w:t>
            </w:r>
            <w:r>
              <w:rPr>
                <w:rFonts w:eastAsia="Times New Roman"/>
                <w:color w:val="000000"/>
                <w:szCs w:val="24"/>
              </w:rPr>
              <w:t>4.8</w:t>
            </w:r>
          </w:p>
        </w:tc>
      </w:tr>
      <w:tr w:rsidR="008E0BEE" w:rsidRPr="00E60223" w:rsidTr="00203FEE">
        <w:trPr>
          <w:trHeight w:val="315"/>
          <w:jc w:val="center"/>
        </w:trPr>
        <w:tc>
          <w:tcPr>
            <w:tcW w:w="960" w:type="dxa"/>
            <w:vMerge/>
            <w:tcBorders>
              <w:top w:val="nil"/>
              <w:left w:val="nil"/>
              <w:bottom w:val="single" w:sz="4" w:space="0" w:color="000000"/>
              <w:right w:val="nil"/>
            </w:tcBorders>
            <w:vAlign w:val="center"/>
            <w:hideMark/>
          </w:tcPr>
          <w:p w:rsidR="008E0BEE" w:rsidRPr="00E60223" w:rsidRDefault="008E0BEE" w:rsidP="00203FEE">
            <w:pPr>
              <w:spacing w:line="240" w:lineRule="auto"/>
              <w:ind w:firstLine="0"/>
              <w:rPr>
                <w:rFonts w:eastAsia="Times New Roman"/>
                <w:color w:val="000000"/>
                <w:szCs w:val="24"/>
              </w:rPr>
            </w:pPr>
          </w:p>
        </w:tc>
        <w:tc>
          <w:tcPr>
            <w:tcW w:w="1920" w:type="dxa"/>
            <w:gridSpan w:val="2"/>
            <w:tcBorders>
              <w:top w:val="nil"/>
              <w:left w:val="nil"/>
              <w:bottom w:val="single" w:sz="4" w:space="0" w:color="auto"/>
              <w:right w:val="nil"/>
            </w:tcBorders>
            <w:shd w:val="clear" w:color="auto" w:fill="auto"/>
            <w:hideMark/>
          </w:tcPr>
          <w:p w:rsidR="008E0BEE" w:rsidRPr="00E60223" w:rsidRDefault="008E0BEE" w:rsidP="00203FEE">
            <w:pPr>
              <w:spacing w:line="240" w:lineRule="auto"/>
              <w:ind w:firstLine="0"/>
              <w:rPr>
                <w:rFonts w:eastAsia="Times New Roman"/>
                <w:color w:val="000000"/>
                <w:szCs w:val="24"/>
              </w:rPr>
            </w:pPr>
            <w:r w:rsidRPr="00E60223">
              <w:rPr>
                <w:rFonts w:eastAsia="Times New Roman"/>
                <w:color w:val="000000"/>
                <w:szCs w:val="24"/>
              </w:rPr>
              <w:t>Overall Percentage</w:t>
            </w:r>
          </w:p>
        </w:tc>
        <w:tc>
          <w:tcPr>
            <w:tcW w:w="960" w:type="dxa"/>
            <w:tcBorders>
              <w:top w:val="nil"/>
              <w:left w:val="nil"/>
              <w:bottom w:val="single" w:sz="4" w:space="0" w:color="auto"/>
              <w:right w:val="nil"/>
            </w:tcBorders>
            <w:shd w:val="clear" w:color="auto" w:fill="auto"/>
            <w:hideMark/>
          </w:tcPr>
          <w:p w:rsidR="008E0BEE" w:rsidRPr="00E60223" w:rsidRDefault="008E0BEE" w:rsidP="00203FEE">
            <w:pPr>
              <w:spacing w:line="240" w:lineRule="auto"/>
              <w:ind w:firstLine="0"/>
              <w:jc w:val="center"/>
              <w:rPr>
                <w:rFonts w:eastAsia="Times New Roman"/>
                <w:color w:val="000000"/>
                <w:szCs w:val="24"/>
              </w:rPr>
            </w:pPr>
            <w:r w:rsidRPr="00E60223">
              <w:rPr>
                <w:rFonts w:eastAsia="Times New Roman"/>
                <w:color w:val="000000"/>
                <w:szCs w:val="24"/>
              </w:rPr>
              <w:t> </w:t>
            </w:r>
          </w:p>
        </w:tc>
        <w:tc>
          <w:tcPr>
            <w:tcW w:w="960" w:type="dxa"/>
            <w:tcBorders>
              <w:top w:val="nil"/>
              <w:left w:val="nil"/>
              <w:bottom w:val="single" w:sz="4" w:space="0" w:color="auto"/>
              <w:right w:val="nil"/>
            </w:tcBorders>
            <w:shd w:val="clear" w:color="auto" w:fill="auto"/>
            <w:hideMark/>
          </w:tcPr>
          <w:p w:rsidR="008E0BEE" w:rsidRPr="00E60223" w:rsidRDefault="008E0BEE" w:rsidP="00203FEE">
            <w:pPr>
              <w:spacing w:line="240" w:lineRule="auto"/>
              <w:ind w:firstLine="0"/>
              <w:jc w:val="center"/>
              <w:rPr>
                <w:rFonts w:eastAsia="Times New Roman"/>
                <w:color w:val="000000"/>
                <w:szCs w:val="24"/>
              </w:rPr>
            </w:pPr>
            <w:r w:rsidRPr="00E60223">
              <w:rPr>
                <w:rFonts w:eastAsia="Times New Roman"/>
                <w:color w:val="000000"/>
                <w:szCs w:val="24"/>
              </w:rPr>
              <w:t> </w:t>
            </w:r>
          </w:p>
        </w:tc>
        <w:tc>
          <w:tcPr>
            <w:tcW w:w="1269" w:type="dxa"/>
            <w:tcBorders>
              <w:top w:val="nil"/>
              <w:left w:val="nil"/>
              <w:bottom w:val="single" w:sz="4" w:space="0" w:color="auto"/>
              <w:right w:val="nil"/>
            </w:tcBorders>
            <w:shd w:val="clear" w:color="auto" w:fill="auto"/>
            <w:noWrap/>
            <w:hideMark/>
          </w:tcPr>
          <w:p w:rsidR="008E0BEE" w:rsidRPr="00E60223" w:rsidRDefault="008E0BEE" w:rsidP="00203FEE">
            <w:pPr>
              <w:spacing w:line="240" w:lineRule="auto"/>
              <w:ind w:firstLine="0"/>
              <w:jc w:val="center"/>
              <w:rPr>
                <w:rFonts w:eastAsia="Times New Roman"/>
                <w:color w:val="000000"/>
                <w:szCs w:val="24"/>
              </w:rPr>
            </w:pPr>
            <w:r w:rsidRPr="00E60223">
              <w:rPr>
                <w:rFonts w:eastAsia="Times New Roman"/>
                <w:color w:val="000000"/>
                <w:szCs w:val="24"/>
              </w:rPr>
              <w:t>86.0</w:t>
            </w:r>
          </w:p>
        </w:tc>
      </w:tr>
      <w:tr w:rsidR="008E0BEE" w:rsidRPr="00E60223" w:rsidTr="00203FEE">
        <w:trPr>
          <w:trHeight w:val="300"/>
          <w:jc w:val="center"/>
        </w:trPr>
        <w:tc>
          <w:tcPr>
            <w:tcW w:w="6069" w:type="dxa"/>
            <w:gridSpan w:val="6"/>
            <w:tcBorders>
              <w:top w:val="nil"/>
              <w:left w:val="nil"/>
              <w:bottom w:val="nil"/>
              <w:right w:val="nil"/>
            </w:tcBorders>
            <w:shd w:val="clear" w:color="auto" w:fill="auto"/>
            <w:hideMark/>
          </w:tcPr>
          <w:p w:rsidR="008E0BEE" w:rsidRPr="00D57B2D" w:rsidRDefault="008E0BEE" w:rsidP="00203FEE">
            <w:pPr>
              <w:spacing w:line="240" w:lineRule="auto"/>
              <w:ind w:firstLine="0"/>
              <w:rPr>
                <w:rFonts w:eastAsia="Times New Roman"/>
                <w:color w:val="000000"/>
                <w:sz w:val="18"/>
                <w:szCs w:val="18"/>
              </w:rPr>
            </w:pPr>
            <w:r w:rsidRPr="00D57B2D">
              <w:rPr>
                <w:rFonts w:eastAsia="Times New Roman"/>
                <w:color w:val="000000"/>
                <w:sz w:val="18"/>
                <w:szCs w:val="18"/>
              </w:rPr>
              <w:t>a. The cut value is .500</w:t>
            </w:r>
          </w:p>
        </w:tc>
      </w:tr>
    </w:tbl>
    <w:p w:rsidR="008E0BEE" w:rsidRDefault="008E0BEE" w:rsidP="008E0BEE">
      <w:pPr>
        <w:spacing w:line="240" w:lineRule="auto"/>
      </w:pPr>
    </w:p>
    <w:p w:rsidR="008E0BEE" w:rsidRDefault="008E0BEE" w:rsidP="008E0BEE">
      <w:r>
        <w:t xml:space="preserve">As indicated in </w:t>
      </w:r>
      <w:r w:rsidR="004F0EEE">
        <w:t>T</w:t>
      </w:r>
      <w:r>
        <w:t>able 3, the odds of a graduate student who uses prescription stimulants illicitly in his or her lifetime was negatively related to yearly use of crystal meth (χ</w:t>
      </w:r>
      <w:r>
        <w:rPr>
          <w:vertAlign w:val="superscript"/>
        </w:rPr>
        <w:t xml:space="preserve">2 </w:t>
      </w:r>
      <w:r>
        <w:t>(1) = &lt; .001, p = .999), but positively related to yearly use of marijuana (χ</w:t>
      </w:r>
      <w:r>
        <w:rPr>
          <w:vertAlign w:val="superscript"/>
        </w:rPr>
        <w:t xml:space="preserve">2 </w:t>
      </w:r>
      <w:r>
        <w:t>(1) = 61.149, p = &lt; .001), cocaine (χ</w:t>
      </w:r>
      <w:r>
        <w:rPr>
          <w:vertAlign w:val="superscript"/>
        </w:rPr>
        <w:t xml:space="preserve">2 </w:t>
      </w:r>
      <w:r>
        <w:t>(1) = 7.129, p = .008), and ecstasy (χ</w:t>
      </w:r>
      <w:r>
        <w:rPr>
          <w:vertAlign w:val="superscript"/>
        </w:rPr>
        <w:t xml:space="preserve">2 </w:t>
      </w:r>
      <w:r>
        <w:t>(1) = 4.989, p = .026). In other words, graduate students that illicitly used prescription stimulants were 1.5 times more likely to use marijuana, 6.3 times more likely to use cocaine, and 2.4 times more likely to use ecstasy. The model controlled for race (χ</w:t>
      </w:r>
      <w:r>
        <w:rPr>
          <w:vertAlign w:val="superscript"/>
        </w:rPr>
        <w:t xml:space="preserve">2 </w:t>
      </w:r>
      <w:r>
        <w:t>(1) = 1.972, p = .160), gender (χ</w:t>
      </w:r>
      <w:r>
        <w:rPr>
          <w:vertAlign w:val="superscript"/>
        </w:rPr>
        <w:t xml:space="preserve">2 </w:t>
      </w:r>
      <w:r>
        <w:t>(1) = .632, p = .427), and income (χ</w:t>
      </w:r>
      <w:r>
        <w:rPr>
          <w:vertAlign w:val="superscript"/>
        </w:rPr>
        <w:t xml:space="preserve">2 </w:t>
      </w:r>
      <w:r>
        <w:t xml:space="preserve">(1) = .182, p = </w:t>
      </w:r>
      <w:r>
        <w:lastRenderedPageBreak/>
        <w:t xml:space="preserve">.669). Race, gender, </w:t>
      </w:r>
      <w:r w:rsidR="004F0EEE">
        <w:t>and</w:t>
      </w:r>
      <w:r>
        <w:t xml:space="preserve"> income were non-significant findings indicating little to no impact to predict polysubstance use. Table 3 identifies all of the variables in the equation and the level of prediction within the model.</w:t>
      </w:r>
    </w:p>
    <w:tbl>
      <w:tblPr>
        <w:tblW w:w="9227" w:type="dxa"/>
        <w:tblInd w:w="93" w:type="dxa"/>
        <w:tblLook w:val="04A0" w:firstRow="1" w:lastRow="0" w:firstColumn="1" w:lastColumn="0" w:noHBand="0" w:noVBand="1"/>
      </w:tblPr>
      <w:tblGrid>
        <w:gridCol w:w="960"/>
        <w:gridCol w:w="2191"/>
        <w:gridCol w:w="960"/>
        <w:gridCol w:w="1116"/>
        <w:gridCol w:w="960"/>
        <w:gridCol w:w="1120"/>
        <w:gridCol w:w="960"/>
        <w:gridCol w:w="960"/>
      </w:tblGrid>
      <w:tr w:rsidR="008E0BEE" w:rsidRPr="00526044" w:rsidTr="00203FEE">
        <w:trPr>
          <w:trHeight w:val="315"/>
        </w:trPr>
        <w:tc>
          <w:tcPr>
            <w:tcW w:w="960" w:type="dxa"/>
            <w:tcBorders>
              <w:top w:val="nil"/>
              <w:left w:val="nil"/>
              <w:bottom w:val="nil"/>
              <w:right w:val="nil"/>
            </w:tcBorders>
            <w:shd w:val="clear" w:color="auto" w:fill="auto"/>
            <w:noWrap/>
            <w:vAlign w:val="bottom"/>
            <w:hideMark/>
          </w:tcPr>
          <w:p w:rsidR="008E0BEE" w:rsidRPr="00526044" w:rsidRDefault="008E0BEE" w:rsidP="00203FEE">
            <w:pPr>
              <w:spacing w:line="240" w:lineRule="auto"/>
              <w:ind w:firstLine="0"/>
              <w:rPr>
                <w:rFonts w:eastAsia="Times New Roman"/>
                <w:color w:val="000000"/>
                <w:szCs w:val="24"/>
              </w:rPr>
            </w:pPr>
            <w:r>
              <w:rPr>
                <w:rFonts w:eastAsia="Times New Roman"/>
                <w:color w:val="000000"/>
                <w:szCs w:val="24"/>
              </w:rPr>
              <w:t>Table 3</w:t>
            </w:r>
          </w:p>
        </w:tc>
        <w:tc>
          <w:tcPr>
            <w:tcW w:w="2191" w:type="dxa"/>
            <w:tcBorders>
              <w:top w:val="nil"/>
              <w:left w:val="nil"/>
              <w:bottom w:val="nil"/>
              <w:right w:val="nil"/>
            </w:tcBorders>
            <w:shd w:val="clear" w:color="auto" w:fill="auto"/>
            <w:noWrap/>
            <w:vAlign w:val="bottom"/>
            <w:hideMark/>
          </w:tcPr>
          <w:p w:rsidR="008E0BEE" w:rsidRPr="00526044" w:rsidRDefault="008E0BEE" w:rsidP="00203FEE">
            <w:pPr>
              <w:spacing w:line="240" w:lineRule="auto"/>
              <w:ind w:firstLine="0"/>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8E0BEE" w:rsidRPr="00526044" w:rsidRDefault="008E0BEE" w:rsidP="00203FEE">
            <w:pPr>
              <w:spacing w:line="240" w:lineRule="auto"/>
              <w:ind w:firstLine="0"/>
              <w:rPr>
                <w:rFonts w:ascii="Calibri" w:eastAsia="Times New Roman" w:hAnsi="Calibri" w:cs="Calibri"/>
                <w:color w:val="000000"/>
              </w:rPr>
            </w:pPr>
          </w:p>
        </w:tc>
        <w:tc>
          <w:tcPr>
            <w:tcW w:w="1116" w:type="dxa"/>
            <w:tcBorders>
              <w:top w:val="nil"/>
              <w:left w:val="nil"/>
              <w:bottom w:val="nil"/>
              <w:right w:val="nil"/>
            </w:tcBorders>
            <w:shd w:val="clear" w:color="auto" w:fill="auto"/>
            <w:noWrap/>
            <w:vAlign w:val="bottom"/>
            <w:hideMark/>
          </w:tcPr>
          <w:p w:rsidR="008E0BEE" w:rsidRPr="00526044" w:rsidRDefault="008E0BEE" w:rsidP="00203FEE">
            <w:pPr>
              <w:spacing w:line="240" w:lineRule="auto"/>
              <w:ind w:firstLine="0"/>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8E0BEE" w:rsidRPr="00526044" w:rsidRDefault="008E0BEE" w:rsidP="00203FEE">
            <w:pPr>
              <w:spacing w:line="240" w:lineRule="auto"/>
              <w:ind w:firstLine="0"/>
              <w:rPr>
                <w:rFonts w:ascii="Calibri" w:eastAsia="Times New Roman" w:hAnsi="Calibri" w:cs="Calibri"/>
                <w:color w:val="000000"/>
              </w:rPr>
            </w:pPr>
          </w:p>
        </w:tc>
        <w:tc>
          <w:tcPr>
            <w:tcW w:w="1120" w:type="dxa"/>
            <w:tcBorders>
              <w:top w:val="nil"/>
              <w:left w:val="nil"/>
              <w:bottom w:val="nil"/>
              <w:right w:val="nil"/>
            </w:tcBorders>
            <w:shd w:val="clear" w:color="auto" w:fill="auto"/>
            <w:noWrap/>
            <w:vAlign w:val="bottom"/>
            <w:hideMark/>
          </w:tcPr>
          <w:p w:rsidR="008E0BEE" w:rsidRPr="00526044" w:rsidRDefault="008E0BEE" w:rsidP="00203FEE">
            <w:pPr>
              <w:spacing w:line="240" w:lineRule="auto"/>
              <w:ind w:firstLine="0"/>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8E0BEE" w:rsidRPr="00526044" w:rsidRDefault="008E0BEE" w:rsidP="00203FEE">
            <w:pPr>
              <w:spacing w:line="240" w:lineRule="auto"/>
              <w:ind w:firstLine="0"/>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8E0BEE" w:rsidRPr="00526044" w:rsidRDefault="008E0BEE" w:rsidP="00203FEE">
            <w:pPr>
              <w:spacing w:line="240" w:lineRule="auto"/>
              <w:ind w:firstLine="0"/>
              <w:rPr>
                <w:rFonts w:ascii="Calibri" w:eastAsia="Times New Roman" w:hAnsi="Calibri" w:cs="Calibri"/>
                <w:color w:val="000000"/>
              </w:rPr>
            </w:pPr>
          </w:p>
        </w:tc>
      </w:tr>
      <w:tr w:rsidR="008E0BEE" w:rsidRPr="00526044" w:rsidTr="00203FEE">
        <w:trPr>
          <w:trHeight w:val="315"/>
        </w:trPr>
        <w:tc>
          <w:tcPr>
            <w:tcW w:w="9227" w:type="dxa"/>
            <w:gridSpan w:val="8"/>
            <w:tcBorders>
              <w:top w:val="nil"/>
              <w:left w:val="nil"/>
              <w:bottom w:val="single" w:sz="4" w:space="0" w:color="auto"/>
              <w:right w:val="nil"/>
            </w:tcBorders>
            <w:shd w:val="clear" w:color="auto" w:fill="auto"/>
            <w:vAlign w:val="center"/>
            <w:hideMark/>
          </w:tcPr>
          <w:p w:rsidR="008E0BEE" w:rsidRPr="00526044" w:rsidRDefault="00331650" w:rsidP="00203FEE">
            <w:pPr>
              <w:spacing w:line="240" w:lineRule="auto"/>
              <w:ind w:firstLine="0"/>
              <w:rPr>
                <w:rFonts w:eastAsia="Times New Roman"/>
                <w:i/>
                <w:iCs/>
                <w:color w:val="000000"/>
                <w:szCs w:val="24"/>
              </w:rPr>
            </w:pPr>
            <w:r>
              <w:rPr>
                <w:rFonts w:eastAsia="Times New Roman"/>
                <w:i/>
                <w:iCs/>
                <w:color w:val="000000"/>
                <w:szCs w:val="24"/>
              </w:rPr>
              <w:t>Summary of Logistic Regression Analysis Predicting Poly</w:t>
            </w:r>
            <w:r w:rsidR="00D57B2D">
              <w:rPr>
                <w:rFonts w:eastAsia="Times New Roman"/>
                <w:i/>
                <w:iCs/>
                <w:color w:val="000000"/>
                <w:szCs w:val="24"/>
              </w:rPr>
              <w:t>-</w:t>
            </w:r>
            <w:r>
              <w:rPr>
                <w:rFonts w:eastAsia="Times New Roman"/>
                <w:i/>
                <w:iCs/>
                <w:color w:val="000000"/>
                <w:szCs w:val="24"/>
              </w:rPr>
              <w:t>substance Abuse</w:t>
            </w:r>
          </w:p>
        </w:tc>
      </w:tr>
      <w:tr w:rsidR="008E0BEE" w:rsidRPr="00526044" w:rsidTr="00203FEE">
        <w:trPr>
          <w:trHeight w:val="315"/>
        </w:trPr>
        <w:tc>
          <w:tcPr>
            <w:tcW w:w="3151" w:type="dxa"/>
            <w:gridSpan w:val="2"/>
            <w:tcBorders>
              <w:top w:val="single" w:sz="4" w:space="0" w:color="auto"/>
              <w:left w:val="nil"/>
              <w:bottom w:val="single" w:sz="4" w:space="0" w:color="auto"/>
              <w:right w:val="nil"/>
            </w:tcBorders>
            <w:shd w:val="clear" w:color="auto" w:fill="auto"/>
            <w:vAlign w:val="bottom"/>
            <w:hideMark/>
          </w:tcPr>
          <w:p w:rsidR="008E0BEE" w:rsidRPr="00526044" w:rsidRDefault="008E0BEE" w:rsidP="00203FEE">
            <w:pPr>
              <w:spacing w:line="240" w:lineRule="auto"/>
              <w:ind w:firstLine="0"/>
              <w:rPr>
                <w:rFonts w:eastAsia="Times New Roman"/>
                <w:color w:val="000000"/>
                <w:szCs w:val="24"/>
              </w:rPr>
            </w:pPr>
            <w:r w:rsidRPr="00526044">
              <w:rPr>
                <w:rFonts w:eastAsia="Times New Roman"/>
                <w:color w:val="000000"/>
                <w:szCs w:val="24"/>
              </w:rPr>
              <w:t> </w:t>
            </w:r>
          </w:p>
        </w:tc>
        <w:tc>
          <w:tcPr>
            <w:tcW w:w="960" w:type="dxa"/>
            <w:tcBorders>
              <w:top w:val="nil"/>
              <w:left w:val="nil"/>
              <w:bottom w:val="single" w:sz="4" w:space="0" w:color="auto"/>
              <w:right w:val="nil"/>
            </w:tcBorders>
            <w:shd w:val="clear" w:color="auto" w:fill="auto"/>
            <w:vAlign w:val="bottom"/>
            <w:hideMark/>
          </w:tcPr>
          <w:p w:rsidR="008E0BEE" w:rsidRPr="00526044" w:rsidRDefault="008E0BEE" w:rsidP="00203FEE">
            <w:pPr>
              <w:spacing w:line="240" w:lineRule="auto"/>
              <w:ind w:firstLine="0"/>
              <w:jc w:val="center"/>
              <w:rPr>
                <w:rFonts w:eastAsia="Times New Roman"/>
                <w:color w:val="000000"/>
                <w:szCs w:val="24"/>
              </w:rPr>
            </w:pPr>
            <w:r>
              <w:rPr>
                <w:rFonts w:eastAsia="Times New Roman"/>
                <w:color w:val="000000"/>
                <w:szCs w:val="24"/>
              </w:rPr>
              <w:t>β</w:t>
            </w:r>
          </w:p>
        </w:tc>
        <w:tc>
          <w:tcPr>
            <w:tcW w:w="1116" w:type="dxa"/>
            <w:tcBorders>
              <w:top w:val="nil"/>
              <w:left w:val="nil"/>
              <w:bottom w:val="single" w:sz="4" w:space="0" w:color="auto"/>
              <w:right w:val="nil"/>
            </w:tcBorders>
            <w:shd w:val="clear" w:color="auto" w:fill="auto"/>
            <w:vAlign w:val="bottom"/>
            <w:hideMark/>
          </w:tcPr>
          <w:p w:rsidR="008E0BEE" w:rsidRPr="00526044" w:rsidRDefault="008E0BEE" w:rsidP="00203FEE">
            <w:pPr>
              <w:spacing w:line="240" w:lineRule="auto"/>
              <w:ind w:firstLine="0"/>
              <w:jc w:val="center"/>
              <w:rPr>
                <w:rFonts w:eastAsia="Times New Roman"/>
                <w:color w:val="000000"/>
                <w:szCs w:val="24"/>
              </w:rPr>
            </w:pPr>
            <w:r w:rsidRPr="00526044">
              <w:rPr>
                <w:rFonts w:eastAsia="Times New Roman"/>
                <w:color w:val="000000"/>
                <w:szCs w:val="24"/>
              </w:rPr>
              <w:t>S.E.</w:t>
            </w:r>
          </w:p>
        </w:tc>
        <w:tc>
          <w:tcPr>
            <w:tcW w:w="960" w:type="dxa"/>
            <w:tcBorders>
              <w:top w:val="nil"/>
              <w:left w:val="nil"/>
              <w:bottom w:val="single" w:sz="4" w:space="0" w:color="auto"/>
              <w:right w:val="nil"/>
            </w:tcBorders>
            <w:shd w:val="clear" w:color="auto" w:fill="auto"/>
            <w:vAlign w:val="bottom"/>
            <w:hideMark/>
          </w:tcPr>
          <w:p w:rsidR="008E0BEE" w:rsidRPr="00526044" w:rsidRDefault="008E0BEE" w:rsidP="00203FEE">
            <w:pPr>
              <w:spacing w:line="240" w:lineRule="auto"/>
              <w:ind w:firstLine="0"/>
              <w:jc w:val="center"/>
              <w:rPr>
                <w:rFonts w:eastAsia="Times New Roman"/>
                <w:color w:val="000000"/>
                <w:szCs w:val="24"/>
              </w:rPr>
            </w:pPr>
            <w:r w:rsidRPr="00526044">
              <w:rPr>
                <w:rFonts w:eastAsia="Times New Roman"/>
                <w:color w:val="000000"/>
                <w:szCs w:val="24"/>
              </w:rPr>
              <w:t>Wald</w:t>
            </w:r>
          </w:p>
        </w:tc>
        <w:tc>
          <w:tcPr>
            <w:tcW w:w="1120" w:type="dxa"/>
            <w:tcBorders>
              <w:top w:val="nil"/>
              <w:left w:val="nil"/>
              <w:bottom w:val="single" w:sz="4" w:space="0" w:color="auto"/>
              <w:right w:val="nil"/>
            </w:tcBorders>
            <w:shd w:val="clear" w:color="auto" w:fill="auto"/>
            <w:vAlign w:val="bottom"/>
            <w:hideMark/>
          </w:tcPr>
          <w:p w:rsidR="008E0BEE" w:rsidRPr="00526044" w:rsidRDefault="008E0BEE" w:rsidP="00203FEE">
            <w:pPr>
              <w:spacing w:line="240" w:lineRule="auto"/>
              <w:ind w:firstLine="0"/>
              <w:jc w:val="center"/>
              <w:rPr>
                <w:rFonts w:eastAsia="Times New Roman"/>
                <w:color w:val="000000"/>
                <w:szCs w:val="24"/>
              </w:rPr>
            </w:pPr>
            <w:proofErr w:type="spellStart"/>
            <w:r w:rsidRPr="00526044">
              <w:rPr>
                <w:rFonts w:eastAsia="Times New Roman"/>
                <w:color w:val="000000"/>
                <w:szCs w:val="24"/>
              </w:rPr>
              <w:t>df</w:t>
            </w:r>
            <w:proofErr w:type="spellEnd"/>
          </w:p>
        </w:tc>
        <w:tc>
          <w:tcPr>
            <w:tcW w:w="960" w:type="dxa"/>
            <w:tcBorders>
              <w:top w:val="nil"/>
              <w:left w:val="nil"/>
              <w:bottom w:val="single" w:sz="4" w:space="0" w:color="auto"/>
              <w:right w:val="nil"/>
            </w:tcBorders>
            <w:shd w:val="clear" w:color="auto" w:fill="auto"/>
            <w:vAlign w:val="bottom"/>
            <w:hideMark/>
          </w:tcPr>
          <w:p w:rsidR="008E0BEE" w:rsidRPr="00526044" w:rsidRDefault="008E0BEE" w:rsidP="00203FEE">
            <w:pPr>
              <w:spacing w:line="240" w:lineRule="auto"/>
              <w:ind w:firstLine="0"/>
              <w:jc w:val="center"/>
              <w:rPr>
                <w:rFonts w:eastAsia="Times New Roman"/>
                <w:i/>
                <w:color w:val="000000"/>
                <w:szCs w:val="24"/>
              </w:rPr>
            </w:pPr>
            <w:r w:rsidRPr="00DF576C">
              <w:rPr>
                <w:rFonts w:eastAsia="Times New Roman"/>
                <w:i/>
                <w:color w:val="000000"/>
                <w:szCs w:val="24"/>
              </w:rPr>
              <w:t>p</w:t>
            </w:r>
          </w:p>
        </w:tc>
        <w:tc>
          <w:tcPr>
            <w:tcW w:w="960" w:type="dxa"/>
            <w:tcBorders>
              <w:top w:val="nil"/>
              <w:left w:val="nil"/>
              <w:bottom w:val="single" w:sz="4" w:space="0" w:color="auto"/>
              <w:right w:val="nil"/>
            </w:tcBorders>
            <w:shd w:val="clear" w:color="auto" w:fill="auto"/>
            <w:vAlign w:val="bottom"/>
            <w:hideMark/>
          </w:tcPr>
          <w:p w:rsidR="008E0BEE" w:rsidRPr="00526044" w:rsidRDefault="008E0BEE" w:rsidP="00203FEE">
            <w:pPr>
              <w:spacing w:line="240" w:lineRule="auto"/>
              <w:ind w:firstLine="0"/>
              <w:jc w:val="center"/>
              <w:rPr>
                <w:rFonts w:eastAsia="Times New Roman"/>
                <w:color w:val="000000"/>
                <w:szCs w:val="24"/>
              </w:rPr>
            </w:pPr>
            <w:proofErr w:type="spellStart"/>
            <w:r w:rsidRPr="00526044">
              <w:rPr>
                <w:rFonts w:eastAsia="Times New Roman"/>
                <w:color w:val="000000"/>
                <w:szCs w:val="24"/>
              </w:rPr>
              <w:t>Exp</w:t>
            </w:r>
            <w:proofErr w:type="spellEnd"/>
            <w:r w:rsidRPr="00526044">
              <w:rPr>
                <w:rFonts w:eastAsia="Times New Roman"/>
                <w:color w:val="000000"/>
                <w:szCs w:val="24"/>
              </w:rPr>
              <w:t>(B)</w:t>
            </w:r>
          </w:p>
        </w:tc>
      </w:tr>
      <w:tr w:rsidR="008E0BEE" w:rsidRPr="00526044" w:rsidTr="00203FEE">
        <w:trPr>
          <w:trHeight w:val="467"/>
        </w:trPr>
        <w:tc>
          <w:tcPr>
            <w:tcW w:w="960" w:type="dxa"/>
            <w:vMerge w:val="restart"/>
            <w:tcBorders>
              <w:top w:val="nil"/>
              <w:left w:val="nil"/>
              <w:bottom w:val="single" w:sz="4" w:space="0" w:color="000000"/>
              <w:right w:val="nil"/>
            </w:tcBorders>
            <w:shd w:val="clear" w:color="auto" w:fill="auto"/>
            <w:hideMark/>
          </w:tcPr>
          <w:p w:rsidR="008E0BEE" w:rsidRPr="00526044" w:rsidRDefault="008E0BEE" w:rsidP="00203FEE">
            <w:pPr>
              <w:spacing w:line="240" w:lineRule="auto"/>
              <w:ind w:firstLine="0"/>
              <w:rPr>
                <w:rFonts w:eastAsia="Times New Roman"/>
                <w:color w:val="000000"/>
                <w:szCs w:val="24"/>
              </w:rPr>
            </w:pPr>
            <w:r w:rsidRPr="00526044">
              <w:rPr>
                <w:rFonts w:eastAsia="Times New Roman"/>
                <w:color w:val="000000"/>
                <w:szCs w:val="24"/>
              </w:rPr>
              <w:t>Step</w:t>
            </w:r>
            <w:r>
              <w:rPr>
                <w:rFonts w:eastAsia="Times New Roman"/>
                <w:color w:val="000000"/>
                <w:szCs w:val="24"/>
              </w:rPr>
              <w:t xml:space="preserve"> 6</w:t>
            </w:r>
            <w:r w:rsidRPr="00526044">
              <w:rPr>
                <w:rFonts w:eastAsia="Times New Roman"/>
                <w:color w:val="000000"/>
                <w:szCs w:val="24"/>
              </w:rPr>
              <w:t xml:space="preserve"> </w:t>
            </w:r>
            <w:r w:rsidRPr="00526044">
              <w:rPr>
                <w:rFonts w:eastAsia="Times New Roman"/>
                <w:color w:val="000000"/>
                <w:szCs w:val="24"/>
                <w:vertAlign w:val="superscript"/>
              </w:rPr>
              <w:t>a</w:t>
            </w:r>
          </w:p>
        </w:tc>
        <w:tc>
          <w:tcPr>
            <w:tcW w:w="2191" w:type="dxa"/>
            <w:tcBorders>
              <w:top w:val="nil"/>
              <w:left w:val="nil"/>
              <w:bottom w:val="nil"/>
              <w:right w:val="nil"/>
            </w:tcBorders>
            <w:shd w:val="clear" w:color="auto" w:fill="auto"/>
            <w:vAlign w:val="center"/>
          </w:tcPr>
          <w:p w:rsidR="008E0BEE" w:rsidRPr="00526044" w:rsidRDefault="008E0BEE" w:rsidP="00203FEE">
            <w:pPr>
              <w:spacing w:line="240" w:lineRule="auto"/>
              <w:ind w:firstLine="0"/>
              <w:rPr>
                <w:rFonts w:eastAsia="Times New Roman"/>
                <w:color w:val="000000"/>
                <w:szCs w:val="24"/>
              </w:rPr>
            </w:pPr>
            <w:r>
              <w:rPr>
                <w:rFonts w:eastAsia="Times New Roman"/>
                <w:color w:val="000000"/>
                <w:szCs w:val="24"/>
              </w:rPr>
              <w:t>Race</w:t>
            </w:r>
          </w:p>
        </w:tc>
        <w:tc>
          <w:tcPr>
            <w:tcW w:w="960" w:type="dxa"/>
            <w:tcBorders>
              <w:top w:val="nil"/>
              <w:left w:val="nil"/>
              <w:bottom w:val="nil"/>
              <w:right w:val="nil"/>
            </w:tcBorders>
            <w:shd w:val="clear" w:color="auto" w:fill="auto"/>
            <w:noWrap/>
            <w:vAlign w:val="center"/>
          </w:tcPr>
          <w:p w:rsidR="008E0BEE" w:rsidRPr="00526044" w:rsidRDefault="008E0BEE" w:rsidP="00A7725E">
            <w:pPr>
              <w:spacing w:line="240" w:lineRule="auto"/>
              <w:ind w:firstLine="0"/>
              <w:jc w:val="center"/>
              <w:rPr>
                <w:rFonts w:eastAsia="Times New Roman"/>
                <w:color w:val="000000"/>
                <w:szCs w:val="24"/>
              </w:rPr>
            </w:pPr>
            <w:r>
              <w:rPr>
                <w:rFonts w:eastAsia="Times New Roman"/>
                <w:color w:val="000000"/>
                <w:szCs w:val="24"/>
              </w:rPr>
              <w:t>.502</w:t>
            </w:r>
          </w:p>
        </w:tc>
        <w:tc>
          <w:tcPr>
            <w:tcW w:w="1116" w:type="dxa"/>
            <w:tcBorders>
              <w:top w:val="nil"/>
              <w:left w:val="nil"/>
              <w:bottom w:val="nil"/>
              <w:right w:val="nil"/>
            </w:tcBorders>
            <w:shd w:val="clear" w:color="auto" w:fill="auto"/>
            <w:noWrap/>
            <w:vAlign w:val="center"/>
          </w:tcPr>
          <w:p w:rsidR="008E0BEE" w:rsidRPr="00526044" w:rsidRDefault="008E0BEE" w:rsidP="00A7725E">
            <w:pPr>
              <w:spacing w:line="240" w:lineRule="auto"/>
              <w:ind w:firstLine="0"/>
              <w:jc w:val="center"/>
              <w:rPr>
                <w:rFonts w:eastAsia="Times New Roman"/>
                <w:color w:val="000000"/>
                <w:szCs w:val="24"/>
              </w:rPr>
            </w:pPr>
            <w:r>
              <w:rPr>
                <w:rFonts w:eastAsia="Times New Roman"/>
                <w:color w:val="000000"/>
                <w:szCs w:val="24"/>
              </w:rPr>
              <w:t>.358</w:t>
            </w:r>
          </w:p>
        </w:tc>
        <w:tc>
          <w:tcPr>
            <w:tcW w:w="960" w:type="dxa"/>
            <w:tcBorders>
              <w:top w:val="nil"/>
              <w:left w:val="nil"/>
              <w:bottom w:val="nil"/>
              <w:right w:val="nil"/>
            </w:tcBorders>
            <w:shd w:val="clear" w:color="auto" w:fill="auto"/>
            <w:noWrap/>
            <w:vAlign w:val="center"/>
          </w:tcPr>
          <w:p w:rsidR="008E0BEE" w:rsidRPr="00526044" w:rsidRDefault="008E0BEE" w:rsidP="00A7725E">
            <w:pPr>
              <w:spacing w:line="240" w:lineRule="auto"/>
              <w:ind w:firstLine="0"/>
              <w:jc w:val="center"/>
              <w:rPr>
                <w:rFonts w:eastAsia="Times New Roman"/>
                <w:color w:val="000000"/>
                <w:szCs w:val="24"/>
              </w:rPr>
            </w:pPr>
            <w:r>
              <w:rPr>
                <w:rFonts w:eastAsia="Times New Roman"/>
                <w:color w:val="000000"/>
                <w:szCs w:val="24"/>
              </w:rPr>
              <w:t>1.972</w:t>
            </w:r>
          </w:p>
        </w:tc>
        <w:tc>
          <w:tcPr>
            <w:tcW w:w="1120" w:type="dxa"/>
            <w:tcBorders>
              <w:top w:val="nil"/>
              <w:left w:val="nil"/>
              <w:bottom w:val="nil"/>
              <w:right w:val="nil"/>
            </w:tcBorders>
            <w:shd w:val="clear" w:color="auto" w:fill="auto"/>
            <w:noWrap/>
            <w:vAlign w:val="center"/>
          </w:tcPr>
          <w:p w:rsidR="008E0BEE" w:rsidRPr="00526044" w:rsidRDefault="008E0BEE" w:rsidP="00A7725E">
            <w:pPr>
              <w:spacing w:line="240" w:lineRule="auto"/>
              <w:ind w:firstLine="0"/>
              <w:jc w:val="center"/>
              <w:rPr>
                <w:rFonts w:eastAsia="Times New Roman"/>
                <w:color w:val="000000"/>
                <w:szCs w:val="24"/>
              </w:rPr>
            </w:pPr>
            <w:r>
              <w:rPr>
                <w:rFonts w:eastAsia="Times New Roman"/>
                <w:color w:val="000000"/>
                <w:szCs w:val="24"/>
              </w:rPr>
              <w:t>1</w:t>
            </w:r>
          </w:p>
        </w:tc>
        <w:tc>
          <w:tcPr>
            <w:tcW w:w="960" w:type="dxa"/>
            <w:tcBorders>
              <w:top w:val="nil"/>
              <w:left w:val="nil"/>
              <w:bottom w:val="nil"/>
              <w:right w:val="nil"/>
            </w:tcBorders>
            <w:shd w:val="clear" w:color="auto" w:fill="auto"/>
            <w:noWrap/>
            <w:vAlign w:val="center"/>
          </w:tcPr>
          <w:p w:rsidR="008E0BEE" w:rsidRPr="00526044" w:rsidRDefault="008E0BEE" w:rsidP="00A7725E">
            <w:pPr>
              <w:spacing w:line="240" w:lineRule="auto"/>
              <w:ind w:firstLine="0"/>
              <w:jc w:val="center"/>
              <w:rPr>
                <w:rFonts w:eastAsia="Times New Roman"/>
                <w:color w:val="000000"/>
                <w:szCs w:val="24"/>
              </w:rPr>
            </w:pPr>
            <w:r>
              <w:rPr>
                <w:rFonts w:eastAsia="Times New Roman"/>
                <w:color w:val="000000"/>
                <w:szCs w:val="24"/>
              </w:rPr>
              <w:t>.160</w:t>
            </w:r>
          </w:p>
        </w:tc>
        <w:tc>
          <w:tcPr>
            <w:tcW w:w="960" w:type="dxa"/>
            <w:tcBorders>
              <w:top w:val="nil"/>
              <w:left w:val="nil"/>
              <w:bottom w:val="nil"/>
              <w:right w:val="nil"/>
            </w:tcBorders>
            <w:shd w:val="clear" w:color="auto" w:fill="auto"/>
            <w:noWrap/>
            <w:vAlign w:val="center"/>
          </w:tcPr>
          <w:p w:rsidR="008E0BEE" w:rsidRPr="00526044" w:rsidRDefault="008E0BEE" w:rsidP="00A7725E">
            <w:pPr>
              <w:spacing w:line="240" w:lineRule="auto"/>
              <w:ind w:firstLine="0"/>
              <w:jc w:val="center"/>
              <w:rPr>
                <w:rFonts w:eastAsia="Times New Roman"/>
                <w:color w:val="000000"/>
                <w:szCs w:val="24"/>
              </w:rPr>
            </w:pPr>
            <w:r>
              <w:rPr>
                <w:rFonts w:eastAsia="Times New Roman"/>
                <w:color w:val="000000"/>
                <w:szCs w:val="24"/>
              </w:rPr>
              <w:t>1.653</w:t>
            </w:r>
          </w:p>
        </w:tc>
      </w:tr>
      <w:tr w:rsidR="008E0BEE" w:rsidRPr="00526044" w:rsidTr="00203FEE">
        <w:trPr>
          <w:trHeight w:val="467"/>
        </w:trPr>
        <w:tc>
          <w:tcPr>
            <w:tcW w:w="960" w:type="dxa"/>
            <w:vMerge/>
            <w:tcBorders>
              <w:top w:val="nil"/>
              <w:left w:val="nil"/>
              <w:bottom w:val="single" w:sz="4" w:space="0" w:color="000000"/>
              <w:right w:val="nil"/>
            </w:tcBorders>
            <w:shd w:val="clear" w:color="auto" w:fill="auto"/>
          </w:tcPr>
          <w:p w:rsidR="008E0BEE" w:rsidRPr="00526044" w:rsidRDefault="008E0BEE" w:rsidP="00203FEE">
            <w:pPr>
              <w:spacing w:line="240" w:lineRule="auto"/>
              <w:ind w:firstLine="0"/>
              <w:rPr>
                <w:rFonts w:eastAsia="Times New Roman"/>
                <w:color w:val="000000"/>
                <w:szCs w:val="24"/>
              </w:rPr>
            </w:pPr>
          </w:p>
        </w:tc>
        <w:tc>
          <w:tcPr>
            <w:tcW w:w="2191" w:type="dxa"/>
            <w:tcBorders>
              <w:top w:val="nil"/>
              <w:left w:val="nil"/>
              <w:bottom w:val="nil"/>
              <w:right w:val="nil"/>
            </w:tcBorders>
            <w:shd w:val="clear" w:color="auto" w:fill="auto"/>
            <w:vAlign w:val="center"/>
          </w:tcPr>
          <w:p w:rsidR="008E0BEE" w:rsidRPr="00526044" w:rsidRDefault="008E0BEE" w:rsidP="00203FEE">
            <w:pPr>
              <w:spacing w:line="240" w:lineRule="auto"/>
              <w:ind w:firstLine="0"/>
              <w:rPr>
                <w:rFonts w:eastAsia="Times New Roman"/>
                <w:color w:val="000000"/>
                <w:szCs w:val="24"/>
              </w:rPr>
            </w:pPr>
            <w:r>
              <w:rPr>
                <w:rFonts w:eastAsia="Times New Roman"/>
                <w:color w:val="000000"/>
                <w:szCs w:val="24"/>
              </w:rPr>
              <w:t>Gender</w:t>
            </w:r>
          </w:p>
        </w:tc>
        <w:tc>
          <w:tcPr>
            <w:tcW w:w="960" w:type="dxa"/>
            <w:tcBorders>
              <w:top w:val="nil"/>
              <w:left w:val="nil"/>
              <w:bottom w:val="nil"/>
              <w:right w:val="nil"/>
            </w:tcBorders>
            <w:shd w:val="clear" w:color="auto" w:fill="auto"/>
            <w:noWrap/>
            <w:vAlign w:val="center"/>
          </w:tcPr>
          <w:p w:rsidR="008E0BEE" w:rsidRPr="00526044" w:rsidRDefault="008E0BEE" w:rsidP="00A7725E">
            <w:pPr>
              <w:spacing w:line="240" w:lineRule="auto"/>
              <w:ind w:firstLine="0"/>
              <w:jc w:val="center"/>
              <w:rPr>
                <w:rFonts w:eastAsia="Times New Roman"/>
                <w:color w:val="000000"/>
                <w:szCs w:val="24"/>
              </w:rPr>
            </w:pPr>
            <w:r>
              <w:rPr>
                <w:rFonts w:eastAsia="Times New Roman"/>
                <w:color w:val="000000"/>
                <w:szCs w:val="24"/>
              </w:rPr>
              <w:t>-.163</w:t>
            </w:r>
          </w:p>
        </w:tc>
        <w:tc>
          <w:tcPr>
            <w:tcW w:w="1116" w:type="dxa"/>
            <w:tcBorders>
              <w:top w:val="nil"/>
              <w:left w:val="nil"/>
              <w:bottom w:val="nil"/>
              <w:right w:val="nil"/>
            </w:tcBorders>
            <w:shd w:val="clear" w:color="auto" w:fill="auto"/>
            <w:noWrap/>
            <w:vAlign w:val="center"/>
          </w:tcPr>
          <w:p w:rsidR="008E0BEE" w:rsidRPr="00526044" w:rsidRDefault="008E0BEE" w:rsidP="00A7725E">
            <w:pPr>
              <w:spacing w:line="240" w:lineRule="auto"/>
              <w:ind w:firstLine="0"/>
              <w:jc w:val="center"/>
              <w:rPr>
                <w:rFonts w:eastAsia="Times New Roman"/>
                <w:color w:val="000000"/>
                <w:szCs w:val="24"/>
              </w:rPr>
            </w:pPr>
            <w:r>
              <w:rPr>
                <w:rFonts w:eastAsia="Times New Roman"/>
                <w:color w:val="000000"/>
                <w:szCs w:val="24"/>
              </w:rPr>
              <w:t>.205</w:t>
            </w:r>
          </w:p>
        </w:tc>
        <w:tc>
          <w:tcPr>
            <w:tcW w:w="960" w:type="dxa"/>
            <w:tcBorders>
              <w:top w:val="nil"/>
              <w:left w:val="nil"/>
              <w:bottom w:val="nil"/>
              <w:right w:val="nil"/>
            </w:tcBorders>
            <w:shd w:val="clear" w:color="auto" w:fill="auto"/>
            <w:noWrap/>
            <w:vAlign w:val="center"/>
          </w:tcPr>
          <w:p w:rsidR="008E0BEE" w:rsidRPr="00526044" w:rsidRDefault="008E0BEE" w:rsidP="00A7725E">
            <w:pPr>
              <w:spacing w:line="240" w:lineRule="auto"/>
              <w:ind w:firstLine="0"/>
              <w:jc w:val="center"/>
              <w:rPr>
                <w:rFonts w:eastAsia="Times New Roman"/>
                <w:color w:val="000000"/>
                <w:szCs w:val="24"/>
              </w:rPr>
            </w:pPr>
            <w:r>
              <w:rPr>
                <w:rFonts w:eastAsia="Times New Roman"/>
                <w:color w:val="000000"/>
                <w:szCs w:val="24"/>
              </w:rPr>
              <w:t>.632</w:t>
            </w:r>
          </w:p>
        </w:tc>
        <w:tc>
          <w:tcPr>
            <w:tcW w:w="1120" w:type="dxa"/>
            <w:tcBorders>
              <w:top w:val="nil"/>
              <w:left w:val="nil"/>
              <w:bottom w:val="nil"/>
              <w:right w:val="nil"/>
            </w:tcBorders>
            <w:shd w:val="clear" w:color="auto" w:fill="auto"/>
            <w:noWrap/>
            <w:vAlign w:val="center"/>
          </w:tcPr>
          <w:p w:rsidR="008E0BEE" w:rsidRPr="00526044" w:rsidRDefault="008E0BEE" w:rsidP="00A7725E">
            <w:pPr>
              <w:spacing w:line="240" w:lineRule="auto"/>
              <w:ind w:firstLine="0"/>
              <w:jc w:val="center"/>
              <w:rPr>
                <w:rFonts w:eastAsia="Times New Roman"/>
                <w:color w:val="000000"/>
                <w:szCs w:val="24"/>
              </w:rPr>
            </w:pPr>
            <w:r>
              <w:rPr>
                <w:rFonts w:eastAsia="Times New Roman"/>
                <w:color w:val="000000"/>
                <w:szCs w:val="24"/>
              </w:rPr>
              <w:t>1</w:t>
            </w:r>
          </w:p>
        </w:tc>
        <w:tc>
          <w:tcPr>
            <w:tcW w:w="960" w:type="dxa"/>
            <w:tcBorders>
              <w:top w:val="nil"/>
              <w:left w:val="nil"/>
              <w:bottom w:val="nil"/>
              <w:right w:val="nil"/>
            </w:tcBorders>
            <w:shd w:val="clear" w:color="auto" w:fill="auto"/>
            <w:noWrap/>
            <w:vAlign w:val="center"/>
          </w:tcPr>
          <w:p w:rsidR="008E0BEE" w:rsidRPr="00526044" w:rsidRDefault="008E0BEE" w:rsidP="00A7725E">
            <w:pPr>
              <w:spacing w:line="240" w:lineRule="auto"/>
              <w:ind w:firstLine="0"/>
              <w:jc w:val="center"/>
              <w:rPr>
                <w:rFonts w:eastAsia="Times New Roman"/>
                <w:color w:val="000000"/>
                <w:szCs w:val="24"/>
              </w:rPr>
            </w:pPr>
            <w:r>
              <w:rPr>
                <w:rFonts w:eastAsia="Times New Roman"/>
                <w:color w:val="000000"/>
                <w:szCs w:val="24"/>
              </w:rPr>
              <w:t>.427</w:t>
            </w:r>
          </w:p>
        </w:tc>
        <w:tc>
          <w:tcPr>
            <w:tcW w:w="960" w:type="dxa"/>
            <w:tcBorders>
              <w:top w:val="nil"/>
              <w:left w:val="nil"/>
              <w:bottom w:val="nil"/>
              <w:right w:val="nil"/>
            </w:tcBorders>
            <w:shd w:val="clear" w:color="auto" w:fill="auto"/>
            <w:noWrap/>
            <w:vAlign w:val="center"/>
          </w:tcPr>
          <w:p w:rsidR="008E0BEE" w:rsidRPr="00526044" w:rsidRDefault="008E0BEE" w:rsidP="00A7725E">
            <w:pPr>
              <w:spacing w:line="240" w:lineRule="auto"/>
              <w:ind w:firstLine="0"/>
              <w:jc w:val="center"/>
              <w:rPr>
                <w:rFonts w:eastAsia="Times New Roman"/>
                <w:color w:val="000000"/>
                <w:szCs w:val="24"/>
              </w:rPr>
            </w:pPr>
            <w:r>
              <w:rPr>
                <w:rFonts w:eastAsia="Times New Roman"/>
                <w:color w:val="000000"/>
                <w:szCs w:val="24"/>
              </w:rPr>
              <w:t>.850</w:t>
            </w:r>
          </w:p>
        </w:tc>
      </w:tr>
      <w:tr w:rsidR="008E0BEE" w:rsidRPr="00526044" w:rsidTr="00203FEE">
        <w:trPr>
          <w:trHeight w:val="440"/>
        </w:trPr>
        <w:tc>
          <w:tcPr>
            <w:tcW w:w="960" w:type="dxa"/>
            <w:vMerge/>
            <w:tcBorders>
              <w:top w:val="nil"/>
              <w:left w:val="nil"/>
              <w:bottom w:val="single" w:sz="4" w:space="0" w:color="000000"/>
              <w:right w:val="nil"/>
            </w:tcBorders>
            <w:vAlign w:val="center"/>
            <w:hideMark/>
          </w:tcPr>
          <w:p w:rsidR="008E0BEE" w:rsidRPr="00526044" w:rsidRDefault="008E0BEE" w:rsidP="00203FEE">
            <w:pPr>
              <w:spacing w:line="240" w:lineRule="auto"/>
              <w:ind w:firstLine="0"/>
              <w:rPr>
                <w:rFonts w:eastAsia="Times New Roman"/>
                <w:color w:val="000000"/>
                <w:szCs w:val="24"/>
              </w:rPr>
            </w:pPr>
          </w:p>
        </w:tc>
        <w:tc>
          <w:tcPr>
            <w:tcW w:w="2191" w:type="dxa"/>
            <w:tcBorders>
              <w:top w:val="nil"/>
              <w:left w:val="nil"/>
              <w:bottom w:val="nil"/>
              <w:right w:val="nil"/>
            </w:tcBorders>
            <w:shd w:val="clear" w:color="auto" w:fill="auto"/>
            <w:vAlign w:val="center"/>
          </w:tcPr>
          <w:p w:rsidR="008E0BEE" w:rsidRPr="00526044" w:rsidRDefault="008E0BEE" w:rsidP="00203FEE">
            <w:pPr>
              <w:spacing w:line="240" w:lineRule="auto"/>
              <w:ind w:firstLine="0"/>
              <w:rPr>
                <w:rFonts w:eastAsia="Times New Roman"/>
                <w:color w:val="000000"/>
                <w:szCs w:val="24"/>
              </w:rPr>
            </w:pPr>
            <w:r>
              <w:rPr>
                <w:rFonts w:eastAsia="Times New Roman"/>
                <w:color w:val="000000"/>
                <w:szCs w:val="24"/>
              </w:rPr>
              <w:t>Income</w:t>
            </w:r>
          </w:p>
        </w:tc>
        <w:tc>
          <w:tcPr>
            <w:tcW w:w="960" w:type="dxa"/>
            <w:tcBorders>
              <w:top w:val="nil"/>
              <w:left w:val="nil"/>
              <w:bottom w:val="nil"/>
              <w:right w:val="nil"/>
            </w:tcBorders>
            <w:shd w:val="clear" w:color="auto" w:fill="auto"/>
            <w:noWrap/>
            <w:vAlign w:val="center"/>
          </w:tcPr>
          <w:p w:rsidR="008E0BEE" w:rsidRPr="00526044" w:rsidRDefault="008E0BEE" w:rsidP="00A7725E">
            <w:pPr>
              <w:spacing w:line="240" w:lineRule="auto"/>
              <w:ind w:firstLine="0"/>
              <w:jc w:val="center"/>
              <w:rPr>
                <w:rFonts w:eastAsia="Times New Roman"/>
                <w:color w:val="000000"/>
                <w:szCs w:val="24"/>
              </w:rPr>
            </w:pPr>
            <w:r>
              <w:rPr>
                <w:rFonts w:eastAsia="Times New Roman"/>
                <w:color w:val="000000"/>
                <w:szCs w:val="24"/>
              </w:rPr>
              <w:t>-.027</w:t>
            </w:r>
          </w:p>
        </w:tc>
        <w:tc>
          <w:tcPr>
            <w:tcW w:w="1116" w:type="dxa"/>
            <w:tcBorders>
              <w:top w:val="nil"/>
              <w:left w:val="nil"/>
              <w:bottom w:val="nil"/>
              <w:right w:val="nil"/>
            </w:tcBorders>
            <w:shd w:val="clear" w:color="auto" w:fill="auto"/>
            <w:noWrap/>
            <w:vAlign w:val="center"/>
          </w:tcPr>
          <w:p w:rsidR="008E0BEE" w:rsidRPr="00526044" w:rsidRDefault="008E0BEE" w:rsidP="00A7725E">
            <w:pPr>
              <w:spacing w:line="240" w:lineRule="auto"/>
              <w:ind w:firstLine="0"/>
              <w:jc w:val="center"/>
              <w:rPr>
                <w:rFonts w:eastAsia="Times New Roman"/>
                <w:color w:val="000000"/>
                <w:szCs w:val="24"/>
              </w:rPr>
            </w:pPr>
            <w:r>
              <w:rPr>
                <w:rFonts w:eastAsia="Times New Roman"/>
                <w:color w:val="000000"/>
                <w:szCs w:val="24"/>
              </w:rPr>
              <w:t>.062</w:t>
            </w:r>
          </w:p>
        </w:tc>
        <w:tc>
          <w:tcPr>
            <w:tcW w:w="960" w:type="dxa"/>
            <w:tcBorders>
              <w:top w:val="nil"/>
              <w:left w:val="nil"/>
              <w:bottom w:val="nil"/>
              <w:right w:val="nil"/>
            </w:tcBorders>
            <w:shd w:val="clear" w:color="auto" w:fill="auto"/>
            <w:noWrap/>
            <w:vAlign w:val="center"/>
          </w:tcPr>
          <w:p w:rsidR="008E0BEE" w:rsidRPr="00526044" w:rsidRDefault="008E0BEE" w:rsidP="00A7725E">
            <w:pPr>
              <w:spacing w:line="240" w:lineRule="auto"/>
              <w:ind w:firstLine="0"/>
              <w:jc w:val="center"/>
              <w:rPr>
                <w:rFonts w:eastAsia="Times New Roman"/>
                <w:color w:val="000000"/>
                <w:szCs w:val="24"/>
              </w:rPr>
            </w:pPr>
            <w:r>
              <w:rPr>
                <w:rFonts w:eastAsia="Times New Roman"/>
                <w:color w:val="000000"/>
                <w:szCs w:val="24"/>
              </w:rPr>
              <w:t>.182</w:t>
            </w:r>
          </w:p>
        </w:tc>
        <w:tc>
          <w:tcPr>
            <w:tcW w:w="1120" w:type="dxa"/>
            <w:tcBorders>
              <w:top w:val="nil"/>
              <w:left w:val="nil"/>
              <w:bottom w:val="nil"/>
              <w:right w:val="nil"/>
            </w:tcBorders>
            <w:shd w:val="clear" w:color="auto" w:fill="auto"/>
            <w:noWrap/>
            <w:vAlign w:val="center"/>
          </w:tcPr>
          <w:p w:rsidR="008E0BEE" w:rsidRPr="00526044" w:rsidRDefault="008E0BEE" w:rsidP="00A7725E">
            <w:pPr>
              <w:spacing w:line="240" w:lineRule="auto"/>
              <w:ind w:firstLine="0"/>
              <w:jc w:val="center"/>
              <w:rPr>
                <w:rFonts w:eastAsia="Times New Roman"/>
                <w:color w:val="000000"/>
                <w:szCs w:val="24"/>
              </w:rPr>
            </w:pPr>
            <w:r>
              <w:rPr>
                <w:rFonts w:eastAsia="Times New Roman"/>
                <w:color w:val="000000"/>
                <w:szCs w:val="24"/>
              </w:rPr>
              <w:t>1</w:t>
            </w:r>
          </w:p>
        </w:tc>
        <w:tc>
          <w:tcPr>
            <w:tcW w:w="960" w:type="dxa"/>
            <w:tcBorders>
              <w:top w:val="nil"/>
              <w:left w:val="nil"/>
              <w:bottom w:val="nil"/>
              <w:right w:val="nil"/>
            </w:tcBorders>
            <w:shd w:val="clear" w:color="auto" w:fill="auto"/>
            <w:noWrap/>
            <w:vAlign w:val="center"/>
          </w:tcPr>
          <w:p w:rsidR="008E0BEE" w:rsidRPr="00526044" w:rsidRDefault="008E0BEE" w:rsidP="00A7725E">
            <w:pPr>
              <w:spacing w:line="240" w:lineRule="auto"/>
              <w:ind w:firstLine="0"/>
              <w:jc w:val="center"/>
              <w:rPr>
                <w:rFonts w:eastAsia="Times New Roman"/>
                <w:color w:val="000000"/>
                <w:szCs w:val="24"/>
              </w:rPr>
            </w:pPr>
            <w:r>
              <w:rPr>
                <w:rFonts w:eastAsia="Times New Roman"/>
                <w:color w:val="000000"/>
                <w:szCs w:val="24"/>
              </w:rPr>
              <w:t>.669</w:t>
            </w:r>
          </w:p>
        </w:tc>
        <w:tc>
          <w:tcPr>
            <w:tcW w:w="960" w:type="dxa"/>
            <w:tcBorders>
              <w:top w:val="nil"/>
              <w:left w:val="nil"/>
              <w:bottom w:val="nil"/>
              <w:right w:val="nil"/>
            </w:tcBorders>
            <w:shd w:val="clear" w:color="auto" w:fill="auto"/>
            <w:noWrap/>
            <w:vAlign w:val="center"/>
          </w:tcPr>
          <w:p w:rsidR="008E0BEE" w:rsidRPr="00526044" w:rsidRDefault="008E0BEE" w:rsidP="00A7725E">
            <w:pPr>
              <w:spacing w:line="240" w:lineRule="auto"/>
              <w:ind w:firstLine="0"/>
              <w:jc w:val="center"/>
              <w:rPr>
                <w:rFonts w:eastAsia="Times New Roman"/>
                <w:color w:val="000000"/>
                <w:szCs w:val="24"/>
              </w:rPr>
            </w:pPr>
            <w:r>
              <w:rPr>
                <w:rFonts w:eastAsia="Times New Roman"/>
                <w:color w:val="000000"/>
                <w:szCs w:val="24"/>
              </w:rPr>
              <w:t>.974</w:t>
            </w:r>
          </w:p>
        </w:tc>
      </w:tr>
      <w:tr w:rsidR="008E0BEE" w:rsidRPr="00526044" w:rsidTr="00203FEE">
        <w:trPr>
          <w:trHeight w:val="350"/>
        </w:trPr>
        <w:tc>
          <w:tcPr>
            <w:tcW w:w="960" w:type="dxa"/>
            <w:vMerge/>
            <w:tcBorders>
              <w:top w:val="nil"/>
              <w:left w:val="nil"/>
              <w:bottom w:val="single" w:sz="4" w:space="0" w:color="000000"/>
              <w:right w:val="nil"/>
            </w:tcBorders>
            <w:vAlign w:val="center"/>
            <w:hideMark/>
          </w:tcPr>
          <w:p w:rsidR="008E0BEE" w:rsidRPr="00526044" w:rsidRDefault="008E0BEE" w:rsidP="00203FEE">
            <w:pPr>
              <w:spacing w:line="240" w:lineRule="auto"/>
              <w:ind w:firstLine="0"/>
              <w:rPr>
                <w:rFonts w:eastAsia="Times New Roman"/>
                <w:color w:val="000000"/>
                <w:szCs w:val="24"/>
              </w:rPr>
            </w:pPr>
          </w:p>
        </w:tc>
        <w:tc>
          <w:tcPr>
            <w:tcW w:w="2191" w:type="dxa"/>
            <w:tcBorders>
              <w:top w:val="nil"/>
              <w:left w:val="nil"/>
              <w:bottom w:val="nil"/>
              <w:right w:val="nil"/>
            </w:tcBorders>
            <w:shd w:val="clear" w:color="auto" w:fill="auto"/>
            <w:vAlign w:val="center"/>
          </w:tcPr>
          <w:p w:rsidR="008E0BEE" w:rsidRPr="00526044" w:rsidRDefault="008E0BEE" w:rsidP="00203FEE">
            <w:pPr>
              <w:spacing w:line="240" w:lineRule="auto"/>
              <w:ind w:firstLine="0"/>
              <w:rPr>
                <w:rFonts w:eastAsia="Times New Roman"/>
                <w:color w:val="000000"/>
                <w:szCs w:val="24"/>
              </w:rPr>
            </w:pPr>
            <w:r>
              <w:rPr>
                <w:rFonts w:eastAsia="Times New Roman"/>
                <w:color w:val="000000"/>
                <w:szCs w:val="24"/>
              </w:rPr>
              <w:t>Marijuana</w:t>
            </w:r>
          </w:p>
        </w:tc>
        <w:tc>
          <w:tcPr>
            <w:tcW w:w="960" w:type="dxa"/>
            <w:tcBorders>
              <w:top w:val="nil"/>
              <w:left w:val="nil"/>
              <w:bottom w:val="nil"/>
              <w:right w:val="nil"/>
            </w:tcBorders>
            <w:shd w:val="clear" w:color="auto" w:fill="auto"/>
            <w:noWrap/>
            <w:vAlign w:val="center"/>
          </w:tcPr>
          <w:p w:rsidR="008E0BEE" w:rsidRPr="00526044" w:rsidRDefault="008E0BEE" w:rsidP="00A7725E">
            <w:pPr>
              <w:spacing w:line="240" w:lineRule="auto"/>
              <w:ind w:firstLine="0"/>
              <w:jc w:val="center"/>
              <w:rPr>
                <w:rFonts w:eastAsia="Times New Roman"/>
                <w:color w:val="000000"/>
                <w:szCs w:val="24"/>
              </w:rPr>
            </w:pPr>
            <w:r>
              <w:rPr>
                <w:rFonts w:eastAsia="Times New Roman"/>
                <w:color w:val="000000"/>
                <w:szCs w:val="24"/>
              </w:rPr>
              <w:t>.429</w:t>
            </w:r>
          </w:p>
        </w:tc>
        <w:tc>
          <w:tcPr>
            <w:tcW w:w="1116" w:type="dxa"/>
            <w:tcBorders>
              <w:top w:val="nil"/>
              <w:left w:val="nil"/>
              <w:bottom w:val="nil"/>
              <w:right w:val="nil"/>
            </w:tcBorders>
            <w:shd w:val="clear" w:color="auto" w:fill="auto"/>
            <w:noWrap/>
            <w:vAlign w:val="center"/>
          </w:tcPr>
          <w:p w:rsidR="008E0BEE" w:rsidRPr="00526044" w:rsidRDefault="008E0BEE" w:rsidP="00A7725E">
            <w:pPr>
              <w:spacing w:line="240" w:lineRule="auto"/>
              <w:ind w:firstLine="0"/>
              <w:jc w:val="center"/>
              <w:rPr>
                <w:rFonts w:eastAsia="Times New Roman"/>
                <w:color w:val="000000"/>
                <w:szCs w:val="24"/>
              </w:rPr>
            </w:pPr>
            <w:r>
              <w:rPr>
                <w:rFonts w:eastAsia="Times New Roman"/>
                <w:color w:val="000000"/>
                <w:szCs w:val="24"/>
              </w:rPr>
              <w:t>.055</w:t>
            </w:r>
          </w:p>
        </w:tc>
        <w:tc>
          <w:tcPr>
            <w:tcW w:w="960" w:type="dxa"/>
            <w:tcBorders>
              <w:top w:val="nil"/>
              <w:left w:val="nil"/>
              <w:bottom w:val="nil"/>
              <w:right w:val="nil"/>
            </w:tcBorders>
            <w:shd w:val="clear" w:color="auto" w:fill="auto"/>
            <w:noWrap/>
            <w:vAlign w:val="center"/>
          </w:tcPr>
          <w:p w:rsidR="008E0BEE" w:rsidRPr="00526044" w:rsidRDefault="008E0BEE" w:rsidP="00A7725E">
            <w:pPr>
              <w:spacing w:line="240" w:lineRule="auto"/>
              <w:ind w:firstLine="0"/>
              <w:jc w:val="center"/>
              <w:rPr>
                <w:rFonts w:eastAsia="Times New Roman"/>
                <w:color w:val="000000"/>
                <w:szCs w:val="24"/>
              </w:rPr>
            </w:pPr>
            <w:r>
              <w:rPr>
                <w:rFonts w:eastAsia="Times New Roman"/>
                <w:color w:val="000000"/>
                <w:szCs w:val="24"/>
              </w:rPr>
              <w:t>61.149</w:t>
            </w:r>
          </w:p>
        </w:tc>
        <w:tc>
          <w:tcPr>
            <w:tcW w:w="1120" w:type="dxa"/>
            <w:tcBorders>
              <w:top w:val="nil"/>
              <w:left w:val="nil"/>
              <w:bottom w:val="nil"/>
              <w:right w:val="nil"/>
            </w:tcBorders>
            <w:shd w:val="clear" w:color="auto" w:fill="auto"/>
            <w:noWrap/>
            <w:vAlign w:val="center"/>
          </w:tcPr>
          <w:p w:rsidR="008E0BEE" w:rsidRPr="00526044" w:rsidRDefault="008E0BEE" w:rsidP="00A7725E">
            <w:pPr>
              <w:spacing w:line="240" w:lineRule="auto"/>
              <w:ind w:firstLine="0"/>
              <w:jc w:val="center"/>
              <w:rPr>
                <w:rFonts w:eastAsia="Times New Roman"/>
                <w:color w:val="000000"/>
                <w:szCs w:val="24"/>
              </w:rPr>
            </w:pPr>
            <w:r>
              <w:rPr>
                <w:rFonts w:eastAsia="Times New Roman"/>
                <w:color w:val="000000"/>
                <w:szCs w:val="24"/>
              </w:rPr>
              <w:t>1</w:t>
            </w:r>
          </w:p>
        </w:tc>
        <w:tc>
          <w:tcPr>
            <w:tcW w:w="960" w:type="dxa"/>
            <w:tcBorders>
              <w:top w:val="nil"/>
              <w:left w:val="nil"/>
              <w:bottom w:val="nil"/>
              <w:right w:val="nil"/>
            </w:tcBorders>
            <w:shd w:val="clear" w:color="auto" w:fill="auto"/>
            <w:noWrap/>
            <w:vAlign w:val="center"/>
          </w:tcPr>
          <w:p w:rsidR="008E0BEE" w:rsidRPr="00526044" w:rsidRDefault="008E0BEE" w:rsidP="00A7725E">
            <w:pPr>
              <w:spacing w:line="240" w:lineRule="auto"/>
              <w:ind w:firstLine="0"/>
              <w:jc w:val="center"/>
              <w:rPr>
                <w:rFonts w:eastAsia="Times New Roman"/>
                <w:color w:val="000000"/>
                <w:szCs w:val="24"/>
              </w:rPr>
            </w:pPr>
            <w:r>
              <w:rPr>
                <w:rFonts w:eastAsia="Times New Roman"/>
                <w:color w:val="000000"/>
                <w:szCs w:val="24"/>
              </w:rPr>
              <w:t>&lt; .001</w:t>
            </w:r>
          </w:p>
        </w:tc>
        <w:tc>
          <w:tcPr>
            <w:tcW w:w="960" w:type="dxa"/>
            <w:tcBorders>
              <w:top w:val="nil"/>
              <w:left w:val="nil"/>
              <w:bottom w:val="nil"/>
              <w:right w:val="nil"/>
            </w:tcBorders>
            <w:shd w:val="clear" w:color="auto" w:fill="auto"/>
            <w:noWrap/>
            <w:vAlign w:val="center"/>
          </w:tcPr>
          <w:p w:rsidR="008E0BEE" w:rsidRPr="00526044" w:rsidRDefault="008E0BEE" w:rsidP="00A7725E">
            <w:pPr>
              <w:spacing w:line="240" w:lineRule="auto"/>
              <w:ind w:firstLine="0"/>
              <w:jc w:val="center"/>
              <w:rPr>
                <w:rFonts w:eastAsia="Times New Roman"/>
                <w:color w:val="000000"/>
                <w:szCs w:val="24"/>
              </w:rPr>
            </w:pPr>
            <w:r>
              <w:rPr>
                <w:rFonts w:eastAsia="Times New Roman"/>
                <w:color w:val="000000"/>
                <w:szCs w:val="24"/>
              </w:rPr>
              <w:t>1.536</w:t>
            </w:r>
          </w:p>
        </w:tc>
      </w:tr>
      <w:tr w:rsidR="008E0BEE" w:rsidRPr="00526044" w:rsidTr="00203FEE">
        <w:trPr>
          <w:trHeight w:val="440"/>
        </w:trPr>
        <w:tc>
          <w:tcPr>
            <w:tcW w:w="960" w:type="dxa"/>
            <w:vMerge/>
            <w:tcBorders>
              <w:top w:val="nil"/>
              <w:left w:val="nil"/>
              <w:bottom w:val="single" w:sz="4" w:space="0" w:color="000000"/>
              <w:right w:val="nil"/>
            </w:tcBorders>
            <w:vAlign w:val="center"/>
            <w:hideMark/>
          </w:tcPr>
          <w:p w:rsidR="008E0BEE" w:rsidRPr="00526044" w:rsidRDefault="008E0BEE" w:rsidP="00203FEE">
            <w:pPr>
              <w:spacing w:line="240" w:lineRule="auto"/>
              <w:ind w:firstLine="0"/>
              <w:rPr>
                <w:rFonts w:eastAsia="Times New Roman"/>
                <w:color w:val="000000"/>
                <w:szCs w:val="24"/>
              </w:rPr>
            </w:pPr>
          </w:p>
        </w:tc>
        <w:tc>
          <w:tcPr>
            <w:tcW w:w="2191" w:type="dxa"/>
            <w:tcBorders>
              <w:top w:val="nil"/>
              <w:left w:val="nil"/>
              <w:bottom w:val="nil"/>
              <w:right w:val="nil"/>
            </w:tcBorders>
            <w:shd w:val="clear" w:color="auto" w:fill="auto"/>
            <w:vAlign w:val="center"/>
          </w:tcPr>
          <w:p w:rsidR="008E0BEE" w:rsidRPr="00526044" w:rsidRDefault="008E0BEE" w:rsidP="00203FEE">
            <w:pPr>
              <w:spacing w:line="240" w:lineRule="auto"/>
              <w:ind w:firstLine="0"/>
              <w:rPr>
                <w:rFonts w:eastAsia="Times New Roman"/>
                <w:color w:val="000000"/>
                <w:szCs w:val="24"/>
              </w:rPr>
            </w:pPr>
            <w:r>
              <w:rPr>
                <w:rFonts w:eastAsia="Times New Roman"/>
                <w:color w:val="000000"/>
                <w:szCs w:val="24"/>
              </w:rPr>
              <w:t>Cocaine</w:t>
            </w:r>
          </w:p>
        </w:tc>
        <w:tc>
          <w:tcPr>
            <w:tcW w:w="960" w:type="dxa"/>
            <w:tcBorders>
              <w:top w:val="nil"/>
              <w:left w:val="nil"/>
              <w:bottom w:val="nil"/>
              <w:right w:val="nil"/>
            </w:tcBorders>
            <w:shd w:val="clear" w:color="auto" w:fill="auto"/>
            <w:noWrap/>
            <w:vAlign w:val="center"/>
          </w:tcPr>
          <w:p w:rsidR="008E0BEE" w:rsidRPr="00526044" w:rsidRDefault="008E0BEE" w:rsidP="00A7725E">
            <w:pPr>
              <w:spacing w:line="240" w:lineRule="auto"/>
              <w:ind w:firstLine="0"/>
              <w:jc w:val="center"/>
              <w:rPr>
                <w:rFonts w:eastAsia="Times New Roman"/>
                <w:color w:val="000000"/>
                <w:szCs w:val="24"/>
              </w:rPr>
            </w:pPr>
            <w:r>
              <w:rPr>
                <w:rFonts w:eastAsia="Times New Roman"/>
                <w:color w:val="000000"/>
                <w:szCs w:val="24"/>
              </w:rPr>
              <w:t>1.854</w:t>
            </w:r>
          </w:p>
        </w:tc>
        <w:tc>
          <w:tcPr>
            <w:tcW w:w="1116" w:type="dxa"/>
            <w:tcBorders>
              <w:top w:val="nil"/>
              <w:left w:val="nil"/>
              <w:bottom w:val="nil"/>
              <w:right w:val="nil"/>
            </w:tcBorders>
            <w:shd w:val="clear" w:color="auto" w:fill="auto"/>
            <w:noWrap/>
            <w:vAlign w:val="center"/>
          </w:tcPr>
          <w:p w:rsidR="008E0BEE" w:rsidRPr="00526044" w:rsidRDefault="008E0BEE" w:rsidP="00A7725E">
            <w:pPr>
              <w:spacing w:line="240" w:lineRule="auto"/>
              <w:ind w:firstLine="0"/>
              <w:jc w:val="center"/>
              <w:rPr>
                <w:rFonts w:eastAsia="Times New Roman"/>
                <w:color w:val="000000"/>
                <w:szCs w:val="24"/>
              </w:rPr>
            </w:pPr>
            <w:r>
              <w:rPr>
                <w:rFonts w:eastAsia="Times New Roman"/>
                <w:color w:val="000000"/>
                <w:szCs w:val="24"/>
              </w:rPr>
              <w:t>.694</w:t>
            </w:r>
          </w:p>
        </w:tc>
        <w:tc>
          <w:tcPr>
            <w:tcW w:w="960" w:type="dxa"/>
            <w:tcBorders>
              <w:top w:val="nil"/>
              <w:left w:val="nil"/>
              <w:bottom w:val="nil"/>
              <w:right w:val="nil"/>
            </w:tcBorders>
            <w:shd w:val="clear" w:color="auto" w:fill="auto"/>
            <w:noWrap/>
            <w:vAlign w:val="center"/>
          </w:tcPr>
          <w:p w:rsidR="008E0BEE" w:rsidRPr="00526044" w:rsidRDefault="008E0BEE" w:rsidP="00A7725E">
            <w:pPr>
              <w:spacing w:line="240" w:lineRule="auto"/>
              <w:ind w:firstLine="0"/>
              <w:jc w:val="center"/>
              <w:rPr>
                <w:rFonts w:eastAsia="Times New Roman"/>
                <w:color w:val="000000"/>
                <w:szCs w:val="24"/>
              </w:rPr>
            </w:pPr>
            <w:r>
              <w:rPr>
                <w:rFonts w:eastAsia="Times New Roman"/>
                <w:color w:val="000000"/>
                <w:szCs w:val="24"/>
              </w:rPr>
              <w:t>7.129</w:t>
            </w:r>
          </w:p>
        </w:tc>
        <w:tc>
          <w:tcPr>
            <w:tcW w:w="1120" w:type="dxa"/>
            <w:tcBorders>
              <w:top w:val="nil"/>
              <w:left w:val="nil"/>
              <w:bottom w:val="nil"/>
              <w:right w:val="nil"/>
            </w:tcBorders>
            <w:shd w:val="clear" w:color="auto" w:fill="auto"/>
            <w:noWrap/>
            <w:vAlign w:val="center"/>
          </w:tcPr>
          <w:p w:rsidR="008E0BEE" w:rsidRPr="00526044" w:rsidRDefault="008E0BEE" w:rsidP="00A7725E">
            <w:pPr>
              <w:spacing w:line="240" w:lineRule="auto"/>
              <w:ind w:firstLine="0"/>
              <w:jc w:val="center"/>
              <w:rPr>
                <w:rFonts w:eastAsia="Times New Roman"/>
                <w:color w:val="000000"/>
                <w:szCs w:val="24"/>
              </w:rPr>
            </w:pPr>
            <w:r>
              <w:rPr>
                <w:rFonts w:eastAsia="Times New Roman"/>
                <w:color w:val="000000"/>
                <w:szCs w:val="24"/>
              </w:rPr>
              <w:t>1</w:t>
            </w:r>
          </w:p>
        </w:tc>
        <w:tc>
          <w:tcPr>
            <w:tcW w:w="960" w:type="dxa"/>
            <w:tcBorders>
              <w:top w:val="nil"/>
              <w:left w:val="nil"/>
              <w:bottom w:val="nil"/>
              <w:right w:val="nil"/>
            </w:tcBorders>
            <w:shd w:val="clear" w:color="auto" w:fill="auto"/>
            <w:noWrap/>
            <w:vAlign w:val="center"/>
          </w:tcPr>
          <w:p w:rsidR="008E0BEE" w:rsidRPr="00526044" w:rsidRDefault="008E0BEE" w:rsidP="00A7725E">
            <w:pPr>
              <w:spacing w:line="240" w:lineRule="auto"/>
              <w:ind w:firstLine="0"/>
              <w:jc w:val="center"/>
              <w:rPr>
                <w:rFonts w:eastAsia="Times New Roman"/>
                <w:color w:val="000000"/>
                <w:szCs w:val="24"/>
              </w:rPr>
            </w:pPr>
            <w:r>
              <w:rPr>
                <w:rFonts w:eastAsia="Times New Roman"/>
                <w:color w:val="000000"/>
                <w:szCs w:val="24"/>
              </w:rPr>
              <w:t>.008</w:t>
            </w:r>
          </w:p>
        </w:tc>
        <w:tc>
          <w:tcPr>
            <w:tcW w:w="960" w:type="dxa"/>
            <w:tcBorders>
              <w:top w:val="nil"/>
              <w:left w:val="nil"/>
              <w:bottom w:val="nil"/>
              <w:right w:val="nil"/>
            </w:tcBorders>
            <w:shd w:val="clear" w:color="auto" w:fill="auto"/>
            <w:noWrap/>
            <w:vAlign w:val="center"/>
          </w:tcPr>
          <w:p w:rsidR="008E0BEE" w:rsidRPr="00526044" w:rsidRDefault="008E0BEE" w:rsidP="00A7725E">
            <w:pPr>
              <w:spacing w:line="240" w:lineRule="auto"/>
              <w:ind w:firstLine="0"/>
              <w:jc w:val="center"/>
              <w:rPr>
                <w:rFonts w:eastAsia="Times New Roman"/>
                <w:color w:val="000000"/>
                <w:szCs w:val="24"/>
              </w:rPr>
            </w:pPr>
            <w:r>
              <w:rPr>
                <w:rFonts w:eastAsia="Times New Roman"/>
                <w:color w:val="000000"/>
                <w:szCs w:val="24"/>
              </w:rPr>
              <w:t>6.386</w:t>
            </w:r>
          </w:p>
        </w:tc>
      </w:tr>
      <w:tr w:rsidR="008E0BEE" w:rsidRPr="00526044" w:rsidTr="00203FEE">
        <w:trPr>
          <w:trHeight w:val="440"/>
        </w:trPr>
        <w:tc>
          <w:tcPr>
            <w:tcW w:w="960" w:type="dxa"/>
            <w:vMerge/>
            <w:tcBorders>
              <w:top w:val="nil"/>
              <w:left w:val="nil"/>
              <w:bottom w:val="single" w:sz="4" w:space="0" w:color="000000"/>
              <w:right w:val="nil"/>
            </w:tcBorders>
            <w:vAlign w:val="center"/>
            <w:hideMark/>
          </w:tcPr>
          <w:p w:rsidR="008E0BEE" w:rsidRPr="00526044" w:rsidRDefault="008E0BEE" w:rsidP="00203FEE">
            <w:pPr>
              <w:spacing w:line="240" w:lineRule="auto"/>
              <w:ind w:firstLine="0"/>
              <w:rPr>
                <w:rFonts w:eastAsia="Times New Roman"/>
                <w:color w:val="000000"/>
                <w:szCs w:val="24"/>
              </w:rPr>
            </w:pPr>
          </w:p>
        </w:tc>
        <w:tc>
          <w:tcPr>
            <w:tcW w:w="2191" w:type="dxa"/>
            <w:tcBorders>
              <w:top w:val="nil"/>
              <w:left w:val="nil"/>
              <w:bottom w:val="nil"/>
              <w:right w:val="nil"/>
            </w:tcBorders>
            <w:shd w:val="clear" w:color="auto" w:fill="auto"/>
            <w:vAlign w:val="center"/>
          </w:tcPr>
          <w:p w:rsidR="008E0BEE" w:rsidRPr="00526044" w:rsidRDefault="008E0BEE" w:rsidP="00203FEE">
            <w:pPr>
              <w:spacing w:line="240" w:lineRule="auto"/>
              <w:ind w:firstLine="0"/>
              <w:rPr>
                <w:rFonts w:eastAsia="Times New Roman"/>
                <w:color w:val="000000"/>
                <w:szCs w:val="24"/>
              </w:rPr>
            </w:pPr>
            <w:r>
              <w:rPr>
                <w:rFonts w:eastAsia="Times New Roman"/>
                <w:color w:val="000000"/>
                <w:szCs w:val="24"/>
              </w:rPr>
              <w:t>Crystal Meth</w:t>
            </w:r>
          </w:p>
        </w:tc>
        <w:tc>
          <w:tcPr>
            <w:tcW w:w="960" w:type="dxa"/>
            <w:tcBorders>
              <w:top w:val="nil"/>
              <w:left w:val="nil"/>
              <w:bottom w:val="nil"/>
              <w:right w:val="nil"/>
            </w:tcBorders>
            <w:shd w:val="clear" w:color="auto" w:fill="auto"/>
            <w:noWrap/>
            <w:vAlign w:val="center"/>
          </w:tcPr>
          <w:p w:rsidR="008E0BEE" w:rsidRPr="00526044" w:rsidRDefault="008E0BEE" w:rsidP="00A7725E">
            <w:pPr>
              <w:spacing w:line="240" w:lineRule="auto"/>
              <w:ind w:firstLine="0"/>
              <w:jc w:val="center"/>
              <w:rPr>
                <w:rFonts w:eastAsia="Times New Roman"/>
                <w:color w:val="000000"/>
                <w:szCs w:val="24"/>
              </w:rPr>
            </w:pPr>
            <w:r>
              <w:rPr>
                <w:rFonts w:eastAsia="Times New Roman"/>
                <w:color w:val="000000"/>
                <w:szCs w:val="24"/>
              </w:rPr>
              <w:t>-5.854</w:t>
            </w:r>
          </w:p>
        </w:tc>
        <w:tc>
          <w:tcPr>
            <w:tcW w:w="1116" w:type="dxa"/>
            <w:tcBorders>
              <w:top w:val="nil"/>
              <w:left w:val="nil"/>
              <w:bottom w:val="nil"/>
              <w:right w:val="nil"/>
            </w:tcBorders>
            <w:shd w:val="clear" w:color="auto" w:fill="auto"/>
            <w:noWrap/>
            <w:vAlign w:val="center"/>
          </w:tcPr>
          <w:p w:rsidR="008E0BEE" w:rsidRPr="00526044" w:rsidRDefault="008E0BEE" w:rsidP="00A7725E">
            <w:pPr>
              <w:spacing w:line="240" w:lineRule="auto"/>
              <w:ind w:firstLine="0"/>
              <w:jc w:val="center"/>
              <w:rPr>
                <w:rFonts w:eastAsia="Times New Roman"/>
                <w:color w:val="000000"/>
                <w:szCs w:val="24"/>
              </w:rPr>
            </w:pPr>
            <w:r>
              <w:rPr>
                <w:rFonts w:eastAsia="Times New Roman"/>
                <w:color w:val="000000"/>
                <w:szCs w:val="24"/>
              </w:rPr>
              <w:t>5741.853</w:t>
            </w:r>
          </w:p>
        </w:tc>
        <w:tc>
          <w:tcPr>
            <w:tcW w:w="960" w:type="dxa"/>
            <w:tcBorders>
              <w:top w:val="nil"/>
              <w:left w:val="nil"/>
              <w:bottom w:val="nil"/>
              <w:right w:val="nil"/>
            </w:tcBorders>
            <w:shd w:val="clear" w:color="auto" w:fill="auto"/>
            <w:noWrap/>
            <w:vAlign w:val="center"/>
          </w:tcPr>
          <w:p w:rsidR="008E0BEE" w:rsidRPr="00526044" w:rsidRDefault="008E0BEE" w:rsidP="00A7725E">
            <w:pPr>
              <w:spacing w:line="240" w:lineRule="auto"/>
              <w:ind w:firstLine="0"/>
              <w:jc w:val="center"/>
              <w:rPr>
                <w:rFonts w:eastAsia="Times New Roman"/>
                <w:color w:val="000000"/>
                <w:szCs w:val="24"/>
              </w:rPr>
            </w:pPr>
            <w:r>
              <w:rPr>
                <w:rFonts w:eastAsia="Times New Roman"/>
                <w:color w:val="000000"/>
                <w:szCs w:val="24"/>
              </w:rPr>
              <w:t>&lt; .001</w:t>
            </w:r>
          </w:p>
        </w:tc>
        <w:tc>
          <w:tcPr>
            <w:tcW w:w="1120" w:type="dxa"/>
            <w:tcBorders>
              <w:top w:val="nil"/>
              <w:left w:val="nil"/>
              <w:bottom w:val="nil"/>
              <w:right w:val="nil"/>
            </w:tcBorders>
            <w:shd w:val="clear" w:color="auto" w:fill="auto"/>
            <w:noWrap/>
            <w:vAlign w:val="center"/>
          </w:tcPr>
          <w:p w:rsidR="008E0BEE" w:rsidRPr="00526044" w:rsidRDefault="008E0BEE" w:rsidP="00A7725E">
            <w:pPr>
              <w:spacing w:line="240" w:lineRule="auto"/>
              <w:ind w:firstLine="0"/>
              <w:jc w:val="center"/>
              <w:rPr>
                <w:rFonts w:eastAsia="Times New Roman"/>
                <w:color w:val="000000"/>
                <w:szCs w:val="24"/>
              </w:rPr>
            </w:pPr>
            <w:r>
              <w:rPr>
                <w:rFonts w:eastAsia="Times New Roman"/>
                <w:color w:val="000000"/>
                <w:szCs w:val="24"/>
              </w:rPr>
              <w:t>1</w:t>
            </w:r>
          </w:p>
        </w:tc>
        <w:tc>
          <w:tcPr>
            <w:tcW w:w="960" w:type="dxa"/>
            <w:tcBorders>
              <w:top w:val="nil"/>
              <w:left w:val="nil"/>
              <w:bottom w:val="nil"/>
              <w:right w:val="nil"/>
            </w:tcBorders>
            <w:shd w:val="clear" w:color="auto" w:fill="auto"/>
            <w:noWrap/>
            <w:vAlign w:val="center"/>
          </w:tcPr>
          <w:p w:rsidR="008E0BEE" w:rsidRPr="00526044" w:rsidRDefault="008E0BEE" w:rsidP="00A7725E">
            <w:pPr>
              <w:spacing w:line="240" w:lineRule="auto"/>
              <w:ind w:firstLine="0"/>
              <w:jc w:val="center"/>
              <w:rPr>
                <w:rFonts w:eastAsia="Times New Roman"/>
                <w:color w:val="000000"/>
                <w:szCs w:val="24"/>
              </w:rPr>
            </w:pPr>
            <w:r>
              <w:rPr>
                <w:rFonts w:eastAsia="Times New Roman"/>
                <w:color w:val="000000"/>
                <w:szCs w:val="24"/>
              </w:rPr>
              <w:t>.999</w:t>
            </w:r>
          </w:p>
        </w:tc>
        <w:tc>
          <w:tcPr>
            <w:tcW w:w="960" w:type="dxa"/>
            <w:tcBorders>
              <w:top w:val="nil"/>
              <w:left w:val="nil"/>
              <w:bottom w:val="nil"/>
              <w:right w:val="nil"/>
            </w:tcBorders>
            <w:shd w:val="clear" w:color="auto" w:fill="auto"/>
            <w:noWrap/>
            <w:vAlign w:val="center"/>
          </w:tcPr>
          <w:p w:rsidR="008E0BEE" w:rsidRPr="00526044" w:rsidRDefault="008E0BEE" w:rsidP="00A7725E">
            <w:pPr>
              <w:spacing w:line="240" w:lineRule="auto"/>
              <w:ind w:firstLine="0"/>
              <w:jc w:val="center"/>
              <w:rPr>
                <w:rFonts w:eastAsia="Times New Roman"/>
                <w:color w:val="000000"/>
                <w:szCs w:val="24"/>
              </w:rPr>
            </w:pPr>
            <w:r>
              <w:rPr>
                <w:rFonts w:eastAsia="Times New Roman"/>
                <w:color w:val="000000"/>
                <w:szCs w:val="24"/>
              </w:rPr>
              <w:t>.003</w:t>
            </w:r>
          </w:p>
        </w:tc>
      </w:tr>
      <w:tr w:rsidR="008E0BEE" w:rsidRPr="00526044" w:rsidTr="00203FEE">
        <w:trPr>
          <w:trHeight w:val="440"/>
        </w:trPr>
        <w:tc>
          <w:tcPr>
            <w:tcW w:w="960" w:type="dxa"/>
            <w:vMerge/>
            <w:tcBorders>
              <w:top w:val="nil"/>
              <w:left w:val="nil"/>
              <w:bottom w:val="single" w:sz="4" w:space="0" w:color="000000"/>
              <w:right w:val="nil"/>
            </w:tcBorders>
            <w:vAlign w:val="center"/>
            <w:hideMark/>
          </w:tcPr>
          <w:p w:rsidR="008E0BEE" w:rsidRPr="00526044" w:rsidRDefault="008E0BEE" w:rsidP="00203FEE">
            <w:pPr>
              <w:spacing w:line="240" w:lineRule="auto"/>
              <w:ind w:firstLine="0"/>
              <w:rPr>
                <w:rFonts w:eastAsia="Times New Roman"/>
                <w:color w:val="000000"/>
                <w:szCs w:val="24"/>
              </w:rPr>
            </w:pPr>
          </w:p>
        </w:tc>
        <w:tc>
          <w:tcPr>
            <w:tcW w:w="2191" w:type="dxa"/>
            <w:tcBorders>
              <w:top w:val="nil"/>
              <w:left w:val="nil"/>
              <w:bottom w:val="nil"/>
              <w:right w:val="nil"/>
            </w:tcBorders>
            <w:shd w:val="clear" w:color="auto" w:fill="auto"/>
            <w:vAlign w:val="center"/>
          </w:tcPr>
          <w:p w:rsidR="008E0BEE" w:rsidRPr="00526044" w:rsidRDefault="008E0BEE" w:rsidP="00203FEE">
            <w:pPr>
              <w:spacing w:line="240" w:lineRule="auto"/>
              <w:ind w:firstLine="0"/>
              <w:rPr>
                <w:rFonts w:eastAsia="Times New Roman"/>
                <w:color w:val="000000"/>
                <w:szCs w:val="24"/>
              </w:rPr>
            </w:pPr>
            <w:r>
              <w:rPr>
                <w:rFonts w:eastAsia="Times New Roman"/>
                <w:color w:val="000000"/>
                <w:szCs w:val="24"/>
              </w:rPr>
              <w:t>Ecstasy</w:t>
            </w:r>
          </w:p>
        </w:tc>
        <w:tc>
          <w:tcPr>
            <w:tcW w:w="960" w:type="dxa"/>
            <w:tcBorders>
              <w:top w:val="nil"/>
              <w:left w:val="nil"/>
              <w:bottom w:val="nil"/>
              <w:right w:val="nil"/>
            </w:tcBorders>
            <w:shd w:val="clear" w:color="auto" w:fill="auto"/>
            <w:noWrap/>
            <w:vAlign w:val="center"/>
          </w:tcPr>
          <w:p w:rsidR="008E0BEE" w:rsidRPr="00526044" w:rsidRDefault="008E0BEE" w:rsidP="00A7725E">
            <w:pPr>
              <w:spacing w:line="240" w:lineRule="auto"/>
              <w:ind w:firstLine="0"/>
              <w:jc w:val="center"/>
              <w:rPr>
                <w:rFonts w:eastAsia="Times New Roman"/>
                <w:color w:val="000000"/>
                <w:szCs w:val="24"/>
              </w:rPr>
            </w:pPr>
            <w:r>
              <w:rPr>
                <w:rFonts w:eastAsia="Times New Roman"/>
                <w:color w:val="000000"/>
                <w:szCs w:val="24"/>
              </w:rPr>
              <w:t>.894</w:t>
            </w:r>
          </w:p>
        </w:tc>
        <w:tc>
          <w:tcPr>
            <w:tcW w:w="1116" w:type="dxa"/>
            <w:tcBorders>
              <w:top w:val="nil"/>
              <w:left w:val="nil"/>
              <w:bottom w:val="nil"/>
              <w:right w:val="nil"/>
            </w:tcBorders>
            <w:shd w:val="clear" w:color="auto" w:fill="auto"/>
            <w:noWrap/>
            <w:vAlign w:val="center"/>
          </w:tcPr>
          <w:p w:rsidR="008E0BEE" w:rsidRPr="00526044" w:rsidRDefault="008E0BEE" w:rsidP="00A7725E">
            <w:pPr>
              <w:spacing w:line="240" w:lineRule="auto"/>
              <w:ind w:firstLine="0"/>
              <w:jc w:val="center"/>
              <w:rPr>
                <w:rFonts w:eastAsia="Times New Roman"/>
                <w:color w:val="000000"/>
                <w:szCs w:val="24"/>
              </w:rPr>
            </w:pPr>
            <w:r>
              <w:rPr>
                <w:rFonts w:eastAsia="Times New Roman"/>
                <w:color w:val="000000"/>
                <w:szCs w:val="24"/>
              </w:rPr>
              <w:t>.400</w:t>
            </w:r>
          </w:p>
        </w:tc>
        <w:tc>
          <w:tcPr>
            <w:tcW w:w="960" w:type="dxa"/>
            <w:tcBorders>
              <w:top w:val="nil"/>
              <w:left w:val="nil"/>
              <w:bottom w:val="nil"/>
              <w:right w:val="nil"/>
            </w:tcBorders>
            <w:shd w:val="clear" w:color="auto" w:fill="auto"/>
            <w:noWrap/>
            <w:vAlign w:val="center"/>
          </w:tcPr>
          <w:p w:rsidR="008E0BEE" w:rsidRPr="00526044" w:rsidRDefault="008E0BEE" w:rsidP="00A7725E">
            <w:pPr>
              <w:spacing w:line="240" w:lineRule="auto"/>
              <w:ind w:firstLine="0"/>
              <w:jc w:val="center"/>
              <w:rPr>
                <w:rFonts w:eastAsia="Times New Roman"/>
                <w:color w:val="000000"/>
                <w:szCs w:val="24"/>
              </w:rPr>
            </w:pPr>
            <w:r>
              <w:rPr>
                <w:rFonts w:eastAsia="Times New Roman"/>
                <w:color w:val="000000"/>
                <w:szCs w:val="24"/>
              </w:rPr>
              <w:t>4.989</w:t>
            </w:r>
          </w:p>
        </w:tc>
        <w:tc>
          <w:tcPr>
            <w:tcW w:w="1120" w:type="dxa"/>
            <w:tcBorders>
              <w:top w:val="nil"/>
              <w:left w:val="nil"/>
              <w:bottom w:val="nil"/>
              <w:right w:val="nil"/>
            </w:tcBorders>
            <w:shd w:val="clear" w:color="auto" w:fill="auto"/>
            <w:noWrap/>
            <w:vAlign w:val="center"/>
          </w:tcPr>
          <w:p w:rsidR="008E0BEE" w:rsidRPr="00526044" w:rsidRDefault="008E0BEE" w:rsidP="00A7725E">
            <w:pPr>
              <w:spacing w:line="240" w:lineRule="auto"/>
              <w:ind w:firstLine="0"/>
              <w:jc w:val="center"/>
              <w:rPr>
                <w:rFonts w:eastAsia="Times New Roman"/>
                <w:color w:val="000000"/>
                <w:szCs w:val="24"/>
              </w:rPr>
            </w:pPr>
            <w:r>
              <w:rPr>
                <w:rFonts w:eastAsia="Times New Roman"/>
                <w:color w:val="000000"/>
                <w:szCs w:val="24"/>
              </w:rPr>
              <w:t>1</w:t>
            </w:r>
          </w:p>
        </w:tc>
        <w:tc>
          <w:tcPr>
            <w:tcW w:w="960" w:type="dxa"/>
            <w:tcBorders>
              <w:top w:val="nil"/>
              <w:left w:val="nil"/>
              <w:bottom w:val="nil"/>
              <w:right w:val="nil"/>
            </w:tcBorders>
            <w:shd w:val="clear" w:color="auto" w:fill="auto"/>
            <w:noWrap/>
            <w:vAlign w:val="center"/>
          </w:tcPr>
          <w:p w:rsidR="008E0BEE" w:rsidRPr="00526044" w:rsidRDefault="008E0BEE" w:rsidP="00A7725E">
            <w:pPr>
              <w:spacing w:line="240" w:lineRule="auto"/>
              <w:ind w:firstLine="0"/>
              <w:jc w:val="center"/>
              <w:rPr>
                <w:rFonts w:eastAsia="Times New Roman"/>
                <w:color w:val="000000"/>
                <w:szCs w:val="24"/>
              </w:rPr>
            </w:pPr>
            <w:r>
              <w:rPr>
                <w:rFonts w:eastAsia="Times New Roman"/>
                <w:color w:val="000000"/>
                <w:szCs w:val="24"/>
              </w:rPr>
              <w:t>.026</w:t>
            </w:r>
          </w:p>
        </w:tc>
        <w:tc>
          <w:tcPr>
            <w:tcW w:w="960" w:type="dxa"/>
            <w:tcBorders>
              <w:top w:val="nil"/>
              <w:left w:val="nil"/>
              <w:bottom w:val="nil"/>
              <w:right w:val="nil"/>
            </w:tcBorders>
            <w:shd w:val="clear" w:color="auto" w:fill="auto"/>
            <w:noWrap/>
            <w:vAlign w:val="center"/>
          </w:tcPr>
          <w:p w:rsidR="008E0BEE" w:rsidRPr="00526044" w:rsidRDefault="008E0BEE" w:rsidP="00A7725E">
            <w:pPr>
              <w:spacing w:line="240" w:lineRule="auto"/>
              <w:ind w:firstLine="0"/>
              <w:jc w:val="center"/>
              <w:rPr>
                <w:rFonts w:eastAsia="Times New Roman"/>
                <w:color w:val="000000"/>
                <w:szCs w:val="24"/>
              </w:rPr>
            </w:pPr>
            <w:r>
              <w:rPr>
                <w:rFonts w:eastAsia="Times New Roman"/>
                <w:color w:val="000000"/>
                <w:szCs w:val="24"/>
              </w:rPr>
              <w:t>2.445</w:t>
            </w:r>
          </w:p>
        </w:tc>
      </w:tr>
      <w:tr w:rsidR="008E0BEE" w:rsidRPr="00526044" w:rsidTr="00203FEE">
        <w:trPr>
          <w:trHeight w:val="315"/>
        </w:trPr>
        <w:tc>
          <w:tcPr>
            <w:tcW w:w="960" w:type="dxa"/>
            <w:vMerge/>
            <w:tcBorders>
              <w:top w:val="nil"/>
              <w:left w:val="nil"/>
              <w:bottom w:val="single" w:sz="4" w:space="0" w:color="000000"/>
              <w:right w:val="nil"/>
            </w:tcBorders>
            <w:vAlign w:val="center"/>
            <w:hideMark/>
          </w:tcPr>
          <w:p w:rsidR="008E0BEE" w:rsidRPr="00526044" w:rsidRDefault="008E0BEE" w:rsidP="00203FEE">
            <w:pPr>
              <w:spacing w:line="240" w:lineRule="auto"/>
              <w:ind w:firstLine="0"/>
              <w:rPr>
                <w:rFonts w:eastAsia="Times New Roman"/>
                <w:color w:val="000000"/>
                <w:szCs w:val="24"/>
              </w:rPr>
            </w:pPr>
          </w:p>
        </w:tc>
        <w:tc>
          <w:tcPr>
            <w:tcW w:w="2191" w:type="dxa"/>
            <w:tcBorders>
              <w:top w:val="nil"/>
              <w:left w:val="nil"/>
              <w:bottom w:val="single" w:sz="4" w:space="0" w:color="auto"/>
              <w:right w:val="nil"/>
            </w:tcBorders>
            <w:shd w:val="clear" w:color="auto" w:fill="auto"/>
            <w:vAlign w:val="center"/>
            <w:hideMark/>
          </w:tcPr>
          <w:p w:rsidR="008E0BEE" w:rsidRPr="00526044" w:rsidRDefault="008E0BEE" w:rsidP="00203FEE">
            <w:pPr>
              <w:spacing w:line="240" w:lineRule="auto"/>
              <w:ind w:firstLine="0"/>
              <w:rPr>
                <w:rFonts w:eastAsia="Times New Roman"/>
                <w:color w:val="000000"/>
                <w:szCs w:val="24"/>
              </w:rPr>
            </w:pPr>
            <w:r w:rsidRPr="00526044">
              <w:rPr>
                <w:rFonts w:eastAsia="Times New Roman"/>
                <w:color w:val="000000"/>
                <w:szCs w:val="24"/>
              </w:rPr>
              <w:t>Constant</w:t>
            </w:r>
          </w:p>
        </w:tc>
        <w:tc>
          <w:tcPr>
            <w:tcW w:w="960" w:type="dxa"/>
            <w:tcBorders>
              <w:top w:val="nil"/>
              <w:left w:val="nil"/>
              <w:bottom w:val="single" w:sz="4" w:space="0" w:color="auto"/>
              <w:right w:val="nil"/>
            </w:tcBorders>
            <w:shd w:val="clear" w:color="auto" w:fill="auto"/>
            <w:noWrap/>
            <w:vAlign w:val="center"/>
          </w:tcPr>
          <w:p w:rsidR="008E0BEE" w:rsidRPr="00526044" w:rsidRDefault="008E0BEE" w:rsidP="00A7725E">
            <w:pPr>
              <w:spacing w:line="240" w:lineRule="auto"/>
              <w:ind w:firstLine="0"/>
              <w:jc w:val="center"/>
              <w:rPr>
                <w:rFonts w:eastAsia="Times New Roman"/>
                <w:color w:val="000000"/>
                <w:szCs w:val="24"/>
              </w:rPr>
            </w:pPr>
            <w:r>
              <w:rPr>
                <w:rFonts w:eastAsia="Times New Roman"/>
                <w:color w:val="000000"/>
                <w:szCs w:val="24"/>
              </w:rPr>
              <w:t>.401</w:t>
            </w:r>
          </w:p>
        </w:tc>
        <w:tc>
          <w:tcPr>
            <w:tcW w:w="1116" w:type="dxa"/>
            <w:tcBorders>
              <w:top w:val="nil"/>
              <w:left w:val="nil"/>
              <w:bottom w:val="single" w:sz="4" w:space="0" w:color="auto"/>
              <w:right w:val="nil"/>
            </w:tcBorders>
            <w:shd w:val="clear" w:color="auto" w:fill="auto"/>
            <w:noWrap/>
            <w:vAlign w:val="center"/>
          </w:tcPr>
          <w:p w:rsidR="008E0BEE" w:rsidRPr="00526044" w:rsidRDefault="008E0BEE" w:rsidP="00A7725E">
            <w:pPr>
              <w:spacing w:line="240" w:lineRule="auto"/>
              <w:ind w:firstLine="0"/>
              <w:jc w:val="center"/>
              <w:rPr>
                <w:rFonts w:eastAsia="Times New Roman"/>
                <w:color w:val="000000"/>
                <w:szCs w:val="24"/>
              </w:rPr>
            </w:pPr>
            <w:r>
              <w:rPr>
                <w:rFonts w:eastAsia="Times New Roman"/>
                <w:color w:val="000000"/>
                <w:szCs w:val="24"/>
              </w:rPr>
              <w:t>5741.853</w:t>
            </w:r>
          </w:p>
        </w:tc>
        <w:tc>
          <w:tcPr>
            <w:tcW w:w="960" w:type="dxa"/>
            <w:tcBorders>
              <w:top w:val="nil"/>
              <w:left w:val="nil"/>
              <w:bottom w:val="single" w:sz="4" w:space="0" w:color="auto"/>
              <w:right w:val="nil"/>
            </w:tcBorders>
            <w:shd w:val="clear" w:color="auto" w:fill="auto"/>
            <w:noWrap/>
            <w:vAlign w:val="center"/>
          </w:tcPr>
          <w:p w:rsidR="008E0BEE" w:rsidRPr="00526044" w:rsidRDefault="008E0BEE" w:rsidP="00A7725E">
            <w:pPr>
              <w:spacing w:line="240" w:lineRule="auto"/>
              <w:ind w:firstLine="0"/>
              <w:jc w:val="center"/>
              <w:rPr>
                <w:rFonts w:eastAsia="Times New Roman"/>
                <w:color w:val="000000"/>
                <w:szCs w:val="24"/>
              </w:rPr>
            </w:pPr>
            <w:r>
              <w:rPr>
                <w:rFonts w:eastAsia="Times New Roman"/>
                <w:color w:val="000000"/>
                <w:szCs w:val="24"/>
              </w:rPr>
              <w:t>&lt; .001</w:t>
            </w:r>
          </w:p>
        </w:tc>
        <w:tc>
          <w:tcPr>
            <w:tcW w:w="1120" w:type="dxa"/>
            <w:tcBorders>
              <w:top w:val="nil"/>
              <w:left w:val="nil"/>
              <w:bottom w:val="single" w:sz="4" w:space="0" w:color="auto"/>
              <w:right w:val="nil"/>
            </w:tcBorders>
            <w:shd w:val="clear" w:color="auto" w:fill="auto"/>
            <w:noWrap/>
            <w:vAlign w:val="center"/>
          </w:tcPr>
          <w:p w:rsidR="008E0BEE" w:rsidRPr="00526044" w:rsidRDefault="008E0BEE" w:rsidP="00A7725E">
            <w:pPr>
              <w:spacing w:line="240" w:lineRule="auto"/>
              <w:ind w:firstLine="0"/>
              <w:jc w:val="center"/>
              <w:rPr>
                <w:rFonts w:eastAsia="Times New Roman"/>
                <w:color w:val="000000"/>
                <w:szCs w:val="24"/>
              </w:rPr>
            </w:pPr>
            <w:r>
              <w:rPr>
                <w:rFonts w:eastAsia="Times New Roman"/>
                <w:color w:val="000000"/>
                <w:szCs w:val="24"/>
              </w:rPr>
              <w:t>1</w:t>
            </w:r>
          </w:p>
        </w:tc>
        <w:tc>
          <w:tcPr>
            <w:tcW w:w="960" w:type="dxa"/>
            <w:tcBorders>
              <w:top w:val="nil"/>
              <w:left w:val="nil"/>
              <w:bottom w:val="single" w:sz="4" w:space="0" w:color="auto"/>
              <w:right w:val="nil"/>
            </w:tcBorders>
            <w:shd w:val="clear" w:color="auto" w:fill="auto"/>
            <w:noWrap/>
            <w:vAlign w:val="center"/>
          </w:tcPr>
          <w:p w:rsidR="008E0BEE" w:rsidRPr="00526044" w:rsidRDefault="008E0BEE" w:rsidP="00A7725E">
            <w:pPr>
              <w:spacing w:line="240" w:lineRule="auto"/>
              <w:ind w:firstLine="0"/>
              <w:jc w:val="center"/>
              <w:rPr>
                <w:rFonts w:eastAsia="Times New Roman"/>
                <w:color w:val="000000"/>
                <w:szCs w:val="24"/>
              </w:rPr>
            </w:pPr>
            <w:r>
              <w:rPr>
                <w:rFonts w:eastAsia="Times New Roman"/>
                <w:color w:val="000000"/>
                <w:szCs w:val="24"/>
              </w:rPr>
              <w:t>1</w:t>
            </w:r>
          </w:p>
        </w:tc>
        <w:tc>
          <w:tcPr>
            <w:tcW w:w="960" w:type="dxa"/>
            <w:tcBorders>
              <w:top w:val="nil"/>
              <w:left w:val="nil"/>
              <w:bottom w:val="single" w:sz="4" w:space="0" w:color="auto"/>
              <w:right w:val="nil"/>
            </w:tcBorders>
            <w:shd w:val="clear" w:color="auto" w:fill="auto"/>
            <w:noWrap/>
            <w:vAlign w:val="center"/>
          </w:tcPr>
          <w:p w:rsidR="008E0BEE" w:rsidRPr="00526044" w:rsidRDefault="008E0BEE" w:rsidP="00A7725E">
            <w:pPr>
              <w:spacing w:line="240" w:lineRule="auto"/>
              <w:ind w:firstLine="0"/>
              <w:jc w:val="center"/>
              <w:rPr>
                <w:rFonts w:eastAsia="Times New Roman"/>
                <w:color w:val="000000"/>
                <w:szCs w:val="24"/>
              </w:rPr>
            </w:pPr>
            <w:r>
              <w:rPr>
                <w:rFonts w:eastAsia="Times New Roman"/>
                <w:color w:val="000000"/>
                <w:szCs w:val="24"/>
              </w:rPr>
              <w:t>1.493</w:t>
            </w:r>
          </w:p>
        </w:tc>
      </w:tr>
      <w:tr w:rsidR="008E0BEE" w:rsidRPr="00526044" w:rsidTr="00203FEE">
        <w:trPr>
          <w:trHeight w:val="315"/>
        </w:trPr>
        <w:tc>
          <w:tcPr>
            <w:tcW w:w="9227" w:type="dxa"/>
            <w:gridSpan w:val="8"/>
            <w:tcBorders>
              <w:top w:val="single" w:sz="4" w:space="0" w:color="auto"/>
              <w:left w:val="nil"/>
              <w:bottom w:val="nil"/>
              <w:right w:val="nil"/>
            </w:tcBorders>
            <w:shd w:val="clear" w:color="auto" w:fill="auto"/>
            <w:hideMark/>
          </w:tcPr>
          <w:p w:rsidR="008E0BEE" w:rsidRPr="00526044" w:rsidRDefault="008E0BEE" w:rsidP="00203FEE">
            <w:pPr>
              <w:spacing w:line="240" w:lineRule="auto"/>
              <w:ind w:firstLine="0"/>
              <w:rPr>
                <w:rFonts w:eastAsia="Times New Roman"/>
                <w:color w:val="000000"/>
                <w:szCs w:val="24"/>
              </w:rPr>
            </w:pPr>
            <w:r w:rsidRPr="00526044">
              <w:rPr>
                <w:rFonts w:eastAsia="Times New Roman"/>
                <w:color w:val="000000"/>
                <w:szCs w:val="24"/>
              </w:rPr>
              <w:t xml:space="preserve">a. Variable(s) entered on step 1: </w:t>
            </w:r>
            <w:r>
              <w:rPr>
                <w:rFonts w:eastAsia="Times New Roman"/>
                <w:color w:val="000000"/>
                <w:szCs w:val="24"/>
              </w:rPr>
              <w:t>Marijuana</w:t>
            </w:r>
            <w:r w:rsidRPr="00526044">
              <w:rPr>
                <w:rFonts w:eastAsia="Times New Roman"/>
                <w:color w:val="000000"/>
                <w:szCs w:val="24"/>
              </w:rPr>
              <w:t>.</w:t>
            </w:r>
            <w:r>
              <w:rPr>
                <w:rFonts w:eastAsia="Times New Roman"/>
                <w:color w:val="000000"/>
                <w:szCs w:val="24"/>
              </w:rPr>
              <w:t xml:space="preserve"> Variable(s) entered on step 2: LSD. Variable(s) Entered on step 3: Ecstasy. Variable(s) entered on step 4: Crystal Meth. Variable(s) entered on step 6: Cocaine. Variables controlled for are Race, Gender, and Income.</w:t>
            </w:r>
          </w:p>
        </w:tc>
      </w:tr>
    </w:tbl>
    <w:p w:rsidR="008E0BEE" w:rsidRDefault="008E0BEE" w:rsidP="008E0BEE"/>
    <w:p w:rsidR="004D0691" w:rsidRDefault="004D0691" w:rsidP="004D0691">
      <w:pPr>
        <w:jc w:val="center"/>
        <w:sectPr w:rsidR="004D0691" w:rsidSect="00FE256D">
          <w:pgSz w:w="12240" w:h="15840"/>
          <w:pgMar w:top="1440" w:right="1440" w:bottom="1440" w:left="1440" w:header="1440" w:footer="720" w:gutter="0"/>
          <w:cols w:space="720"/>
          <w:docGrid w:linePitch="360"/>
        </w:sectPr>
      </w:pPr>
    </w:p>
    <w:p w:rsidR="00D213F7" w:rsidRPr="005900DC" w:rsidRDefault="00D213F7" w:rsidP="00D213F7">
      <w:pPr>
        <w:pStyle w:val="Heading1"/>
        <w:rPr>
          <w:b w:val="0"/>
        </w:rPr>
      </w:pPr>
      <w:r w:rsidRPr="005900DC">
        <w:rPr>
          <w:b w:val="0"/>
        </w:rPr>
        <w:lastRenderedPageBreak/>
        <w:t>CHAPTER V</w:t>
      </w:r>
    </w:p>
    <w:p w:rsidR="00D213F7" w:rsidRPr="006624D1" w:rsidRDefault="00D213F7" w:rsidP="00D213F7">
      <w:pPr>
        <w:pStyle w:val="Heading1"/>
      </w:pPr>
      <w:r w:rsidRPr="006624D1">
        <w:t>Summary, Discussion, and Conclusions</w:t>
      </w:r>
    </w:p>
    <w:p w:rsidR="00D213F7" w:rsidRDefault="00D213F7" w:rsidP="00D213F7">
      <w:r>
        <w:t xml:space="preserve">Prescription stimulant use among undergraduate students is a well-documented area of concern. Additionally, it is evident from the research that undergraduate students who illicitly use prescription stimulants are more likely </w:t>
      </w:r>
      <w:proofErr w:type="gramStart"/>
      <w:r>
        <w:t>to illicitly use</w:t>
      </w:r>
      <w:proofErr w:type="gramEnd"/>
      <w:r>
        <w:t xml:space="preserve"> other illegal drugs such as marijuana, LSD, cocaine, crystal meth, and other prescription drugs. In contrast, we know almost nothing about the use of prescription stimulants by graduate students. </w:t>
      </w:r>
    </w:p>
    <w:p w:rsidR="00D213F7" w:rsidRPr="00DA24C1" w:rsidRDefault="00D213F7" w:rsidP="00D213F7">
      <w:r w:rsidRPr="00DA24C1">
        <w:t xml:space="preserve">The purpose of this study </w:t>
      </w:r>
      <w:r>
        <w:t>was</w:t>
      </w:r>
      <w:r w:rsidRPr="00DA24C1">
        <w:t xml:space="preserve"> to </w:t>
      </w:r>
      <w:r>
        <w:t>measure graduate student prescription stimulant use by assessing the extent of use, reasons for use, and poly-substance use.</w:t>
      </w:r>
      <w:r w:rsidRPr="00DA24C1">
        <w:t xml:space="preserve"> </w:t>
      </w:r>
      <w:r>
        <w:t>Graduate students (</w:t>
      </w:r>
      <w:r>
        <w:rPr>
          <w:i/>
        </w:rPr>
        <w:t xml:space="preserve">n </w:t>
      </w:r>
      <w:r w:rsidRPr="00F16C07">
        <w:t>= 1,015</w:t>
      </w:r>
      <w:r>
        <w:t xml:space="preserve">) enrolled at a large Southeastern university completed the Student Life Survey </w:t>
      </w:r>
      <w:r>
        <w:fldChar w:fldCharType="begin"/>
      </w:r>
      <w:r>
        <w:instrText xml:space="preserve"> ADDIN EN.CITE &lt;EndNote&gt;&lt;Cite&gt;&lt;Author&gt;Boyd&lt;/Author&gt;&lt;Year&gt;2010&lt;/Year&gt;&lt;RecNum&gt;439&lt;/RecNum&gt;&lt;DisplayText&gt;(CJ Boyd &amp;amp; McCabe, 2010)&lt;/DisplayText&gt;&lt;record&gt;&lt;rec-number&gt;439&lt;/rec-number&gt;&lt;foreign-keys&gt;&lt;key app="EN" db-id="02dwfapew02tdked2f4p0xerwdapvw5vztpp"&gt;439&lt;/key&gt;&lt;/foreign-keys&gt;&lt;ref-type name="Generic"&gt;13&lt;/ref-type&gt;&lt;contributors&gt;&lt;authors&gt;&lt;author&gt;Boyd, CJ&lt;/author&gt;&lt;author&gt;McCabe, SE&lt;/author&gt;&lt;/authors&gt;&lt;/contributors&gt;&lt;titles&gt;&lt;title&gt;Student Life Survey&lt;/title&gt;&lt;/titles&gt;&lt;dates&gt;&lt;year&gt;2010&lt;/year&gt;&lt;/dates&gt;&lt;urls&gt;&lt;/urls&gt;&lt;/record&gt;&lt;/Cite&gt;&lt;/EndNote&gt;</w:instrText>
      </w:r>
      <w:r>
        <w:fldChar w:fldCharType="separate"/>
      </w:r>
      <w:r>
        <w:rPr>
          <w:noProof/>
        </w:rPr>
        <w:t>(</w:t>
      </w:r>
      <w:hyperlink w:anchor="_ENREF_8" w:tooltip="Boyd, 2010 #439" w:history="1">
        <w:r>
          <w:rPr>
            <w:noProof/>
          </w:rPr>
          <w:t>CJ Boyd &amp; McCabe, 2010</w:t>
        </w:r>
      </w:hyperlink>
      <w:r>
        <w:rPr>
          <w:noProof/>
        </w:rPr>
        <w:t>)</w:t>
      </w:r>
      <w:r>
        <w:fldChar w:fldCharType="end"/>
      </w:r>
      <w:r>
        <w:t>. The data were analyzed using a variety of analytical techniques including descriptive statistics, frequencies, and a stepwise logistic regression in order to answer the research questions guiding this study:</w:t>
      </w:r>
    </w:p>
    <w:p w:rsidR="00D213F7" w:rsidRPr="00DA24C1" w:rsidRDefault="00D213F7" w:rsidP="005900DC">
      <w:pPr>
        <w:pStyle w:val="ListParagraph"/>
        <w:numPr>
          <w:ilvl w:val="0"/>
          <w:numId w:val="17"/>
        </w:numPr>
      </w:pPr>
      <w:r w:rsidRPr="00DA24C1">
        <w:t>What is the extent of prescri</w:t>
      </w:r>
      <w:r>
        <w:t xml:space="preserve">ption stimulant abuse among </w:t>
      </w:r>
      <w:r w:rsidRPr="00DA24C1">
        <w:t>graduate</w:t>
      </w:r>
      <w:r>
        <w:t xml:space="preserve"> students</w:t>
      </w:r>
      <w:r w:rsidRPr="00DA24C1">
        <w:t xml:space="preserve"> on college campuses?</w:t>
      </w:r>
    </w:p>
    <w:p w:rsidR="00D213F7" w:rsidRPr="00DA24C1" w:rsidRDefault="00D213F7" w:rsidP="005900DC">
      <w:pPr>
        <w:pStyle w:val="ListParagraph"/>
        <w:numPr>
          <w:ilvl w:val="0"/>
          <w:numId w:val="17"/>
        </w:numPr>
      </w:pPr>
      <w:r w:rsidRPr="00DA24C1">
        <w:t xml:space="preserve">What </w:t>
      </w:r>
      <w:r>
        <w:t xml:space="preserve">are the reasons for graduate </w:t>
      </w:r>
      <w:r w:rsidRPr="00DA24C1">
        <w:t>students’ illicit us</w:t>
      </w:r>
      <w:r>
        <w:t>e of</w:t>
      </w:r>
      <w:r w:rsidRPr="00DA24C1">
        <w:t xml:space="preserve"> prescription stimulants?</w:t>
      </w:r>
    </w:p>
    <w:p w:rsidR="00D213F7" w:rsidRPr="00DA24C1" w:rsidRDefault="00D213F7" w:rsidP="005900DC">
      <w:pPr>
        <w:pStyle w:val="ListParagraph"/>
        <w:numPr>
          <w:ilvl w:val="0"/>
          <w:numId w:val="17"/>
        </w:numPr>
      </w:pPr>
      <w:r>
        <w:t>Are graduate students who abuse prescription stimulants more likely to abuse other substances?</w:t>
      </w:r>
    </w:p>
    <w:p w:rsidR="00D213F7" w:rsidRDefault="00D213F7" w:rsidP="00D213F7">
      <w:r>
        <w:t>Following is a summary of the findings, discussion of the findings, conclusions, implications of the study, and recommendations for further research.</w:t>
      </w:r>
    </w:p>
    <w:p w:rsidR="00D213F7" w:rsidRDefault="00D213F7" w:rsidP="00D213F7"/>
    <w:p w:rsidR="00D213F7" w:rsidRDefault="00D213F7" w:rsidP="00D213F7"/>
    <w:p w:rsidR="00D213F7" w:rsidRDefault="00D213F7" w:rsidP="00D213F7">
      <w:pPr>
        <w:pStyle w:val="Heading1"/>
      </w:pPr>
      <w:r>
        <w:lastRenderedPageBreak/>
        <w:t>Summary of Findings</w:t>
      </w:r>
    </w:p>
    <w:p w:rsidR="00D213F7" w:rsidRDefault="00D213F7" w:rsidP="00D213F7">
      <w:pPr>
        <w:pStyle w:val="ListParagraph"/>
        <w:numPr>
          <w:ilvl w:val="0"/>
          <w:numId w:val="10"/>
        </w:numPr>
        <w:ind w:left="0" w:firstLine="720"/>
      </w:pPr>
      <w:r>
        <w:t>Of the 1,015 respondents, 15% of graduate students indicated lifetime illicit use of prescription stimulants, and 5.1% indicated illicit use of prescription stimulants within the last twelve months.</w:t>
      </w:r>
    </w:p>
    <w:p w:rsidR="00D213F7" w:rsidRDefault="00D213F7" w:rsidP="00D213F7">
      <w:pPr>
        <w:pStyle w:val="ListParagraph"/>
        <w:numPr>
          <w:ilvl w:val="0"/>
          <w:numId w:val="10"/>
        </w:numPr>
        <w:ind w:left="0" w:firstLine="720"/>
      </w:pPr>
      <w:r>
        <w:t xml:space="preserve">For those graduate students who had illicitly used prescription stimulants within the last twelve months, Adderall® (70.6%) was the drug of choice followed by Adderall XR® (37.3%) and Vyvanse® (23.5%). </w:t>
      </w:r>
    </w:p>
    <w:p w:rsidR="00D213F7" w:rsidRDefault="00D213F7" w:rsidP="00D213F7">
      <w:pPr>
        <w:pStyle w:val="ListParagraph"/>
        <w:numPr>
          <w:ilvl w:val="0"/>
          <w:numId w:val="10"/>
        </w:numPr>
        <w:ind w:left="0" w:firstLine="720"/>
      </w:pPr>
      <w:r>
        <w:t>For those graduate students that had illicitly used prescription stimulants within the last twelve months, 48.4% of them obtained the prescription stimulants from friends not in graduate school; 14% of them obtained the prescription stimulants from an acquaintance who was not a fellow graduate student; and 14% obtained the prescription stimulants from a friend who was in graduate school.</w:t>
      </w:r>
    </w:p>
    <w:p w:rsidR="00D213F7" w:rsidRDefault="00D213F7" w:rsidP="00D213F7">
      <w:pPr>
        <w:pStyle w:val="ListParagraph"/>
        <w:numPr>
          <w:ilvl w:val="0"/>
          <w:numId w:val="10"/>
        </w:numPr>
        <w:ind w:left="0" w:firstLine="720"/>
      </w:pPr>
      <w:r>
        <w:t xml:space="preserve">Graduate students indicated academic-related reasons as the primary reason for illicitly using prescription stimulants (67.5%), with recreational use occurring at a smaller rate (30.57%). </w:t>
      </w:r>
    </w:p>
    <w:p w:rsidR="00D213F7" w:rsidRDefault="00D213F7" w:rsidP="00D213F7">
      <w:pPr>
        <w:pStyle w:val="ListParagraph"/>
        <w:numPr>
          <w:ilvl w:val="0"/>
          <w:numId w:val="10"/>
        </w:numPr>
        <w:ind w:left="0" w:firstLine="720"/>
      </w:pPr>
      <w:r>
        <w:t>Graduate students who illicitly used prescription stimulants in their lifetime were more likely to use other illegal drugs than those who had not illicitly used prescription stimulants in their lifetime. Specifically, they were 1.5 times more likely to use marijuana, 6.3 times more likely to use cocaine, and 2.4 times more likely to use ecstasy.</w:t>
      </w:r>
    </w:p>
    <w:p w:rsidR="00D213F7" w:rsidRDefault="00D213F7" w:rsidP="00D213F7">
      <w:pPr>
        <w:pStyle w:val="Heading1"/>
      </w:pPr>
      <w:r>
        <w:t>Discussion</w:t>
      </w:r>
    </w:p>
    <w:p w:rsidR="00D213F7" w:rsidRDefault="00D213F7" w:rsidP="00D213F7">
      <w:r>
        <w:t xml:space="preserve">Findings of the study about illicit prescription stimulant use among graduate students were different from those reported for undergraduate students’ lifetime use, but similar in other </w:t>
      </w:r>
      <w:r>
        <w:lastRenderedPageBreak/>
        <w:t xml:space="preserve">areas. Approximately 15% of graduate students had used prescription stimulants without a prescription in their lifetime. This was greater than that found most recently for undergraduate students (8.1%) </w:t>
      </w:r>
      <w:r>
        <w:fldChar w:fldCharType="begin"/>
      </w:r>
      <w:r>
        <w:instrText xml:space="preserve"> ADDIN EN.CITE &lt;EndNote&gt;&lt;Cite&gt;&lt;Author&gt;Teter&lt;/Author&gt;&lt;Year&gt;2005&lt;/Year&gt;&lt;RecNum&gt;86&lt;/RecNum&gt;&lt;DisplayText&gt;(Teter et al., 2005)&lt;/DisplayText&gt;&lt;record&gt;&lt;rec-number&gt;86&lt;/rec-number&gt;&lt;foreign-keys&gt;&lt;key app="EN" db-id="02dwfapew02tdked2f4p0xerwdapvw5vztpp"&gt;86&lt;/key&gt;&lt;key app="ENWeb" db-id="R1rfKArtmCQAAH0-ETQ"&gt;855&lt;/key&gt;&lt;/foreign-keys&gt;&lt;ref-type name="Journal Article"&gt;17&lt;/ref-type&gt;&lt;contributors&gt;&lt;authors&gt;&lt;author&gt;Teter, C&lt;/author&gt;&lt;author&gt;McCabe, SE&lt;/author&gt;&lt;author&gt;Cranford, JA&lt;/author&gt;&lt;author&gt;Boyd, C&lt;/author&gt;&lt;author&gt;Guthrie, S&lt;/author&gt;&lt;/authors&gt;&lt;/contributors&gt;&lt;titles&gt;&lt;title&gt;Prevalence and motives for illicit use of prescription stimulants in an undergraduate student sample&lt;/title&gt;&lt;secondary-title&gt;Journal of American College Health&lt;/secondary-title&gt;&lt;/titles&gt;&lt;periodical&gt;&lt;full-title&gt;Journal of American College Health&lt;/full-title&gt;&lt;/periodical&gt;&lt;pages&gt;253-262&lt;/pages&gt;&lt;volume&gt;53&lt;/volume&gt;&lt;number&gt;6&lt;/number&gt;&lt;dates&gt;&lt;year&gt;2005&lt;/year&gt;&lt;pub-dates&gt;&lt;date&gt;May/June 2005&lt;/date&gt;&lt;/pub-dates&gt;&lt;/dates&gt;&lt;urls&gt;&lt;/urls&gt;&lt;electronic-resource-num&gt;10.3200/JACH.53.6.253-262&lt;/electronic-resource-num&gt;&lt;/record&gt;&lt;/Cite&gt;&lt;/EndNote&gt;</w:instrText>
      </w:r>
      <w:r>
        <w:fldChar w:fldCharType="separate"/>
      </w:r>
      <w:r>
        <w:rPr>
          <w:noProof/>
        </w:rPr>
        <w:t>(</w:t>
      </w:r>
      <w:hyperlink w:anchor="_ENREF_57" w:tooltip="Teter, 2005 #86" w:history="1">
        <w:r>
          <w:rPr>
            <w:noProof/>
          </w:rPr>
          <w:t>Teter et al., 2005</w:t>
        </w:r>
      </w:hyperlink>
      <w:r>
        <w:rPr>
          <w:noProof/>
        </w:rPr>
        <w:t>)</w:t>
      </w:r>
      <w:r>
        <w:fldChar w:fldCharType="end"/>
      </w:r>
      <w:r>
        <w:t xml:space="preserve">; although reports of undergraduate use vary from 20.9% </w:t>
      </w:r>
      <w:r>
        <w:fldChar w:fldCharType="begin"/>
      </w:r>
      <w:r>
        <w:instrText xml:space="preserve"> ADDIN EN.CITE &lt;EndNote&gt;&lt;Cite&gt;&lt;Author&gt;Babcock&lt;/Author&gt;&lt;Year&gt;2000&lt;/Year&gt;&lt;RecNum&gt;21&lt;/RecNum&gt;&lt;DisplayText&gt;(Babcock &amp;amp; Byrne, 2000)&lt;/DisplayText&gt;&lt;record&gt;&lt;rec-number&gt;21&lt;/rec-number&gt;&lt;foreign-keys&gt;&lt;key app="EN" db-id="02dwfapew02tdked2f4p0xerwdapvw5vztpp"&gt;21&lt;/key&gt;&lt;key app="ENWeb" db-id="R1rfKArtmCQAAH0-ETQ"&gt;844&lt;/key&gt;&lt;/foreign-keys&gt;&lt;ref-type name="Journal Article"&gt;17&lt;/ref-type&gt;&lt;contributors&gt;&lt;authors&gt;&lt;author&gt;Babcock, Quinton&lt;/author&gt;&lt;author&gt;Byrne, Tom&lt;/author&gt;&lt;/authors&gt;&lt;/contributors&gt;&lt;titles&gt;&lt;title&gt;Student perceptions of methylphenidate abuse at a public liberal arts college&lt;/title&gt;&lt;secondary-title&gt;Journal of American College Health&lt;/secondary-title&gt;&lt;/titles&gt;&lt;periodical&gt;&lt;full-title&gt;Journal of American College Health&lt;/full-title&gt;&lt;/periodical&gt;&lt;pages&gt;143-145&lt;/pages&gt;&lt;volume&gt;49&lt;/volume&gt;&lt;number&gt;3&lt;/number&gt;&lt;dates&gt;&lt;year&gt;2000&lt;/year&gt;&lt;/dates&gt;&lt;urls&gt;&lt;/urls&gt;&lt;electronic-resource-num&gt;10.1080/07448480009596296&lt;/electronic-resource-num&gt;&lt;/record&gt;&lt;/Cite&gt;&lt;/EndNote&gt;</w:instrText>
      </w:r>
      <w:r>
        <w:fldChar w:fldCharType="separate"/>
      </w:r>
      <w:r>
        <w:rPr>
          <w:noProof/>
        </w:rPr>
        <w:t>(</w:t>
      </w:r>
      <w:hyperlink w:anchor="_ENREF_5" w:tooltip="Babcock, 2000 #21" w:history="1">
        <w:r>
          <w:rPr>
            <w:noProof/>
          </w:rPr>
          <w:t>Babcock &amp; Byrne, 2000</w:t>
        </w:r>
      </w:hyperlink>
      <w:r>
        <w:rPr>
          <w:noProof/>
        </w:rPr>
        <w:t>)</w:t>
      </w:r>
      <w:r>
        <w:fldChar w:fldCharType="end"/>
      </w:r>
      <w:r>
        <w:t xml:space="preserve"> to 8.1% </w:t>
      </w:r>
      <w:r>
        <w:fldChar w:fldCharType="begin"/>
      </w:r>
      <w:r>
        <w:instrText xml:space="preserve"> ADDIN EN.CITE &lt;EndNote&gt;&lt;Cite&gt;&lt;Author&gt;Teter&lt;/Author&gt;&lt;Year&gt;2005&lt;/Year&gt;&lt;RecNum&gt;86&lt;/RecNum&gt;&lt;DisplayText&gt;(Teter et al., 2005)&lt;/DisplayText&gt;&lt;record&gt;&lt;rec-number&gt;86&lt;/rec-number&gt;&lt;foreign-keys&gt;&lt;key app="EN" db-id="02dwfapew02tdked2f4p0xerwdapvw5vztpp"&gt;86&lt;/key&gt;&lt;key app="ENWeb" db-id="R1rfKArtmCQAAH0-ETQ"&gt;855&lt;/key&gt;&lt;/foreign-keys&gt;&lt;ref-type name="Journal Article"&gt;17&lt;/ref-type&gt;&lt;contributors&gt;&lt;authors&gt;&lt;author&gt;Teter, C&lt;/author&gt;&lt;author&gt;McCabe, SE&lt;/author&gt;&lt;author&gt;Cranford, JA&lt;/author&gt;&lt;author&gt;Boyd, C&lt;/author&gt;&lt;author&gt;Guthrie, S&lt;/author&gt;&lt;/authors&gt;&lt;/contributors&gt;&lt;titles&gt;&lt;title&gt;Prevalence and motives for illicit use of prescription stimulants in an undergraduate student sample&lt;/title&gt;&lt;secondary-title&gt;Journal of American College Health&lt;/secondary-title&gt;&lt;/titles&gt;&lt;periodical&gt;&lt;full-title&gt;Journal of American College Health&lt;/full-title&gt;&lt;/periodical&gt;&lt;pages&gt;253-262&lt;/pages&gt;&lt;volume&gt;53&lt;/volume&gt;&lt;number&gt;6&lt;/number&gt;&lt;dates&gt;&lt;year&gt;2005&lt;/year&gt;&lt;pub-dates&gt;&lt;date&gt;May/June 2005&lt;/date&gt;&lt;/pub-dates&gt;&lt;/dates&gt;&lt;urls&gt;&lt;/urls&gt;&lt;electronic-resource-num&gt;10.3200/JACH.53.6.253-262&lt;/electronic-resource-num&gt;&lt;/record&gt;&lt;/Cite&gt;&lt;/EndNote&gt;</w:instrText>
      </w:r>
      <w:r>
        <w:fldChar w:fldCharType="separate"/>
      </w:r>
      <w:r>
        <w:rPr>
          <w:noProof/>
        </w:rPr>
        <w:t>(</w:t>
      </w:r>
      <w:hyperlink w:anchor="_ENREF_57" w:tooltip="Teter, 2005 #86" w:history="1">
        <w:r>
          <w:rPr>
            <w:noProof/>
          </w:rPr>
          <w:t>Teter et al., 2005</w:t>
        </w:r>
      </w:hyperlink>
      <w:r>
        <w:rPr>
          <w:noProof/>
        </w:rPr>
        <w:t>)</w:t>
      </w:r>
      <w:r>
        <w:fldChar w:fldCharType="end"/>
      </w:r>
      <w:r>
        <w:t>. Thus, it is possible that undergraduate rates of lifetime use may be as large</w:t>
      </w:r>
      <w:r w:rsidR="004415BD">
        <w:t>,</w:t>
      </w:r>
      <w:r>
        <w:t xml:space="preserve"> or larger</w:t>
      </w:r>
      <w:r w:rsidR="004415BD">
        <w:t>,</w:t>
      </w:r>
      <w:r>
        <w:t xml:space="preserve"> </w:t>
      </w:r>
      <w:proofErr w:type="gramStart"/>
      <w:r>
        <w:t>than those reported by graduate students</w:t>
      </w:r>
      <w:proofErr w:type="gramEnd"/>
      <w:r>
        <w:t xml:space="preserve">. In speaking about the range of rates in the literature for undergraduate use, </w:t>
      </w:r>
      <w:r>
        <w:fldChar w:fldCharType="begin"/>
      </w:r>
      <w:r>
        <w:instrText xml:space="preserve"> ADDIN EN.CITE &lt;EndNote&gt;&lt;Cite AuthorYear="1"&gt;&lt;Author&gt;McCabe&lt;/Author&gt;&lt;Year&gt;2005&lt;/Year&gt;&lt;RecNum&gt;405&lt;/RecNum&gt;&lt;DisplayText&gt;McCabe, Knight, et al. (2005)&lt;/DisplayText&gt;&lt;record&gt;&lt;rec-number&gt;405&lt;/rec-number&gt;&lt;foreign-keys&gt;&lt;key app="EN" db-id="02dwfapew02tdked2f4p0xerwdapvw5vztpp"&gt;405&lt;/key&gt;&lt;key app="ENWeb" db-id="R1rfKArtmCQAAH0-ETQ"&gt;892&lt;/key&gt;&lt;/foreign-keys&gt;&lt;ref-type name="Journal Article"&gt;17&lt;/ref-type&gt;&lt;contributors&gt;&lt;authors&gt;&lt;author&gt;McCabe, S&lt;/author&gt;&lt;author&gt;Knight, JR&lt;/author&gt;&lt;author&gt;Teter, CJ&lt;/author&gt;&lt;author&gt;Wechsler, H&lt;/author&gt;&lt;/authors&gt;&lt;/contributors&gt;&lt;titles&gt;&lt;title&gt;Non-medical use of prescription stimulants among US college students: Prevalence and correlates from a national survey&lt;/title&gt;&lt;secondary-title&gt;Addiction&lt;/secondary-title&gt;&lt;/titles&gt;&lt;periodical&gt;&lt;full-title&gt;Addiction&lt;/full-title&gt;&lt;/periodical&gt;&lt;pages&gt;96 - 106&lt;/pages&gt;&lt;volume&gt;100&lt;/volume&gt;&lt;number&gt;1&lt;/number&gt;&lt;dates&gt;&lt;year&gt;2005&lt;/year&gt;&lt;/dates&gt;&lt;accession-num&gt;doi:10.1111/j.1360-0443.2005.00944.x&lt;/accession-num&gt;&lt;urls&gt;&lt;/urls&gt;&lt;electronic-resource-num&gt;10.1111/j.1360-0443.2005.00944.x&lt;/electronic-resource-num&gt;&lt;/record&gt;&lt;/Cite&gt;&lt;/EndNote&gt;</w:instrText>
      </w:r>
      <w:r>
        <w:fldChar w:fldCharType="separate"/>
      </w:r>
      <w:hyperlink w:anchor="_ENREF_35" w:tooltip="McCabe, 2005 #405" w:history="1">
        <w:r>
          <w:rPr>
            <w:noProof/>
          </w:rPr>
          <w:t>McCabe, Knight, et al. (2005</w:t>
        </w:r>
      </w:hyperlink>
      <w:r>
        <w:rPr>
          <w:noProof/>
        </w:rPr>
        <w:t>)</w:t>
      </w:r>
      <w:r>
        <w:fldChar w:fldCharType="end"/>
      </w:r>
      <w:r>
        <w:t xml:space="preserve">, posited that variations in rates might be explained by differences in regional use. Undergraduate students attending colleges and universities located in the southeastern United States </w:t>
      </w:r>
      <w:proofErr w:type="gramStart"/>
      <w:r>
        <w:t>were found</w:t>
      </w:r>
      <w:proofErr w:type="gramEnd"/>
      <w:r>
        <w:t xml:space="preserve"> to be twice as likely to illicitly use prescription stimulants. With respect to the rate of graduate student lifetime use found in this study, it may be that variations might emerge if the study was replicat</w:t>
      </w:r>
      <w:r w:rsidR="000F1DA4">
        <w:t>ed</w:t>
      </w:r>
      <w:r>
        <w:t xml:space="preserve"> at other institutions in other regions of the country. If, however</w:t>
      </w:r>
      <w:r w:rsidR="00933E9C">
        <w:t>,</w:t>
      </w:r>
      <w:r>
        <w:t xml:space="preserve"> the lower figure for undergraduates is correct, graduate students are more than twice as likely </w:t>
      </w:r>
      <w:proofErr w:type="gramStart"/>
      <w:r>
        <w:t>as undergraduate students</w:t>
      </w:r>
      <w:proofErr w:type="gramEnd"/>
      <w:r>
        <w:t xml:space="preserve"> to have used prescription stimulants illicitly in their life. What might account for such a difference is neither clear nor known. </w:t>
      </w:r>
      <w:r w:rsidRPr="001F4B81">
        <w:t>One hypothesis might be that it is an indication of a generational change since those graduate students were undergraduates. Alternatively, the variance in use might be explained by graduate students’ greater extended exposure to prescription stimulants in a collegiate environment.</w:t>
      </w:r>
      <w:r>
        <w:t xml:space="preserve"> </w:t>
      </w:r>
    </w:p>
    <w:p w:rsidR="00D213F7" w:rsidRDefault="00D213F7" w:rsidP="00D213F7">
      <w:r>
        <w:t xml:space="preserve">As opposed to lifetime use, there was little variance in past-year illicit use between graduate students and undergraduate students. The past-year illicit use of prescription stimulants by graduate students (5.1%) is comparable to the 5.4% past-year use reported for undergraduate students by </w:t>
      </w:r>
      <w:r>
        <w:fldChar w:fldCharType="begin"/>
      </w:r>
      <w:r>
        <w:instrText xml:space="preserve"> ADDIN EN.CITE &lt;EndNote&gt;&lt;Cite AuthorYear="1"&gt;&lt;Author&gt;Teter&lt;/Author&gt;&lt;Year&gt;2005&lt;/Year&gt;&lt;RecNum&gt;86&lt;/RecNum&gt;&lt;DisplayText&gt;Teter et al. (2005)&lt;/DisplayText&gt;&lt;record&gt;&lt;rec-number&gt;86&lt;/rec-number&gt;&lt;foreign-keys&gt;&lt;key app="EN" db-id="02dwfapew02tdked2f4p0xerwdapvw5vztpp"&gt;86&lt;/key&gt;&lt;key app="ENWeb" db-id="R1rfKArtmCQAAH0-ETQ"&gt;855&lt;/key&gt;&lt;/foreign-keys&gt;&lt;ref-type name="Journal Article"&gt;17&lt;/ref-type&gt;&lt;contributors&gt;&lt;authors&gt;&lt;author&gt;Teter, C&lt;/author&gt;&lt;author&gt;McCabe, SE&lt;/author&gt;&lt;author&gt;Cranford, JA&lt;/author&gt;&lt;author&gt;Boyd, C&lt;/author&gt;&lt;author&gt;Guthrie, S&lt;/author&gt;&lt;/authors&gt;&lt;/contributors&gt;&lt;titles&gt;&lt;title&gt;Prevalence and motives for illicit use of prescription stimulants in an undergraduate student sample&lt;/title&gt;&lt;secondary-title&gt;Journal of American College Health&lt;/secondary-title&gt;&lt;/titles&gt;&lt;periodical&gt;&lt;full-title&gt;Journal of American College Health&lt;/full-title&gt;&lt;/periodical&gt;&lt;pages&gt;253-262&lt;/pages&gt;&lt;volume&gt;53&lt;/volume&gt;&lt;number&gt;6&lt;/number&gt;&lt;dates&gt;&lt;year&gt;2005&lt;/year&gt;&lt;pub-dates&gt;&lt;date&gt;May/June 2005&lt;/date&gt;&lt;/pub-dates&gt;&lt;/dates&gt;&lt;urls&gt;&lt;/urls&gt;&lt;electronic-resource-num&gt;10.3200/JACH.53.6.253-262&lt;/electronic-resource-num&gt;&lt;/record&gt;&lt;/Cite&gt;&lt;/EndNote&gt;</w:instrText>
      </w:r>
      <w:r>
        <w:fldChar w:fldCharType="separate"/>
      </w:r>
      <w:hyperlink w:anchor="_ENREF_57" w:tooltip="Teter, 2005 #86" w:history="1">
        <w:r>
          <w:rPr>
            <w:noProof/>
          </w:rPr>
          <w:t>Teter et al. (2005</w:t>
        </w:r>
      </w:hyperlink>
      <w:r>
        <w:rPr>
          <w:noProof/>
        </w:rPr>
        <w:t>)</w:t>
      </w:r>
      <w:r>
        <w:fldChar w:fldCharType="end"/>
      </w:r>
      <w:r>
        <w:rPr>
          <w:rStyle w:val="CommentReference"/>
          <w:sz w:val="24"/>
          <w:szCs w:val="24"/>
        </w:rPr>
        <w:t xml:space="preserve"> and the 5.9% reported by </w:t>
      </w:r>
      <w:r>
        <w:rPr>
          <w:rStyle w:val="CommentReference"/>
          <w:sz w:val="24"/>
          <w:szCs w:val="24"/>
        </w:rPr>
        <w:fldChar w:fldCharType="begin"/>
      </w:r>
      <w:r>
        <w:rPr>
          <w:rStyle w:val="CommentReference"/>
          <w:sz w:val="24"/>
          <w:szCs w:val="24"/>
        </w:rPr>
        <w:instrText xml:space="preserve"> ADDIN EN.CITE &lt;EndNote&gt;&lt;Cite AuthorYear="1"&gt;&lt;Author&gt;Teter&lt;/Author&gt;&lt;Year&gt;2006&lt;/Year&gt;&lt;RecNum&gt;337&lt;/RecNum&gt;&lt;DisplayText&gt;Teter et al. (2006)&lt;/DisplayText&gt;&lt;record&gt;&lt;rec-number&gt;337&lt;/rec-number&gt;&lt;foreign-keys&gt;&lt;key app="EN" db-id="02dwfapew02tdked2f4p0xerwdapvw5vztpp"&gt;337&lt;/key&gt;&lt;key app="ENWeb" db-id="R1rfKArtmCQAAH0-ETQ"&gt;868&lt;/key&gt;&lt;/foreign-keys&gt;&lt;ref-type name="Journal Article"&gt;17&lt;/ref-type&gt;&lt;contributors&gt;&lt;authors&gt;&lt;author&gt;Teter, C&lt;/author&gt;&lt;author&gt;McCabe, S&lt;/author&gt;&lt;author&gt;LaGrange, K&lt;/author&gt;&lt;author&gt;Cranford, J&lt;/author&gt;&lt;author&gt;Boyd, C&lt;/author&gt;&lt;/authors&gt;&lt;/contributors&gt;&lt;titles&gt;&lt;title&gt;Illicit use of specific prescription stimulants among college students: Prevalence, motives, and routes of administration&lt;/title&gt;&lt;secondary-title&gt;Pharmacotherapy&lt;/secondary-title&gt;&lt;/titles&gt;&lt;periodical&gt;&lt;full-title&gt;Pharmacotherapy&lt;/full-title&gt;&lt;/periodical&gt;&lt;pages&gt;1501 - 1510&lt;/pages&gt;&lt;volume&gt;26&lt;/volume&gt;&lt;number&gt;10&lt;/number&gt;&lt;dates&gt;&lt;year&gt;2006&lt;/year&gt;&lt;/dates&gt;&lt;urls&gt;&lt;/urls&gt;&lt;electronic-resource-num&gt;10.1592/phco.26.10.1501&lt;/electronic-resource-num&gt;&lt;/record&gt;&lt;/Cite&gt;&lt;/EndNote&gt;</w:instrText>
      </w:r>
      <w:r>
        <w:rPr>
          <w:rStyle w:val="CommentReference"/>
          <w:sz w:val="24"/>
          <w:szCs w:val="24"/>
        </w:rPr>
        <w:fldChar w:fldCharType="separate"/>
      </w:r>
      <w:hyperlink w:anchor="_ENREF_58" w:tooltip="Teter, 2006 #337" w:history="1">
        <w:r>
          <w:rPr>
            <w:rStyle w:val="CommentReference"/>
            <w:noProof/>
            <w:sz w:val="24"/>
            <w:szCs w:val="24"/>
          </w:rPr>
          <w:t>Teter et al. (2006</w:t>
        </w:r>
      </w:hyperlink>
      <w:r>
        <w:rPr>
          <w:rStyle w:val="CommentReference"/>
          <w:noProof/>
          <w:sz w:val="24"/>
          <w:szCs w:val="24"/>
        </w:rPr>
        <w:t>)</w:t>
      </w:r>
      <w:r>
        <w:rPr>
          <w:rStyle w:val="CommentReference"/>
          <w:sz w:val="24"/>
          <w:szCs w:val="24"/>
        </w:rPr>
        <w:fldChar w:fldCharType="end"/>
      </w:r>
      <w:r>
        <w:t xml:space="preserve">, which suggests graduate students were as likely to use prescription stimulants as undergraduates during the </w:t>
      </w:r>
      <w:r>
        <w:lastRenderedPageBreak/>
        <w:t>previous</w:t>
      </w:r>
      <w:r w:rsidR="00F87F24">
        <w:t xml:space="preserve"> </w:t>
      </w:r>
      <w:r>
        <w:t>twelve month period. This similarity in rate of use between graduate and undergraduate students would appear to exist in spite of potential differences in coursework, campus, lifestyle, and collegiate environment. This raises questions about whether there are</w:t>
      </w:r>
      <w:r w:rsidR="00933E9C">
        <w:t>,</w:t>
      </w:r>
      <w:r>
        <w:t xml:space="preserve"> as yet unidentified</w:t>
      </w:r>
      <w:r w:rsidR="00933E9C">
        <w:t>,</w:t>
      </w:r>
      <w:r>
        <w:t xml:space="preserve"> commonalities between graduate and undergraduate affecting the two populations’ illicit use; reasons beyond the purely academic. Thus, if the type and difficulty of academic work is not a direct cause, it might be speculated that fluctuation in levels of stress associated with academics could be a common variable influencing both types of students. Students may decide </w:t>
      </w:r>
      <w:proofErr w:type="gramStart"/>
      <w:r>
        <w:t>to illicitly use</w:t>
      </w:r>
      <w:proofErr w:type="gramEnd"/>
      <w:r>
        <w:t xml:space="preserve"> prescription stimulants to treat the stress caused by academics; this would account for the reports of academics being the primary reason for using stimulants. The levels of stress necessary to cause students to use prescription stimulants may be intermittent and rare. This could also explain the rate of use reported by graduate students. The majority of illicit use by graduate students occurred on one to two occasions (53%) or three to five occasions (19.6%) over the twelve month period suggesting whatever provoked the graduate students’ illicit use</w:t>
      </w:r>
      <w:r w:rsidRPr="00E27A00">
        <w:t xml:space="preserve"> </w:t>
      </w:r>
      <w:r>
        <w:t xml:space="preserve">occurred only a few times. The prescription stimulant may have addressed the stress, and after the stress was addressed, they may have no longer felt a need to continue using prescription stimulants. While we have no evidence about the frequency of use by undergraduates, and whether it too, is intermittent, stress has been reported to be a predictor of illicit stimulant use for undergraduate students </w:t>
      </w:r>
      <w:r>
        <w:fldChar w:fldCharType="begin"/>
      </w:r>
      <w:r>
        <w:instrText xml:space="preserve"> ADDIN EN.CITE &lt;EndNote&gt;&lt;Cite&gt;&lt;Author&gt;DeSantis&lt;/Author&gt;&lt;Year&gt;2008&lt;/Year&gt;&lt;RecNum&gt;382&lt;/RecNum&gt;&lt;DisplayText&gt;(DeSantis et al., 2008)&lt;/DisplayText&gt;&lt;record&gt;&lt;rec-number&gt;382&lt;/rec-number&gt;&lt;foreign-keys&gt;&lt;key app="EN" db-id="02dwfapew02tdked2f4p0xerwdapvw5vztpp"&gt;382&lt;/key&gt;&lt;key app="ENWeb" db-id="R1rfKArtmCQAAH0-ETQ"&gt;873&lt;/key&gt;&lt;/foreign-keys&gt;&lt;ref-type name="Journal Article"&gt;17&lt;/ref-type&gt;&lt;contributors&gt;&lt;authors&gt;&lt;author&gt;DeSantis, A&lt;/author&gt;&lt;author&gt;Webb, E&lt;/author&gt;&lt;author&gt;Noar, S&lt;/author&gt;&lt;/authors&gt;&lt;/contributors&gt;&lt;titles&gt;&lt;title&gt;Illicit use of prescription ADHD medications on a college campus: A multimethodological approach&lt;/title&gt;&lt;secondary-title&gt;Journal of American College Health&lt;/secondary-title&gt;&lt;/titles&gt;&lt;periodical&gt;&lt;full-title&gt;Journal of American College Health&lt;/full-title&gt;&lt;/periodical&gt;&lt;pages&gt;315-323&lt;/pages&gt;&lt;volume&gt;57&lt;/volume&gt;&lt;number&gt;3&lt;/number&gt;&lt;dates&gt;&lt;year&gt;2008&lt;/year&gt;&lt;/dates&gt;&lt;urls&gt;&lt;/urls&gt;&lt;electronic-resource-num&gt;10.3200/JACH.57.3.315-324&lt;/electronic-resource-num&gt;&lt;/record&gt;&lt;/Cite&gt;&lt;/EndNote&gt;</w:instrText>
      </w:r>
      <w:r>
        <w:fldChar w:fldCharType="separate"/>
      </w:r>
      <w:r>
        <w:rPr>
          <w:noProof/>
        </w:rPr>
        <w:t>(</w:t>
      </w:r>
      <w:hyperlink w:anchor="_ENREF_14" w:tooltip="DeSantis, 2008 #382" w:history="1">
        <w:r>
          <w:rPr>
            <w:noProof/>
          </w:rPr>
          <w:t>DeSantis et al., 2008</w:t>
        </w:r>
      </w:hyperlink>
      <w:r>
        <w:rPr>
          <w:noProof/>
        </w:rPr>
        <w:t>)</w:t>
      </w:r>
      <w:r>
        <w:fldChar w:fldCharType="end"/>
      </w:r>
      <w:r>
        <w:t xml:space="preserve">. </w:t>
      </w:r>
    </w:p>
    <w:p w:rsidR="00D213F7" w:rsidRDefault="00D213F7" w:rsidP="00D213F7">
      <w:r>
        <w:t xml:space="preserve">Another similarity found between graduate and undergraduate students was the drug of choice. Graduate students that illicitly used prescription stimulants preferred Adderall® (70.6%), Adderall XR® (37.3%) and Vyvanse® (23.5%), in that order. Undergraduate students also preferred Adderall® with a few students preferring Ritalin®, the second most preferred drug </w:t>
      </w:r>
      <w:r>
        <w:lastRenderedPageBreak/>
        <w:fldChar w:fldCharType="begin"/>
      </w:r>
      <w:r>
        <w:instrText xml:space="preserve"> ADDIN EN.CITE &lt;EndNote&gt;&lt;Cite&gt;&lt;Author&gt;National Center on Addiction and Substance Abuse&lt;/Author&gt;&lt;Year&gt;2005&lt;/Year&gt;&lt;RecNum&gt;104&lt;/RecNum&gt;&lt;DisplayText&gt;(National Center on Addiction and Substance Abuse, 2005)&lt;/DisplayText&gt;&lt;record&gt;&lt;rec-number&gt;104&lt;/rec-number&gt;&lt;foreign-keys&gt;&lt;key app="EN" db-id="02dwfapew02tdked2f4p0xerwdapvw5vztpp"&gt;104&lt;/key&gt;&lt;key app="ENWeb" db-id="R1rfKArtmCQAAH0-ETQ"&gt;682&lt;/key&gt;&lt;/foreign-keys&gt;&lt;ref-type name="Report"&gt;27&lt;/ref-type&gt;&lt;contributors&gt;&lt;authors&gt;&lt;author&gt;National Center on Addiction and Substance Abuse,&lt;/author&gt;&lt;/authors&gt;&lt;/contributors&gt;&lt;titles&gt;&lt;title&gt;Under the counter: The diversion and abuse of controlled prescription drugs in the United States&lt;/title&gt;&lt;/titles&gt;&lt;dates&gt;&lt;year&gt;2005&lt;/year&gt;&lt;pub-dates&gt;&lt;date&gt;July&lt;/date&gt;&lt;/pub-dates&gt;&lt;/dates&gt;&lt;pub-location&gt;New York&lt;/pub-location&gt;&lt;publisher&gt;Colombia University&lt;/publisher&gt;&lt;urls&gt;&lt;related-urls&gt;&lt;url&gt;http://www.casacolumbia.org/absolutenm/articlefiles/380-under_the_counter_-_diversion.pdf&lt;/url&gt;&lt;/related-urls&gt;&lt;/urls&gt;&lt;access-date&gt;December 10, 2007&lt;/access-date&gt;&lt;/record&gt;&lt;/Cite&gt;&lt;/EndNote&gt;</w:instrText>
      </w:r>
      <w:r>
        <w:fldChar w:fldCharType="separate"/>
      </w:r>
      <w:r>
        <w:rPr>
          <w:noProof/>
        </w:rPr>
        <w:t>(</w:t>
      </w:r>
      <w:hyperlink w:anchor="_ENREF_41" w:tooltip="National Center on Addiction and Substance Abuse, 2005 #104" w:history="1">
        <w:r>
          <w:rPr>
            <w:noProof/>
          </w:rPr>
          <w:t>National Center on Addiction and Substance Abuse, 2005</w:t>
        </w:r>
      </w:hyperlink>
      <w:r>
        <w:rPr>
          <w:noProof/>
        </w:rPr>
        <w:t>)</w:t>
      </w:r>
      <w:r>
        <w:fldChar w:fldCharType="end"/>
      </w:r>
      <w:r>
        <w:t>. It is not surprising that both graduates and undergraduates preferred Adderall® since</w:t>
      </w:r>
      <w:r w:rsidDel="00703ABA">
        <w:t xml:space="preserve"> </w:t>
      </w:r>
      <w:r>
        <w:t xml:space="preserve">it is the most widely prescribed stimulant, reported by the National Center on Addiction and Substance Abuse </w:t>
      </w:r>
      <w:r>
        <w:fldChar w:fldCharType="begin"/>
      </w:r>
      <w:r>
        <w:instrText xml:space="preserve"> ADDIN EN.CITE &lt;EndNote&gt;&lt;Cite ExcludeAuth="1"&gt;&lt;Author&gt;National Center on Addiction and Substance Abuse&lt;/Author&gt;&lt;Year&gt;2005&lt;/Year&gt;&lt;RecNum&gt;104&lt;/RecNum&gt;&lt;DisplayText&gt;(2005)&lt;/DisplayText&gt;&lt;record&gt;&lt;rec-number&gt;104&lt;/rec-number&gt;&lt;foreign-keys&gt;&lt;key app="EN" db-id="02dwfapew02tdked2f4p0xerwdapvw5vztpp"&gt;104&lt;/key&gt;&lt;key app="ENWeb" db-id="R1rfKArtmCQAAH0-ETQ"&gt;682&lt;/key&gt;&lt;/foreign-keys&gt;&lt;ref-type name="Report"&gt;27&lt;/ref-type&gt;&lt;contributors&gt;&lt;authors&gt;&lt;author&gt;National Center on Addiction and Substance Abuse,&lt;/author&gt;&lt;/authors&gt;&lt;/contributors&gt;&lt;titles&gt;&lt;title&gt;Under the counter: The diversion and abuse of controlled prescription drugs in the United States&lt;/title&gt;&lt;/titles&gt;&lt;dates&gt;&lt;year&gt;2005&lt;/year&gt;&lt;pub-dates&gt;&lt;date&gt;July&lt;/date&gt;&lt;/pub-dates&gt;&lt;/dates&gt;&lt;pub-location&gt;New York&lt;/pub-location&gt;&lt;publisher&gt;Colombia University&lt;/publisher&gt;&lt;urls&gt;&lt;related-urls&gt;&lt;url&gt;http://www.casacolumbia.org/absolutenm/articlefiles/380-under_the_counter_-_diversion.pdf&lt;/url&gt;&lt;/related-urls&gt;&lt;/urls&gt;&lt;access-date&gt;December 10, 2007&lt;/access-date&gt;&lt;/record&gt;&lt;/Cite&gt;&lt;/EndNote&gt;</w:instrText>
      </w:r>
      <w:r>
        <w:fldChar w:fldCharType="separate"/>
      </w:r>
      <w:r>
        <w:rPr>
          <w:noProof/>
        </w:rPr>
        <w:t>(</w:t>
      </w:r>
      <w:hyperlink w:anchor="_ENREF_41" w:tooltip="National Center on Addiction and Substance Abuse, 2005 #104" w:history="1">
        <w:r>
          <w:rPr>
            <w:noProof/>
          </w:rPr>
          <w:t>2005</w:t>
        </w:r>
      </w:hyperlink>
      <w:r>
        <w:rPr>
          <w:noProof/>
        </w:rPr>
        <w:t>)</w:t>
      </w:r>
      <w:r>
        <w:fldChar w:fldCharType="end"/>
      </w:r>
      <w:r>
        <w:t xml:space="preserve"> to be the most abused prescription stimulant used by undergraduate students. As undergraduates, graduate students disposed to use it are likely to have used Adderall® and thus to seek the same stimulant as graduate students. Adderall XR® would appear to be merely another version of the same drug they knew and took. The illicit use of Vyvanse® was surprising considering it is a relatively new drug, first introduced in 2008. Thus, the amount of exposure students have had to the drug has been limited and the likelihood of having known about the drug as undergraduates was either small or nonexistent. It will be interesting to see if Vyvanse® is increasingly mentioned in future studies of undergraduate use as it becomes a more well-known prescription stimulant.</w:t>
      </w:r>
    </w:p>
    <w:p w:rsidR="00D213F7" w:rsidRDefault="00D213F7" w:rsidP="00D213F7">
      <w:r>
        <w:t xml:space="preserve">Research on undergraduates indicated friends and fellow undergraduate students as the primary source for acquiring prescription stimulants </w:t>
      </w:r>
      <w:r>
        <w:fldChar w:fldCharType="begin">
          <w:fldData xml:space="preserve">PEVuZE5vdGU+PENpdGU+PEF1dGhvcj5NY0NhYmU8L0F1dGhvcj48WWVhcj4yMDA1PC9ZZWFyPjxS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=
</w:fldData>
        </w:fldChar>
      </w:r>
      <w:r>
        <w:instrText xml:space="preserve"> ADDIN EN.CITE </w:instrText>
      </w:r>
      <w:r>
        <w:fldChar w:fldCharType="begin">
          <w:fldData xml:space="preserve">PEVuZE5vdGU+PENpdGU+PEF1dGhvcj5NY0NhYmU8L0F1dGhvcj48WWVhcj4yMDA1PC9ZZWFyPjxS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=
</w:fldData>
        </w:fldChar>
      </w:r>
      <w:r>
        <w:instrText xml:space="preserve"> ADDIN EN.CITE.DATA </w:instrText>
      </w:r>
      <w:r>
        <w:fldChar w:fldCharType="end"/>
      </w:r>
      <w:r>
        <w:fldChar w:fldCharType="separate"/>
      </w:r>
      <w:r>
        <w:rPr>
          <w:noProof/>
        </w:rPr>
        <w:t>(</w:t>
      </w:r>
      <w:hyperlink w:anchor="_ENREF_30" w:tooltip="McCabe, 2005 #413" w:history="1">
        <w:r>
          <w:rPr>
            <w:noProof/>
          </w:rPr>
          <w:t>McCabe &amp; Boyd, 2005</w:t>
        </w:r>
      </w:hyperlink>
      <w:r>
        <w:rPr>
          <w:noProof/>
        </w:rPr>
        <w:t xml:space="preserve">; </w:t>
      </w:r>
      <w:hyperlink w:anchor="_ENREF_45" w:tooltip="Novak, 2007 #318" w:history="1">
        <w:r>
          <w:rPr>
            <w:noProof/>
          </w:rPr>
          <w:t>Novak et al., 2007</w:t>
        </w:r>
      </w:hyperlink>
      <w:r>
        <w:rPr>
          <w:noProof/>
        </w:rPr>
        <w:t>)</w:t>
      </w:r>
      <w:r>
        <w:fldChar w:fldCharType="end"/>
      </w:r>
      <w:r>
        <w:t xml:space="preserve">. Graduate students who illicitly used prescription stimulants were least likely to obtain the prescription stimulant drugs from other graduate students, and more likely to obtain them from friends that were not graduate students. It may be that graduate students are less personally involved with other graduate students than undergraduate </w:t>
      </w:r>
      <w:proofErr w:type="gramStart"/>
      <w:r>
        <w:t>students</w:t>
      </w:r>
      <w:proofErr w:type="gramEnd"/>
      <w:r>
        <w:t xml:space="preserve">, and thus less likely or comfortable about asking them about their use and possession of stimulants. A more intimate relationship </w:t>
      </w:r>
      <w:proofErr w:type="gramStart"/>
      <w:r>
        <w:t>may be needed</w:t>
      </w:r>
      <w:proofErr w:type="gramEnd"/>
      <w:r>
        <w:t xml:space="preserve"> to discover whether or not fellow students are taking prescription stimulants. This may help to explain why graduate students obtain prescription stimulants primarily from friends that are not graduate students. The friendship could be more personal and long-standing, and their knowledge of the friend </w:t>
      </w:r>
      <w:proofErr w:type="gramStart"/>
      <w:r>
        <w:t>make</w:t>
      </w:r>
      <w:proofErr w:type="gramEnd"/>
      <w:r>
        <w:t xml:space="preserve"> it likely that they know about the friend’s </w:t>
      </w:r>
      <w:r>
        <w:lastRenderedPageBreak/>
        <w:t xml:space="preserve">possession of prescription stimulants; know them in a way that makes it comfortable to ask for the drug. Furthermore, it may be that graduate students do not have the same level of access to prescription stimulants from fellow students or undergraduates as undergraduate students. Many undergraduate students live in a close environment, such as residence halls or apartments catering to undergraduate students, and may be more likely to be able to find students with a prescription who are willing to sell, trade, or give the drugs to others. No matter the method for obtaining prescription stimulants, it appears the acquisition of such drugs is not difficult for either graduate students or undergraduate students, on or off campus. The issue of how students get illicit stimulants and how easy it is to get them is an aspect of illicit </w:t>
      </w:r>
      <w:r w:rsidR="000F1DA4">
        <w:t>use, which</w:t>
      </w:r>
      <w:r>
        <w:t xml:space="preserve"> might reasonably be investigated for both graduates and undergraduates. One finding related to the source of drugs for graduate students, drug dealers, is particularly interesting and potentially worrisome for college administrators. Just how easy is it for students to make contact with drug dealers and to secure any drugs they choose?</w:t>
      </w:r>
    </w:p>
    <w:p w:rsidR="00D213F7" w:rsidRDefault="00D213F7" w:rsidP="00D213F7">
      <w:r>
        <w:t xml:space="preserve">The National Survey on Drug Use and Health (NSDUH) indicated young adults between the ages of 18 and 25 were at the greatest risk for illicitly using prescription stimulants </w:t>
      </w:r>
      <w:r>
        <w:fldChar w:fldCharType="begin"/>
      </w:r>
      <w:r>
        <w:instrText xml:space="preserve"> ADDIN EN.CITE &lt;EndNote&gt;&lt;Cite&gt;&lt;Author&gt;Substance Abuse and Mental Health Services Administration&lt;/Author&gt;&lt;Year&gt;2010&lt;/Year&gt;&lt;RecNum&gt;420&lt;/RecNum&gt;&lt;DisplayText&gt;(Substance Abuse and Mental Health Services Administration, 2010)&lt;/DisplayText&gt;&lt;record&gt;&lt;rec-number&gt;420&lt;/rec-number&gt;&lt;foreign-keys&gt;&lt;key app="EN" db-id="02dwfapew02tdked2f4p0xerwdapvw5vztpp"&gt;420&lt;/key&gt;&lt;/foreign-keys&gt;&lt;ref-type name="Government Document"&gt;46&lt;/ref-type&gt;&lt;contributors&gt;&lt;authors&gt;&lt;author&gt;Substance Abuse and Mental Health Services Administration,&lt;/author&gt;&lt;/authors&gt;&lt;/contributors&gt;&lt;titles&gt;&lt;title&gt;Results from the 2009 National Survey on Drug Use and Health: Volume I. Summary of National Findings&lt;/title&gt;&lt;/titles&gt;&lt;dates&gt;&lt;year&gt;2010&lt;/year&gt;&lt;/dates&gt;&lt;pub-location&gt;Rockville, MD&lt;/pub-location&gt;&lt;isbn&gt;Office of Applied Studies, NSDUH Series H-38A, HHS Publication No. SMA 10-4586Findings&lt;/isbn&gt;&lt;urls&gt;&lt;/urls&gt;&lt;/record&gt;&lt;/Cite&gt;&lt;/EndNote&gt;</w:instrText>
      </w:r>
      <w:r>
        <w:fldChar w:fldCharType="separate"/>
      </w:r>
      <w:r>
        <w:rPr>
          <w:noProof/>
        </w:rPr>
        <w:t>(</w:t>
      </w:r>
      <w:hyperlink w:anchor="_ENREF_53" w:tooltip="Substance Abuse and Mental Health Services Administration, 2010 #420" w:history="1">
        <w:r>
          <w:rPr>
            <w:noProof/>
          </w:rPr>
          <w:t>Substance Abuse and Mental Health Services Administration, 2010</w:t>
        </w:r>
      </w:hyperlink>
      <w:r>
        <w:rPr>
          <w:noProof/>
        </w:rPr>
        <w:t>)</w:t>
      </w:r>
      <w:r>
        <w:fldChar w:fldCharType="end"/>
      </w:r>
      <w:r>
        <w:t>. The findings of this study confirm this, but also suggest that the age-range may be even greater than identified. This study surveyed graduate students, and found those up to the age of 30 to be as much at risk as undergraduate students between the ages of 18 and 25.</w:t>
      </w:r>
    </w:p>
    <w:p w:rsidR="00D213F7" w:rsidRDefault="00D213F7" w:rsidP="00D213F7">
      <w:r>
        <w:t xml:space="preserve">It is interesting to consider that of the 157 graduate students who illicitly used prescription stimulants in their lifetime, only 51 had illicitly used prescription stimulants in the past-year. This begs the question of why the majority of them, 106, no longer continued to use </w:t>
      </w:r>
      <w:r>
        <w:lastRenderedPageBreak/>
        <w:t xml:space="preserve">the drug, and only a minority did? What led them to alter their behavior, particularly since academic reasons were the primary ones given for their use, and presumably, they were subject to the same academic pressures and stress as graduates as they had been as undergraduates, or whenever they used them? One might reasonably have expected a rate of use equal to or greater than that of undergraduates as the academic pressures of graduate school are presumed to be greater than those in undergraduate levels of schooling. The drop in use by graduate students cannot be explained by the findings of the study; however, they do lead to speculative considerations. Graduate students may have initiated use during their undergraduate career with the belief that prescription stimulants would help alleviate their stress and academic pressures. However, as they matured and become more acclimated to the graduate school culture, they improved their stress or academic management techniques, thereby minimizing their need to continue using illicit prescription stimulants. In contrast, those graduate students who continued the illicit behavior may not have developed such stress or academic management techniques, resulting in continued dependence on the drugs. Continuing with speculation, graduate students that did not continue illicitly using prescription stimulants may have lost access to the drug resulting in discontinued use. Additionally, some students may have tried prescription stimulants once in their lifetime and felt little to no benefit thereby also deciding to discontinue use. </w:t>
      </w:r>
    </w:p>
    <w:p w:rsidR="00D213F7" w:rsidRDefault="00D213F7" w:rsidP="00D213F7">
      <w:r>
        <w:t xml:space="preserve">Undergraduate’s recreational use of prescription stimulants has been correlated to higher rates of poly-substance abuse </w:t>
      </w:r>
      <w:r>
        <w:fldChar w:fldCharType="begin"/>
      </w:r>
      <w:r>
        <w:instrText xml:space="preserve"> ADDIN EN.CITE &lt;EndNote&gt;&lt;Cite&gt;&lt;Author&gt;Teter&lt;/Author&gt;&lt;Year&gt;2005&lt;/Year&gt;&lt;RecNum&gt;86&lt;/RecNum&gt;&lt;DisplayText&gt;(Teter et al., 2005)&lt;/DisplayText&gt;&lt;record&gt;&lt;rec-number&gt;86&lt;/rec-number&gt;&lt;foreign-keys&gt;&lt;key app="EN" db-id="02dwfapew02tdked2f4p0xerwdapvw5vztpp"&gt;86&lt;/key&gt;&lt;key app="ENWeb" db-id="R1rfKArtmCQAAH0-ETQ"&gt;855&lt;/key&gt;&lt;/foreign-keys&gt;&lt;ref-type name="Journal Article"&gt;17&lt;/ref-type&gt;&lt;contributors&gt;&lt;authors&gt;&lt;author&gt;Teter, C&lt;/author&gt;&lt;author&gt;McCabe, SE&lt;/author&gt;&lt;author&gt;Cranford, JA&lt;/author&gt;&lt;author&gt;Boyd, C&lt;/author&gt;&lt;author&gt;Guthrie, S&lt;/author&gt;&lt;/authors&gt;&lt;/contributors&gt;&lt;titles&gt;&lt;title&gt;Prevalence and motives for illicit use of prescription stimulants in an undergraduate student sample&lt;/title&gt;&lt;secondary-title&gt;Journal of American College Health&lt;/secondary-title&gt;&lt;/titles&gt;&lt;periodical&gt;&lt;full-title&gt;Journal of American College Health&lt;/full-title&gt;&lt;/periodical&gt;&lt;pages&gt;253-262&lt;/pages&gt;&lt;volume&gt;53&lt;/volume&gt;&lt;number&gt;6&lt;/number&gt;&lt;dates&gt;&lt;year&gt;2005&lt;/year&gt;&lt;pub-dates&gt;&lt;date&gt;May/June 2005&lt;/date&gt;&lt;/pub-dates&gt;&lt;/dates&gt;&lt;urls&gt;&lt;/urls&gt;&lt;electronic-resource-num&gt;10.3200/JACH.53.6.253-262&lt;/electronic-resource-num&gt;&lt;/record&gt;&lt;/Cite&gt;&lt;/EndNote&gt;</w:instrText>
      </w:r>
      <w:r>
        <w:fldChar w:fldCharType="separate"/>
      </w:r>
      <w:r>
        <w:rPr>
          <w:noProof/>
        </w:rPr>
        <w:t>(</w:t>
      </w:r>
      <w:hyperlink w:anchor="_ENREF_57" w:tooltip="Teter, 2005 #86" w:history="1">
        <w:r>
          <w:rPr>
            <w:noProof/>
          </w:rPr>
          <w:t>Teter et al., 2005</w:t>
        </w:r>
      </w:hyperlink>
      <w:r>
        <w:rPr>
          <w:noProof/>
        </w:rPr>
        <w:t>)</w:t>
      </w:r>
      <w:r>
        <w:fldChar w:fldCharType="end"/>
      </w:r>
      <w:r>
        <w:t>. This was also true for graduate students. The present study found that graduate students who illicitly used prescription stimulants were more likely to use marijuana, cocaine, and ecstasy. The increased likelihood of poly-substance use among both groups of students suggests their poly-substance use is part of a pattern of poly-</w:t>
      </w:r>
      <w:r>
        <w:lastRenderedPageBreak/>
        <w:t xml:space="preserve">substance use and potentially represents a larger cluster of problem behaviors </w:t>
      </w:r>
      <w:r>
        <w:fldChar w:fldCharType="begin"/>
      </w:r>
      <w:r>
        <w:instrText xml:space="preserve"> ADDIN EN.CITE &lt;EndNote&gt;&lt;Cite&gt;&lt;Author&gt;Jessor&lt;/Author&gt;&lt;Year&gt;1991&lt;/Year&gt;&lt;RecNum&gt;308&lt;/RecNum&gt;&lt;DisplayText&gt;(Jessor et al., 1991)&lt;/DisplayText&gt;&lt;record&gt;&lt;rec-number&gt;308&lt;/rec-number&gt;&lt;foreign-keys&gt;&lt;key app="EN" db-id="02dwfapew02tdked2f4p0xerwdapvw5vztpp"&gt;308&lt;/key&gt;&lt;key app="ENWeb" db-id="R1rfKArtmCQAAH0-ETQ"&gt;788&lt;/key&gt;&lt;/foreign-keys&gt;&lt;ref-type name="Book"&gt;6&lt;/ref-type&gt;&lt;contributors&gt;&lt;authors&gt;&lt;author&gt;Jessor, Richard&lt;/author&gt;&lt;author&gt;Donovan, John E.&lt;/author&gt;&lt;author&gt;Costa, Frances M.&lt;/author&gt;&lt;/authors&gt;&lt;/contributors&gt;&lt;titles&gt;&lt;title&gt;Beyond adolescence: Problem behavior and young adult development&lt;/title&gt;&lt;/titles&gt;&lt;dates&gt;&lt;year&gt;1991&lt;/year&gt;&lt;/dates&gt;&lt;pub-location&gt;New York&lt;/pub-location&gt;&lt;publisher&gt;Cambridge Press&lt;/publisher&gt;&lt;urls&gt;&lt;/urls&gt;&lt;/record&gt;&lt;/Cite&gt;&lt;/EndNote&gt;</w:instrText>
      </w:r>
      <w:r>
        <w:fldChar w:fldCharType="separate"/>
      </w:r>
      <w:r>
        <w:rPr>
          <w:noProof/>
        </w:rPr>
        <w:t>(</w:t>
      </w:r>
      <w:hyperlink w:anchor="_ENREF_21" w:tooltip="Jessor, 1991 #308" w:history="1">
        <w:r>
          <w:rPr>
            <w:noProof/>
          </w:rPr>
          <w:t>Jessor et al., 1991</w:t>
        </w:r>
      </w:hyperlink>
      <w:r>
        <w:rPr>
          <w:noProof/>
        </w:rPr>
        <w:t>)</w:t>
      </w:r>
      <w:r>
        <w:fldChar w:fldCharType="end"/>
      </w:r>
      <w:r>
        <w:t xml:space="preserve">. According to </w:t>
      </w:r>
      <w:r>
        <w:fldChar w:fldCharType="begin"/>
      </w:r>
      <w:r>
        <w:instrText xml:space="preserve"> ADDIN EN.CITE &lt;EndNote&gt;&lt;Cite AuthorYear="1"&gt;&lt;Author&gt;Arria&lt;/Author&gt;&lt;Year&gt;2008&lt;/Year&gt;&lt;RecNum&gt;402&lt;/RecNum&gt;&lt;DisplayText&gt;Arria, Caldeira, Vincent, et al. (2008)&lt;/DisplayText&gt;&lt;record&gt;&lt;rec-number&gt;402&lt;/rec-number&gt;&lt;foreign-keys&gt;&lt;key app="EN" db-id="02dwfapew02tdked2f4p0xerwdapvw5vztpp"&gt;402&lt;/key&gt;&lt;key app="ENWeb" db-id="R1rfKArtmCQAAH0-ETQ"&gt;885&lt;/key&gt;&lt;/foreign-keys&gt;&lt;ref-type name="Journal Article"&gt;17&lt;/ref-type&gt;&lt;contributors&gt;&lt;authors&gt;&lt;author&gt;Arria, Amelia&lt;/author&gt;&lt;author&gt;Caldeira, Kimberly&lt;/author&gt;&lt;author&gt;Vincent, Kathryn&lt;/author&gt;&lt;author&gt;O’Grady, Kevin&lt;/author&gt;&lt;author&gt;Wish, Eric&lt;/author&gt;&lt;/authors&gt;&lt;/contributors&gt;&lt;titles&gt;&lt;title&gt;Perceived Harmfulness Predicts Nonmedical Use of Prescription Drugs Among College Students: Interactions with Sensation-Seeking&lt;/title&gt;&lt;secondary-title&gt;Prevention Science&lt;/secondary-title&gt;&lt;/titles&gt;&lt;periodical&gt;&lt;full-title&gt;Prevention Science&lt;/full-title&gt;&lt;/periodical&gt;&lt;pages&gt;191-201&lt;/pages&gt;&lt;volume&gt;9&lt;/volume&gt;&lt;number&gt;3&lt;/number&gt;&lt;keywords&gt;&lt;keyword&gt;Behavioral Science&lt;/keyword&gt;&lt;/keywords&gt;&lt;dates&gt;&lt;year&gt;2008&lt;/year&gt;&lt;/dates&gt;&lt;publisher&gt;Springer Netherlands&lt;/publisher&gt;&lt;isbn&gt;1389-4986&lt;/isbn&gt;&lt;urls&gt;&lt;related-urls&gt;&lt;url&gt;http://dx.doi.org/10.1007/s11121-008-0095-8&lt;/url&gt;&lt;/related-urls&gt;&lt;/urls&gt;&lt;electronic-resource-num&gt;10.1007/s11121-008-0095-8&lt;/electronic-resource-num&gt;&lt;/record&gt;&lt;/Cite&gt;&lt;/EndNote&gt;</w:instrText>
      </w:r>
      <w:r>
        <w:fldChar w:fldCharType="separate"/>
      </w:r>
      <w:hyperlink w:anchor="_ENREF_4" w:tooltip="Arria, 2008 #402" w:history="1">
        <w:r>
          <w:rPr>
            <w:noProof/>
          </w:rPr>
          <w:t>Arria, Caldeira, Vincent, et al. (2008</w:t>
        </w:r>
      </w:hyperlink>
      <w:r>
        <w:rPr>
          <w:noProof/>
        </w:rPr>
        <w:t>)</w:t>
      </w:r>
      <w:r>
        <w:fldChar w:fldCharType="end"/>
      </w:r>
      <w:r>
        <w:t xml:space="preserve">, undergraduate students who do not perceive prescription drugs as harmful were more likely to illicitly use prescription stimulants, which usually followed illicitly using other substances. It could be hypothesized that, in addition to undergraduate students, graduate students may not perceive prescription stimulants as harmful and thus are more likely to illicitly use prescription stimulants for academics or recreation, which, unbeknownst to the user, results in the prescription stimulants becoming a gateway drug to other illicit substance use. After undergraduate and graduate students begin illicitly using prescription stimulants, they may feel more at ease in using other drugs recreationally, or for stress relief, energy, or experimentation. It is not surprising graduate students </w:t>
      </w:r>
      <w:r w:rsidR="000F1DA4">
        <w:t>who</w:t>
      </w:r>
      <w:r>
        <w:t xml:space="preserve"> illicitly use prescription stimulants were 6.3 times more likely to use cocaine, since students may seek other drugs with a similar chemical and physiological response to prescription stimulants. Cocaine would provide that response since cocaine and prescription stimulants affect the same parts of the brain </w:t>
      </w:r>
      <w:r>
        <w:fldChar w:fldCharType="begin"/>
      </w:r>
      <w:r>
        <w:instrText xml:space="preserve"> ADDIN EN.CITE &lt;EndNote&gt;&lt;Cite&gt;&lt;Author&gt;Drug Enforcement Agency&lt;/Author&gt;&lt;Year&gt;2011&lt;/Year&gt;&lt;RecNum&gt;436&lt;/RecNum&gt;&lt;DisplayText&gt;(Drug Enforcement Agency, 2011)&lt;/DisplayText&gt;&lt;record&gt;&lt;rec-number&gt;436&lt;/rec-number&gt;&lt;foreign-keys&gt;&lt;key app="EN" db-id="02dwfapew02tdked2f4p0xerwdapvw5vztpp"&gt;436&lt;/key&gt;&lt;/foreign-keys&gt;&lt;ref-type name="Book"&gt;6&lt;/ref-type&gt;&lt;contributors&gt;&lt;authors&gt;&lt;author&gt;Drug Enforcement Agency,&lt;/author&gt;&lt;/authors&gt;&lt;/contributors&gt;&lt;titles&gt;&lt;title&gt;Drugs of Abuse&lt;/title&gt;&lt;/titles&gt;&lt;dates&gt;&lt;year&gt;2011&lt;/year&gt;&lt;/dates&gt;&lt;pub-location&gt;Washington D.C.&lt;/pub-location&gt;&lt;publisher&gt;United States Department of Justice&lt;/publisher&gt;&lt;urls&gt;&lt;/urls&gt;&lt;/record&gt;&lt;/Cite&gt;&lt;/EndNote&gt;</w:instrText>
      </w:r>
      <w:r>
        <w:fldChar w:fldCharType="separate"/>
      </w:r>
      <w:r>
        <w:rPr>
          <w:noProof/>
        </w:rPr>
        <w:t>(</w:t>
      </w:r>
      <w:hyperlink w:anchor="_ENREF_15" w:tooltip="Drug Enforcement Agency, 2011 #436" w:history="1">
        <w:r>
          <w:rPr>
            <w:noProof/>
          </w:rPr>
          <w:t>Drug Enforcement Agency, 2011</w:t>
        </w:r>
      </w:hyperlink>
      <w:r>
        <w:rPr>
          <w:noProof/>
        </w:rPr>
        <w:t>)</w:t>
      </w:r>
      <w:r>
        <w:fldChar w:fldCharType="end"/>
      </w:r>
      <w:r>
        <w:t xml:space="preserve">. </w:t>
      </w:r>
    </w:p>
    <w:p w:rsidR="00D213F7" w:rsidRDefault="00D213F7" w:rsidP="00D213F7">
      <w:r>
        <w:t xml:space="preserve">The sensitivity and clandestine nature of studying illicit prescription stimulant use presented many challenges, which included obtaining responses that were ultimately confessions </w:t>
      </w:r>
      <w:r w:rsidR="000F1DA4">
        <w:t>of</w:t>
      </w:r>
      <w:r>
        <w:t xml:space="preserve"> illegal activity. It is interesting to note that during data collection, I received many responses via email regarding the topic of my dissertation. A majority of the emails expressed interest in the topic of illicit prescription stimulant use among graduate students. I received requests to meet and discuss illicit stimulant use, requests to send the results after analysis, and </w:t>
      </w:r>
      <w:proofErr w:type="gramStart"/>
      <w:r>
        <w:t>was provided</w:t>
      </w:r>
      <w:proofErr w:type="gramEnd"/>
      <w:r>
        <w:t xml:space="preserve"> with theories as to why students were illicitly using prescription stimulants. These responses suggested there was great interest in the topic among the population studied. In addition, the </w:t>
      </w:r>
      <w:r>
        <w:lastRenderedPageBreak/>
        <w:t xml:space="preserve">responses and e-mails suggested that graduate students were quite familiar with prescription stimulants and their use by students. </w:t>
      </w:r>
    </w:p>
    <w:p w:rsidR="00D213F7" w:rsidRDefault="00D213F7" w:rsidP="00D213F7">
      <w:pPr>
        <w:pStyle w:val="Heading1"/>
      </w:pPr>
      <w:r>
        <w:t>Conclusion</w:t>
      </w:r>
    </w:p>
    <w:p w:rsidR="00D213F7" w:rsidRPr="00316E7B" w:rsidRDefault="00D213F7" w:rsidP="00D213F7">
      <w:r>
        <w:t xml:space="preserve">Based on the findings of the study, it is reasonable to conclude that graduate students use illegal prescription </w:t>
      </w:r>
      <w:proofErr w:type="gramStart"/>
      <w:r>
        <w:t>stimulants,</w:t>
      </w:r>
      <w:proofErr w:type="gramEnd"/>
      <w:r>
        <w:t xml:space="preserve"> and their use is similar to that found for undergraduate students, and for the same primary reason. Further, those who have used it are at considerable risk for poly-substance abuse, as has been reported for undergraduates. It is not unreasonable to conclude, with </w:t>
      </w:r>
      <w:proofErr w:type="gramStart"/>
      <w:r>
        <w:t>caution, that</w:t>
      </w:r>
      <w:proofErr w:type="gramEnd"/>
      <w:r>
        <w:t xml:space="preserve"> graduate students who used prescription stimulants as undergraduates are at risk for using them as graduate students. </w:t>
      </w:r>
    </w:p>
    <w:p w:rsidR="00D213F7" w:rsidRDefault="00D213F7" w:rsidP="00D213F7">
      <w:pPr>
        <w:pStyle w:val="Heading1"/>
      </w:pPr>
      <w:r>
        <w:t>Implications</w:t>
      </w:r>
    </w:p>
    <w:p w:rsidR="00D213F7" w:rsidRDefault="00D213F7" w:rsidP="00D213F7">
      <w:r>
        <w:t xml:space="preserve">While the findings of the study are limited to the institution studied, they are suggestive of what may be happening among graduate students in other institutions and have implications for various involved groups. The findings of the study have potential implications for health officials, academic and student affairs administrators, and faculty members. National surveys, such as Monitoring the Future, have shown that prescription stimulant use among teenagers has continually increased over the past ten years and shows no signs of slowing; this is true for undergraduate students and appears to be true for graduate students. There are a growing number of programs and initiatives targeting undergraduates and illicit prescription stimulant use </w:t>
      </w:r>
      <w:r>
        <w:fldChar w:fldCharType="begin"/>
      </w:r>
      <w:r>
        <w:instrText xml:space="preserve"> ADDIN EN.CITE &lt;EndNote&gt;&lt;Cite&gt;&lt;Author&gt;National Center on Addiction and Substance Abuse&lt;/Author&gt;&lt;Year&gt;2005&lt;/Year&gt;&lt;RecNum&gt;104&lt;/RecNum&gt;&lt;DisplayText&gt;(National Center on Addiction and Substance Abuse, 2005, 2007)&lt;/DisplayText&gt;&lt;record&gt;&lt;rec-number&gt;104&lt;/rec-number&gt;&lt;foreign-keys&gt;&lt;key app="EN" db-id="02dwfapew02tdked2f4p0xerwdapvw5vztpp"&gt;104&lt;/key&gt;&lt;key app="ENWeb" db-id="R1rfKArtmCQAAH0-ETQ"&gt;682&lt;/key&gt;&lt;/foreign-keys&gt;&lt;ref-type name="Report"&gt;27&lt;/ref-type&gt;&lt;contributors&gt;&lt;authors&gt;&lt;author&gt;National Center on Addiction and Substance Abuse,&lt;/author&gt;&lt;/authors&gt;&lt;/contributors&gt;&lt;titles&gt;&lt;title&gt;Under the counter: The diversion and abuse of controlled prescription drugs in the United States&lt;/title&gt;&lt;/titles&gt;&lt;dates&gt;&lt;year&gt;2005&lt;/year&gt;&lt;pub-dates&gt;&lt;date&gt;July&lt;/date&gt;&lt;/pub-dates&gt;&lt;/dates&gt;&lt;pub-location&gt;New York&lt;/pub-location&gt;&lt;publisher&gt;Colombia University&lt;/publisher&gt;&lt;urls&gt;&lt;related-urls&gt;&lt;url&gt;http://www.casacolumbia.org/absolutenm/articlefiles/380-under_the_counter_-_diversion.pdf&lt;/url&gt;&lt;/related-urls&gt;&lt;/urls&gt;&lt;access-date&gt;December 10, 2007&lt;/access-date&gt;&lt;/record&gt;&lt;/Cite&gt;&lt;Cite&gt;&lt;Author&gt;National Center on Addiction and Substance Abuse&lt;/Author&gt;&lt;Year&gt;2007&lt;/Year&gt;&lt;RecNum&gt;426&lt;/RecNum&gt;&lt;record&gt;&lt;rec-number&gt;426&lt;/rec-number&gt;&lt;foreign-keys&gt;&lt;key app="EN" db-id="02dwfapew02tdked2f4p0xerwdapvw5vztpp"&gt;426&lt;/key&gt;&lt;/foreign-keys&gt;&lt;ref-type name="Report"&gt;27&lt;/ref-type&gt;&lt;contributors&gt;&lt;authors&gt;&lt;author&gt;National Center on Addiction and Substance Abuse,&lt;/author&gt;&lt;/authors&gt;&lt;/contributors&gt;&lt;titles&gt;&lt;title&gt;Wasting the best and the brightest: Substance abuse at America&amp;apos;s Colleges and Universities&lt;/title&gt;&lt;/titles&gt;&lt;dates&gt;&lt;year&gt;2007&lt;/year&gt;&lt;pub-dates&gt;&lt;date&gt;July&lt;/date&gt;&lt;/pub-dates&gt;&lt;/dates&gt;&lt;pub-location&gt;New York&lt;/pub-location&gt;&lt;publisher&gt;Colombia University&lt;/publisher&gt;&lt;urls&gt;&lt;related-urls&gt;&lt;url&gt;http://www.casacolumbia.org/articlefiles/380-Wasting%20the%20Best%20and%20the%20Brightest.pdf&lt;/url&gt;&lt;/related-urls&gt;&lt;/urls&gt;&lt;access-date&gt;December 10, 2007&lt;/access-date&gt;&lt;/record&gt;&lt;/Cite&gt;&lt;/EndNote&gt;</w:instrText>
      </w:r>
      <w:r>
        <w:fldChar w:fldCharType="separate"/>
      </w:r>
      <w:r>
        <w:rPr>
          <w:noProof/>
        </w:rPr>
        <w:t>(</w:t>
      </w:r>
      <w:hyperlink w:anchor="_ENREF_41" w:tooltip="National Center on Addiction and Substance Abuse, 2005 #104" w:history="1">
        <w:r>
          <w:rPr>
            <w:noProof/>
          </w:rPr>
          <w:t>National Center on Addiction and Substance Abuse, 2005</w:t>
        </w:r>
      </w:hyperlink>
      <w:r>
        <w:rPr>
          <w:noProof/>
        </w:rPr>
        <w:t xml:space="preserve">, </w:t>
      </w:r>
      <w:hyperlink w:anchor="_ENREF_42" w:tooltip="National Center on Addiction and Substance Abuse, 2007 #426" w:history="1">
        <w:r>
          <w:rPr>
            <w:noProof/>
          </w:rPr>
          <w:t>2007</w:t>
        </w:r>
      </w:hyperlink>
      <w:r>
        <w:rPr>
          <w:noProof/>
        </w:rPr>
        <w:t>)</w:t>
      </w:r>
      <w:r>
        <w:fldChar w:fldCharType="end"/>
      </w:r>
      <w:r>
        <w:t xml:space="preserve">. While the findings that graduate students past-year use in this study showed a decrease, there is no guarantee that that is what is happening with graduate students across the nation. Therefore, programs and initiatives attempting to address the problem of illicit prescription stimulant use need to focus on graduate </w:t>
      </w:r>
      <w:r>
        <w:lastRenderedPageBreak/>
        <w:t>students as well as undergraduate students, particularly given the ease of securing prescription stimulants illicitly and the disposition for poly-substance abuse in the future.</w:t>
      </w:r>
    </w:p>
    <w:p w:rsidR="00D213F7" w:rsidRDefault="00D213F7" w:rsidP="00D213F7">
      <w:r>
        <w:t>The ease with which graduate students, no less undergraduate students, can obtain prescription stimulants from sources outside,</w:t>
      </w:r>
      <w:r w:rsidR="00F87F24">
        <w:t xml:space="preserve"> </w:t>
      </w:r>
      <w:r>
        <w:t xml:space="preserve">as well as inside academe, is something about which leaders within and outside of academia must be concerned, if not alarmed. One recommendation to combat this issue could be to require students to register controlled prescriptions with disability services and as part of that registration receive information on the legality of distributing drugs as well as signing a notice indicating they will not distribute their prescriptions. This could be helpful to combat the issue since students have been found to be largely unaware that distributing their medication is a violation of the law </w:t>
      </w:r>
      <w:r>
        <w:fldChar w:fldCharType="begin"/>
      </w:r>
      <w:r>
        <w:instrText xml:space="preserve"> ADDIN EN.CITE &lt;EndNote&gt;&lt;Cite&gt;&lt;Author&gt;Quintero&lt;/Author&gt;&lt;Year&gt;2006&lt;/Year&gt;&lt;RecNum&gt;290&lt;/RecNum&gt;&lt;DisplayText&gt;(Quintero et al., 2006)&lt;/DisplayText&gt;&lt;record&gt;&lt;rec-number&gt;290&lt;/rec-number&gt;&lt;foreign-keys&gt;&lt;key app="EN" db-id="02dwfapew02tdked2f4p0xerwdapvw5vztpp"&gt;290&lt;/key&gt;&lt;key app="ENWeb" db-id="R1rfKArtmCQAAH0-ETQ"&gt;670&lt;/key&gt;&lt;/foreign-keys&gt;&lt;ref-type name="Journal Article"&gt;17&lt;/ref-type&gt;&lt;contributors&gt;&lt;authors&gt;&lt;author&gt;Quintero, G&lt;/author&gt;&lt;author&gt;Peterson, J&lt;/author&gt;&lt;author&gt;Young, B&lt;/author&gt;&lt;/authors&gt;&lt;/contributors&gt;&lt;titles&gt;&lt;title&gt;An exploratory study of socio-cultural factors contributing to prescription drug misuse among college students&lt;/title&gt;&lt;secondary-title&gt;Journal of Drug Issues&lt;/secondary-title&gt;&lt;/titles&gt;&lt;pages&gt;903-932&lt;/pages&gt;&lt;volume&gt;36&lt;/volume&gt;&lt;number&gt;4&lt;/number&gt;&lt;dates&gt;&lt;year&gt;2006&lt;/year&gt;&lt;/dates&gt;&lt;urls&gt;&lt;/urls&gt;&lt;/record&gt;&lt;/Cite&gt;&lt;/EndNote&gt;</w:instrText>
      </w:r>
      <w:r>
        <w:fldChar w:fldCharType="separate"/>
      </w:r>
      <w:r>
        <w:rPr>
          <w:noProof/>
        </w:rPr>
        <w:t>(</w:t>
      </w:r>
      <w:hyperlink w:anchor="_ENREF_49" w:tooltip="Quintero, 2006 #290" w:history="1">
        <w:r>
          <w:rPr>
            <w:noProof/>
          </w:rPr>
          <w:t>Quintero et al., 2006</w:t>
        </w:r>
      </w:hyperlink>
      <w:r>
        <w:rPr>
          <w:noProof/>
        </w:rPr>
        <w:t>)</w:t>
      </w:r>
      <w:r>
        <w:fldChar w:fldCharType="end"/>
      </w:r>
      <w:r>
        <w:t xml:space="preserve">. Health officials and university administrators need to take serious steps to address the trafficking of prescription stimulants on college campuses, which is something both have failed to address. </w:t>
      </w:r>
    </w:p>
    <w:p w:rsidR="00D213F7" w:rsidRDefault="00D213F7" w:rsidP="00D213F7">
      <w:r>
        <w:t xml:space="preserve">According to the National Center on Addiction and Substance Abuse (CASA) </w:t>
      </w:r>
      <w:r>
        <w:fldChar w:fldCharType="begin"/>
      </w:r>
      <w:r>
        <w:instrText xml:space="preserve"> ADDIN EN.CITE &lt;EndNote&gt;&lt;Cite ExcludeAuth="1"&gt;&lt;Author&gt;National Center on Addiction and Substance Abuse&lt;/Author&gt;&lt;Year&gt;2005&lt;/Year&gt;&lt;RecNum&gt;104&lt;/RecNum&gt;&lt;DisplayText&gt;(2005)&lt;/DisplayText&gt;&lt;record&gt;&lt;rec-number&gt;104&lt;/rec-number&gt;&lt;foreign-keys&gt;&lt;key app="EN" db-id="02dwfapew02tdked2f4p0xerwdapvw5vztpp"&gt;104&lt;/key&gt;&lt;key app="ENWeb" db-id="R1rfKArtmCQAAH0-ETQ"&gt;682&lt;/key&gt;&lt;/foreign-keys&gt;&lt;ref-type name="Report"&gt;27&lt;/ref-type&gt;&lt;contributors&gt;&lt;authors&gt;&lt;author&gt;National Center on Addiction and Substance Abuse,&lt;/author&gt;&lt;/authors&gt;&lt;/contributors&gt;&lt;titles&gt;&lt;title&gt;Under the counter: The diversion and abuse of controlled prescription drugs in the United States&lt;/title&gt;&lt;/titles&gt;&lt;dates&gt;&lt;year&gt;2005&lt;/year&gt;&lt;pub-dates&gt;&lt;date&gt;July&lt;/date&gt;&lt;/pub-dates&gt;&lt;/dates&gt;&lt;pub-location&gt;New York&lt;/pub-location&gt;&lt;publisher&gt;Colombia University&lt;/publisher&gt;&lt;urls&gt;&lt;related-urls&gt;&lt;url&gt;http://www.casacolumbia.org/absolutenm/articlefiles/380-under_the_counter_-_diversion.pdf&lt;/url&gt;&lt;/related-urls&gt;&lt;/urls&gt;&lt;access-date&gt;December 10, 2007&lt;/access-date&gt;&lt;/record&gt;&lt;/Cite&gt;&lt;/EndNote&gt;</w:instrText>
      </w:r>
      <w:r>
        <w:fldChar w:fldCharType="separate"/>
      </w:r>
      <w:r>
        <w:rPr>
          <w:noProof/>
        </w:rPr>
        <w:t>(</w:t>
      </w:r>
      <w:hyperlink w:anchor="_ENREF_41" w:tooltip="National Center on Addiction and Substance Abuse, 2005 #104" w:history="1">
        <w:r>
          <w:rPr>
            <w:noProof/>
          </w:rPr>
          <w:t>2005</w:t>
        </w:r>
      </w:hyperlink>
      <w:r>
        <w:rPr>
          <w:noProof/>
        </w:rPr>
        <w:t>)</w:t>
      </w:r>
      <w:r>
        <w:fldChar w:fldCharType="end"/>
      </w:r>
      <w:r>
        <w:t>, production of Adderall® increased 9,008% from 1992 to 2002, Dexedrine® increased by 211%, and Ritalin® increased by 187%. All of this was in response to a 369% increase in written prescriptions for these drugs during that same time. The growing number of written prescriptions suggests doctors and physiatrists are readily prescribing these drugs to patients. Part of the problem rests with the vague guidelines for diagnosing and treating ADHD, and the ease with which individuals can claim the symptoms covered in the guidelines.</w:t>
      </w:r>
      <w:r w:rsidRPr="00C5282C">
        <w:t xml:space="preserve"> </w:t>
      </w:r>
      <w:r>
        <w:t xml:space="preserve">Doctors and psychiatrists need to be more cautious in prescribing stimulants and to consider alternative treatments for ADHD among adults such as non-stimulant medications, self-help guides, and behavioral </w:t>
      </w:r>
      <w:r>
        <w:lastRenderedPageBreak/>
        <w:t xml:space="preserve">therapy. Additional research is also needed for non-pharmaceutical tactics to address the symptoms of ADHD, which could be an alternative to prescribing stimulants. </w:t>
      </w:r>
    </w:p>
    <w:p w:rsidR="00D213F7" w:rsidRDefault="00D213F7" w:rsidP="00D213F7">
      <w:r>
        <w:t xml:space="preserve">Social workers, doctors, and other health professionals should consider prevention strategies when working with abusable prescription drugs such as stimulants. One such prevention program could include enhanced screening to help identify potential stimulant abuse among graduate students or patients seeking multiple prescriptions. Furthermore, the increased number of written prescriptions suggests more students are coming to colleges and universities with prescriptions. Colleges and universities need to address the increased number of students attending school with prescriptions by developing educational programs that inform students on the dangers of distributing and illicitly consuming prescription stimulant medication. This would not only help educate students on the legality of having a prescription, but also help address the growing ease of access to these drugs by students without a prescription. </w:t>
      </w:r>
    </w:p>
    <w:p w:rsidR="00D213F7" w:rsidRDefault="00D213F7" w:rsidP="00D213F7">
      <w:proofErr w:type="gramStart"/>
      <w:r>
        <w:t>Institutions of higher education that have undergraduate and graduate populations need to provide educational programs and materials to graduate students not just undergraduate students.</w:t>
      </w:r>
      <w:proofErr w:type="gramEnd"/>
      <w:r>
        <w:t xml:space="preserve"> These programs must address the realities of illicit prescription stimulant use and help students understand the dangers and myths that may allow the ease of use. Students may perceive prescription stimulants as a safe alternative to illegal drugs and rely on information from peers more than doctors </w:t>
      </w:r>
      <w:r>
        <w:fldChar w:fldCharType="begin"/>
      </w:r>
      <w:r>
        <w:instrText xml:space="preserve"> ADDIN EN.CITE &lt;EndNote&gt;&lt;Cite&gt;&lt;Author&gt;Quintero&lt;/Author&gt;&lt;Year&gt;2006&lt;/Year&gt;&lt;RecNum&gt;290&lt;/RecNum&gt;&lt;DisplayText&gt;(Quintero et al., 2006)&lt;/DisplayText&gt;&lt;record&gt;&lt;rec-number&gt;290&lt;/rec-number&gt;&lt;foreign-keys&gt;&lt;key app="EN" db-id="02dwfapew02tdked2f4p0xerwdapvw5vztpp"&gt;290&lt;/key&gt;&lt;key app="ENWeb" db-id="R1rfKArtmCQAAH0-ETQ"&gt;670&lt;/key&gt;&lt;/foreign-keys&gt;&lt;ref-type name="Journal Article"&gt;17&lt;/ref-type&gt;&lt;contributors&gt;&lt;authors&gt;&lt;author&gt;Quintero, G&lt;/author&gt;&lt;author&gt;Peterson, J&lt;/author&gt;&lt;author&gt;Young, B&lt;/author&gt;&lt;/authors&gt;&lt;/contributors&gt;&lt;titles&gt;&lt;title&gt;An exploratory study of socio-cultural factors contributing to prescription drug misuse among college students&lt;/title&gt;&lt;secondary-title&gt;Journal of Drug Issues&lt;/secondary-title&gt;&lt;/titles&gt;&lt;pages&gt;903-932&lt;/pages&gt;&lt;volume&gt;36&lt;/volume&gt;&lt;number&gt;4&lt;/number&gt;&lt;dates&gt;&lt;year&gt;2006&lt;/year&gt;&lt;/dates&gt;&lt;urls&gt;&lt;/urls&gt;&lt;/record&gt;&lt;/Cite&gt;&lt;/EndNote&gt;</w:instrText>
      </w:r>
      <w:r>
        <w:fldChar w:fldCharType="separate"/>
      </w:r>
      <w:r>
        <w:rPr>
          <w:noProof/>
        </w:rPr>
        <w:t>(</w:t>
      </w:r>
      <w:hyperlink w:anchor="_ENREF_49" w:tooltip="Quintero, 2006 #290" w:history="1">
        <w:r>
          <w:rPr>
            <w:noProof/>
          </w:rPr>
          <w:t>Quintero et al., 2006</w:t>
        </w:r>
      </w:hyperlink>
      <w:r>
        <w:rPr>
          <w:noProof/>
        </w:rPr>
        <w:t>)</w:t>
      </w:r>
      <w:r>
        <w:fldChar w:fldCharType="end"/>
      </w:r>
      <w:r>
        <w:t xml:space="preserve">. Furthermore, students may believe sharing these drugs is harmless and are not a violation of the law </w:t>
      </w:r>
      <w:r>
        <w:fldChar w:fldCharType="begin"/>
      </w:r>
      <w:r>
        <w:instrText xml:space="preserve"> ADDIN EN.CITE &lt;EndNote&gt;&lt;Cite&gt;&lt;Author&gt;Quintero&lt;/Author&gt;&lt;Year&gt;2006&lt;/Year&gt;&lt;RecNum&gt;290&lt;/RecNum&gt;&lt;DisplayText&gt;(Quintero et al., 2006)&lt;/DisplayText&gt;&lt;record&gt;&lt;rec-number&gt;290&lt;/rec-number&gt;&lt;foreign-keys&gt;&lt;key app="EN" db-id="02dwfapew02tdked2f4p0xerwdapvw5vztpp"&gt;290&lt;/key&gt;&lt;key app="ENWeb" db-id="R1rfKArtmCQAAH0-ETQ"&gt;670&lt;/key&gt;&lt;/foreign-keys&gt;&lt;ref-type name="Journal Article"&gt;17&lt;/ref-type&gt;&lt;contributors&gt;&lt;authors&gt;&lt;author&gt;Quintero, G&lt;/author&gt;&lt;author&gt;Peterson, J&lt;/author&gt;&lt;author&gt;Young, B&lt;/author&gt;&lt;/authors&gt;&lt;/contributors&gt;&lt;titles&gt;&lt;title&gt;An exploratory study of socio-cultural factors contributing to prescription drug misuse among college students&lt;/title&gt;&lt;secondary-title&gt;Journal of Drug Issues&lt;/secondary-title&gt;&lt;/titles&gt;&lt;pages&gt;903-932&lt;/pages&gt;&lt;volume&gt;36&lt;/volume&gt;&lt;number&gt;4&lt;/number&gt;&lt;dates&gt;&lt;year&gt;2006&lt;/year&gt;&lt;/dates&gt;&lt;urls&gt;&lt;/urls&gt;&lt;/record&gt;&lt;/Cite&gt;&lt;/EndNote&gt;</w:instrText>
      </w:r>
      <w:r>
        <w:fldChar w:fldCharType="separate"/>
      </w:r>
      <w:r>
        <w:rPr>
          <w:noProof/>
        </w:rPr>
        <w:t>(</w:t>
      </w:r>
      <w:hyperlink w:anchor="_ENREF_49" w:tooltip="Quintero, 2006 #290" w:history="1">
        <w:r>
          <w:rPr>
            <w:noProof/>
          </w:rPr>
          <w:t>Quintero et al., 2006</w:t>
        </w:r>
      </w:hyperlink>
      <w:r>
        <w:rPr>
          <w:noProof/>
        </w:rPr>
        <w:t>)</w:t>
      </w:r>
      <w:r>
        <w:fldChar w:fldCharType="end"/>
      </w:r>
      <w:r>
        <w:t xml:space="preserve">. Programs need </w:t>
      </w:r>
      <w:proofErr w:type="gramStart"/>
      <w:r>
        <w:t>to directly confront</w:t>
      </w:r>
      <w:proofErr w:type="gramEnd"/>
      <w:r>
        <w:t xml:space="preserve"> the myths regarding prescription stimulant use in an effort to curb its illicit use. The information presented to students also needs to include the legality of distributing prescription stimulants. It could be that students are unaware that by sharing their prescriptions, they are </w:t>
      </w:r>
      <w:r>
        <w:lastRenderedPageBreak/>
        <w:t xml:space="preserve">susceptible to large fines and possible imprisonment. However, educating students on the dangers of prescription stimulants needs to be carefully balanced in order to avoid unintentionally informing students of new drugs and perpetuating myths. </w:t>
      </w:r>
    </w:p>
    <w:p w:rsidR="00D213F7" w:rsidRDefault="00D213F7" w:rsidP="00D213F7">
      <w:r>
        <w:t xml:space="preserve">Health and campus officials should take notice and develop holistic programs that combat illicit use, and acquisition of prescription stimulants. Graduate and undergraduate students that are illicitly using prescription stimulants do so primarily for academic reasons. Programs that help reduce stress and increase motivation could provide a promising approach to reduce the illicit use of prescription stimulants. Additionally, programs that address the campus culture of competition may also help reduce the need for illicit prescription stimulants. Since another reason for use among graduate students was recreational, a third program might focus on the information and dangers of experimentation, poly-substance use, and countering the effects of other drugs. </w:t>
      </w:r>
    </w:p>
    <w:p w:rsidR="00D213F7" w:rsidRDefault="00D213F7" w:rsidP="00D213F7">
      <w:r>
        <w:t>The illicit use of prescription stimulants, whether among graduate or undergraduate students, is associated with the increased likelihood of poly-substance use. Campus and health officials should regularly assess the levels of substance abuse on college campuses in order to determine the campus culture and likelihood that students may be engaging in other dangerous behaviors since there is a correlation to poly-substance use and prescription stimulant use. University officials should also address poly-substance use with strict policies and procedures that limit students’ involvement in illegal drugs.</w:t>
      </w:r>
    </w:p>
    <w:p w:rsidR="00D213F7" w:rsidRDefault="00D213F7" w:rsidP="00D213F7">
      <w:pPr>
        <w:pStyle w:val="Heading1"/>
      </w:pPr>
      <w:r>
        <w:t>Recommendations for Further Research</w:t>
      </w:r>
    </w:p>
    <w:p w:rsidR="00D213F7" w:rsidRDefault="00D213F7" w:rsidP="00D213F7">
      <w:r>
        <w:t>Based on the findings of the study several follow-up studies are recommended.</w:t>
      </w:r>
    </w:p>
    <w:p w:rsidR="00D213F7" w:rsidRDefault="00D213F7" w:rsidP="00D213F7">
      <w:pPr>
        <w:pStyle w:val="ListParagraph"/>
        <w:numPr>
          <w:ilvl w:val="0"/>
          <w:numId w:val="11"/>
        </w:numPr>
        <w:ind w:left="0" w:firstLine="720"/>
      </w:pPr>
      <w:r>
        <w:lastRenderedPageBreak/>
        <w:t>The study should be replicated with graduate students at other institutions to see if similar findings emerge.</w:t>
      </w:r>
    </w:p>
    <w:p w:rsidR="00D213F7" w:rsidRDefault="00D213F7" w:rsidP="00D213F7">
      <w:pPr>
        <w:pStyle w:val="ListParagraph"/>
        <w:numPr>
          <w:ilvl w:val="0"/>
          <w:numId w:val="11"/>
        </w:numPr>
        <w:ind w:left="0" w:firstLine="720"/>
      </w:pPr>
      <w:r>
        <w:t>The study should be replicated with undergraduate and graduate students at the same institution to provide group comparisons.</w:t>
      </w:r>
    </w:p>
    <w:p w:rsidR="00D213F7" w:rsidRDefault="00D213F7" w:rsidP="00D213F7">
      <w:pPr>
        <w:pStyle w:val="ListParagraph"/>
        <w:numPr>
          <w:ilvl w:val="0"/>
          <w:numId w:val="11"/>
        </w:numPr>
        <w:ind w:left="0" w:firstLine="720"/>
      </w:pPr>
      <w:r>
        <w:t xml:space="preserve">In this study, women were more likely to illicitly use prescription stimulants than </w:t>
      </w:r>
      <w:proofErr w:type="gramStart"/>
      <w:r>
        <w:t>men</w:t>
      </w:r>
      <w:proofErr w:type="gramEnd"/>
      <w:r>
        <w:t xml:space="preserve">. While that finding would appear to be due to an overrepresentation of women in the study, there might be more to it than that. Therefore, a quantitative study </w:t>
      </w:r>
      <w:proofErr w:type="gramStart"/>
      <w:r>
        <w:t>should be conducted</w:t>
      </w:r>
      <w:proofErr w:type="gramEnd"/>
      <w:r>
        <w:t xml:space="preserve"> to compare women’s and men’s use of prescription stimulants among graduate students, to determine if there are differences in use in t</w:t>
      </w:r>
      <w:r w:rsidR="00513C56">
        <w:t>erms of gender.</w:t>
      </w:r>
      <w:r>
        <w:t xml:space="preserve"> </w:t>
      </w:r>
    </w:p>
    <w:p w:rsidR="00D213F7" w:rsidRDefault="00D213F7" w:rsidP="00D213F7">
      <w:pPr>
        <w:pStyle w:val="ListParagraph"/>
        <w:numPr>
          <w:ilvl w:val="0"/>
          <w:numId w:val="11"/>
        </w:numPr>
        <w:ind w:left="0" w:firstLine="720"/>
      </w:pPr>
      <w:r>
        <w:t xml:space="preserve">Graduate students in this study cited academic assistance as the primary reason for illicitly using prescription stimulants. A quantitative study should be undertaken to assess the relationship between use of stimulants and academic performance. </w:t>
      </w:r>
    </w:p>
    <w:p w:rsidR="00D213F7" w:rsidRDefault="00D213F7" w:rsidP="00D213F7">
      <w:pPr>
        <w:pStyle w:val="ListParagraph"/>
        <w:numPr>
          <w:ilvl w:val="0"/>
          <w:numId w:val="11"/>
        </w:numPr>
        <w:ind w:left="0" w:firstLine="720"/>
      </w:pPr>
      <w:r>
        <w:t xml:space="preserve">Graduate students in this study cited non-graduate students as sources for prescription stimulants. A qualitative study should be conducted to evaluate the relationship between graduate students and those from whom they are getting prescription stimulants. </w:t>
      </w:r>
    </w:p>
    <w:p w:rsidR="00D213F7" w:rsidRDefault="00D213F7" w:rsidP="00D213F7">
      <w:pPr>
        <w:pStyle w:val="ListParagraph"/>
        <w:numPr>
          <w:ilvl w:val="0"/>
          <w:numId w:val="11"/>
        </w:numPr>
        <w:ind w:left="0" w:firstLine="720"/>
      </w:pPr>
      <w:r>
        <w:t xml:space="preserve">The majority of graduate students who illicitly reported using prescription stimulants in their lifetime indicated non-use in the past twelve months. A qualitative study should be conducted to learn more about why graduate students who illicitly used prescription stimulants in their lifetime chose not to take them in graduate school. </w:t>
      </w:r>
    </w:p>
    <w:p w:rsidR="00D213F7" w:rsidRDefault="00D213F7" w:rsidP="00D213F7"/>
    <w:p w:rsidR="00D213F7" w:rsidRDefault="00D213F7" w:rsidP="00D213F7">
      <w:pPr>
        <w:sectPr w:rsidR="00D213F7" w:rsidSect="00B9658E">
          <w:headerReference w:type="default" r:id="rId13"/>
          <w:pgSz w:w="12240" w:h="15840"/>
          <w:pgMar w:top="1440" w:right="1440" w:bottom="1440" w:left="1440" w:header="1440" w:footer="720" w:gutter="0"/>
          <w:cols w:space="720"/>
          <w:docGrid w:linePitch="360"/>
        </w:sectPr>
      </w:pPr>
    </w:p>
    <w:p w:rsidR="00203FEE" w:rsidRDefault="00203FEE" w:rsidP="00203FEE">
      <w:pPr>
        <w:pStyle w:val="Heading1"/>
      </w:pPr>
      <w:bookmarkStart w:id="34" w:name="_Toc315010479"/>
      <w:r>
        <w:lastRenderedPageBreak/>
        <w:t>References</w:t>
      </w:r>
    </w:p>
    <w:p w:rsidR="00203FEE" w:rsidRDefault="00203FEE" w:rsidP="00D213F7"/>
    <w:p w:rsidR="00203FEE" w:rsidRPr="00203FEE" w:rsidRDefault="00203FEE" w:rsidP="00203FEE">
      <w:pPr>
        <w:ind w:firstLine="0"/>
        <w:sectPr w:rsidR="00203FEE" w:rsidRPr="00203FEE" w:rsidSect="00FE256D">
          <w:pgSz w:w="12240" w:h="15840"/>
          <w:pgMar w:top="1440" w:right="1440" w:bottom="1440" w:left="1440" w:header="1440" w:footer="720" w:gutter="0"/>
          <w:cols w:space="720"/>
          <w:docGrid w:linePitch="360"/>
        </w:sectPr>
      </w:pPr>
    </w:p>
    <w:bookmarkEnd w:id="34"/>
    <w:p w:rsidR="00D213F7" w:rsidRDefault="00550107" w:rsidP="00D213F7">
      <w:pPr>
        <w:ind w:left="720" w:hanging="720"/>
        <w:rPr>
          <w:noProof/>
        </w:rPr>
      </w:pPr>
      <w:r>
        <w:lastRenderedPageBreak/>
        <w:fldChar w:fldCharType="begin"/>
      </w:r>
      <w:r w:rsidR="00196BC4">
        <w:instrText xml:space="preserve"> ADDIN EN.REFLIST </w:instrText>
      </w:r>
      <w:r>
        <w:fldChar w:fldCharType="separate"/>
      </w:r>
      <w:bookmarkStart w:id="35" w:name="_ENREF_1"/>
      <w:r w:rsidR="00D213F7">
        <w:rPr>
          <w:noProof/>
        </w:rPr>
        <w:t xml:space="preserve">American Broadcasting Company (Writer). (2005). Illicit 'study drugs' tempting more students, </w:t>
      </w:r>
      <w:r w:rsidR="00D213F7" w:rsidRPr="00D213F7">
        <w:rPr>
          <w:i/>
          <w:noProof/>
        </w:rPr>
        <w:t>ABC Primetime</w:t>
      </w:r>
      <w:r w:rsidR="00D213F7">
        <w:rPr>
          <w:noProof/>
        </w:rPr>
        <w:t>. New York: American Broadcasting Company.</w:t>
      </w:r>
      <w:bookmarkEnd w:id="35"/>
    </w:p>
    <w:p w:rsidR="00D213F7" w:rsidRDefault="00D213F7" w:rsidP="00D213F7">
      <w:pPr>
        <w:ind w:left="720" w:hanging="720"/>
        <w:rPr>
          <w:noProof/>
        </w:rPr>
      </w:pPr>
      <w:bookmarkStart w:id="36" w:name="_ENREF_2"/>
      <w:r>
        <w:rPr>
          <w:noProof/>
        </w:rPr>
        <w:t xml:space="preserve">American Broadcasting Company (Writer). (2006). Teen prescription drug abuse on the rise, </w:t>
      </w:r>
      <w:r w:rsidRPr="00D213F7">
        <w:rPr>
          <w:i/>
          <w:noProof/>
        </w:rPr>
        <w:t>ABC Nightline News</w:t>
      </w:r>
      <w:r>
        <w:rPr>
          <w:noProof/>
        </w:rPr>
        <w:t>. New York: American Broadcasting Company.</w:t>
      </w:r>
      <w:bookmarkEnd w:id="36"/>
    </w:p>
    <w:p w:rsidR="00D213F7" w:rsidRDefault="00D213F7" w:rsidP="00D213F7">
      <w:pPr>
        <w:ind w:left="720" w:hanging="720"/>
        <w:rPr>
          <w:noProof/>
        </w:rPr>
      </w:pPr>
      <w:bookmarkStart w:id="37" w:name="_ENREF_3"/>
      <w:r>
        <w:rPr>
          <w:noProof/>
        </w:rPr>
        <w:t xml:space="preserve">Arria, A., Caldeira, K., O'Grady, K., Vincent, K., Johnson, E., &amp; Wish, E. (2008). Nonmedical use of prescription stimulants among college students: Associations with attention-deficit-hyperactivity disorder and polydrug use. </w:t>
      </w:r>
      <w:r w:rsidRPr="00D213F7">
        <w:rPr>
          <w:i/>
          <w:noProof/>
        </w:rPr>
        <w:t>Pharmacotherapy, 28</w:t>
      </w:r>
      <w:r>
        <w:rPr>
          <w:noProof/>
        </w:rPr>
        <w:t>(2), 156-169. doi: 10.1592/phco.28.2.156</w:t>
      </w:r>
      <w:bookmarkEnd w:id="37"/>
    </w:p>
    <w:p w:rsidR="00D213F7" w:rsidRDefault="00D213F7" w:rsidP="00D213F7">
      <w:pPr>
        <w:ind w:left="720" w:hanging="720"/>
        <w:rPr>
          <w:noProof/>
        </w:rPr>
      </w:pPr>
      <w:bookmarkStart w:id="38" w:name="_ENREF_4"/>
      <w:r>
        <w:rPr>
          <w:noProof/>
        </w:rPr>
        <w:t xml:space="preserve">Arria, A., Caldeira, K., Vincent, K., O’Grady, K., &amp; Wish, E. (2008). Perceived Harmfulness Predicts Nonmedical Use of Prescription Drugs Among College Students: Interactions with Sensation-Seeking. </w:t>
      </w:r>
      <w:r w:rsidRPr="00D213F7">
        <w:rPr>
          <w:i/>
          <w:noProof/>
        </w:rPr>
        <w:t>Prevention Science, 9</w:t>
      </w:r>
      <w:r>
        <w:rPr>
          <w:noProof/>
        </w:rPr>
        <w:t>(3), 191-201. doi: 10.1007/s11121-008-0095-8</w:t>
      </w:r>
      <w:bookmarkEnd w:id="38"/>
    </w:p>
    <w:p w:rsidR="00D213F7" w:rsidRDefault="00D213F7" w:rsidP="00D213F7">
      <w:pPr>
        <w:ind w:left="720" w:hanging="720"/>
        <w:rPr>
          <w:noProof/>
        </w:rPr>
      </w:pPr>
      <w:bookmarkStart w:id="39" w:name="_ENREF_5"/>
      <w:r>
        <w:rPr>
          <w:noProof/>
        </w:rPr>
        <w:t xml:space="preserve">Babcock, Q., &amp; Byrne, T. (2000). Student perceptions of methylphenidate abuse at a public liberal arts college. </w:t>
      </w:r>
      <w:r w:rsidRPr="00D213F7">
        <w:rPr>
          <w:i/>
          <w:noProof/>
        </w:rPr>
        <w:t>Journal of American College Health, 49</w:t>
      </w:r>
      <w:r>
        <w:rPr>
          <w:noProof/>
        </w:rPr>
        <w:t>(3), 143-145. doi: 10.1080/07448480009596296</w:t>
      </w:r>
      <w:bookmarkEnd w:id="39"/>
    </w:p>
    <w:p w:rsidR="00D213F7" w:rsidRDefault="00D213F7" w:rsidP="00D213F7">
      <w:pPr>
        <w:ind w:left="720" w:hanging="720"/>
        <w:rPr>
          <w:noProof/>
        </w:rPr>
      </w:pPr>
      <w:bookmarkStart w:id="40" w:name="_ENREF_6"/>
      <w:r>
        <w:rPr>
          <w:noProof/>
        </w:rPr>
        <w:t xml:space="preserve">Barrett, S. P., Darredeau, C., Bordy, L. E., &amp; O' Pihl, R. O. (2005). Characteristics of Methylphenidate Misuse in a University Student Sample. </w:t>
      </w:r>
      <w:r w:rsidRPr="00D213F7">
        <w:rPr>
          <w:i/>
          <w:noProof/>
        </w:rPr>
        <w:t>The Canadian Journal of Psychiatry / La Revue canadienne de psychiatrie, 50</w:t>
      </w:r>
      <w:r>
        <w:rPr>
          <w:noProof/>
        </w:rPr>
        <w:t xml:space="preserve">(8), 457-461. </w:t>
      </w:r>
      <w:bookmarkEnd w:id="40"/>
    </w:p>
    <w:p w:rsidR="00D213F7" w:rsidRDefault="00D213F7" w:rsidP="00D213F7">
      <w:pPr>
        <w:ind w:left="720" w:hanging="720"/>
        <w:rPr>
          <w:noProof/>
        </w:rPr>
      </w:pPr>
      <w:bookmarkStart w:id="41" w:name="_ENREF_7"/>
      <w:r>
        <w:rPr>
          <w:noProof/>
        </w:rPr>
        <w:t xml:space="preserve">Bostwick, W. B., McCabe, S. E., Horn, S., Hughes, T., Johnson, T., &amp; Valles, J. R. (2007). Drinking patterns, problems and motivations among bisexual women. </w:t>
      </w:r>
      <w:r w:rsidRPr="00D213F7">
        <w:rPr>
          <w:i/>
          <w:noProof/>
        </w:rPr>
        <w:t>Journal of American College Health, 56</w:t>
      </w:r>
      <w:r>
        <w:rPr>
          <w:noProof/>
        </w:rPr>
        <w:t xml:space="preserve">(3), 285-292. </w:t>
      </w:r>
      <w:bookmarkEnd w:id="41"/>
    </w:p>
    <w:p w:rsidR="00D213F7" w:rsidRDefault="00D213F7" w:rsidP="00D213F7">
      <w:pPr>
        <w:ind w:left="720" w:hanging="720"/>
        <w:rPr>
          <w:noProof/>
        </w:rPr>
      </w:pPr>
      <w:bookmarkStart w:id="42" w:name="_ENREF_8"/>
      <w:r>
        <w:rPr>
          <w:noProof/>
        </w:rPr>
        <w:t>Boyd, C., &amp; McCabe, S. (2010). Student Life Survey.</w:t>
      </w:r>
      <w:bookmarkEnd w:id="42"/>
    </w:p>
    <w:p w:rsidR="00D213F7" w:rsidRDefault="00D213F7" w:rsidP="00D213F7">
      <w:pPr>
        <w:ind w:left="720" w:hanging="720"/>
        <w:rPr>
          <w:noProof/>
        </w:rPr>
      </w:pPr>
      <w:bookmarkStart w:id="43" w:name="_ENREF_9"/>
      <w:r>
        <w:rPr>
          <w:noProof/>
        </w:rPr>
        <w:lastRenderedPageBreak/>
        <w:t xml:space="preserve">Boyd, C., McCabe, S., &amp; d'Arcy, H. (2003). Ecstasy use among college undergraduate students: gender, race and sexual identity. </w:t>
      </w:r>
      <w:r w:rsidRPr="00D213F7">
        <w:rPr>
          <w:i/>
          <w:noProof/>
        </w:rPr>
        <w:t>Journal of Substance Abuse Treatment, 24</w:t>
      </w:r>
      <w:r>
        <w:rPr>
          <w:noProof/>
        </w:rPr>
        <w:t xml:space="preserve">(3), 209-215. </w:t>
      </w:r>
      <w:bookmarkEnd w:id="43"/>
    </w:p>
    <w:p w:rsidR="00D213F7" w:rsidRDefault="00D213F7" w:rsidP="00D213F7">
      <w:pPr>
        <w:ind w:left="720" w:hanging="720"/>
        <w:rPr>
          <w:noProof/>
        </w:rPr>
      </w:pPr>
      <w:bookmarkStart w:id="44" w:name="_ENREF_10"/>
      <w:r>
        <w:rPr>
          <w:noProof/>
        </w:rPr>
        <w:t xml:space="preserve">Carroll, B. C., McLaughlin, T. J., &amp; Blake, D. R. (2006). Patterns and knowledge of nonmedical use of stimulants among college students. </w:t>
      </w:r>
      <w:r w:rsidRPr="00D213F7">
        <w:rPr>
          <w:i/>
          <w:noProof/>
        </w:rPr>
        <w:t>Archives of Pediatrics &amp; Adolescent Medicine, 160</w:t>
      </w:r>
      <w:r>
        <w:rPr>
          <w:noProof/>
        </w:rPr>
        <w:t>(5), 481-485. doi: 10.1001/archpedi.160.5.481</w:t>
      </w:r>
      <w:bookmarkEnd w:id="44"/>
    </w:p>
    <w:p w:rsidR="00D213F7" w:rsidRDefault="00D213F7" w:rsidP="00D213F7">
      <w:pPr>
        <w:ind w:left="720" w:hanging="720"/>
        <w:rPr>
          <w:noProof/>
        </w:rPr>
      </w:pPr>
      <w:bookmarkStart w:id="45" w:name="_ENREF_11"/>
      <w:r>
        <w:rPr>
          <w:noProof/>
        </w:rPr>
        <w:t xml:space="preserve">Colton, D., &amp; Covert, R. (2007). </w:t>
      </w:r>
      <w:r w:rsidRPr="00D213F7">
        <w:rPr>
          <w:i/>
          <w:noProof/>
        </w:rPr>
        <w:t>Designing and constructing instruments for social research and evaluation</w:t>
      </w:r>
      <w:r>
        <w:rPr>
          <w:noProof/>
        </w:rPr>
        <w:t>. San Francisco: Jossey Bass.</w:t>
      </w:r>
      <w:bookmarkEnd w:id="45"/>
    </w:p>
    <w:p w:rsidR="00D213F7" w:rsidRDefault="00D213F7" w:rsidP="00D213F7">
      <w:pPr>
        <w:ind w:left="720" w:hanging="720"/>
        <w:rPr>
          <w:noProof/>
        </w:rPr>
      </w:pPr>
      <w:bookmarkStart w:id="46" w:name="_ENREF_12"/>
      <w:r>
        <w:rPr>
          <w:noProof/>
        </w:rPr>
        <w:t xml:space="preserve">Compton, W. M., &amp; Volkow, N. D. (2006). Abuse of prescription drugs and the risk of addiction. </w:t>
      </w:r>
      <w:r w:rsidRPr="00D213F7">
        <w:rPr>
          <w:i/>
          <w:noProof/>
        </w:rPr>
        <w:t>Drug and Alcohol Dependence, 83</w:t>
      </w:r>
      <w:r>
        <w:rPr>
          <w:noProof/>
        </w:rPr>
        <w:t>(Supplement 1), S4-S7. doi: 10.1016/j.drugalcdep.2005.10.020</w:t>
      </w:r>
      <w:bookmarkEnd w:id="46"/>
    </w:p>
    <w:p w:rsidR="00D213F7" w:rsidRDefault="00D213F7" w:rsidP="00D213F7">
      <w:pPr>
        <w:ind w:left="720" w:hanging="720"/>
        <w:rPr>
          <w:noProof/>
        </w:rPr>
      </w:pPr>
      <w:bookmarkStart w:id="47" w:name="_ENREF_13"/>
      <w:r>
        <w:rPr>
          <w:noProof/>
        </w:rPr>
        <w:t xml:space="preserve">Creswell, J. (2003). </w:t>
      </w:r>
      <w:r w:rsidRPr="00D213F7">
        <w:rPr>
          <w:i/>
          <w:noProof/>
        </w:rPr>
        <w:t>Research design: Qualitative, quantitative, and mixed methods approaches</w:t>
      </w:r>
      <w:r>
        <w:rPr>
          <w:noProof/>
        </w:rPr>
        <w:t xml:space="preserve"> (2 ed.). Thousand Oaks, CA: Sage Publications.</w:t>
      </w:r>
      <w:bookmarkEnd w:id="47"/>
    </w:p>
    <w:p w:rsidR="00D213F7" w:rsidRDefault="00D213F7" w:rsidP="00D213F7">
      <w:pPr>
        <w:ind w:left="720" w:hanging="720"/>
        <w:rPr>
          <w:noProof/>
        </w:rPr>
      </w:pPr>
      <w:bookmarkStart w:id="48" w:name="_ENREF_14"/>
      <w:r>
        <w:rPr>
          <w:noProof/>
        </w:rPr>
        <w:t xml:space="preserve">DeSantis, A., Webb, E., &amp; Noar, S. (2008). Illicit use of prescription ADHD medications on a college campus: A multimethodological approach. </w:t>
      </w:r>
      <w:r w:rsidRPr="00D213F7">
        <w:rPr>
          <w:i/>
          <w:noProof/>
        </w:rPr>
        <w:t>Journal of American College Health, 57</w:t>
      </w:r>
      <w:r>
        <w:rPr>
          <w:noProof/>
        </w:rPr>
        <w:t>(3), 315-323. doi: 10.3200/JACH.57.3.315-324</w:t>
      </w:r>
      <w:bookmarkEnd w:id="48"/>
    </w:p>
    <w:p w:rsidR="00D213F7" w:rsidRDefault="00D213F7" w:rsidP="00D213F7">
      <w:pPr>
        <w:ind w:left="720" w:hanging="720"/>
        <w:rPr>
          <w:noProof/>
        </w:rPr>
      </w:pPr>
      <w:bookmarkStart w:id="49" w:name="_ENREF_15"/>
      <w:r>
        <w:rPr>
          <w:noProof/>
        </w:rPr>
        <w:t xml:space="preserve">Drug Enforcement Agency. (2011). </w:t>
      </w:r>
      <w:r w:rsidRPr="00D213F7">
        <w:rPr>
          <w:i/>
          <w:noProof/>
        </w:rPr>
        <w:t>Drugs of Abuse</w:t>
      </w:r>
      <w:r>
        <w:rPr>
          <w:noProof/>
        </w:rPr>
        <w:t>. Washington D.C.: United States Department of Justice.</w:t>
      </w:r>
      <w:bookmarkEnd w:id="49"/>
    </w:p>
    <w:p w:rsidR="00D213F7" w:rsidRDefault="00D213F7" w:rsidP="00D213F7">
      <w:pPr>
        <w:ind w:left="720" w:hanging="720"/>
        <w:rPr>
          <w:noProof/>
        </w:rPr>
      </w:pPr>
      <w:bookmarkStart w:id="50" w:name="_ENREF_16"/>
      <w:r>
        <w:rPr>
          <w:noProof/>
        </w:rPr>
        <w:t xml:space="preserve">Ford, J., &amp; Schroeder, R. (2009). Academic Strain and Non-Medical Use of Prescription Stimulants among College Students. </w:t>
      </w:r>
      <w:r w:rsidRPr="00D213F7">
        <w:rPr>
          <w:i/>
          <w:noProof/>
        </w:rPr>
        <w:t>Deviant Behavior, 30</w:t>
      </w:r>
      <w:r>
        <w:rPr>
          <w:noProof/>
        </w:rPr>
        <w:t>, 26-53. doi: 10.1080/01639620802049900</w:t>
      </w:r>
      <w:bookmarkEnd w:id="50"/>
    </w:p>
    <w:p w:rsidR="00D213F7" w:rsidRDefault="00D213F7" w:rsidP="00D213F7">
      <w:pPr>
        <w:ind w:left="720" w:hanging="720"/>
        <w:rPr>
          <w:noProof/>
        </w:rPr>
      </w:pPr>
      <w:bookmarkStart w:id="51" w:name="_ENREF_17"/>
      <w:r>
        <w:rPr>
          <w:noProof/>
        </w:rPr>
        <w:t xml:space="preserve">Frost, R. O., Marten, P., Lahart, C., &amp; Rosenblatt, R. (1990). The dimensions of perfectionism. </w:t>
      </w:r>
      <w:r w:rsidRPr="00D213F7">
        <w:rPr>
          <w:i/>
          <w:noProof/>
        </w:rPr>
        <w:t>Cognitive Therapy and Research, 14</w:t>
      </w:r>
      <w:r>
        <w:rPr>
          <w:noProof/>
        </w:rPr>
        <w:t xml:space="preserve">, 449-468. </w:t>
      </w:r>
      <w:bookmarkEnd w:id="51"/>
    </w:p>
    <w:p w:rsidR="00D213F7" w:rsidRDefault="00D213F7" w:rsidP="00D213F7">
      <w:pPr>
        <w:ind w:left="720" w:hanging="720"/>
        <w:rPr>
          <w:noProof/>
        </w:rPr>
      </w:pPr>
      <w:bookmarkStart w:id="52" w:name="_ENREF_18"/>
      <w:r>
        <w:rPr>
          <w:noProof/>
        </w:rPr>
        <w:lastRenderedPageBreak/>
        <w:t xml:space="preserve">Hall, K., Irwin, M., Bowman, K., Frankenberger, W., &amp; Jewett, D. (2005). Illicit use of prescribed stimulant medication among college students. </w:t>
      </w:r>
      <w:r w:rsidRPr="00D213F7">
        <w:rPr>
          <w:i/>
          <w:noProof/>
        </w:rPr>
        <w:t>Journal of American College Health, 53</w:t>
      </w:r>
      <w:r>
        <w:rPr>
          <w:noProof/>
        </w:rPr>
        <w:t xml:space="preserve">(4), 167-174. doi: 10.3200/JACH.53.4.167-174 </w:t>
      </w:r>
      <w:bookmarkEnd w:id="52"/>
    </w:p>
    <w:p w:rsidR="00D213F7" w:rsidRDefault="00D213F7" w:rsidP="00D213F7">
      <w:pPr>
        <w:ind w:left="720" w:hanging="720"/>
        <w:rPr>
          <w:noProof/>
        </w:rPr>
      </w:pPr>
      <w:bookmarkStart w:id="53" w:name="_ENREF_19"/>
      <w:r>
        <w:rPr>
          <w:noProof/>
        </w:rPr>
        <w:t xml:space="preserve">Herman-Stahl, M., Krebs, C., Kroutil, L., &amp; Heller, D. (2007). Risk and protective factors for methamphetamine use and nonmedical use of prescription stimulants among young adults aged 18 to 25. </w:t>
      </w:r>
      <w:r w:rsidRPr="00D213F7">
        <w:rPr>
          <w:i/>
          <w:noProof/>
        </w:rPr>
        <w:t>Addiction Behavior, 32</w:t>
      </w:r>
      <w:r>
        <w:rPr>
          <w:noProof/>
        </w:rPr>
        <w:t xml:space="preserve">(5), 1003 - 1015. doi: 10.1016/j.addbeh.2006.07.010 </w:t>
      </w:r>
      <w:bookmarkEnd w:id="53"/>
    </w:p>
    <w:p w:rsidR="00D213F7" w:rsidRDefault="00D213F7" w:rsidP="00D213F7">
      <w:pPr>
        <w:ind w:left="720" w:hanging="720"/>
        <w:rPr>
          <w:noProof/>
        </w:rPr>
      </w:pPr>
      <w:bookmarkStart w:id="54" w:name="_ENREF_20"/>
      <w:r>
        <w:rPr>
          <w:noProof/>
        </w:rPr>
        <w:t xml:space="preserve">Jacobs, A. (2005). The adderall advantage </w:t>
      </w:r>
      <w:r w:rsidRPr="00D213F7">
        <w:rPr>
          <w:i/>
          <w:noProof/>
        </w:rPr>
        <w:t>The New York Times</w:t>
      </w:r>
      <w:r>
        <w:rPr>
          <w:noProof/>
        </w:rPr>
        <w:t xml:space="preserve"> (pp. 4A).</w:t>
      </w:r>
      <w:bookmarkEnd w:id="54"/>
    </w:p>
    <w:p w:rsidR="00D213F7" w:rsidRDefault="00D213F7" w:rsidP="00D213F7">
      <w:pPr>
        <w:ind w:left="720" w:hanging="720"/>
        <w:rPr>
          <w:noProof/>
        </w:rPr>
      </w:pPr>
      <w:bookmarkStart w:id="55" w:name="_ENREF_21"/>
      <w:r>
        <w:rPr>
          <w:noProof/>
        </w:rPr>
        <w:t xml:space="preserve">Jessor, R., Donovan, J. E., &amp; Costa, F. M. (1991). </w:t>
      </w:r>
      <w:r w:rsidRPr="00D213F7">
        <w:rPr>
          <w:i/>
          <w:noProof/>
        </w:rPr>
        <w:t>Beyond adolescence: Problem behavior and young adult development</w:t>
      </w:r>
      <w:r>
        <w:rPr>
          <w:noProof/>
        </w:rPr>
        <w:t>. New York: Cambridge Press.</w:t>
      </w:r>
      <w:bookmarkEnd w:id="55"/>
    </w:p>
    <w:p w:rsidR="00D213F7" w:rsidRDefault="00D213F7" w:rsidP="00D213F7">
      <w:pPr>
        <w:ind w:left="720" w:hanging="720"/>
        <w:rPr>
          <w:noProof/>
        </w:rPr>
      </w:pPr>
      <w:bookmarkStart w:id="56" w:name="_ENREF_22"/>
      <w:r>
        <w:rPr>
          <w:noProof/>
        </w:rPr>
        <w:t xml:space="preserve">Jessor, R., &amp; Jessor, S. L. (1977). </w:t>
      </w:r>
      <w:r w:rsidRPr="00D213F7">
        <w:rPr>
          <w:i/>
          <w:noProof/>
        </w:rPr>
        <w:t>Problem behavior and psychosocial development: A longitudinal study of youth</w:t>
      </w:r>
      <w:r>
        <w:rPr>
          <w:noProof/>
        </w:rPr>
        <w:t>. New York: Academic Press.</w:t>
      </w:r>
      <w:bookmarkEnd w:id="56"/>
    </w:p>
    <w:p w:rsidR="00D213F7" w:rsidRDefault="00D213F7" w:rsidP="00D213F7">
      <w:pPr>
        <w:ind w:left="720" w:hanging="720"/>
        <w:rPr>
          <w:noProof/>
        </w:rPr>
      </w:pPr>
      <w:bookmarkStart w:id="57" w:name="_ENREF_23"/>
      <w:r>
        <w:rPr>
          <w:noProof/>
        </w:rPr>
        <w:t xml:space="preserve">Johnston, L., O'Malley, P., &amp; Bachman, J. (1999). </w:t>
      </w:r>
      <w:r w:rsidRPr="00D213F7">
        <w:rPr>
          <w:i/>
          <w:noProof/>
        </w:rPr>
        <w:t>National survey results on drug use from monitoring the future study, 1975-1998. Volume II: College students and adults ages</w:t>
      </w:r>
      <w:r>
        <w:rPr>
          <w:noProof/>
        </w:rPr>
        <w:t>. (NIH Publication No. 99-4661). Bethesda, MD: National Institute on Drug Abuse.</w:t>
      </w:r>
      <w:bookmarkEnd w:id="57"/>
    </w:p>
    <w:p w:rsidR="00D213F7" w:rsidRDefault="00D213F7" w:rsidP="00D213F7">
      <w:pPr>
        <w:ind w:left="720" w:hanging="720"/>
        <w:rPr>
          <w:noProof/>
        </w:rPr>
      </w:pPr>
      <w:bookmarkStart w:id="58" w:name="_ENREF_24"/>
      <w:r>
        <w:rPr>
          <w:noProof/>
        </w:rPr>
        <w:t xml:space="preserve">Johnston, L., O'Malley, P., Bachman, J., &amp; Schulenberg, J. (2010). </w:t>
      </w:r>
      <w:r w:rsidRPr="00D213F7">
        <w:rPr>
          <w:i/>
          <w:noProof/>
        </w:rPr>
        <w:t>Monitoring the Future national survey results on drug use, 1975-2009. Volume II: College students and adults ages 19-50</w:t>
      </w:r>
      <w:r>
        <w:rPr>
          <w:noProof/>
        </w:rPr>
        <w:t>. (NIH Publication No. 07-6206). Bethesda, MD: National Institute on Drug Abuse.</w:t>
      </w:r>
      <w:bookmarkEnd w:id="58"/>
    </w:p>
    <w:p w:rsidR="00D213F7" w:rsidRDefault="00D213F7" w:rsidP="00D213F7">
      <w:pPr>
        <w:ind w:left="720" w:hanging="720"/>
        <w:rPr>
          <w:noProof/>
        </w:rPr>
      </w:pPr>
      <w:bookmarkStart w:id="59" w:name="_ENREF_25"/>
      <w:r>
        <w:rPr>
          <w:noProof/>
        </w:rPr>
        <w:t>Judson, R., &amp; Langdon, S. W. (2009). Illicit use of prescription stimulants among college students: prescription status, motives, theory of planned behaviour, knowledge and self-</w:t>
      </w:r>
      <w:r>
        <w:rPr>
          <w:noProof/>
        </w:rPr>
        <w:lastRenderedPageBreak/>
        <w:t xml:space="preserve">diagnostic tendencies. </w:t>
      </w:r>
      <w:r w:rsidRPr="00D213F7">
        <w:rPr>
          <w:i/>
          <w:noProof/>
        </w:rPr>
        <w:t>Psychology, Health &amp; Medicine, 14</w:t>
      </w:r>
      <w:r>
        <w:rPr>
          <w:noProof/>
        </w:rPr>
        <w:t>(1), 97-104. doi: 10.1080/13548500802126723</w:t>
      </w:r>
      <w:bookmarkEnd w:id="59"/>
    </w:p>
    <w:p w:rsidR="00D213F7" w:rsidRDefault="00D213F7" w:rsidP="00D213F7">
      <w:pPr>
        <w:ind w:left="720" w:hanging="720"/>
        <w:rPr>
          <w:noProof/>
        </w:rPr>
      </w:pPr>
      <w:bookmarkStart w:id="60" w:name="_ENREF_26"/>
      <w:r>
        <w:rPr>
          <w:noProof/>
        </w:rPr>
        <w:t xml:space="preserve">Kessler, R., Adler, L., Barkley, R., Biederman, J., Conners, C., Demler, O., . . . Zaslavsky, A. (2006). The prevalence and correlates of adult ADHD in the United States: Results from the National Comorbidity Survey Replication. </w:t>
      </w:r>
      <w:r w:rsidRPr="00D213F7">
        <w:rPr>
          <w:i/>
          <w:noProof/>
        </w:rPr>
        <w:t>American Journal of Psychiatry, 163</w:t>
      </w:r>
      <w:r>
        <w:rPr>
          <w:noProof/>
        </w:rPr>
        <w:t>(4), 716 - 723. doi: 10.1176/appi.ajp.163.4.716</w:t>
      </w:r>
      <w:bookmarkEnd w:id="60"/>
    </w:p>
    <w:p w:rsidR="00D213F7" w:rsidRDefault="00D213F7" w:rsidP="00D213F7">
      <w:pPr>
        <w:ind w:left="720" w:hanging="720"/>
        <w:rPr>
          <w:noProof/>
        </w:rPr>
      </w:pPr>
      <w:bookmarkStart w:id="61" w:name="_ENREF_27"/>
      <w:r>
        <w:rPr>
          <w:noProof/>
        </w:rPr>
        <w:t xml:space="preserve">Kroutil, L. A., Van Brunt, D. L., Herman-Stahl, M. A., Heller, D. C., Bray, R. M., &amp; Penne, M. A. (2006). Nonmedical use of prescription stimulants in the United States. </w:t>
      </w:r>
      <w:r w:rsidRPr="00D213F7">
        <w:rPr>
          <w:i/>
          <w:noProof/>
        </w:rPr>
        <w:t>Drug and Alcohol Dependence, 84</w:t>
      </w:r>
      <w:r>
        <w:rPr>
          <w:noProof/>
        </w:rPr>
        <w:t>(2), 135-143. doi: 10.1016/j.drugalcdep.2005.12.011</w:t>
      </w:r>
      <w:bookmarkEnd w:id="61"/>
    </w:p>
    <w:p w:rsidR="00D213F7" w:rsidRDefault="00D213F7" w:rsidP="00D213F7">
      <w:pPr>
        <w:ind w:left="720" w:hanging="720"/>
        <w:rPr>
          <w:noProof/>
        </w:rPr>
      </w:pPr>
      <w:bookmarkStart w:id="62" w:name="_ENREF_28"/>
      <w:r>
        <w:rPr>
          <w:noProof/>
        </w:rPr>
        <w:t xml:space="preserve">Low, K. G., &amp; Gendaszek, A. E. (2002). Illicit use of psychostimulants among college students: A preliminary study. </w:t>
      </w:r>
      <w:r w:rsidRPr="00D213F7">
        <w:rPr>
          <w:i/>
          <w:noProof/>
        </w:rPr>
        <w:t>Psychology, Health &amp; Medicine, 7</w:t>
      </w:r>
      <w:r>
        <w:rPr>
          <w:noProof/>
        </w:rPr>
        <w:t xml:space="preserve">(3), 283 - 287. </w:t>
      </w:r>
      <w:bookmarkEnd w:id="62"/>
    </w:p>
    <w:p w:rsidR="00D213F7" w:rsidRDefault="00D213F7" w:rsidP="00D213F7">
      <w:pPr>
        <w:ind w:left="720" w:hanging="720"/>
        <w:rPr>
          <w:noProof/>
        </w:rPr>
      </w:pPr>
      <w:bookmarkStart w:id="63" w:name="_ENREF_29"/>
      <w:r>
        <w:rPr>
          <w:noProof/>
        </w:rPr>
        <w:t xml:space="preserve">Massello, W., &amp; Carpenter, D. (1999). A Fatality Due to the Intranasal Abuse of Methylphenidate (Ritalin®). </w:t>
      </w:r>
      <w:r w:rsidRPr="00D213F7">
        <w:rPr>
          <w:i/>
          <w:noProof/>
        </w:rPr>
        <w:t>Journal of Forensic Sciences, 44</w:t>
      </w:r>
      <w:r>
        <w:rPr>
          <w:noProof/>
        </w:rPr>
        <w:t xml:space="preserve">(1), 220-221. doi: 10.1520/JFS14440J </w:t>
      </w:r>
      <w:bookmarkEnd w:id="63"/>
    </w:p>
    <w:p w:rsidR="00D213F7" w:rsidRDefault="00D213F7" w:rsidP="00D213F7">
      <w:pPr>
        <w:ind w:left="720" w:hanging="720"/>
        <w:rPr>
          <w:noProof/>
        </w:rPr>
      </w:pPr>
      <w:bookmarkStart w:id="64" w:name="_ENREF_30"/>
      <w:r>
        <w:rPr>
          <w:noProof/>
        </w:rPr>
        <w:t xml:space="preserve">McCabe, S., &amp; Boyd, C. (2005). Sources of prescription drugs for illicit use. </w:t>
      </w:r>
      <w:r w:rsidRPr="00D213F7">
        <w:rPr>
          <w:i/>
          <w:noProof/>
        </w:rPr>
        <w:t>Addictive Behaviors, 30</w:t>
      </w:r>
      <w:r>
        <w:rPr>
          <w:noProof/>
        </w:rPr>
        <w:t>(7), 1342-1350. doi: 10.1016/j.addbeh.2005.01.012</w:t>
      </w:r>
      <w:bookmarkEnd w:id="64"/>
    </w:p>
    <w:p w:rsidR="00D213F7" w:rsidRDefault="00D213F7" w:rsidP="00D213F7">
      <w:pPr>
        <w:ind w:left="720" w:hanging="720"/>
        <w:rPr>
          <w:noProof/>
        </w:rPr>
      </w:pPr>
      <w:bookmarkStart w:id="65" w:name="_ENREF_31"/>
      <w:r>
        <w:rPr>
          <w:noProof/>
        </w:rPr>
        <w:t xml:space="preserve">McCabe, S., Boyd, C., Couper, M., Crawford, S., &amp; D'Arcy, H. (2002). Mode effects for collecting alcohol and other drug use data: Web and U.S. mail. </w:t>
      </w:r>
      <w:r w:rsidRPr="00D213F7">
        <w:rPr>
          <w:i/>
          <w:noProof/>
        </w:rPr>
        <w:t>Journal of Studies on Alcohol, 63</w:t>
      </w:r>
      <w:r>
        <w:rPr>
          <w:noProof/>
        </w:rPr>
        <w:t xml:space="preserve">(6), 755 - 761. </w:t>
      </w:r>
      <w:bookmarkEnd w:id="65"/>
    </w:p>
    <w:p w:rsidR="00D213F7" w:rsidRDefault="00D213F7" w:rsidP="00D213F7">
      <w:pPr>
        <w:ind w:left="720" w:hanging="720"/>
        <w:rPr>
          <w:noProof/>
        </w:rPr>
      </w:pPr>
      <w:bookmarkStart w:id="66" w:name="_ENREF_32"/>
      <w:r>
        <w:rPr>
          <w:noProof/>
        </w:rPr>
        <w:t xml:space="preserve">McCabe, S., Boyd, C., Hughes, T., &amp; d'Arcy, H. (2003). Sexual identity and substance use among undergraduate students. </w:t>
      </w:r>
      <w:r w:rsidRPr="00D213F7">
        <w:rPr>
          <w:i/>
          <w:noProof/>
        </w:rPr>
        <w:t>Substance Abuse, 24</w:t>
      </w:r>
      <w:r>
        <w:rPr>
          <w:noProof/>
        </w:rPr>
        <w:t xml:space="preserve">(2), 77-91. </w:t>
      </w:r>
      <w:bookmarkEnd w:id="66"/>
    </w:p>
    <w:p w:rsidR="00D213F7" w:rsidRDefault="00D213F7" w:rsidP="00D213F7">
      <w:pPr>
        <w:ind w:left="720" w:hanging="720"/>
        <w:rPr>
          <w:noProof/>
        </w:rPr>
      </w:pPr>
      <w:bookmarkStart w:id="67" w:name="_ENREF_33"/>
      <w:r>
        <w:rPr>
          <w:noProof/>
        </w:rPr>
        <w:lastRenderedPageBreak/>
        <w:t xml:space="preserve">McCabe, S., Boyd, C. J., &amp; Teter, C. J. (2009). Subtypes of nonmedical prescription drug misuse. </w:t>
      </w:r>
      <w:r w:rsidRPr="00D213F7">
        <w:rPr>
          <w:i/>
          <w:noProof/>
        </w:rPr>
        <w:t>Drug and Alcohol Dependence, 102</w:t>
      </w:r>
      <w:r>
        <w:rPr>
          <w:noProof/>
        </w:rPr>
        <w:t>(1-3), 63-70. doi: 10.1016/j.drugalcdep.2009.01.007</w:t>
      </w:r>
      <w:bookmarkEnd w:id="67"/>
    </w:p>
    <w:p w:rsidR="00D213F7" w:rsidRDefault="00D213F7" w:rsidP="00D213F7">
      <w:pPr>
        <w:ind w:left="720" w:hanging="720"/>
        <w:rPr>
          <w:noProof/>
        </w:rPr>
      </w:pPr>
      <w:bookmarkStart w:id="68" w:name="_ENREF_34"/>
      <w:r>
        <w:rPr>
          <w:noProof/>
        </w:rPr>
        <w:t xml:space="preserve">McCabe, S., Cranford, J. A., &amp; Boyd, C. J. (2006). The relationship between past-year drinking behaviors and nonmedical use of prescription drugs: Prevalence of co-occurrence in a national sample. </w:t>
      </w:r>
      <w:r w:rsidRPr="00D213F7">
        <w:rPr>
          <w:i/>
          <w:noProof/>
        </w:rPr>
        <w:t>Drug and Alcohol Dependence, 84</w:t>
      </w:r>
      <w:r>
        <w:rPr>
          <w:noProof/>
        </w:rPr>
        <w:t>(3), 281-288. doi: 10.1016/j.drugalcdep.2006.03.006</w:t>
      </w:r>
      <w:bookmarkEnd w:id="68"/>
    </w:p>
    <w:p w:rsidR="00D213F7" w:rsidRDefault="00D213F7" w:rsidP="00D213F7">
      <w:pPr>
        <w:ind w:left="720" w:hanging="720"/>
        <w:rPr>
          <w:noProof/>
        </w:rPr>
      </w:pPr>
      <w:bookmarkStart w:id="69" w:name="_ENREF_35"/>
      <w:r>
        <w:rPr>
          <w:noProof/>
        </w:rPr>
        <w:t xml:space="preserve">McCabe, S., Knight, J., Teter, C., &amp; Wechsler, H. (2005). Non-medical use of prescription stimulants among US college students: Prevalence and correlates from a national survey. </w:t>
      </w:r>
      <w:r w:rsidRPr="00D213F7">
        <w:rPr>
          <w:i/>
          <w:noProof/>
        </w:rPr>
        <w:t>Addiction, 100</w:t>
      </w:r>
      <w:r>
        <w:rPr>
          <w:noProof/>
        </w:rPr>
        <w:t>(1), 96 - 106. doi: 10.1111/j.1360-0443.2005.00944.x</w:t>
      </w:r>
      <w:bookmarkEnd w:id="69"/>
    </w:p>
    <w:p w:rsidR="00D213F7" w:rsidRDefault="00D213F7" w:rsidP="00D213F7">
      <w:pPr>
        <w:ind w:left="720" w:hanging="720"/>
        <w:rPr>
          <w:noProof/>
        </w:rPr>
      </w:pPr>
      <w:bookmarkStart w:id="70" w:name="_ENREF_36"/>
      <w:r>
        <w:rPr>
          <w:noProof/>
        </w:rPr>
        <w:t xml:space="preserve">McCabe, S., Teter, C., &amp; Boyd, C. (2005). Illicit use of prescription pain medication among college students. </w:t>
      </w:r>
      <w:r w:rsidRPr="00D213F7">
        <w:rPr>
          <w:i/>
          <w:noProof/>
        </w:rPr>
        <w:t>Drug and Alcohol Dependence, 71</w:t>
      </w:r>
      <w:r>
        <w:rPr>
          <w:noProof/>
        </w:rPr>
        <w:t xml:space="preserve">(1), 37-47. </w:t>
      </w:r>
      <w:bookmarkEnd w:id="70"/>
    </w:p>
    <w:p w:rsidR="00D213F7" w:rsidRDefault="00D213F7" w:rsidP="00D213F7">
      <w:pPr>
        <w:ind w:left="720" w:hanging="720"/>
        <w:rPr>
          <w:noProof/>
        </w:rPr>
      </w:pPr>
      <w:bookmarkStart w:id="71" w:name="_ENREF_37"/>
      <w:r>
        <w:rPr>
          <w:noProof/>
        </w:rPr>
        <w:t xml:space="preserve">McCabe, S., Teter, C., &amp; Boyd, C. (2006a). Medical use, illicit use and diversion of prescription stimulant medication. </w:t>
      </w:r>
      <w:r w:rsidRPr="00D213F7">
        <w:rPr>
          <w:i/>
          <w:noProof/>
        </w:rPr>
        <w:t>Journal of Psychoactive Drugs, 38</w:t>
      </w:r>
      <w:r>
        <w:rPr>
          <w:noProof/>
        </w:rPr>
        <w:t xml:space="preserve">(1), 43 - 56. </w:t>
      </w:r>
      <w:bookmarkEnd w:id="71"/>
    </w:p>
    <w:p w:rsidR="00D213F7" w:rsidRDefault="00D213F7" w:rsidP="00D213F7">
      <w:pPr>
        <w:ind w:left="720" w:hanging="720"/>
        <w:rPr>
          <w:noProof/>
        </w:rPr>
      </w:pPr>
      <w:bookmarkStart w:id="72" w:name="_ENREF_38"/>
      <w:r>
        <w:rPr>
          <w:noProof/>
        </w:rPr>
        <w:t xml:space="preserve">McCabe, S., Teter, C., &amp; Boyd, C. (2006b). Medical use, illicit use, and diversion of abusable prescription drugs. </w:t>
      </w:r>
      <w:r w:rsidRPr="00D213F7">
        <w:rPr>
          <w:i/>
          <w:noProof/>
        </w:rPr>
        <w:t>Journal of American College Health, 54</w:t>
      </w:r>
      <w:r>
        <w:rPr>
          <w:noProof/>
        </w:rPr>
        <w:t>(5), 269-278. doi: 10.3200/JACH.54.5.269-278</w:t>
      </w:r>
      <w:bookmarkEnd w:id="72"/>
    </w:p>
    <w:p w:rsidR="00D213F7" w:rsidRDefault="00D213F7" w:rsidP="00D213F7">
      <w:pPr>
        <w:ind w:left="720" w:hanging="720"/>
        <w:rPr>
          <w:noProof/>
        </w:rPr>
      </w:pPr>
      <w:bookmarkStart w:id="73" w:name="_ENREF_39"/>
      <w:r>
        <w:rPr>
          <w:noProof/>
        </w:rPr>
        <w:t xml:space="preserve">McCabe, S., &amp; Teter, C. J. (2007). Drug use related problems among nonmedical users of prescription stimulants: A web-based survey of college students from a Midwestern university. </w:t>
      </w:r>
      <w:r w:rsidRPr="00D213F7">
        <w:rPr>
          <w:i/>
          <w:noProof/>
        </w:rPr>
        <w:t>Drug and Alcohol Dependence, 91</w:t>
      </w:r>
      <w:r>
        <w:rPr>
          <w:noProof/>
        </w:rPr>
        <w:t>(1), 69-76. doi: DOI: 10.1016/j.drugalcdep.2007.05.010</w:t>
      </w:r>
      <w:bookmarkEnd w:id="73"/>
    </w:p>
    <w:p w:rsidR="00D213F7" w:rsidRDefault="00D213F7" w:rsidP="00D213F7">
      <w:pPr>
        <w:ind w:left="720" w:hanging="720"/>
        <w:rPr>
          <w:noProof/>
        </w:rPr>
      </w:pPr>
      <w:bookmarkStart w:id="74" w:name="_ENREF_40"/>
      <w:r>
        <w:rPr>
          <w:noProof/>
        </w:rPr>
        <w:lastRenderedPageBreak/>
        <w:t xml:space="preserve">National Center for Biotechnology Information. (2010). Lisdexamfetamine  Retrieved June 17th, 2011, from </w:t>
      </w:r>
      <w:r w:rsidRPr="00D213F7">
        <w:rPr>
          <w:noProof/>
        </w:rPr>
        <w:t>http://www.ncbi.nlm.nih.gov/pubmedhealth/PMH0000397/</w:t>
      </w:r>
      <w:bookmarkEnd w:id="74"/>
    </w:p>
    <w:p w:rsidR="00D213F7" w:rsidRDefault="00D213F7" w:rsidP="00D213F7">
      <w:pPr>
        <w:ind w:left="720" w:hanging="720"/>
        <w:rPr>
          <w:noProof/>
        </w:rPr>
      </w:pPr>
      <w:bookmarkStart w:id="75" w:name="_ENREF_41"/>
      <w:r>
        <w:rPr>
          <w:noProof/>
        </w:rPr>
        <w:t>National Center on Addiction and Substance Abuse. (2005). Under the counter: The diversion and abuse of controlled prescription drugs in the United States. New York: Colombia University.</w:t>
      </w:r>
      <w:bookmarkEnd w:id="75"/>
    </w:p>
    <w:p w:rsidR="00D213F7" w:rsidRDefault="00D213F7" w:rsidP="00D213F7">
      <w:pPr>
        <w:ind w:left="720" w:hanging="720"/>
        <w:rPr>
          <w:noProof/>
        </w:rPr>
      </w:pPr>
      <w:bookmarkStart w:id="76" w:name="_ENREF_42"/>
      <w:r>
        <w:rPr>
          <w:noProof/>
        </w:rPr>
        <w:t>National Center on Addiction and Substance Abuse. (2007). Wasting the best and the brightest: Substance abuse at America's Colleges and Universities. New York: Colombia University.</w:t>
      </w:r>
      <w:bookmarkEnd w:id="76"/>
    </w:p>
    <w:p w:rsidR="00D213F7" w:rsidRDefault="00D213F7" w:rsidP="00D213F7">
      <w:pPr>
        <w:ind w:left="720" w:hanging="720"/>
        <w:rPr>
          <w:noProof/>
        </w:rPr>
      </w:pPr>
      <w:bookmarkStart w:id="77" w:name="_ENREF_43"/>
      <w:r>
        <w:rPr>
          <w:noProof/>
        </w:rPr>
        <w:t xml:space="preserve">National Institute on Drug Abuse. (2009). </w:t>
      </w:r>
      <w:r w:rsidRPr="00D213F7">
        <w:rPr>
          <w:i/>
          <w:noProof/>
        </w:rPr>
        <w:t>Methylphenidate (ritalin)</w:t>
      </w:r>
      <w:r>
        <w:rPr>
          <w:noProof/>
        </w:rPr>
        <w:t xml:space="preserve">.  Retrieved from </w:t>
      </w:r>
      <w:r w:rsidRPr="00D213F7">
        <w:rPr>
          <w:noProof/>
        </w:rPr>
        <w:t>http://www.drugabuse.gov</w:t>
      </w:r>
      <w:r>
        <w:rPr>
          <w:noProof/>
        </w:rPr>
        <w:t>.</w:t>
      </w:r>
      <w:bookmarkEnd w:id="77"/>
    </w:p>
    <w:p w:rsidR="00D213F7" w:rsidRDefault="00D213F7" w:rsidP="00D213F7">
      <w:pPr>
        <w:ind w:left="720" w:hanging="720"/>
        <w:rPr>
          <w:noProof/>
        </w:rPr>
      </w:pPr>
      <w:bookmarkStart w:id="78" w:name="_ENREF_44"/>
      <w:r>
        <w:rPr>
          <w:noProof/>
        </w:rPr>
        <w:t>Nichols, K. (2004, December 17). The other performance-enhancing drugs,</w:t>
      </w:r>
      <w:r w:rsidRPr="00D213F7">
        <w:rPr>
          <w:i/>
          <w:noProof/>
        </w:rPr>
        <w:t xml:space="preserve"> The Chronicle of Higher Education,</w:t>
      </w:r>
      <w:r>
        <w:rPr>
          <w:noProof/>
        </w:rPr>
        <w:t xml:space="preserve"> pp. A41-A42. Retrieved from </w:t>
      </w:r>
      <w:r w:rsidRPr="00D213F7">
        <w:rPr>
          <w:noProof/>
        </w:rPr>
        <w:t>http://chronicle.com/weekly/v51/i17/17a04101.htm</w:t>
      </w:r>
      <w:bookmarkEnd w:id="78"/>
    </w:p>
    <w:p w:rsidR="00D213F7" w:rsidRDefault="00D213F7" w:rsidP="00D213F7">
      <w:pPr>
        <w:ind w:left="720" w:hanging="720"/>
        <w:rPr>
          <w:noProof/>
        </w:rPr>
      </w:pPr>
      <w:bookmarkStart w:id="79" w:name="_ENREF_45"/>
      <w:r>
        <w:rPr>
          <w:noProof/>
        </w:rPr>
        <w:t xml:space="preserve">Novak, S., Kroutil, L., Williams, R., &amp; Van Brunt, D. (2007). The nonmedical use of prescription ADHD medications: Results from a national Internet panel. </w:t>
      </w:r>
      <w:r w:rsidRPr="00D213F7">
        <w:rPr>
          <w:i/>
          <w:noProof/>
        </w:rPr>
        <w:t>Substance Abuse Treatment, Prevention, and Policy, 2</w:t>
      </w:r>
      <w:r>
        <w:rPr>
          <w:noProof/>
        </w:rPr>
        <w:t>(1), 32. doi: 10.1186/1747-597X-2-32</w:t>
      </w:r>
      <w:bookmarkEnd w:id="79"/>
    </w:p>
    <w:p w:rsidR="00D213F7" w:rsidRDefault="00D213F7" w:rsidP="00D213F7">
      <w:pPr>
        <w:ind w:left="720" w:hanging="720"/>
        <w:rPr>
          <w:noProof/>
        </w:rPr>
      </w:pPr>
      <w:bookmarkStart w:id="80" w:name="_ENREF_46"/>
      <w:r>
        <w:rPr>
          <w:noProof/>
        </w:rPr>
        <w:t xml:space="preserve">Olfson, M. G., M, Marcus, S., &amp; Jensen, P. (2003). National trends in the treatment of attention deficit hyperactivity disorder. </w:t>
      </w:r>
      <w:r w:rsidRPr="00D213F7">
        <w:rPr>
          <w:i/>
          <w:noProof/>
        </w:rPr>
        <w:t>The American journal of psychiatry, 160</w:t>
      </w:r>
      <w:r>
        <w:rPr>
          <w:noProof/>
        </w:rPr>
        <w:t xml:space="preserve">, 1071-1077. </w:t>
      </w:r>
      <w:bookmarkEnd w:id="80"/>
    </w:p>
    <w:p w:rsidR="00D213F7" w:rsidRDefault="00D213F7" w:rsidP="00D213F7">
      <w:pPr>
        <w:ind w:left="720" w:hanging="720"/>
        <w:rPr>
          <w:noProof/>
        </w:rPr>
      </w:pPr>
      <w:bookmarkStart w:id="81" w:name="_ENREF_47"/>
      <w:r>
        <w:rPr>
          <w:noProof/>
        </w:rPr>
        <w:t xml:space="preserve">Presley, C. A., Meilman, P. W., &amp; Cashin, J. R. (1996). </w:t>
      </w:r>
      <w:r w:rsidRPr="00D213F7">
        <w:rPr>
          <w:i/>
          <w:noProof/>
        </w:rPr>
        <w:t xml:space="preserve">Alcohol and drugs on american college campuses: Use, Consequences, and perceptions of the campus environment </w:t>
      </w:r>
      <w:r>
        <w:rPr>
          <w:noProof/>
        </w:rPr>
        <w:t>(Vol. IV: 1992-94). Carbondale, Illinois: Core Institute, Southern Illinois University.</w:t>
      </w:r>
      <w:bookmarkEnd w:id="81"/>
    </w:p>
    <w:p w:rsidR="00D213F7" w:rsidRDefault="00D213F7" w:rsidP="00D213F7">
      <w:pPr>
        <w:ind w:left="720" w:hanging="720"/>
        <w:rPr>
          <w:noProof/>
        </w:rPr>
      </w:pPr>
      <w:bookmarkStart w:id="82" w:name="_ENREF_48"/>
      <w:r>
        <w:rPr>
          <w:noProof/>
        </w:rPr>
        <w:lastRenderedPageBreak/>
        <w:t xml:space="preserve">Prudhomme-White, B., Becker-Blease, K. A., &amp; Grace-Bishop, K. (2006). Stimulant Medication Use, Misuse, and Abuse in an Undergraduate and Graduate Student Sample. </w:t>
      </w:r>
      <w:r w:rsidRPr="00D213F7">
        <w:rPr>
          <w:i/>
          <w:noProof/>
        </w:rPr>
        <w:t>Journal of American College Health, 54</w:t>
      </w:r>
      <w:r>
        <w:rPr>
          <w:noProof/>
        </w:rPr>
        <w:t xml:space="preserve">(5), 261 - 268. </w:t>
      </w:r>
      <w:bookmarkEnd w:id="82"/>
    </w:p>
    <w:p w:rsidR="00D213F7" w:rsidRDefault="00D213F7" w:rsidP="00D213F7">
      <w:pPr>
        <w:ind w:left="720" w:hanging="720"/>
        <w:rPr>
          <w:noProof/>
        </w:rPr>
      </w:pPr>
      <w:bookmarkStart w:id="83" w:name="_ENREF_49"/>
      <w:r>
        <w:rPr>
          <w:noProof/>
        </w:rPr>
        <w:t xml:space="preserve">Quintero, G., Peterson, J., &amp; Young, B. (2006). An exploratory study of socio-cultural factors contributing to prescription drug misuse among college students. </w:t>
      </w:r>
      <w:r w:rsidRPr="00D213F7">
        <w:rPr>
          <w:i/>
          <w:noProof/>
        </w:rPr>
        <w:t>Journal of Drug Issues, 36</w:t>
      </w:r>
      <w:r>
        <w:rPr>
          <w:noProof/>
        </w:rPr>
        <w:t xml:space="preserve">(4), 903-932. </w:t>
      </w:r>
      <w:bookmarkEnd w:id="83"/>
    </w:p>
    <w:p w:rsidR="00D213F7" w:rsidRDefault="00D213F7" w:rsidP="00D213F7">
      <w:pPr>
        <w:ind w:left="720" w:hanging="720"/>
        <w:rPr>
          <w:noProof/>
        </w:rPr>
      </w:pPr>
      <w:bookmarkStart w:id="84" w:name="_ENREF_50"/>
      <w:r>
        <w:rPr>
          <w:noProof/>
        </w:rPr>
        <w:t xml:space="preserve">Rabiner, D. L., Anastopoulos, A. D., Costello, E. J., Hoyle, R. H., McCabe, S. E., &amp; Swartzwelder, H. S. (2009). Motives and perceived consequences of nonmedical ADHD medication use by college students. </w:t>
      </w:r>
      <w:r w:rsidRPr="00D213F7">
        <w:rPr>
          <w:i/>
          <w:noProof/>
        </w:rPr>
        <w:t>Journal of Attention Disorders, 13</w:t>
      </w:r>
      <w:r>
        <w:rPr>
          <w:noProof/>
        </w:rPr>
        <w:t>(3), 259-270. doi: 10.1177/1087054708320399</w:t>
      </w:r>
      <w:bookmarkEnd w:id="84"/>
    </w:p>
    <w:p w:rsidR="00D213F7" w:rsidRDefault="00D213F7" w:rsidP="00D213F7">
      <w:pPr>
        <w:ind w:left="720" w:hanging="720"/>
        <w:rPr>
          <w:noProof/>
        </w:rPr>
      </w:pPr>
      <w:bookmarkStart w:id="85" w:name="_ENREF_51"/>
      <w:r>
        <w:rPr>
          <w:noProof/>
        </w:rPr>
        <w:t xml:space="preserve">Rabiner, D. L., Anastopoulos, A. D., Costello, E. J., Hoyle, R. H., &amp; Swartzwelder, H. S. (2010). Predictors of nonmedical ADHD medication use by college students. </w:t>
      </w:r>
      <w:r w:rsidRPr="00D213F7">
        <w:rPr>
          <w:i/>
          <w:noProof/>
        </w:rPr>
        <w:t>Journal of Attention Disorders, 13</w:t>
      </w:r>
      <w:r>
        <w:rPr>
          <w:noProof/>
        </w:rPr>
        <w:t>(6), 640-648. doi: 10.1177/1087054709334505</w:t>
      </w:r>
      <w:bookmarkEnd w:id="85"/>
    </w:p>
    <w:p w:rsidR="00D213F7" w:rsidRDefault="00D213F7" w:rsidP="00D213F7">
      <w:pPr>
        <w:ind w:left="720" w:hanging="720"/>
        <w:rPr>
          <w:noProof/>
        </w:rPr>
      </w:pPr>
      <w:bookmarkStart w:id="86" w:name="_ENREF_52"/>
      <w:r>
        <w:rPr>
          <w:noProof/>
        </w:rPr>
        <w:t xml:space="preserve">Substance Abuse and Mental Health Services Administration. (2008). Substance abuse treatment admissions by primary substance of abuse according to sex, age group, race, and ethnicity, 2008  Retrieved June 10, 2011, from </w:t>
      </w:r>
      <w:r w:rsidRPr="00D213F7">
        <w:rPr>
          <w:noProof/>
        </w:rPr>
        <w:t>http://wwwdasis.samhsa.gov/webt/quicklink/US08.htm</w:t>
      </w:r>
      <w:bookmarkEnd w:id="86"/>
    </w:p>
    <w:p w:rsidR="00D213F7" w:rsidRDefault="00D213F7" w:rsidP="00D213F7">
      <w:pPr>
        <w:ind w:left="720" w:hanging="720"/>
        <w:rPr>
          <w:noProof/>
        </w:rPr>
      </w:pPr>
      <w:bookmarkStart w:id="87" w:name="_ENREF_53"/>
      <w:r>
        <w:rPr>
          <w:noProof/>
        </w:rPr>
        <w:t xml:space="preserve">Substance Abuse and Mental Health Services Administration. (2010). </w:t>
      </w:r>
      <w:r w:rsidRPr="00D213F7">
        <w:rPr>
          <w:i/>
          <w:noProof/>
        </w:rPr>
        <w:t>Results from the 2009 National Survey on Drug Use and Health: Volume I. Summary of National Findings</w:t>
      </w:r>
      <w:r>
        <w:rPr>
          <w:noProof/>
        </w:rPr>
        <w:t>. (Office of Applied Studies, NSDUH Series H-38A, HHS Publication No. SMA 10-4586Findings). Rockville, MD.</w:t>
      </w:r>
      <w:bookmarkEnd w:id="87"/>
    </w:p>
    <w:p w:rsidR="00D213F7" w:rsidRDefault="00D213F7" w:rsidP="00D213F7">
      <w:pPr>
        <w:ind w:left="720" w:hanging="720"/>
        <w:rPr>
          <w:noProof/>
        </w:rPr>
      </w:pPr>
      <w:bookmarkStart w:id="88" w:name="_ENREF_54"/>
      <w:r>
        <w:rPr>
          <w:noProof/>
        </w:rPr>
        <w:lastRenderedPageBreak/>
        <w:t xml:space="preserve">Surles, L., May, H., &amp; Garry, J. (2002). Adderall-induced psychosis in an adolescent. </w:t>
      </w:r>
      <w:r w:rsidRPr="00D213F7">
        <w:rPr>
          <w:i/>
          <w:noProof/>
        </w:rPr>
        <w:t>The Journal of the American Board of Family Practice, 15</w:t>
      </w:r>
      <w:r>
        <w:rPr>
          <w:noProof/>
        </w:rPr>
        <w:t xml:space="preserve">(6), 498-500. </w:t>
      </w:r>
      <w:bookmarkEnd w:id="88"/>
    </w:p>
    <w:p w:rsidR="00D213F7" w:rsidRDefault="00D213F7" w:rsidP="00D213F7">
      <w:pPr>
        <w:ind w:left="720" w:hanging="720"/>
        <w:rPr>
          <w:noProof/>
        </w:rPr>
      </w:pPr>
      <w:bookmarkStart w:id="89" w:name="_ENREF_55"/>
      <w:r>
        <w:rPr>
          <w:noProof/>
        </w:rPr>
        <w:t xml:space="preserve">Tabachnick, B., &amp; Fidell, L. (2007). </w:t>
      </w:r>
      <w:r w:rsidRPr="00D213F7">
        <w:rPr>
          <w:i/>
          <w:noProof/>
        </w:rPr>
        <w:t>Using multivariate statistics</w:t>
      </w:r>
      <w:r>
        <w:rPr>
          <w:noProof/>
        </w:rPr>
        <w:t xml:space="preserve"> (5th ed.). Boston: Pearson Education.</w:t>
      </w:r>
      <w:bookmarkEnd w:id="89"/>
    </w:p>
    <w:p w:rsidR="00D213F7" w:rsidRDefault="00D213F7" w:rsidP="00D213F7">
      <w:pPr>
        <w:ind w:left="720" w:hanging="720"/>
        <w:rPr>
          <w:noProof/>
        </w:rPr>
      </w:pPr>
      <w:bookmarkStart w:id="90" w:name="_ENREF_56"/>
      <w:r>
        <w:rPr>
          <w:noProof/>
        </w:rPr>
        <w:t xml:space="preserve">Teter, C., McCabe, S., Boyd, C., &amp; Guthrie, S. (2003). Illicit methylphenidate use in an undergraduate student sample: Prevalence and risk factors. </w:t>
      </w:r>
      <w:r w:rsidRPr="00D213F7">
        <w:rPr>
          <w:i/>
          <w:noProof/>
        </w:rPr>
        <w:t>Pharmacotherapy, 23</w:t>
      </w:r>
      <w:r>
        <w:rPr>
          <w:noProof/>
        </w:rPr>
        <w:t>(5), 609-617. doi: 10.1592/phco.23.5.609.34187</w:t>
      </w:r>
      <w:bookmarkEnd w:id="90"/>
    </w:p>
    <w:p w:rsidR="00D213F7" w:rsidRDefault="00D213F7" w:rsidP="00D213F7">
      <w:pPr>
        <w:ind w:left="720" w:hanging="720"/>
        <w:rPr>
          <w:noProof/>
        </w:rPr>
      </w:pPr>
      <w:bookmarkStart w:id="91" w:name="_ENREF_57"/>
      <w:r>
        <w:rPr>
          <w:noProof/>
        </w:rPr>
        <w:t xml:space="preserve">Teter, C., McCabe, S., Cranford, J., Boyd, C., &amp; Guthrie, S. (2005). Prevalence and motives for illicit use of prescription stimulants in an undergraduate student sample. </w:t>
      </w:r>
      <w:r w:rsidRPr="00D213F7">
        <w:rPr>
          <w:i/>
          <w:noProof/>
        </w:rPr>
        <w:t>Journal of American College Health, 53</w:t>
      </w:r>
      <w:r>
        <w:rPr>
          <w:noProof/>
        </w:rPr>
        <w:t>(6), 253-262. doi: 10.3200/JACH.53.6.253-262</w:t>
      </w:r>
      <w:bookmarkEnd w:id="91"/>
    </w:p>
    <w:p w:rsidR="00D213F7" w:rsidRDefault="00D213F7" w:rsidP="00D213F7">
      <w:pPr>
        <w:ind w:left="720" w:hanging="720"/>
        <w:rPr>
          <w:noProof/>
        </w:rPr>
      </w:pPr>
      <w:bookmarkStart w:id="92" w:name="_ENREF_58"/>
      <w:r>
        <w:rPr>
          <w:noProof/>
        </w:rPr>
        <w:t xml:space="preserve">Teter, C., McCabe, S., LaGrange, K., Cranford, J., &amp; Boyd, C. (2006). Illicit use of specific prescription stimulants among college students: Prevalence, motives, and routes of administration. </w:t>
      </w:r>
      <w:r w:rsidRPr="00D213F7">
        <w:rPr>
          <w:i/>
          <w:noProof/>
        </w:rPr>
        <w:t>Pharmacotherapy, 26</w:t>
      </w:r>
      <w:r>
        <w:rPr>
          <w:noProof/>
        </w:rPr>
        <w:t>(10), 1501 - 1510. doi: 10.1592/phco.26.10.1501</w:t>
      </w:r>
      <w:bookmarkEnd w:id="92"/>
    </w:p>
    <w:p w:rsidR="00D213F7" w:rsidRDefault="00D213F7" w:rsidP="00D213F7">
      <w:pPr>
        <w:ind w:left="720" w:hanging="720"/>
        <w:rPr>
          <w:noProof/>
        </w:rPr>
      </w:pPr>
      <w:bookmarkStart w:id="93" w:name="_ENREF_59"/>
      <w:r>
        <w:rPr>
          <w:noProof/>
        </w:rPr>
        <w:t xml:space="preserve">Wechsler, H., Lee, J., Kuo, M., &amp; Lee, H. (2000). College binge drinking in the 1990s: A continuing problem. Results of the Harvard school of public health 1999 College Alcohol Study. </w:t>
      </w:r>
      <w:r w:rsidRPr="00D213F7">
        <w:rPr>
          <w:i/>
          <w:noProof/>
        </w:rPr>
        <w:t>Journal of American College Health, 48</w:t>
      </w:r>
      <w:r>
        <w:rPr>
          <w:noProof/>
        </w:rPr>
        <w:t xml:space="preserve">(5), 199-210. doi: 10.1080/07448480009599305 </w:t>
      </w:r>
      <w:bookmarkEnd w:id="93"/>
    </w:p>
    <w:p w:rsidR="00D213F7" w:rsidRDefault="00D213F7" w:rsidP="00D213F7">
      <w:pPr>
        <w:ind w:left="720" w:hanging="720"/>
        <w:rPr>
          <w:noProof/>
        </w:rPr>
      </w:pPr>
      <w:bookmarkStart w:id="94" w:name="_ENREF_60"/>
      <w:r>
        <w:rPr>
          <w:noProof/>
        </w:rPr>
        <w:t xml:space="preserve">Young, A., Morales, M., McCabe, S., Boyd, C., &amp; d'Arcy, H. (2005). Drinking like a guy or drinking to be liked by a guy: Frequent binge drinking among undergraduate women. </w:t>
      </w:r>
      <w:r w:rsidRPr="00D213F7">
        <w:rPr>
          <w:i/>
          <w:noProof/>
        </w:rPr>
        <w:t>Substance Use and Misuse, 40</w:t>
      </w:r>
      <w:r>
        <w:rPr>
          <w:noProof/>
        </w:rPr>
        <w:t xml:space="preserve">(2), 241-267. </w:t>
      </w:r>
      <w:bookmarkEnd w:id="94"/>
    </w:p>
    <w:p w:rsidR="00D213F7" w:rsidRDefault="00D213F7" w:rsidP="00D213F7">
      <w:pPr>
        <w:ind w:left="720" w:hanging="720"/>
        <w:rPr>
          <w:noProof/>
        </w:rPr>
      </w:pPr>
      <w:bookmarkStart w:id="95" w:name="_ENREF_61"/>
      <w:r>
        <w:rPr>
          <w:noProof/>
        </w:rPr>
        <w:t xml:space="preserve">Zuckerman, M., Kolin, E. A., Price, L., &amp; Zoob, I. (1964). Development of a sensation seeking scale. </w:t>
      </w:r>
      <w:r w:rsidRPr="00D213F7">
        <w:rPr>
          <w:i/>
          <w:noProof/>
        </w:rPr>
        <w:t>Journal of Counsulting Psychology, 28</w:t>
      </w:r>
      <w:r>
        <w:rPr>
          <w:noProof/>
        </w:rPr>
        <w:t xml:space="preserve">, 477-482. </w:t>
      </w:r>
      <w:bookmarkEnd w:id="95"/>
    </w:p>
    <w:p w:rsidR="0001679B" w:rsidRDefault="00550107" w:rsidP="00A13400">
      <w:pPr>
        <w:ind w:left="720" w:hanging="720"/>
        <w:sectPr w:rsidR="0001679B" w:rsidSect="00FE256D">
          <w:pgSz w:w="12240" w:h="15840"/>
          <w:pgMar w:top="1440" w:right="1440" w:bottom="1440" w:left="1440" w:header="1440" w:footer="720" w:gutter="0"/>
          <w:cols w:space="720"/>
          <w:docGrid w:linePitch="360"/>
        </w:sectPr>
      </w:pPr>
      <w:r>
        <w:fldChar w:fldCharType="end"/>
      </w:r>
    </w:p>
    <w:p w:rsidR="00203FEE" w:rsidRDefault="00203FEE" w:rsidP="00B33B62">
      <w:pPr>
        <w:pStyle w:val="Heading1"/>
      </w:pPr>
      <w:bookmarkStart w:id="96" w:name="_Toc315010480"/>
      <w:r>
        <w:lastRenderedPageBreak/>
        <w:t>Appendix</w:t>
      </w:r>
    </w:p>
    <w:p w:rsidR="00203FEE" w:rsidRDefault="00203FEE" w:rsidP="00203FEE"/>
    <w:p w:rsidR="00203FEE" w:rsidRPr="00203FEE" w:rsidRDefault="00203FEE" w:rsidP="00203FEE">
      <w:pPr>
        <w:sectPr w:rsidR="00203FEE" w:rsidRPr="00203FEE" w:rsidSect="00FE256D">
          <w:pgSz w:w="12240" w:h="15840"/>
          <w:pgMar w:top="1440" w:right="1440" w:bottom="1440" w:left="1440" w:header="1440" w:footer="720" w:gutter="0"/>
          <w:cols w:space="720"/>
          <w:docGrid w:linePitch="360"/>
        </w:sectPr>
      </w:pPr>
    </w:p>
    <w:p w:rsidR="00B33B62" w:rsidRDefault="00B33B62" w:rsidP="00B33B62">
      <w:pPr>
        <w:pStyle w:val="Heading1"/>
      </w:pPr>
      <w:r>
        <w:lastRenderedPageBreak/>
        <w:t>APPENDIX A</w:t>
      </w:r>
      <w:bookmarkEnd w:id="96"/>
    </w:p>
    <w:p w:rsidR="00B33B62" w:rsidRPr="00FE018B" w:rsidRDefault="00B33B62" w:rsidP="00B33B62">
      <w:pPr>
        <w:spacing w:line="240" w:lineRule="auto"/>
        <w:rPr>
          <w:szCs w:val="24"/>
        </w:rPr>
      </w:pPr>
      <w:r w:rsidRPr="00FE018B">
        <w:rPr>
          <w:szCs w:val="24"/>
        </w:rPr>
        <w:t>To the best of your ability please complete each question.</w:t>
      </w:r>
      <w:r w:rsidR="00F87F24">
        <w:rPr>
          <w:szCs w:val="24"/>
        </w:rPr>
        <w:t xml:space="preserve"> </w:t>
      </w:r>
      <w:r w:rsidRPr="00FE018B">
        <w:rPr>
          <w:szCs w:val="24"/>
        </w:rPr>
        <w:t xml:space="preserve">At any point during the survey, if you feel uncomfortable with the questions you can stop the survey. If you have any questions, please feel free to contact the principal investigator, Matt Varga, via email at mvarga@utk.edu or by phone. </w:t>
      </w:r>
      <w:r>
        <w:rPr>
          <w:szCs w:val="24"/>
        </w:rPr>
        <w:t xml:space="preserve">At the conclusion of the survey, you will have an opportunity to complete a separate form to enter into a drawing. The incentive information is </w:t>
      </w:r>
      <w:r>
        <w:rPr>
          <w:b/>
          <w:szCs w:val="24"/>
        </w:rPr>
        <w:t>not</w:t>
      </w:r>
      <w:r>
        <w:rPr>
          <w:szCs w:val="24"/>
        </w:rPr>
        <w:t xml:space="preserve"> connected to this study; thus, protecting your identity and the identity of the institution. If you are selected, you will be notified via email.</w:t>
      </w:r>
      <w:r w:rsidR="009D10B2">
        <w:rPr>
          <w:szCs w:val="24"/>
        </w:rPr>
        <w:pict>
          <v:rect id="_x0000_i1025" style="width:468pt;height:1.5pt" o:hralign="center" o:hrstd="t" o:hrnoshade="t" o:hr="t" fillcolor="black [3213]" stroked="f"/>
        </w:pict>
      </w:r>
    </w:p>
    <w:p w:rsidR="00B33B62" w:rsidRDefault="00B33B62" w:rsidP="00B33B62">
      <w:pPr>
        <w:spacing w:line="240" w:lineRule="auto"/>
        <w:ind w:firstLine="0"/>
        <w:rPr>
          <w:b/>
          <w:szCs w:val="24"/>
        </w:rPr>
      </w:pPr>
    </w:p>
    <w:p w:rsidR="00B33B62" w:rsidRPr="00A660CD" w:rsidRDefault="00B33B62" w:rsidP="00B33B62">
      <w:pPr>
        <w:spacing w:line="240" w:lineRule="auto"/>
        <w:ind w:firstLine="0"/>
        <w:rPr>
          <w:b/>
          <w:szCs w:val="24"/>
        </w:rPr>
      </w:pPr>
      <w:proofErr w:type="gramStart"/>
      <w:r>
        <w:rPr>
          <w:b/>
          <w:szCs w:val="24"/>
        </w:rPr>
        <w:t>Q1 - 5.</w:t>
      </w:r>
      <w:proofErr w:type="gramEnd"/>
      <w:r>
        <w:rPr>
          <w:b/>
          <w:szCs w:val="24"/>
        </w:rPr>
        <w:t xml:space="preserve"> </w:t>
      </w:r>
      <w:r w:rsidRPr="00A660CD">
        <w:rPr>
          <w:b/>
          <w:szCs w:val="24"/>
        </w:rPr>
        <w:t>Please answer the questions below, rating yourself on each of the criteria. As you answer each question, please indicate what best describes how you have felt and conducted yourself in the past 6 months.</w:t>
      </w:r>
    </w:p>
    <w:p w:rsidR="00B33B62" w:rsidRPr="00FE018B" w:rsidRDefault="00B33B62" w:rsidP="00B33B62">
      <w:pPr>
        <w:spacing w:line="240" w:lineRule="auto"/>
        <w:ind w:firstLine="0"/>
        <w:rPr>
          <w:szCs w:val="24"/>
        </w:rPr>
      </w:pPr>
    </w:p>
    <w:tbl>
      <w:tblPr>
        <w:tblW w:w="1300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0"/>
        <w:gridCol w:w="935"/>
        <w:gridCol w:w="990"/>
        <w:gridCol w:w="1289"/>
        <w:gridCol w:w="763"/>
        <w:gridCol w:w="1120"/>
        <w:gridCol w:w="1480"/>
      </w:tblGrid>
      <w:tr w:rsidR="00B33B62" w:rsidRPr="00FE018B" w:rsidTr="00B33B62">
        <w:trPr>
          <w:trHeight w:val="300"/>
        </w:trPr>
        <w:tc>
          <w:tcPr>
            <w:tcW w:w="6460" w:type="dxa"/>
            <w:shd w:val="clear" w:color="auto" w:fill="auto"/>
            <w:noWrap/>
            <w:vAlign w:val="bottom"/>
            <w:hideMark/>
          </w:tcPr>
          <w:p w:rsidR="00B33B62" w:rsidRPr="00FE018B" w:rsidRDefault="00B33B62" w:rsidP="00B33B62">
            <w:pPr>
              <w:spacing w:line="240" w:lineRule="auto"/>
              <w:ind w:firstLine="0"/>
              <w:rPr>
                <w:rFonts w:eastAsia="Times New Roman"/>
                <w:color w:val="000000"/>
                <w:szCs w:val="24"/>
              </w:rPr>
            </w:pPr>
          </w:p>
        </w:tc>
        <w:tc>
          <w:tcPr>
            <w:tcW w:w="935" w:type="dxa"/>
            <w:shd w:val="clear" w:color="auto" w:fill="auto"/>
            <w:noWrap/>
            <w:vAlign w:val="bottom"/>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Never</w:t>
            </w:r>
          </w:p>
        </w:tc>
        <w:tc>
          <w:tcPr>
            <w:tcW w:w="990" w:type="dxa"/>
            <w:shd w:val="clear" w:color="auto" w:fill="auto"/>
            <w:noWrap/>
            <w:vAlign w:val="bottom"/>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Rarely</w:t>
            </w:r>
          </w:p>
        </w:tc>
        <w:tc>
          <w:tcPr>
            <w:tcW w:w="1289" w:type="dxa"/>
            <w:shd w:val="clear" w:color="auto" w:fill="auto"/>
            <w:noWrap/>
            <w:vAlign w:val="bottom"/>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Sometimes</w:t>
            </w:r>
          </w:p>
        </w:tc>
        <w:tc>
          <w:tcPr>
            <w:tcW w:w="728" w:type="dxa"/>
            <w:shd w:val="clear" w:color="auto" w:fill="auto"/>
            <w:noWrap/>
            <w:vAlign w:val="bottom"/>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Often</w:t>
            </w:r>
          </w:p>
        </w:tc>
        <w:tc>
          <w:tcPr>
            <w:tcW w:w="1120" w:type="dxa"/>
            <w:shd w:val="clear" w:color="auto" w:fill="auto"/>
            <w:noWrap/>
            <w:vAlign w:val="bottom"/>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Very Often</w:t>
            </w:r>
          </w:p>
        </w:tc>
        <w:tc>
          <w:tcPr>
            <w:tcW w:w="1480" w:type="dxa"/>
            <w:shd w:val="clear" w:color="auto" w:fill="auto"/>
            <w:noWrap/>
            <w:vAlign w:val="bottom"/>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Rather not say</w:t>
            </w:r>
          </w:p>
        </w:tc>
      </w:tr>
      <w:tr w:rsidR="00B33B62" w:rsidRPr="00FE018B" w:rsidTr="00B33B62">
        <w:trPr>
          <w:trHeight w:val="660"/>
        </w:trPr>
        <w:tc>
          <w:tcPr>
            <w:tcW w:w="646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r w:rsidRPr="00FE018B">
              <w:rPr>
                <w:rFonts w:eastAsia="Times New Roman"/>
                <w:color w:val="000000"/>
                <w:szCs w:val="24"/>
              </w:rPr>
              <w:t>How often do you have trouble wrapping up final details of a project, once the challenging parts have been done?</w:t>
            </w:r>
          </w:p>
        </w:tc>
        <w:tc>
          <w:tcPr>
            <w:tcW w:w="935" w:type="dxa"/>
            <w:shd w:val="clear" w:color="auto" w:fill="auto"/>
            <w:noWrap/>
            <w:vAlign w:val="bottom"/>
            <w:hideMark/>
          </w:tcPr>
          <w:p w:rsidR="00B33B62" w:rsidRPr="00FE018B" w:rsidRDefault="00B33B62" w:rsidP="00B33B62">
            <w:pPr>
              <w:spacing w:line="240" w:lineRule="auto"/>
              <w:ind w:firstLine="0"/>
              <w:rPr>
                <w:rFonts w:eastAsia="Times New Roman"/>
                <w:color w:val="000000"/>
                <w:szCs w:val="24"/>
              </w:rPr>
            </w:pPr>
          </w:p>
        </w:tc>
        <w:tc>
          <w:tcPr>
            <w:tcW w:w="990" w:type="dxa"/>
            <w:shd w:val="clear" w:color="auto" w:fill="auto"/>
            <w:noWrap/>
            <w:vAlign w:val="bottom"/>
            <w:hideMark/>
          </w:tcPr>
          <w:p w:rsidR="00B33B62" w:rsidRPr="00FE018B" w:rsidRDefault="00B33B62" w:rsidP="00B33B62">
            <w:pPr>
              <w:spacing w:line="240" w:lineRule="auto"/>
              <w:ind w:firstLine="0"/>
              <w:rPr>
                <w:rFonts w:eastAsia="Times New Roman"/>
                <w:color w:val="000000"/>
                <w:szCs w:val="24"/>
              </w:rPr>
            </w:pPr>
          </w:p>
        </w:tc>
        <w:tc>
          <w:tcPr>
            <w:tcW w:w="1289" w:type="dxa"/>
            <w:shd w:val="clear" w:color="auto" w:fill="auto"/>
            <w:noWrap/>
            <w:vAlign w:val="bottom"/>
            <w:hideMark/>
          </w:tcPr>
          <w:p w:rsidR="00B33B62" w:rsidRPr="00FE018B" w:rsidRDefault="00B33B62" w:rsidP="00B33B62">
            <w:pPr>
              <w:spacing w:line="240" w:lineRule="auto"/>
              <w:ind w:firstLine="0"/>
              <w:rPr>
                <w:rFonts w:eastAsia="Times New Roman"/>
                <w:color w:val="000000"/>
                <w:szCs w:val="24"/>
              </w:rPr>
            </w:pPr>
          </w:p>
        </w:tc>
        <w:tc>
          <w:tcPr>
            <w:tcW w:w="728" w:type="dxa"/>
            <w:shd w:val="clear" w:color="auto" w:fill="auto"/>
            <w:noWrap/>
            <w:vAlign w:val="bottom"/>
            <w:hideMark/>
          </w:tcPr>
          <w:p w:rsidR="00B33B62" w:rsidRPr="00FE018B" w:rsidRDefault="00B33B62" w:rsidP="00B33B62">
            <w:pPr>
              <w:spacing w:line="240" w:lineRule="auto"/>
              <w:ind w:firstLine="0"/>
              <w:rPr>
                <w:rFonts w:eastAsia="Times New Roman"/>
                <w:color w:val="000000"/>
                <w:szCs w:val="24"/>
              </w:rPr>
            </w:pPr>
          </w:p>
        </w:tc>
        <w:tc>
          <w:tcPr>
            <w:tcW w:w="1120" w:type="dxa"/>
            <w:shd w:val="clear" w:color="auto" w:fill="auto"/>
            <w:noWrap/>
            <w:vAlign w:val="bottom"/>
            <w:hideMark/>
          </w:tcPr>
          <w:p w:rsidR="00B33B62" w:rsidRPr="00FE018B" w:rsidRDefault="00B33B62" w:rsidP="00B33B62">
            <w:pPr>
              <w:spacing w:line="240" w:lineRule="auto"/>
              <w:ind w:firstLine="0"/>
              <w:rPr>
                <w:rFonts w:eastAsia="Times New Roman"/>
                <w:color w:val="000000"/>
                <w:szCs w:val="24"/>
              </w:rPr>
            </w:pPr>
          </w:p>
        </w:tc>
        <w:tc>
          <w:tcPr>
            <w:tcW w:w="1480" w:type="dxa"/>
            <w:shd w:val="clear" w:color="auto" w:fill="auto"/>
            <w:noWrap/>
            <w:vAlign w:val="bottom"/>
            <w:hideMark/>
          </w:tcPr>
          <w:p w:rsidR="00B33B62" w:rsidRPr="00FE018B" w:rsidRDefault="00B33B62" w:rsidP="00B33B62">
            <w:pPr>
              <w:spacing w:line="240" w:lineRule="auto"/>
              <w:ind w:firstLine="0"/>
              <w:rPr>
                <w:rFonts w:eastAsia="Times New Roman"/>
                <w:color w:val="000000"/>
                <w:szCs w:val="24"/>
              </w:rPr>
            </w:pPr>
          </w:p>
        </w:tc>
      </w:tr>
      <w:tr w:rsidR="00B33B62" w:rsidRPr="00FE018B" w:rsidTr="00B33B62">
        <w:trPr>
          <w:trHeight w:val="600"/>
        </w:trPr>
        <w:tc>
          <w:tcPr>
            <w:tcW w:w="646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r w:rsidRPr="00FE018B">
              <w:rPr>
                <w:rFonts w:eastAsia="Times New Roman"/>
                <w:color w:val="000000"/>
                <w:szCs w:val="24"/>
              </w:rPr>
              <w:t>How often do y</w:t>
            </w:r>
            <w:r>
              <w:rPr>
                <w:rFonts w:eastAsia="Times New Roman"/>
                <w:color w:val="000000"/>
                <w:szCs w:val="24"/>
              </w:rPr>
              <w:t>ou have difficulty getting thing</w:t>
            </w:r>
            <w:r w:rsidRPr="00FE018B">
              <w:rPr>
                <w:rFonts w:eastAsia="Times New Roman"/>
                <w:color w:val="000000"/>
                <w:szCs w:val="24"/>
              </w:rPr>
              <w:t>s in order when you have to do a task that requires organization?</w:t>
            </w:r>
          </w:p>
        </w:tc>
        <w:tc>
          <w:tcPr>
            <w:tcW w:w="935" w:type="dxa"/>
            <w:shd w:val="clear" w:color="auto" w:fill="auto"/>
            <w:noWrap/>
            <w:vAlign w:val="bottom"/>
            <w:hideMark/>
          </w:tcPr>
          <w:p w:rsidR="00B33B62" w:rsidRPr="00FE018B" w:rsidRDefault="00B33B62" w:rsidP="00B33B62">
            <w:pPr>
              <w:spacing w:line="240" w:lineRule="auto"/>
              <w:ind w:firstLine="0"/>
              <w:rPr>
                <w:rFonts w:eastAsia="Times New Roman"/>
                <w:color w:val="000000"/>
                <w:szCs w:val="24"/>
              </w:rPr>
            </w:pPr>
          </w:p>
        </w:tc>
        <w:tc>
          <w:tcPr>
            <w:tcW w:w="990" w:type="dxa"/>
            <w:shd w:val="clear" w:color="auto" w:fill="auto"/>
            <w:noWrap/>
            <w:vAlign w:val="bottom"/>
            <w:hideMark/>
          </w:tcPr>
          <w:p w:rsidR="00B33B62" w:rsidRPr="00FE018B" w:rsidRDefault="00B33B62" w:rsidP="00B33B62">
            <w:pPr>
              <w:spacing w:line="240" w:lineRule="auto"/>
              <w:ind w:firstLine="0"/>
              <w:rPr>
                <w:rFonts w:eastAsia="Times New Roman"/>
                <w:color w:val="000000"/>
                <w:szCs w:val="24"/>
              </w:rPr>
            </w:pPr>
          </w:p>
        </w:tc>
        <w:tc>
          <w:tcPr>
            <w:tcW w:w="1289" w:type="dxa"/>
            <w:shd w:val="clear" w:color="auto" w:fill="auto"/>
            <w:noWrap/>
            <w:vAlign w:val="bottom"/>
            <w:hideMark/>
          </w:tcPr>
          <w:p w:rsidR="00B33B62" w:rsidRPr="00FE018B" w:rsidRDefault="00B33B62" w:rsidP="00B33B62">
            <w:pPr>
              <w:spacing w:line="240" w:lineRule="auto"/>
              <w:ind w:firstLine="0"/>
              <w:rPr>
                <w:rFonts w:eastAsia="Times New Roman"/>
                <w:color w:val="000000"/>
                <w:szCs w:val="24"/>
              </w:rPr>
            </w:pPr>
          </w:p>
        </w:tc>
        <w:tc>
          <w:tcPr>
            <w:tcW w:w="728" w:type="dxa"/>
            <w:shd w:val="clear" w:color="auto" w:fill="auto"/>
            <w:noWrap/>
            <w:vAlign w:val="bottom"/>
            <w:hideMark/>
          </w:tcPr>
          <w:p w:rsidR="00B33B62" w:rsidRPr="00FE018B" w:rsidRDefault="00B33B62" w:rsidP="00B33B62">
            <w:pPr>
              <w:spacing w:line="240" w:lineRule="auto"/>
              <w:ind w:firstLine="0"/>
              <w:rPr>
                <w:rFonts w:eastAsia="Times New Roman"/>
                <w:color w:val="000000"/>
                <w:szCs w:val="24"/>
              </w:rPr>
            </w:pPr>
          </w:p>
        </w:tc>
        <w:tc>
          <w:tcPr>
            <w:tcW w:w="1120" w:type="dxa"/>
            <w:shd w:val="clear" w:color="auto" w:fill="auto"/>
            <w:noWrap/>
            <w:vAlign w:val="bottom"/>
            <w:hideMark/>
          </w:tcPr>
          <w:p w:rsidR="00B33B62" w:rsidRPr="00FE018B" w:rsidRDefault="00B33B62" w:rsidP="00B33B62">
            <w:pPr>
              <w:spacing w:line="240" w:lineRule="auto"/>
              <w:ind w:firstLine="0"/>
              <w:rPr>
                <w:rFonts w:eastAsia="Times New Roman"/>
                <w:color w:val="000000"/>
                <w:szCs w:val="24"/>
              </w:rPr>
            </w:pPr>
          </w:p>
        </w:tc>
        <w:tc>
          <w:tcPr>
            <w:tcW w:w="1480" w:type="dxa"/>
            <w:shd w:val="clear" w:color="auto" w:fill="auto"/>
            <w:noWrap/>
            <w:vAlign w:val="bottom"/>
            <w:hideMark/>
          </w:tcPr>
          <w:p w:rsidR="00B33B62" w:rsidRPr="00FE018B" w:rsidRDefault="00B33B62" w:rsidP="00B33B62">
            <w:pPr>
              <w:spacing w:line="240" w:lineRule="auto"/>
              <w:ind w:firstLine="0"/>
              <w:rPr>
                <w:rFonts w:eastAsia="Times New Roman"/>
                <w:color w:val="000000"/>
                <w:szCs w:val="24"/>
              </w:rPr>
            </w:pPr>
          </w:p>
        </w:tc>
      </w:tr>
      <w:tr w:rsidR="00B33B62" w:rsidRPr="00FE018B" w:rsidTr="00B33B62">
        <w:trPr>
          <w:trHeight w:val="600"/>
        </w:trPr>
        <w:tc>
          <w:tcPr>
            <w:tcW w:w="646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r w:rsidRPr="00FE018B">
              <w:rPr>
                <w:rFonts w:eastAsia="Times New Roman"/>
                <w:color w:val="000000"/>
                <w:szCs w:val="24"/>
              </w:rPr>
              <w:t>How often do you have problems remembering appointments or obligations?</w:t>
            </w:r>
          </w:p>
        </w:tc>
        <w:tc>
          <w:tcPr>
            <w:tcW w:w="935" w:type="dxa"/>
            <w:shd w:val="clear" w:color="auto" w:fill="auto"/>
            <w:noWrap/>
            <w:vAlign w:val="bottom"/>
            <w:hideMark/>
          </w:tcPr>
          <w:p w:rsidR="00B33B62" w:rsidRPr="00FE018B" w:rsidRDefault="00B33B62" w:rsidP="00B33B62">
            <w:pPr>
              <w:spacing w:line="240" w:lineRule="auto"/>
              <w:ind w:firstLine="0"/>
              <w:rPr>
                <w:rFonts w:eastAsia="Times New Roman"/>
                <w:color w:val="000000"/>
                <w:szCs w:val="24"/>
              </w:rPr>
            </w:pPr>
          </w:p>
        </w:tc>
        <w:tc>
          <w:tcPr>
            <w:tcW w:w="990" w:type="dxa"/>
            <w:shd w:val="clear" w:color="auto" w:fill="auto"/>
            <w:noWrap/>
            <w:vAlign w:val="bottom"/>
            <w:hideMark/>
          </w:tcPr>
          <w:p w:rsidR="00B33B62" w:rsidRPr="00FE018B" w:rsidRDefault="00B33B62" w:rsidP="00B33B62">
            <w:pPr>
              <w:spacing w:line="240" w:lineRule="auto"/>
              <w:ind w:firstLine="0"/>
              <w:rPr>
                <w:rFonts w:eastAsia="Times New Roman"/>
                <w:color w:val="000000"/>
                <w:szCs w:val="24"/>
              </w:rPr>
            </w:pPr>
          </w:p>
        </w:tc>
        <w:tc>
          <w:tcPr>
            <w:tcW w:w="1289" w:type="dxa"/>
            <w:shd w:val="clear" w:color="auto" w:fill="auto"/>
            <w:noWrap/>
            <w:vAlign w:val="bottom"/>
            <w:hideMark/>
          </w:tcPr>
          <w:p w:rsidR="00B33B62" w:rsidRPr="00FE018B" w:rsidRDefault="00B33B62" w:rsidP="00B33B62">
            <w:pPr>
              <w:spacing w:line="240" w:lineRule="auto"/>
              <w:ind w:firstLine="0"/>
              <w:rPr>
                <w:rFonts w:eastAsia="Times New Roman"/>
                <w:color w:val="000000"/>
                <w:szCs w:val="24"/>
              </w:rPr>
            </w:pPr>
          </w:p>
        </w:tc>
        <w:tc>
          <w:tcPr>
            <w:tcW w:w="728" w:type="dxa"/>
            <w:shd w:val="clear" w:color="auto" w:fill="auto"/>
            <w:noWrap/>
            <w:vAlign w:val="bottom"/>
            <w:hideMark/>
          </w:tcPr>
          <w:p w:rsidR="00B33B62" w:rsidRPr="00FE018B" w:rsidRDefault="00B33B62" w:rsidP="00B33B62">
            <w:pPr>
              <w:spacing w:line="240" w:lineRule="auto"/>
              <w:ind w:firstLine="0"/>
              <w:rPr>
                <w:rFonts w:eastAsia="Times New Roman"/>
                <w:color w:val="000000"/>
                <w:szCs w:val="24"/>
              </w:rPr>
            </w:pPr>
          </w:p>
        </w:tc>
        <w:tc>
          <w:tcPr>
            <w:tcW w:w="1120" w:type="dxa"/>
            <w:shd w:val="clear" w:color="auto" w:fill="auto"/>
            <w:noWrap/>
            <w:vAlign w:val="bottom"/>
            <w:hideMark/>
          </w:tcPr>
          <w:p w:rsidR="00B33B62" w:rsidRPr="00FE018B" w:rsidRDefault="00B33B62" w:rsidP="00B33B62">
            <w:pPr>
              <w:spacing w:line="240" w:lineRule="auto"/>
              <w:ind w:firstLine="0"/>
              <w:rPr>
                <w:rFonts w:eastAsia="Times New Roman"/>
                <w:color w:val="000000"/>
                <w:szCs w:val="24"/>
              </w:rPr>
            </w:pPr>
          </w:p>
        </w:tc>
        <w:tc>
          <w:tcPr>
            <w:tcW w:w="1480" w:type="dxa"/>
            <w:shd w:val="clear" w:color="auto" w:fill="auto"/>
            <w:noWrap/>
            <w:vAlign w:val="bottom"/>
            <w:hideMark/>
          </w:tcPr>
          <w:p w:rsidR="00B33B62" w:rsidRPr="00FE018B" w:rsidRDefault="00B33B62" w:rsidP="00B33B62">
            <w:pPr>
              <w:spacing w:line="240" w:lineRule="auto"/>
              <w:ind w:firstLine="0"/>
              <w:rPr>
                <w:rFonts w:eastAsia="Times New Roman"/>
                <w:color w:val="000000"/>
                <w:szCs w:val="24"/>
              </w:rPr>
            </w:pPr>
          </w:p>
        </w:tc>
      </w:tr>
      <w:tr w:rsidR="00B33B62" w:rsidRPr="00FE018B" w:rsidTr="00B33B62">
        <w:trPr>
          <w:trHeight w:val="600"/>
        </w:trPr>
        <w:tc>
          <w:tcPr>
            <w:tcW w:w="646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r w:rsidRPr="00FE018B">
              <w:rPr>
                <w:rFonts w:eastAsia="Times New Roman"/>
                <w:color w:val="000000"/>
                <w:szCs w:val="24"/>
              </w:rPr>
              <w:t>When you have a task that requires a lot of thought, how often do you avoid or delay getting started?</w:t>
            </w:r>
          </w:p>
        </w:tc>
        <w:tc>
          <w:tcPr>
            <w:tcW w:w="935" w:type="dxa"/>
            <w:shd w:val="clear" w:color="auto" w:fill="auto"/>
            <w:noWrap/>
            <w:vAlign w:val="bottom"/>
            <w:hideMark/>
          </w:tcPr>
          <w:p w:rsidR="00B33B62" w:rsidRPr="00FE018B" w:rsidRDefault="00B33B62" w:rsidP="00B33B62">
            <w:pPr>
              <w:spacing w:line="240" w:lineRule="auto"/>
              <w:ind w:firstLine="0"/>
              <w:rPr>
                <w:rFonts w:eastAsia="Times New Roman"/>
                <w:color w:val="000000"/>
                <w:szCs w:val="24"/>
              </w:rPr>
            </w:pPr>
          </w:p>
        </w:tc>
        <w:tc>
          <w:tcPr>
            <w:tcW w:w="990" w:type="dxa"/>
            <w:shd w:val="clear" w:color="auto" w:fill="auto"/>
            <w:noWrap/>
            <w:vAlign w:val="bottom"/>
            <w:hideMark/>
          </w:tcPr>
          <w:p w:rsidR="00B33B62" w:rsidRPr="00FE018B" w:rsidRDefault="00B33B62" w:rsidP="00B33B62">
            <w:pPr>
              <w:spacing w:line="240" w:lineRule="auto"/>
              <w:ind w:firstLine="0"/>
              <w:rPr>
                <w:rFonts w:eastAsia="Times New Roman"/>
                <w:color w:val="000000"/>
                <w:szCs w:val="24"/>
              </w:rPr>
            </w:pPr>
          </w:p>
        </w:tc>
        <w:tc>
          <w:tcPr>
            <w:tcW w:w="1289" w:type="dxa"/>
            <w:shd w:val="clear" w:color="auto" w:fill="auto"/>
            <w:noWrap/>
            <w:vAlign w:val="bottom"/>
            <w:hideMark/>
          </w:tcPr>
          <w:p w:rsidR="00B33B62" w:rsidRPr="00FE018B" w:rsidRDefault="00B33B62" w:rsidP="00B33B62">
            <w:pPr>
              <w:spacing w:line="240" w:lineRule="auto"/>
              <w:ind w:firstLine="0"/>
              <w:rPr>
                <w:rFonts w:eastAsia="Times New Roman"/>
                <w:color w:val="000000"/>
                <w:szCs w:val="24"/>
              </w:rPr>
            </w:pPr>
          </w:p>
        </w:tc>
        <w:tc>
          <w:tcPr>
            <w:tcW w:w="728" w:type="dxa"/>
            <w:shd w:val="clear" w:color="auto" w:fill="auto"/>
            <w:noWrap/>
            <w:vAlign w:val="bottom"/>
            <w:hideMark/>
          </w:tcPr>
          <w:p w:rsidR="00B33B62" w:rsidRPr="00FE018B" w:rsidRDefault="00B33B62" w:rsidP="00B33B62">
            <w:pPr>
              <w:spacing w:line="240" w:lineRule="auto"/>
              <w:ind w:firstLine="0"/>
              <w:rPr>
                <w:rFonts w:eastAsia="Times New Roman"/>
                <w:color w:val="000000"/>
                <w:szCs w:val="24"/>
              </w:rPr>
            </w:pPr>
          </w:p>
        </w:tc>
        <w:tc>
          <w:tcPr>
            <w:tcW w:w="1120" w:type="dxa"/>
            <w:shd w:val="clear" w:color="auto" w:fill="auto"/>
            <w:noWrap/>
            <w:vAlign w:val="bottom"/>
            <w:hideMark/>
          </w:tcPr>
          <w:p w:rsidR="00B33B62" w:rsidRPr="00FE018B" w:rsidRDefault="00B33B62" w:rsidP="00B33B62">
            <w:pPr>
              <w:spacing w:line="240" w:lineRule="auto"/>
              <w:ind w:firstLine="0"/>
              <w:rPr>
                <w:rFonts w:eastAsia="Times New Roman"/>
                <w:color w:val="000000"/>
                <w:szCs w:val="24"/>
              </w:rPr>
            </w:pPr>
          </w:p>
        </w:tc>
        <w:tc>
          <w:tcPr>
            <w:tcW w:w="1480" w:type="dxa"/>
            <w:shd w:val="clear" w:color="auto" w:fill="auto"/>
            <w:noWrap/>
            <w:vAlign w:val="bottom"/>
            <w:hideMark/>
          </w:tcPr>
          <w:p w:rsidR="00B33B62" w:rsidRPr="00FE018B" w:rsidRDefault="00B33B62" w:rsidP="00B33B62">
            <w:pPr>
              <w:spacing w:line="240" w:lineRule="auto"/>
              <w:ind w:firstLine="0"/>
              <w:rPr>
                <w:rFonts w:eastAsia="Times New Roman"/>
                <w:color w:val="000000"/>
                <w:szCs w:val="24"/>
              </w:rPr>
            </w:pPr>
          </w:p>
        </w:tc>
      </w:tr>
      <w:tr w:rsidR="00B33B62" w:rsidRPr="00FE018B" w:rsidTr="00B33B62">
        <w:trPr>
          <w:trHeight w:val="570"/>
        </w:trPr>
        <w:tc>
          <w:tcPr>
            <w:tcW w:w="646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r w:rsidRPr="00FE018B">
              <w:rPr>
                <w:rFonts w:eastAsia="Times New Roman"/>
                <w:color w:val="000000"/>
                <w:szCs w:val="24"/>
              </w:rPr>
              <w:t xml:space="preserve">How often do you feel overly active and compelled to do things </w:t>
            </w:r>
            <w:proofErr w:type="gramStart"/>
            <w:r w:rsidRPr="00FE018B">
              <w:rPr>
                <w:rFonts w:eastAsia="Times New Roman"/>
                <w:color w:val="000000"/>
                <w:szCs w:val="24"/>
              </w:rPr>
              <w:t>like</w:t>
            </w:r>
            <w:proofErr w:type="gramEnd"/>
            <w:r w:rsidRPr="00FE018B">
              <w:rPr>
                <w:rFonts w:eastAsia="Times New Roman"/>
                <w:color w:val="000000"/>
                <w:szCs w:val="24"/>
              </w:rPr>
              <w:t xml:space="preserve"> you were driven by a motor?</w:t>
            </w:r>
          </w:p>
        </w:tc>
        <w:tc>
          <w:tcPr>
            <w:tcW w:w="935" w:type="dxa"/>
            <w:shd w:val="clear" w:color="auto" w:fill="auto"/>
            <w:noWrap/>
            <w:vAlign w:val="bottom"/>
            <w:hideMark/>
          </w:tcPr>
          <w:p w:rsidR="00B33B62" w:rsidRPr="00FE018B" w:rsidRDefault="00B33B62" w:rsidP="00B33B62">
            <w:pPr>
              <w:spacing w:line="240" w:lineRule="auto"/>
              <w:ind w:firstLine="0"/>
              <w:rPr>
                <w:rFonts w:eastAsia="Times New Roman"/>
                <w:color w:val="000000"/>
                <w:szCs w:val="24"/>
              </w:rPr>
            </w:pPr>
          </w:p>
        </w:tc>
        <w:tc>
          <w:tcPr>
            <w:tcW w:w="990" w:type="dxa"/>
            <w:shd w:val="clear" w:color="auto" w:fill="auto"/>
            <w:noWrap/>
            <w:vAlign w:val="bottom"/>
            <w:hideMark/>
          </w:tcPr>
          <w:p w:rsidR="00B33B62" w:rsidRPr="00FE018B" w:rsidRDefault="00B33B62" w:rsidP="00B33B62">
            <w:pPr>
              <w:spacing w:line="240" w:lineRule="auto"/>
              <w:ind w:firstLine="0"/>
              <w:rPr>
                <w:rFonts w:eastAsia="Times New Roman"/>
                <w:color w:val="000000"/>
                <w:szCs w:val="24"/>
              </w:rPr>
            </w:pPr>
          </w:p>
        </w:tc>
        <w:tc>
          <w:tcPr>
            <w:tcW w:w="1289" w:type="dxa"/>
            <w:shd w:val="clear" w:color="auto" w:fill="auto"/>
            <w:noWrap/>
            <w:vAlign w:val="bottom"/>
            <w:hideMark/>
          </w:tcPr>
          <w:p w:rsidR="00B33B62" w:rsidRPr="00FE018B" w:rsidRDefault="00B33B62" w:rsidP="00B33B62">
            <w:pPr>
              <w:spacing w:line="240" w:lineRule="auto"/>
              <w:ind w:firstLine="0"/>
              <w:rPr>
                <w:rFonts w:eastAsia="Times New Roman"/>
                <w:color w:val="000000"/>
                <w:szCs w:val="24"/>
              </w:rPr>
            </w:pPr>
          </w:p>
        </w:tc>
        <w:tc>
          <w:tcPr>
            <w:tcW w:w="728" w:type="dxa"/>
            <w:shd w:val="clear" w:color="auto" w:fill="auto"/>
            <w:noWrap/>
            <w:vAlign w:val="bottom"/>
            <w:hideMark/>
          </w:tcPr>
          <w:p w:rsidR="00B33B62" w:rsidRPr="00FE018B" w:rsidRDefault="00B33B62" w:rsidP="00B33B62">
            <w:pPr>
              <w:spacing w:line="240" w:lineRule="auto"/>
              <w:ind w:firstLine="0"/>
              <w:rPr>
                <w:rFonts w:eastAsia="Times New Roman"/>
                <w:color w:val="000000"/>
                <w:szCs w:val="24"/>
              </w:rPr>
            </w:pPr>
          </w:p>
        </w:tc>
        <w:tc>
          <w:tcPr>
            <w:tcW w:w="1120" w:type="dxa"/>
            <w:shd w:val="clear" w:color="auto" w:fill="auto"/>
            <w:noWrap/>
            <w:vAlign w:val="bottom"/>
            <w:hideMark/>
          </w:tcPr>
          <w:p w:rsidR="00B33B62" w:rsidRPr="00FE018B" w:rsidRDefault="00B33B62" w:rsidP="00B33B62">
            <w:pPr>
              <w:spacing w:line="240" w:lineRule="auto"/>
              <w:ind w:firstLine="0"/>
              <w:rPr>
                <w:rFonts w:eastAsia="Times New Roman"/>
                <w:color w:val="000000"/>
                <w:szCs w:val="24"/>
              </w:rPr>
            </w:pPr>
          </w:p>
        </w:tc>
        <w:tc>
          <w:tcPr>
            <w:tcW w:w="1480" w:type="dxa"/>
            <w:shd w:val="clear" w:color="auto" w:fill="auto"/>
            <w:noWrap/>
            <w:vAlign w:val="bottom"/>
            <w:hideMark/>
          </w:tcPr>
          <w:p w:rsidR="00B33B62" w:rsidRPr="00FE018B" w:rsidRDefault="00B33B62" w:rsidP="00B33B62">
            <w:pPr>
              <w:spacing w:line="240" w:lineRule="auto"/>
              <w:ind w:firstLine="0"/>
              <w:rPr>
                <w:rFonts w:eastAsia="Times New Roman"/>
                <w:color w:val="000000"/>
                <w:szCs w:val="24"/>
              </w:rPr>
            </w:pPr>
          </w:p>
        </w:tc>
      </w:tr>
    </w:tbl>
    <w:p w:rsidR="00B33B62" w:rsidRPr="00FE018B" w:rsidRDefault="00B33B62" w:rsidP="00B33B62">
      <w:pPr>
        <w:spacing w:line="240" w:lineRule="auto"/>
        <w:ind w:firstLine="0"/>
        <w:rPr>
          <w:szCs w:val="24"/>
        </w:rPr>
      </w:pPr>
    </w:p>
    <w:p w:rsidR="00B33B62" w:rsidRPr="00A660CD" w:rsidRDefault="00B33B62" w:rsidP="00B33B62">
      <w:pPr>
        <w:spacing w:line="240" w:lineRule="auto"/>
        <w:ind w:firstLine="0"/>
        <w:rPr>
          <w:b/>
          <w:szCs w:val="24"/>
        </w:rPr>
      </w:pPr>
      <w:r>
        <w:rPr>
          <w:b/>
          <w:szCs w:val="24"/>
        </w:rPr>
        <w:t xml:space="preserve">Q6. </w:t>
      </w:r>
      <w:r w:rsidRPr="00A660CD">
        <w:rPr>
          <w:b/>
          <w:szCs w:val="24"/>
        </w:rPr>
        <w:t>Have you ever been diagnosed with Attention Deficit Hyperactivity Disorder (ADHD, commonly referred to as ADD)?</w:t>
      </w:r>
    </w:p>
    <w:p w:rsidR="00B33B62" w:rsidRPr="00FE018B" w:rsidRDefault="00B33B62" w:rsidP="00B33B62">
      <w:pPr>
        <w:pStyle w:val="ListParagraph"/>
        <w:numPr>
          <w:ilvl w:val="0"/>
          <w:numId w:val="4"/>
        </w:numPr>
        <w:spacing w:line="240" w:lineRule="auto"/>
        <w:rPr>
          <w:szCs w:val="24"/>
        </w:rPr>
      </w:pPr>
      <w:r w:rsidRPr="00FE018B">
        <w:rPr>
          <w:szCs w:val="24"/>
        </w:rPr>
        <w:t>Yes</w:t>
      </w:r>
    </w:p>
    <w:p w:rsidR="00B33B62" w:rsidRPr="00FE018B" w:rsidRDefault="00B33B62" w:rsidP="00B33B62">
      <w:pPr>
        <w:pStyle w:val="ListParagraph"/>
        <w:numPr>
          <w:ilvl w:val="0"/>
          <w:numId w:val="4"/>
        </w:numPr>
        <w:spacing w:line="240" w:lineRule="auto"/>
        <w:rPr>
          <w:szCs w:val="24"/>
        </w:rPr>
      </w:pPr>
      <w:r w:rsidRPr="00FE018B">
        <w:rPr>
          <w:szCs w:val="24"/>
        </w:rPr>
        <w:t>No</w:t>
      </w:r>
    </w:p>
    <w:p w:rsidR="00B33B62" w:rsidRPr="008777F2" w:rsidRDefault="00B33B62" w:rsidP="00B33B62">
      <w:pPr>
        <w:pStyle w:val="ListParagraph"/>
        <w:numPr>
          <w:ilvl w:val="0"/>
          <w:numId w:val="4"/>
        </w:numPr>
        <w:spacing w:line="240" w:lineRule="auto"/>
        <w:rPr>
          <w:szCs w:val="24"/>
        </w:rPr>
      </w:pPr>
      <w:r w:rsidRPr="008777F2">
        <w:rPr>
          <w:szCs w:val="24"/>
        </w:rPr>
        <w:t>Rather Not Say</w:t>
      </w:r>
    </w:p>
    <w:p w:rsidR="00B33B62" w:rsidRDefault="00B33B62" w:rsidP="00B33B62">
      <w:pPr>
        <w:spacing w:line="240" w:lineRule="auto"/>
        <w:ind w:firstLine="0"/>
        <w:rPr>
          <w:szCs w:val="24"/>
        </w:rPr>
      </w:pPr>
    </w:p>
    <w:p w:rsidR="00B33B62" w:rsidRPr="008777F2" w:rsidRDefault="00B33B62" w:rsidP="00B33B62">
      <w:pPr>
        <w:spacing w:line="240" w:lineRule="auto"/>
        <w:ind w:firstLine="0"/>
        <w:rPr>
          <w:b/>
          <w:szCs w:val="24"/>
        </w:rPr>
      </w:pPr>
      <w:r>
        <w:rPr>
          <w:b/>
          <w:szCs w:val="24"/>
        </w:rPr>
        <w:lastRenderedPageBreak/>
        <w:t xml:space="preserve">Q7. </w:t>
      </w:r>
      <w:r w:rsidRPr="008777F2">
        <w:rPr>
          <w:b/>
          <w:szCs w:val="24"/>
        </w:rPr>
        <w:t>How old were you when you were first diagnosed with ADHD (commonly referred to as ADD)?</w:t>
      </w:r>
    </w:p>
    <w:p w:rsidR="00B33B62" w:rsidRPr="00FE018B" w:rsidRDefault="00B33B62" w:rsidP="00B33B62">
      <w:pPr>
        <w:spacing w:line="240" w:lineRule="auto"/>
        <w:ind w:left="360" w:firstLine="0"/>
        <w:rPr>
          <w:szCs w:val="24"/>
        </w:rPr>
      </w:pPr>
      <w:r w:rsidRPr="00FE018B">
        <w:rPr>
          <w:szCs w:val="24"/>
        </w:rPr>
        <w:t>_____ Age</w:t>
      </w:r>
    </w:p>
    <w:p w:rsidR="00B33B62" w:rsidRPr="00FE018B" w:rsidRDefault="00B33B62" w:rsidP="00B33B62">
      <w:pPr>
        <w:spacing w:line="240" w:lineRule="auto"/>
        <w:ind w:left="360" w:firstLine="0"/>
        <w:rPr>
          <w:szCs w:val="24"/>
        </w:rPr>
      </w:pPr>
    </w:p>
    <w:p w:rsidR="00B33B62" w:rsidRPr="00FE018B" w:rsidRDefault="009D10B2" w:rsidP="00B33B62">
      <w:pPr>
        <w:spacing w:line="240" w:lineRule="auto"/>
        <w:ind w:left="360" w:firstLine="0"/>
        <w:rPr>
          <w:szCs w:val="24"/>
        </w:rPr>
      </w:pPr>
      <w:sdt>
        <w:sdtPr>
          <w:rPr>
            <w:szCs w:val="24"/>
          </w:rPr>
          <w:id w:val="2135129316"/>
        </w:sdtPr>
        <w:sdtEndPr/>
        <w:sdtContent>
          <w:r w:rsidR="00B33B62" w:rsidRPr="00FE018B">
            <w:rPr>
              <w:rFonts w:ascii="MS Mincho" w:eastAsia="MS Mincho" w:hAnsi="MS Mincho" w:cs="MS Mincho" w:hint="eastAsia"/>
              <w:szCs w:val="24"/>
            </w:rPr>
            <w:t>☐</w:t>
          </w:r>
        </w:sdtContent>
      </w:sdt>
      <w:r w:rsidR="00B33B62" w:rsidRPr="00FE018B">
        <w:rPr>
          <w:szCs w:val="24"/>
        </w:rPr>
        <w:t xml:space="preserve"> Rather not say</w:t>
      </w:r>
    </w:p>
    <w:p w:rsidR="00B33B62" w:rsidRPr="00FE018B" w:rsidRDefault="00B33B62" w:rsidP="00B33B62">
      <w:pPr>
        <w:spacing w:line="240" w:lineRule="auto"/>
        <w:ind w:firstLine="0"/>
        <w:rPr>
          <w:b/>
          <w:szCs w:val="24"/>
        </w:rPr>
      </w:pPr>
    </w:p>
    <w:p w:rsidR="00B33B62" w:rsidRPr="008777F2" w:rsidRDefault="00B33B62" w:rsidP="00B33B62">
      <w:pPr>
        <w:spacing w:line="240" w:lineRule="auto"/>
        <w:ind w:firstLine="0"/>
        <w:rPr>
          <w:b/>
          <w:szCs w:val="24"/>
        </w:rPr>
      </w:pPr>
      <w:r>
        <w:rPr>
          <w:b/>
          <w:szCs w:val="24"/>
        </w:rPr>
        <w:t xml:space="preserve">Q8. </w:t>
      </w:r>
      <w:r w:rsidRPr="008777F2">
        <w:rPr>
          <w:b/>
          <w:szCs w:val="24"/>
        </w:rPr>
        <w:t>Are you currently diagnosed with ADHD (commonly referred to as ADD)?</w:t>
      </w:r>
    </w:p>
    <w:p w:rsidR="00B33B62" w:rsidRPr="00FE018B" w:rsidRDefault="00B33B62" w:rsidP="00B33B62">
      <w:pPr>
        <w:pStyle w:val="ListParagraph"/>
        <w:numPr>
          <w:ilvl w:val="0"/>
          <w:numId w:val="4"/>
        </w:numPr>
        <w:spacing w:line="240" w:lineRule="auto"/>
        <w:rPr>
          <w:szCs w:val="24"/>
        </w:rPr>
      </w:pPr>
      <w:r w:rsidRPr="00FE018B">
        <w:rPr>
          <w:szCs w:val="24"/>
        </w:rPr>
        <w:t>Yes</w:t>
      </w:r>
    </w:p>
    <w:p w:rsidR="00B33B62" w:rsidRPr="00FE018B" w:rsidRDefault="00B33B62" w:rsidP="00B33B62">
      <w:pPr>
        <w:pStyle w:val="ListParagraph"/>
        <w:numPr>
          <w:ilvl w:val="0"/>
          <w:numId w:val="4"/>
        </w:numPr>
        <w:spacing w:line="240" w:lineRule="auto"/>
        <w:rPr>
          <w:szCs w:val="24"/>
        </w:rPr>
      </w:pPr>
      <w:r w:rsidRPr="00FE018B">
        <w:rPr>
          <w:szCs w:val="24"/>
        </w:rPr>
        <w:t>No</w:t>
      </w:r>
    </w:p>
    <w:p w:rsidR="00B33B62" w:rsidRPr="00FE018B" w:rsidRDefault="00B33B62" w:rsidP="00B33B62">
      <w:pPr>
        <w:pStyle w:val="ListParagraph"/>
        <w:numPr>
          <w:ilvl w:val="0"/>
          <w:numId w:val="4"/>
        </w:numPr>
        <w:spacing w:line="240" w:lineRule="auto"/>
        <w:rPr>
          <w:szCs w:val="24"/>
        </w:rPr>
      </w:pPr>
      <w:r w:rsidRPr="00FE018B">
        <w:rPr>
          <w:szCs w:val="24"/>
        </w:rPr>
        <w:t>Rather Not Say</w:t>
      </w:r>
    </w:p>
    <w:p w:rsidR="00B33B62" w:rsidRPr="00FE018B" w:rsidRDefault="00B33B62" w:rsidP="00B33B62">
      <w:pPr>
        <w:spacing w:line="240" w:lineRule="auto"/>
        <w:ind w:firstLine="0"/>
        <w:rPr>
          <w:szCs w:val="24"/>
        </w:rPr>
      </w:pPr>
    </w:p>
    <w:p w:rsidR="00B33B62" w:rsidRPr="00A660CD" w:rsidRDefault="00B33B62" w:rsidP="00B33B62">
      <w:pPr>
        <w:spacing w:line="240" w:lineRule="auto"/>
        <w:ind w:firstLine="0"/>
        <w:rPr>
          <w:b/>
          <w:szCs w:val="24"/>
        </w:rPr>
      </w:pPr>
      <w:proofErr w:type="gramStart"/>
      <w:r>
        <w:rPr>
          <w:b/>
          <w:szCs w:val="24"/>
        </w:rPr>
        <w:t>Q9 – 17.</w:t>
      </w:r>
      <w:proofErr w:type="gramEnd"/>
      <w:r>
        <w:rPr>
          <w:b/>
          <w:szCs w:val="24"/>
        </w:rPr>
        <w:t xml:space="preserve"> </w:t>
      </w:r>
      <w:r w:rsidRPr="00A660CD">
        <w:rPr>
          <w:b/>
          <w:szCs w:val="24"/>
        </w:rPr>
        <w:t>The next questions ask about your use of various types of drugs. On how many occasions in your lifetime have you used the following types of drugs? Do not include drugs used under a doctor’s prescription.</w:t>
      </w:r>
    </w:p>
    <w:p w:rsidR="00B33B62" w:rsidRPr="00FE018B" w:rsidRDefault="00B33B62" w:rsidP="00B33B62">
      <w:pPr>
        <w:spacing w:line="240" w:lineRule="auto"/>
        <w:ind w:firstLine="0"/>
        <w:rPr>
          <w:szCs w:val="24"/>
        </w:rPr>
      </w:pPr>
    </w:p>
    <w:tbl>
      <w:tblPr>
        <w:tblW w:w="1280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7"/>
        <w:gridCol w:w="1016"/>
        <w:gridCol w:w="1203"/>
        <w:gridCol w:w="1203"/>
        <w:gridCol w:w="1203"/>
        <w:gridCol w:w="1203"/>
        <w:gridCol w:w="1203"/>
        <w:gridCol w:w="1203"/>
        <w:gridCol w:w="1029"/>
      </w:tblGrid>
      <w:tr w:rsidR="00B33B62" w:rsidRPr="00FE018B" w:rsidTr="00B33B62">
        <w:trPr>
          <w:trHeight w:val="570"/>
        </w:trPr>
        <w:tc>
          <w:tcPr>
            <w:tcW w:w="416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Never</w:t>
            </w:r>
          </w:p>
        </w:tc>
        <w:tc>
          <w:tcPr>
            <w:tcW w:w="1080" w:type="dxa"/>
            <w:shd w:val="clear" w:color="auto" w:fill="auto"/>
            <w:vAlign w:val="bottom"/>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1 - 2 Occasions</w:t>
            </w:r>
          </w:p>
        </w:tc>
        <w:tc>
          <w:tcPr>
            <w:tcW w:w="1080" w:type="dxa"/>
            <w:shd w:val="clear" w:color="auto" w:fill="auto"/>
            <w:vAlign w:val="bottom"/>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3 - 5 Occasions</w:t>
            </w:r>
          </w:p>
        </w:tc>
        <w:tc>
          <w:tcPr>
            <w:tcW w:w="1080" w:type="dxa"/>
            <w:shd w:val="clear" w:color="auto" w:fill="auto"/>
            <w:vAlign w:val="bottom"/>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6 - 9 Occasions</w:t>
            </w:r>
          </w:p>
        </w:tc>
        <w:tc>
          <w:tcPr>
            <w:tcW w:w="1080" w:type="dxa"/>
            <w:shd w:val="clear" w:color="auto" w:fill="auto"/>
            <w:vAlign w:val="bottom"/>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10 - 19 Occasions</w:t>
            </w:r>
          </w:p>
        </w:tc>
        <w:tc>
          <w:tcPr>
            <w:tcW w:w="1080" w:type="dxa"/>
            <w:shd w:val="clear" w:color="auto" w:fill="auto"/>
            <w:vAlign w:val="bottom"/>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20 - 39 Occasions</w:t>
            </w:r>
          </w:p>
        </w:tc>
        <w:tc>
          <w:tcPr>
            <w:tcW w:w="1080" w:type="dxa"/>
            <w:shd w:val="clear" w:color="auto" w:fill="auto"/>
            <w:vAlign w:val="bottom"/>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40+ Occasions</w:t>
            </w:r>
          </w:p>
        </w:tc>
        <w:tc>
          <w:tcPr>
            <w:tcW w:w="1080" w:type="dxa"/>
            <w:shd w:val="clear" w:color="auto" w:fill="auto"/>
            <w:vAlign w:val="bottom"/>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Rather not say</w:t>
            </w:r>
          </w:p>
        </w:tc>
      </w:tr>
      <w:tr w:rsidR="00B33B62" w:rsidRPr="00FE018B" w:rsidTr="00B33B62">
        <w:trPr>
          <w:trHeight w:val="422"/>
        </w:trPr>
        <w:tc>
          <w:tcPr>
            <w:tcW w:w="4160" w:type="dxa"/>
            <w:shd w:val="clear" w:color="auto" w:fill="auto"/>
            <w:vAlign w:val="center"/>
            <w:hideMark/>
          </w:tcPr>
          <w:p w:rsidR="00B33B62" w:rsidRPr="00FE018B" w:rsidRDefault="00B33B62" w:rsidP="00B33B62">
            <w:pPr>
              <w:spacing w:line="240" w:lineRule="auto"/>
              <w:ind w:firstLine="0"/>
              <w:rPr>
                <w:rFonts w:eastAsia="Times New Roman"/>
                <w:color w:val="000000"/>
                <w:szCs w:val="24"/>
              </w:rPr>
            </w:pPr>
            <w:r w:rsidRPr="00FE018B">
              <w:rPr>
                <w:rFonts w:eastAsia="Times New Roman"/>
                <w:color w:val="000000"/>
                <w:szCs w:val="24"/>
              </w:rPr>
              <w:t>Marijuana or hashish (hash)</w:t>
            </w: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r>
      <w:tr w:rsidR="00B33B62" w:rsidRPr="00FE018B" w:rsidTr="00B33B62">
        <w:trPr>
          <w:trHeight w:val="720"/>
        </w:trPr>
        <w:tc>
          <w:tcPr>
            <w:tcW w:w="4160" w:type="dxa"/>
            <w:shd w:val="clear" w:color="auto" w:fill="auto"/>
            <w:vAlign w:val="center"/>
            <w:hideMark/>
          </w:tcPr>
          <w:p w:rsidR="00B33B62" w:rsidRPr="00FE018B" w:rsidRDefault="00B33B62" w:rsidP="00B33B62">
            <w:pPr>
              <w:spacing w:line="240" w:lineRule="auto"/>
              <w:ind w:firstLine="0"/>
              <w:rPr>
                <w:rFonts w:eastAsia="Times New Roman"/>
                <w:color w:val="000000"/>
                <w:szCs w:val="24"/>
              </w:rPr>
            </w:pPr>
            <w:proofErr w:type="gramStart"/>
            <w:r w:rsidRPr="00FE018B">
              <w:rPr>
                <w:rFonts w:eastAsia="Times New Roman"/>
                <w:color w:val="000000"/>
                <w:szCs w:val="24"/>
              </w:rPr>
              <w:t>Cocaine in any form (e.g., powder, crack, freebase, etc.)</w:t>
            </w:r>
            <w:proofErr w:type="gramEnd"/>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r>
      <w:tr w:rsidR="00B33B62" w:rsidRPr="00FE018B" w:rsidTr="00B33B62">
        <w:trPr>
          <w:trHeight w:val="422"/>
        </w:trPr>
        <w:tc>
          <w:tcPr>
            <w:tcW w:w="4160" w:type="dxa"/>
            <w:shd w:val="clear" w:color="auto" w:fill="auto"/>
            <w:vAlign w:val="center"/>
            <w:hideMark/>
          </w:tcPr>
          <w:p w:rsidR="00B33B62" w:rsidRPr="00FE018B" w:rsidRDefault="00B33B62" w:rsidP="00B33B62">
            <w:pPr>
              <w:spacing w:line="240" w:lineRule="auto"/>
              <w:ind w:firstLine="0"/>
              <w:rPr>
                <w:rFonts w:eastAsia="Times New Roman"/>
                <w:color w:val="000000"/>
                <w:szCs w:val="24"/>
              </w:rPr>
            </w:pPr>
            <w:r w:rsidRPr="00FE018B">
              <w:rPr>
                <w:rFonts w:eastAsia="Times New Roman"/>
                <w:color w:val="000000"/>
                <w:szCs w:val="24"/>
              </w:rPr>
              <w:t>LSD ("acid")</w:t>
            </w: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r>
      <w:tr w:rsidR="00B33B62" w:rsidRPr="00FE018B" w:rsidTr="00B33B62">
        <w:trPr>
          <w:trHeight w:val="720"/>
        </w:trPr>
        <w:tc>
          <w:tcPr>
            <w:tcW w:w="4160" w:type="dxa"/>
            <w:shd w:val="clear" w:color="auto" w:fill="auto"/>
            <w:vAlign w:val="center"/>
            <w:hideMark/>
          </w:tcPr>
          <w:p w:rsidR="00B33B62" w:rsidRPr="00FE018B" w:rsidRDefault="00B33B62" w:rsidP="00B33B62">
            <w:pPr>
              <w:spacing w:line="240" w:lineRule="auto"/>
              <w:ind w:firstLine="0"/>
              <w:rPr>
                <w:rFonts w:eastAsia="Times New Roman"/>
                <w:color w:val="000000"/>
                <w:szCs w:val="24"/>
              </w:rPr>
            </w:pPr>
            <w:r w:rsidRPr="00FE018B">
              <w:rPr>
                <w:rFonts w:eastAsia="Times New Roman"/>
                <w:color w:val="000000"/>
                <w:szCs w:val="24"/>
              </w:rPr>
              <w:t xml:space="preserve">Other psychedelics (e.g., mescaline, peyote, psilocybin, PCP, </w:t>
            </w:r>
            <w:r>
              <w:rPr>
                <w:rFonts w:eastAsia="Times New Roman"/>
                <w:color w:val="000000"/>
                <w:szCs w:val="24"/>
              </w:rPr>
              <w:t>salvia</w:t>
            </w:r>
            <w:r w:rsidRPr="00FE018B">
              <w:rPr>
                <w:rFonts w:eastAsia="Times New Roman"/>
                <w:color w:val="000000"/>
                <w:szCs w:val="24"/>
              </w:rPr>
              <w:t>)</w:t>
            </w: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r>
      <w:tr w:rsidR="00B33B62" w:rsidRPr="00FE018B" w:rsidTr="00B33B62">
        <w:trPr>
          <w:trHeight w:val="413"/>
        </w:trPr>
        <w:tc>
          <w:tcPr>
            <w:tcW w:w="4160" w:type="dxa"/>
            <w:shd w:val="clear" w:color="auto" w:fill="auto"/>
            <w:vAlign w:val="center"/>
            <w:hideMark/>
          </w:tcPr>
          <w:p w:rsidR="00B33B62" w:rsidRPr="00FE018B" w:rsidRDefault="00B33B62" w:rsidP="00B33B62">
            <w:pPr>
              <w:spacing w:line="240" w:lineRule="auto"/>
              <w:ind w:firstLine="0"/>
              <w:rPr>
                <w:rFonts w:eastAsia="Times New Roman"/>
                <w:color w:val="000000"/>
                <w:szCs w:val="24"/>
              </w:rPr>
            </w:pPr>
            <w:r w:rsidRPr="00FE018B">
              <w:rPr>
                <w:rFonts w:eastAsia="Times New Roman"/>
                <w:color w:val="000000"/>
                <w:szCs w:val="24"/>
              </w:rPr>
              <w:t>Crystal meth ("ice")</w:t>
            </w: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r>
      <w:tr w:rsidR="00B33B62" w:rsidRPr="00FE018B" w:rsidTr="00B33B62">
        <w:trPr>
          <w:trHeight w:val="440"/>
        </w:trPr>
        <w:tc>
          <w:tcPr>
            <w:tcW w:w="4160" w:type="dxa"/>
            <w:shd w:val="clear" w:color="auto" w:fill="auto"/>
            <w:vAlign w:val="center"/>
            <w:hideMark/>
          </w:tcPr>
          <w:p w:rsidR="00B33B62" w:rsidRPr="00FE018B" w:rsidRDefault="00B33B62" w:rsidP="00B33B62">
            <w:pPr>
              <w:spacing w:line="240" w:lineRule="auto"/>
              <w:ind w:firstLine="0"/>
              <w:rPr>
                <w:rFonts w:eastAsia="Times New Roman"/>
                <w:color w:val="000000"/>
                <w:szCs w:val="24"/>
              </w:rPr>
            </w:pPr>
            <w:r w:rsidRPr="00FE018B">
              <w:rPr>
                <w:rFonts w:eastAsia="Times New Roman"/>
                <w:color w:val="000000"/>
                <w:szCs w:val="24"/>
              </w:rPr>
              <w:t xml:space="preserve">Heroin (smack, horse, </w:t>
            </w:r>
            <w:proofErr w:type="spellStart"/>
            <w:r w:rsidRPr="00FE018B">
              <w:rPr>
                <w:rFonts w:eastAsia="Times New Roman"/>
                <w:color w:val="000000"/>
                <w:szCs w:val="24"/>
              </w:rPr>
              <w:t>skag</w:t>
            </w:r>
            <w:proofErr w:type="spellEnd"/>
            <w:r w:rsidRPr="00FE018B">
              <w:rPr>
                <w:rFonts w:eastAsia="Times New Roman"/>
                <w:color w:val="000000"/>
                <w:szCs w:val="24"/>
              </w:rPr>
              <w:t>)</w:t>
            </w: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r>
      <w:tr w:rsidR="00B33B62" w:rsidRPr="00FE018B" w:rsidTr="00B33B62">
        <w:trPr>
          <w:trHeight w:val="720"/>
        </w:trPr>
        <w:tc>
          <w:tcPr>
            <w:tcW w:w="4160" w:type="dxa"/>
            <w:shd w:val="clear" w:color="auto" w:fill="auto"/>
            <w:vAlign w:val="center"/>
            <w:hideMark/>
          </w:tcPr>
          <w:p w:rsidR="00B33B62" w:rsidRPr="00FE018B" w:rsidRDefault="00B33B62" w:rsidP="00B33B62">
            <w:pPr>
              <w:spacing w:line="240" w:lineRule="auto"/>
              <w:ind w:firstLine="0"/>
              <w:rPr>
                <w:rFonts w:eastAsia="Times New Roman"/>
                <w:color w:val="000000"/>
                <w:szCs w:val="24"/>
              </w:rPr>
            </w:pPr>
            <w:r w:rsidRPr="00FE018B">
              <w:rPr>
                <w:rFonts w:eastAsia="Times New Roman"/>
                <w:color w:val="000000"/>
                <w:szCs w:val="24"/>
              </w:rPr>
              <w:t>Inhalants (glue, aerosol spray, nitrites, other gases or sprays)</w:t>
            </w: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r>
      <w:tr w:rsidR="00B33B62" w:rsidRPr="00FE018B" w:rsidTr="00B33B62">
        <w:trPr>
          <w:trHeight w:val="350"/>
        </w:trPr>
        <w:tc>
          <w:tcPr>
            <w:tcW w:w="4160" w:type="dxa"/>
            <w:shd w:val="clear" w:color="auto" w:fill="auto"/>
            <w:vAlign w:val="center"/>
            <w:hideMark/>
          </w:tcPr>
          <w:p w:rsidR="00B33B62" w:rsidRPr="00FE018B" w:rsidRDefault="00B33B62" w:rsidP="00B33B62">
            <w:pPr>
              <w:spacing w:line="240" w:lineRule="auto"/>
              <w:ind w:firstLine="0"/>
              <w:rPr>
                <w:rFonts w:eastAsia="Times New Roman"/>
                <w:color w:val="000000"/>
                <w:szCs w:val="24"/>
              </w:rPr>
            </w:pPr>
            <w:r w:rsidRPr="00FE018B">
              <w:rPr>
                <w:rFonts w:eastAsia="Times New Roman"/>
                <w:color w:val="000000"/>
                <w:szCs w:val="24"/>
              </w:rPr>
              <w:t>Ecstasy (MDMA)</w:t>
            </w: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r>
      <w:tr w:rsidR="00B33B62" w:rsidRPr="00FE018B" w:rsidTr="00B33B62">
        <w:trPr>
          <w:trHeight w:val="440"/>
        </w:trPr>
        <w:tc>
          <w:tcPr>
            <w:tcW w:w="4160" w:type="dxa"/>
            <w:shd w:val="clear" w:color="auto" w:fill="auto"/>
            <w:vAlign w:val="center"/>
            <w:hideMark/>
          </w:tcPr>
          <w:p w:rsidR="00B33B62" w:rsidRPr="00FE018B" w:rsidRDefault="00B33B62" w:rsidP="00B33B62">
            <w:pPr>
              <w:spacing w:line="240" w:lineRule="auto"/>
              <w:ind w:firstLine="0"/>
              <w:rPr>
                <w:rFonts w:eastAsia="Times New Roman"/>
                <w:color w:val="000000"/>
                <w:szCs w:val="24"/>
              </w:rPr>
            </w:pPr>
            <w:r w:rsidRPr="00FE018B">
              <w:rPr>
                <w:rFonts w:eastAsia="Times New Roman"/>
                <w:color w:val="000000"/>
                <w:szCs w:val="24"/>
              </w:rPr>
              <w:lastRenderedPageBreak/>
              <w:t>Anabolic Steroids</w:t>
            </w: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r>
    </w:tbl>
    <w:p w:rsidR="00B33B62" w:rsidRDefault="00B33B62" w:rsidP="00B33B62">
      <w:pPr>
        <w:spacing w:line="240" w:lineRule="auto"/>
        <w:ind w:firstLine="0"/>
        <w:rPr>
          <w:b/>
          <w:szCs w:val="24"/>
        </w:rPr>
      </w:pPr>
    </w:p>
    <w:p w:rsidR="00B33B62" w:rsidRDefault="00B33B62" w:rsidP="00B33B62">
      <w:pPr>
        <w:spacing w:line="240" w:lineRule="auto"/>
        <w:ind w:firstLine="0"/>
        <w:rPr>
          <w:b/>
          <w:szCs w:val="24"/>
        </w:rPr>
      </w:pPr>
      <w:proofErr w:type="gramStart"/>
      <w:r>
        <w:rPr>
          <w:b/>
          <w:szCs w:val="24"/>
        </w:rPr>
        <w:t>Q9A – 17A.</w:t>
      </w:r>
      <w:proofErr w:type="gramEnd"/>
      <w:r>
        <w:rPr>
          <w:b/>
          <w:szCs w:val="24"/>
        </w:rPr>
        <w:t xml:space="preserve"> </w:t>
      </w:r>
      <w:r w:rsidRPr="00A660CD">
        <w:rPr>
          <w:b/>
          <w:szCs w:val="24"/>
        </w:rPr>
        <w:t>How old were you when you first started using each drug? Do not include drugs used as prescribed by a doctor.</w:t>
      </w:r>
    </w:p>
    <w:p w:rsidR="00B33B62" w:rsidRPr="001F110E" w:rsidRDefault="00B33B62" w:rsidP="00B33B62">
      <w:pPr>
        <w:spacing w:line="240" w:lineRule="auto"/>
        <w:ind w:firstLine="0"/>
        <w:rPr>
          <w:szCs w:val="24"/>
        </w:rPr>
      </w:pPr>
      <w:r w:rsidRPr="001F110E">
        <w:rPr>
          <w:szCs w:val="24"/>
        </w:rPr>
        <w:t>[</w:t>
      </w:r>
      <w:r>
        <w:rPr>
          <w:szCs w:val="24"/>
        </w:rPr>
        <w:t>ONLY SHOW QUESTIONS THAT WERE TRUE FROM 9 – 17]</w:t>
      </w:r>
    </w:p>
    <w:p w:rsidR="00B33B62" w:rsidRPr="00FE018B" w:rsidRDefault="00B33B62" w:rsidP="00B33B62">
      <w:pPr>
        <w:spacing w:line="240" w:lineRule="auto"/>
        <w:ind w:firstLine="0"/>
        <w:rPr>
          <w:szCs w:val="24"/>
        </w:rPr>
      </w:pPr>
    </w:p>
    <w:tbl>
      <w:tblPr>
        <w:tblW w:w="1308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2"/>
        <w:gridCol w:w="1062"/>
        <w:gridCol w:w="1062"/>
        <w:gridCol w:w="1062"/>
        <w:gridCol w:w="1062"/>
        <w:gridCol w:w="1062"/>
        <w:gridCol w:w="1070"/>
        <w:gridCol w:w="1096"/>
        <w:gridCol w:w="1065"/>
      </w:tblGrid>
      <w:tr w:rsidR="00B33B62" w:rsidRPr="00FE018B" w:rsidTr="00B33B62">
        <w:trPr>
          <w:trHeight w:val="570"/>
        </w:trPr>
        <w:tc>
          <w:tcPr>
            <w:tcW w:w="45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65" w:type="dxa"/>
            <w:shd w:val="clear" w:color="auto" w:fill="auto"/>
            <w:vAlign w:val="bottom"/>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 xml:space="preserve">Grade </w:t>
            </w:r>
          </w:p>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K - 4</w:t>
            </w:r>
          </w:p>
        </w:tc>
        <w:tc>
          <w:tcPr>
            <w:tcW w:w="1065" w:type="dxa"/>
            <w:shd w:val="clear" w:color="auto" w:fill="auto"/>
            <w:vAlign w:val="bottom"/>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 xml:space="preserve">Grade </w:t>
            </w:r>
          </w:p>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5 - 6</w:t>
            </w:r>
          </w:p>
        </w:tc>
        <w:tc>
          <w:tcPr>
            <w:tcW w:w="1065" w:type="dxa"/>
            <w:shd w:val="clear" w:color="auto" w:fill="auto"/>
            <w:vAlign w:val="bottom"/>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 xml:space="preserve">Grade </w:t>
            </w:r>
          </w:p>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7 - 8</w:t>
            </w:r>
          </w:p>
        </w:tc>
        <w:tc>
          <w:tcPr>
            <w:tcW w:w="1065" w:type="dxa"/>
            <w:shd w:val="clear" w:color="auto" w:fill="auto"/>
            <w:vAlign w:val="bottom"/>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 xml:space="preserve">Grade </w:t>
            </w:r>
          </w:p>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9 - 10</w:t>
            </w:r>
          </w:p>
        </w:tc>
        <w:tc>
          <w:tcPr>
            <w:tcW w:w="1065" w:type="dxa"/>
            <w:shd w:val="clear" w:color="auto" w:fill="auto"/>
            <w:vAlign w:val="bottom"/>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Grade 11 - 12</w:t>
            </w:r>
          </w:p>
        </w:tc>
        <w:tc>
          <w:tcPr>
            <w:tcW w:w="1070" w:type="dxa"/>
            <w:shd w:val="clear" w:color="auto" w:fill="auto"/>
            <w:vAlign w:val="center"/>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Under</w:t>
            </w:r>
          </w:p>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graduate</w:t>
            </w:r>
          </w:p>
        </w:tc>
        <w:tc>
          <w:tcPr>
            <w:tcW w:w="1040" w:type="dxa"/>
            <w:vAlign w:val="center"/>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Graduate</w:t>
            </w:r>
          </w:p>
        </w:tc>
        <w:tc>
          <w:tcPr>
            <w:tcW w:w="1068" w:type="dxa"/>
            <w:shd w:val="clear" w:color="auto" w:fill="auto"/>
            <w:vAlign w:val="bottom"/>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Rather not say</w:t>
            </w:r>
          </w:p>
        </w:tc>
      </w:tr>
      <w:tr w:rsidR="00B33B62" w:rsidRPr="00FE018B" w:rsidTr="00B33B62">
        <w:trPr>
          <w:trHeight w:val="368"/>
        </w:trPr>
        <w:tc>
          <w:tcPr>
            <w:tcW w:w="4580" w:type="dxa"/>
            <w:shd w:val="clear" w:color="auto" w:fill="auto"/>
            <w:vAlign w:val="center"/>
            <w:hideMark/>
          </w:tcPr>
          <w:p w:rsidR="00B33B62" w:rsidRPr="00FE018B" w:rsidRDefault="00B33B62" w:rsidP="00B33B62">
            <w:pPr>
              <w:spacing w:line="240" w:lineRule="auto"/>
              <w:ind w:firstLine="0"/>
              <w:rPr>
                <w:rFonts w:eastAsia="Times New Roman"/>
                <w:color w:val="000000"/>
                <w:szCs w:val="24"/>
              </w:rPr>
            </w:pPr>
            <w:r w:rsidRPr="00FE018B">
              <w:rPr>
                <w:rFonts w:eastAsia="Times New Roman"/>
                <w:color w:val="000000"/>
                <w:szCs w:val="24"/>
              </w:rPr>
              <w:t>Marijuana or hashish (hash)</w:t>
            </w:r>
          </w:p>
        </w:tc>
        <w:tc>
          <w:tcPr>
            <w:tcW w:w="1065"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65"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65"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65"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65"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7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40" w:type="dxa"/>
          </w:tcPr>
          <w:p w:rsidR="00B33B62" w:rsidRPr="00FE018B" w:rsidRDefault="00B33B62" w:rsidP="00B33B62">
            <w:pPr>
              <w:spacing w:line="240" w:lineRule="auto"/>
              <w:ind w:firstLine="0"/>
              <w:rPr>
                <w:rFonts w:eastAsia="Times New Roman"/>
                <w:color w:val="000000"/>
                <w:szCs w:val="24"/>
              </w:rPr>
            </w:pPr>
          </w:p>
        </w:tc>
        <w:tc>
          <w:tcPr>
            <w:tcW w:w="1068"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r>
      <w:tr w:rsidR="00B33B62" w:rsidRPr="00FE018B" w:rsidTr="00B33B62">
        <w:trPr>
          <w:trHeight w:val="720"/>
        </w:trPr>
        <w:tc>
          <w:tcPr>
            <w:tcW w:w="4580" w:type="dxa"/>
            <w:shd w:val="clear" w:color="auto" w:fill="auto"/>
            <w:vAlign w:val="center"/>
            <w:hideMark/>
          </w:tcPr>
          <w:p w:rsidR="00B33B62" w:rsidRPr="00FE018B" w:rsidRDefault="00B33B62" w:rsidP="00B33B62">
            <w:pPr>
              <w:spacing w:line="240" w:lineRule="auto"/>
              <w:ind w:firstLine="0"/>
              <w:rPr>
                <w:rFonts w:eastAsia="Times New Roman"/>
                <w:color w:val="000000"/>
                <w:szCs w:val="24"/>
              </w:rPr>
            </w:pPr>
            <w:proofErr w:type="gramStart"/>
            <w:r w:rsidRPr="00FE018B">
              <w:rPr>
                <w:rFonts w:eastAsia="Times New Roman"/>
                <w:color w:val="000000"/>
                <w:szCs w:val="24"/>
              </w:rPr>
              <w:t>Cocaine in any form (e.g., powder, crack, freebase, etc.)</w:t>
            </w:r>
            <w:proofErr w:type="gramEnd"/>
          </w:p>
        </w:tc>
        <w:tc>
          <w:tcPr>
            <w:tcW w:w="1065"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65"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65"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65"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65"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7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40" w:type="dxa"/>
          </w:tcPr>
          <w:p w:rsidR="00B33B62" w:rsidRPr="00FE018B" w:rsidRDefault="00B33B62" w:rsidP="00B33B62">
            <w:pPr>
              <w:spacing w:line="240" w:lineRule="auto"/>
              <w:ind w:firstLine="0"/>
              <w:rPr>
                <w:rFonts w:eastAsia="Times New Roman"/>
                <w:color w:val="000000"/>
                <w:szCs w:val="24"/>
              </w:rPr>
            </w:pPr>
          </w:p>
        </w:tc>
        <w:tc>
          <w:tcPr>
            <w:tcW w:w="1068"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r>
      <w:tr w:rsidR="00B33B62" w:rsidRPr="00FE018B" w:rsidTr="00B33B62">
        <w:trPr>
          <w:trHeight w:val="332"/>
        </w:trPr>
        <w:tc>
          <w:tcPr>
            <w:tcW w:w="4580" w:type="dxa"/>
            <w:shd w:val="clear" w:color="auto" w:fill="auto"/>
            <w:vAlign w:val="center"/>
            <w:hideMark/>
          </w:tcPr>
          <w:p w:rsidR="00B33B62" w:rsidRPr="00FE018B" w:rsidRDefault="00B33B62" w:rsidP="00B33B62">
            <w:pPr>
              <w:spacing w:line="240" w:lineRule="auto"/>
              <w:ind w:firstLine="0"/>
              <w:rPr>
                <w:rFonts w:eastAsia="Times New Roman"/>
                <w:color w:val="000000"/>
                <w:szCs w:val="24"/>
              </w:rPr>
            </w:pPr>
            <w:r w:rsidRPr="00FE018B">
              <w:rPr>
                <w:rFonts w:eastAsia="Times New Roman"/>
                <w:color w:val="000000"/>
                <w:szCs w:val="24"/>
              </w:rPr>
              <w:t>LSD ("acid")</w:t>
            </w:r>
          </w:p>
        </w:tc>
        <w:tc>
          <w:tcPr>
            <w:tcW w:w="1065"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65"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65"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65"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65"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7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40" w:type="dxa"/>
          </w:tcPr>
          <w:p w:rsidR="00B33B62" w:rsidRPr="00FE018B" w:rsidRDefault="00B33B62" w:rsidP="00B33B62">
            <w:pPr>
              <w:spacing w:line="240" w:lineRule="auto"/>
              <w:ind w:firstLine="0"/>
              <w:rPr>
                <w:rFonts w:eastAsia="Times New Roman"/>
                <w:color w:val="000000"/>
                <w:szCs w:val="24"/>
              </w:rPr>
            </w:pPr>
          </w:p>
        </w:tc>
        <w:tc>
          <w:tcPr>
            <w:tcW w:w="1068"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r>
      <w:tr w:rsidR="00B33B62" w:rsidRPr="00FE018B" w:rsidTr="00B33B62">
        <w:trPr>
          <w:trHeight w:val="720"/>
        </w:trPr>
        <w:tc>
          <w:tcPr>
            <w:tcW w:w="4580" w:type="dxa"/>
            <w:shd w:val="clear" w:color="auto" w:fill="auto"/>
            <w:vAlign w:val="center"/>
            <w:hideMark/>
          </w:tcPr>
          <w:p w:rsidR="00B33B62" w:rsidRPr="00FE018B" w:rsidRDefault="00B33B62" w:rsidP="00B33B62">
            <w:pPr>
              <w:spacing w:line="240" w:lineRule="auto"/>
              <w:ind w:firstLine="0"/>
              <w:rPr>
                <w:rFonts w:eastAsia="Times New Roman"/>
                <w:color w:val="000000"/>
                <w:szCs w:val="24"/>
              </w:rPr>
            </w:pPr>
            <w:r w:rsidRPr="00FE018B">
              <w:rPr>
                <w:rFonts w:eastAsia="Times New Roman"/>
                <w:color w:val="000000"/>
                <w:szCs w:val="24"/>
              </w:rPr>
              <w:t xml:space="preserve">Other psychedelics (e.g., mescaline, peyote, psilocybin, PCP, </w:t>
            </w:r>
            <w:r>
              <w:rPr>
                <w:rFonts w:eastAsia="Times New Roman"/>
                <w:color w:val="000000"/>
                <w:szCs w:val="24"/>
              </w:rPr>
              <w:t>salvia</w:t>
            </w:r>
            <w:r w:rsidRPr="00FE018B">
              <w:rPr>
                <w:rFonts w:eastAsia="Times New Roman"/>
                <w:color w:val="000000"/>
                <w:szCs w:val="24"/>
              </w:rPr>
              <w:t>)</w:t>
            </w:r>
          </w:p>
        </w:tc>
        <w:tc>
          <w:tcPr>
            <w:tcW w:w="1065"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65"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65"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65"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65"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7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40" w:type="dxa"/>
          </w:tcPr>
          <w:p w:rsidR="00B33B62" w:rsidRPr="00FE018B" w:rsidRDefault="00B33B62" w:rsidP="00B33B62">
            <w:pPr>
              <w:spacing w:line="240" w:lineRule="auto"/>
              <w:ind w:firstLine="0"/>
              <w:rPr>
                <w:rFonts w:eastAsia="Times New Roman"/>
                <w:color w:val="000000"/>
                <w:szCs w:val="24"/>
              </w:rPr>
            </w:pPr>
          </w:p>
        </w:tc>
        <w:tc>
          <w:tcPr>
            <w:tcW w:w="1068"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r>
      <w:tr w:rsidR="00B33B62" w:rsidRPr="00FE018B" w:rsidTr="00B33B62">
        <w:trPr>
          <w:trHeight w:val="350"/>
        </w:trPr>
        <w:tc>
          <w:tcPr>
            <w:tcW w:w="4580" w:type="dxa"/>
            <w:shd w:val="clear" w:color="auto" w:fill="auto"/>
            <w:vAlign w:val="center"/>
            <w:hideMark/>
          </w:tcPr>
          <w:p w:rsidR="00B33B62" w:rsidRPr="00FE018B" w:rsidRDefault="00B33B62" w:rsidP="00B33B62">
            <w:pPr>
              <w:spacing w:line="240" w:lineRule="auto"/>
              <w:ind w:firstLine="0"/>
              <w:rPr>
                <w:rFonts w:eastAsia="Times New Roman"/>
                <w:color w:val="000000"/>
                <w:szCs w:val="24"/>
              </w:rPr>
            </w:pPr>
            <w:r w:rsidRPr="00FE018B">
              <w:rPr>
                <w:rFonts w:eastAsia="Times New Roman"/>
                <w:color w:val="000000"/>
                <w:szCs w:val="24"/>
              </w:rPr>
              <w:t>Crystal meth ("ice")</w:t>
            </w:r>
          </w:p>
        </w:tc>
        <w:tc>
          <w:tcPr>
            <w:tcW w:w="1065"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65"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65"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65"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65"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7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40" w:type="dxa"/>
          </w:tcPr>
          <w:p w:rsidR="00B33B62" w:rsidRPr="00FE018B" w:rsidRDefault="00B33B62" w:rsidP="00B33B62">
            <w:pPr>
              <w:spacing w:line="240" w:lineRule="auto"/>
              <w:ind w:firstLine="0"/>
              <w:rPr>
                <w:rFonts w:eastAsia="Times New Roman"/>
                <w:color w:val="000000"/>
                <w:szCs w:val="24"/>
              </w:rPr>
            </w:pPr>
          </w:p>
        </w:tc>
        <w:tc>
          <w:tcPr>
            <w:tcW w:w="1068"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r>
      <w:tr w:rsidR="00B33B62" w:rsidRPr="00FE018B" w:rsidTr="00B33B62">
        <w:trPr>
          <w:trHeight w:val="440"/>
        </w:trPr>
        <w:tc>
          <w:tcPr>
            <w:tcW w:w="4580" w:type="dxa"/>
            <w:shd w:val="clear" w:color="auto" w:fill="auto"/>
            <w:vAlign w:val="center"/>
            <w:hideMark/>
          </w:tcPr>
          <w:p w:rsidR="00B33B62" w:rsidRPr="00FE018B" w:rsidRDefault="00B33B62" w:rsidP="00B33B62">
            <w:pPr>
              <w:spacing w:line="240" w:lineRule="auto"/>
              <w:ind w:firstLine="0"/>
              <w:rPr>
                <w:rFonts w:eastAsia="Times New Roman"/>
                <w:color w:val="000000"/>
                <w:szCs w:val="24"/>
              </w:rPr>
            </w:pPr>
            <w:r w:rsidRPr="00FE018B">
              <w:rPr>
                <w:rFonts w:eastAsia="Times New Roman"/>
                <w:color w:val="000000"/>
                <w:szCs w:val="24"/>
              </w:rPr>
              <w:t xml:space="preserve">Heroin (smack, horse, </w:t>
            </w:r>
            <w:proofErr w:type="spellStart"/>
            <w:r w:rsidRPr="00FE018B">
              <w:rPr>
                <w:rFonts w:eastAsia="Times New Roman"/>
                <w:color w:val="000000"/>
                <w:szCs w:val="24"/>
              </w:rPr>
              <w:t>skag</w:t>
            </w:r>
            <w:proofErr w:type="spellEnd"/>
            <w:r w:rsidRPr="00FE018B">
              <w:rPr>
                <w:rFonts w:eastAsia="Times New Roman"/>
                <w:color w:val="000000"/>
                <w:szCs w:val="24"/>
              </w:rPr>
              <w:t>)</w:t>
            </w:r>
          </w:p>
        </w:tc>
        <w:tc>
          <w:tcPr>
            <w:tcW w:w="1065"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65"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65"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65"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65"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7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40" w:type="dxa"/>
          </w:tcPr>
          <w:p w:rsidR="00B33B62" w:rsidRPr="00FE018B" w:rsidRDefault="00B33B62" w:rsidP="00B33B62">
            <w:pPr>
              <w:spacing w:line="240" w:lineRule="auto"/>
              <w:ind w:firstLine="0"/>
              <w:rPr>
                <w:rFonts w:eastAsia="Times New Roman"/>
                <w:color w:val="000000"/>
                <w:szCs w:val="24"/>
              </w:rPr>
            </w:pPr>
          </w:p>
        </w:tc>
        <w:tc>
          <w:tcPr>
            <w:tcW w:w="1068"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r>
      <w:tr w:rsidR="00B33B62" w:rsidRPr="00FE018B" w:rsidTr="00B33B62">
        <w:trPr>
          <w:trHeight w:val="620"/>
        </w:trPr>
        <w:tc>
          <w:tcPr>
            <w:tcW w:w="4580" w:type="dxa"/>
            <w:shd w:val="clear" w:color="auto" w:fill="auto"/>
            <w:vAlign w:val="center"/>
            <w:hideMark/>
          </w:tcPr>
          <w:p w:rsidR="00B33B62" w:rsidRPr="00FE018B" w:rsidRDefault="00B33B62" w:rsidP="00B33B62">
            <w:pPr>
              <w:spacing w:line="240" w:lineRule="auto"/>
              <w:ind w:firstLine="0"/>
              <w:rPr>
                <w:rFonts w:eastAsia="Times New Roman"/>
                <w:color w:val="000000"/>
                <w:szCs w:val="24"/>
              </w:rPr>
            </w:pPr>
            <w:r w:rsidRPr="00FE018B">
              <w:rPr>
                <w:rFonts w:eastAsia="Times New Roman"/>
                <w:color w:val="000000"/>
                <w:szCs w:val="24"/>
              </w:rPr>
              <w:t>Inhalants (glue, aerosol spray, nitrites, other gases or sprays)</w:t>
            </w:r>
          </w:p>
        </w:tc>
        <w:tc>
          <w:tcPr>
            <w:tcW w:w="1065"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65"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65"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65"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65"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7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40" w:type="dxa"/>
          </w:tcPr>
          <w:p w:rsidR="00B33B62" w:rsidRPr="00FE018B" w:rsidRDefault="00B33B62" w:rsidP="00B33B62">
            <w:pPr>
              <w:spacing w:line="240" w:lineRule="auto"/>
              <w:ind w:firstLine="0"/>
              <w:rPr>
                <w:rFonts w:eastAsia="Times New Roman"/>
                <w:color w:val="000000"/>
                <w:szCs w:val="24"/>
              </w:rPr>
            </w:pPr>
          </w:p>
        </w:tc>
        <w:tc>
          <w:tcPr>
            <w:tcW w:w="1068"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r>
      <w:tr w:rsidR="00B33B62" w:rsidRPr="00FE018B" w:rsidTr="00B33B62">
        <w:trPr>
          <w:trHeight w:val="440"/>
        </w:trPr>
        <w:tc>
          <w:tcPr>
            <w:tcW w:w="4580" w:type="dxa"/>
            <w:shd w:val="clear" w:color="auto" w:fill="auto"/>
            <w:vAlign w:val="center"/>
            <w:hideMark/>
          </w:tcPr>
          <w:p w:rsidR="00B33B62" w:rsidRPr="00FE018B" w:rsidRDefault="00B33B62" w:rsidP="00B33B62">
            <w:pPr>
              <w:spacing w:line="240" w:lineRule="auto"/>
              <w:ind w:firstLine="0"/>
              <w:rPr>
                <w:rFonts w:eastAsia="Times New Roman"/>
                <w:color w:val="000000"/>
                <w:szCs w:val="24"/>
              </w:rPr>
            </w:pPr>
            <w:r w:rsidRPr="00FE018B">
              <w:rPr>
                <w:rFonts w:eastAsia="Times New Roman"/>
                <w:color w:val="000000"/>
                <w:szCs w:val="24"/>
              </w:rPr>
              <w:t>Ecstasy (MDMA)</w:t>
            </w:r>
          </w:p>
        </w:tc>
        <w:tc>
          <w:tcPr>
            <w:tcW w:w="1065"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65"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65"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65"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65"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7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40" w:type="dxa"/>
          </w:tcPr>
          <w:p w:rsidR="00B33B62" w:rsidRPr="00FE018B" w:rsidRDefault="00B33B62" w:rsidP="00B33B62">
            <w:pPr>
              <w:spacing w:line="240" w:lineRule="auto"/>
              <w:ind w:firstLine="0"/>
              <w:rPr>
                <w:rFonts w:eastAsia="Times New Roman"/>
                <w:color w:val="000000"/>
                <w:szCs w:val="24"/>
              </w:rPr>
            </w:pPr>
          </w:p>
        </w:tc>
        <w:tc>
          <w:tcPr>
            <w:tcW w:w="1068"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r>
      <w:tr w:rsidR="00B33B62" w:rsidRPr="00FE018B" w:rsidTr="00B33B62">
        <w:trPr>
          <w:trHeight w:val="440"/>
        </w:trPr>
        <w:tc>
          <w:tcPr>
            <w:tcW w:w="4580" w:type="dxa"/>
            <w:shd w:val="clear" w:color="auto" w:fill="auto"/>
            <w:vAlign w:val="center"/>
            <w:hideMark/>
          </w:tcPr>
          <w:p w:rsidR="00B33B62" w:rsidRPr="00FE018B" w:rsidRDefault="00B33B62" w:rsidP="00B33B62">
            <w:pPr>
              <w:spacing w:line="240" w:lineRule="auto"/>
              <w:ind w:firstLine="0"/>
              <w:rPr>
                <w:rFonts w:eastAsia="Times New Roman"/>
                <w:color w:val="000000"/>
                <w:szCs w:val="24"/>
              </w:rPr>
            </w:pPr>
            <w:r w:rsidRPr="00FE018B">
              <w:rPr>
                <w:rFonts w:eastAsia="Times New Roman"/>
                <w:color w:val="000000"/>
                <w:szCs w:val="24"/>
              </w:rPr>
              <w:t>Anabolic Steroids</w:t>
            </w:r>
          </w:p>
        </w:tc>
        <w:tc>
          <w:tcPr>
            <w:tcW w:w="1065"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65"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65"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65"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65"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7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40" w:type="dxa"/>
          </w:tcPr>
          <w:p w:rsidR="00B33B62" w:rsidRPr="00FE018B" w:rsidRDefault="00B33B62" w:rsidP="00B33B62">
            <w:pPr>
              <w:spacing w:line="240" w:lineRule="auto"/>
              <w:ind w:firstLine="0"/>
              <w:rPr>
                <w:rFonts w:eastAsia="Times New Roman"/>
                <w:color w:val="000000"/>
                <w:szCs w:val="24"/>
              </w:rPr>
            </w:pPr>
          </w:p>
        </w:tc>
        <w:tc>
          <w:tcPr>
            <w:tcW w:w="1068"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r>
    </w:tbl>
    <w:p w:rsidR="00B33B62" w:rsidRPr="00FE018B" w:rsidRDefault="00B33B62" w:rsidP="00B33B62">
      <w:pPr>
        <w:spacing w:line="240" w:lineRule="auto"/>
        <w:ind w:firstLine="0"/>
        <w:rPr>
          <w:szCs w:val="24"/>
        </w:rPr>
      </w:pPr>
    </w:p>
    <w:p w:rsidR="00B33B62" w:rsidRDefault="00B33B62" w:rsidP="00B33B62">
      <w:pPr>
        <w:spacing w:line="240" w:lineRule="auto"/>
        <w:ind w:firstLine="0"/>
        <w:rPr>
          <w:b/>
          <w:szCs w:val="24"/>
        </w:rPr>
      </w:pPr>
      <w:proofErr w:type="gramStart"/>
      <w:r>
        <w:rPr>
          <w:b/>
          <w:szCs w:val="24"/>
        </w:rPr>
        <w:t>Q9B – 17B.</w:t>
      </w:r>
      <w:proofErr w:type="gramEnd"/>
      <w:r>
        <w:rPr>
          <w:b/>
          <w:szCs w:val="24"/>
        </w:rPr>
        <w:t xml:space="preserve"> </w:t>
      </w:r>
      <w:r w:rsidRPr="00A660CD">
        <w:rPr>
          <w:b/>
          <w:szCs w:val="24"/>
        </w:rPr>
        <w:t>On how many occasions in the past 12 months have you used the following types of drugs? Do not include drugs used under a doctor’s prescription.</w:t>
      </w:r>
    </w:p>
    <w:p w:rsidR="00B33B62" w:rsidRPr="001F110E" w:rsidRDefault="00B33B62" w:rsidP="00B33B62">
      <w:pPr>
        <w:spacing w:line="240" w:lineRule="auto"/>
        <w:ind w:firstLine="0"/>
        <w:rPr>
          <w:szCs w:val="24"/>
        </w:rPr>
      </w:pPr>
      <w:r w:rsidRPr="001F110E">
        <w:rPr>
          <w:szCs w:val="24"/>
        </w:rPr>
        <w:t>[</w:t>
      </w:r>
      <w:r>
        <w:rPr>
          <w:szCs w:val="24"/>
        </w:rPr>
        <w:t>ONLY SHOW QUESTIONS THAT WERE TRUE FROM 9 – 17]</w:t>
      </w:r>
    </w:p>
    <w:p w:rsidR="00B33B62" w:rsidRPr="00FE018B" w:rsidRDefault="00B33B62" w:rsidP="00B33B62">
      <w:pPr>
        <w:spacing w:line="240" w:lineRule="auto"/>
        <w:ind w:firstLine="0"/>
        <w:rPr>
          <w:szCs w:val="24"/>
        </w:rPr>
      </w:pPr>
    </w:p>
    <w:tbl>
      <w:tblPr>
        <w:tblW w:w="1280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7"/>
        <w:gridCol w:w="1016"/>
        <w:gridCol w:w="1203"/>
        <w:gridCol w:w="1203"/>
        <w:gridCol w:w="1203"/>
        <w:gridCol w:w="1203"/>
        <w:gridCol w:w="1203"/>
        <w:gridCol w:w="1203"/>
        <w:gridCol w:w="1029"/>
      </w:tblGrid>
      <w:tr w:rsidR="00B33B62" w:rsidRPr="00FE018B" w:rsidTr="00B33B62">
        <w:trPr>
          <w:trHeight w:val="570"/>
        </w:trPr>
        <w:tc>
          <w:tcPr>
            <w:tcW w:w="416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Never</w:t>
            </w:r>
          </w:p>
        </w:tc>
        <w:tc>
          <w:tcPr>
            <w:tcW w:w="1080" w:type="dxa"/>
            <w:shd w:val="clear" w:color="auto" w:fill="auto"/>
            <w:vAlign w:val="bottom"/>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1 - 2 Occasions</w:t>
            </w:r>
          </w:p>
        </w:tc>
        <w:tc>
          <w:tcPr>
            <w:tcW w:w="1080" w:type="dxa"/>
            <w:shd w:val="clear" w:color="auto" w:fill="auto"/>
            <w:vAlign w:val="bottom"/>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3 - 5 Occasions</w:t>
            </w:r>
          </w:p>
        </w:tc>
        <w:tc>
          <w:tcPr>
            <w:tcW w:w="1080" w:type="dxa"/>
            <w:shd w:val="clear" w:color="auto" w:fill="auto"/>
            <w:vAlign w:val="bottom"/>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6 - 9 Occasions</w:t>
            </w:r>
          </w:p>
        </w:tc>
        <w:tc>
          <w:tcPr>
            <w:tcW w:w="1080" w:type="dxa"/>
            <w:shd w:val="clear" w:color="auto" w:fill="auto"/>
            <w:vAlign w:val="bottom"/>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10 - 19 Occasions</w:t>
            </w:r>
          </w:p>
        </w:tc>
        <w:tc>
          <w:tcPr>
            <w:tcW w:w="1080" w:type="dxa"/>
            <w:shd w:val="clear" w:color="auto" w:fill="auto"/>
            <w:vAlign w:val="bottom"/>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20 - 39 Occasions</w:t>
            </w:r>
          </w:p>
        </w:tc>
        <w:tc>
          <w:tcPr>
            <w:tcW w:w="1080" w:type="dxa"/>
            <w:shd w:val="clear" w:color="auto" w:fill="auto"/>
            <w:vAlign w:val="bottom"/>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40+ Occasions</w:t>
            </w:r>
          </w:p>
        </w:tc>
        <w:tc>
          <w:tcPr>
            <w:tcW w:w="1080" w:type="dxa"/>
            <w:shd w:val="clear" w:color="auto" w:fill="auto"/>
            <w:vAlign w:val="bottom"/>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Rather not say</w:t>
            </w:r>
          </w:p>
        </w:tc>
      </w:tr>
      <w:tr w:rsidR="00B33B62" w:rsidRPr="00FE018B" w:rsidTr="00B33B62">
        <w:trPr>
          <w:trHeight w:val="440"/>
        </w:trPr>
        <w:tc>
          <w:tcPr>
            <w:tcW w:w="4160" w:type="dxa"/>
            <w:shd w:val="clear" w:color="auto" w:fill="auto"/>
            <w:vAlign w:val="center"/>
            <w:hideMark/>
          </w:tcPr>
          <w:p w:rsidR="00B33B62" w:rsidRPr="00FE018B" w:rsidRDefault="00B33B62" w:rsidP="00B33B62">
            <w:pPr>
              <w:spacing w:line="240" w:lineRule="auto"/>
              <w:ind w:firstLine="0"/>
              <w:rPr>
                <w:rFonts w:eastAsia="Times New Roman"/>
                <w:color w:val="000000"/>
                <w:szCs w:val="24"/>
              </w:rPr>
            </w:pPr>
            <w:r w:rsidRPr="00FE018B">
              <w:rPr>
                <w:rFonts w:eastAsia="Times New Roman"/>
                <w:color w:val="000000"/>
                <w:szCs w:val="24"/>
              </w:rPr>
              <w:lastRenderedPageBreak/>
              <w:t>Marijuana or hashish (hash)</w:t>
            </w: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r>
      <w:tr w:rsidR="00B33B62" w:rsidRPr="00FE018B" w:rsidTr="00B33B62">
        <w:trPr>
          <w:trHeight w:val="720"/>
        </w:trPr>
        <w:tc>
          <w:tcPr>
            <w:tcW w:w="4160" w:type="dxa"/>
            <w:shd w:val="clear" w:color="auto" w:fill="auto"/>
            <w:vAlign w:val="center"/>
            <w:hideMark/>
          </w:tcPr>
          <w:p w:rsidR="00B33B62" w:rsidRPr="00FE018B" w:rsidRDefault="00B33B62" w:rsidP="00B33B62">
            <w:pPr>
              <w:spacing w:line="240" w:lineRule="auto"/>
              <w:ind w:firstLine="0"/>
              <w:rPr>
                <w:rFonts w:eastAsia="Times New Roman"/>
                <w:color w:val="000000"/>
                <w:szCs w:val="24"/>
              </w:rPr>
            </w:pPr>
            <w:proofErr w:type="gramStart"/>
            <w:r w:rsidRPr="00FE018B">
              <w:rPr>
                <w:rFonts w:eastAsia="Times New Roman"/>
                <w:color w:val="000000"/>
                <w:szCs w:val="24"/>
              </w:rPr>
              <w:t>Cocaine in any form (e.g., powder, crack, freebase, etc.)</w:t>
            </w:r>
            <w:proofErr w:type="gramEnd"/>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r>
      <w:tr w:rsidR="00B33B62" w:rsidRPr="00FE018B" w:rsidTr="00B33B62">
        <w:trPr>
          <w:trHeight w:val="422"/>
        </w:trPr>
        <w:tc>
          <w:tcPr>
            <w:tcW w:w="4160" w:type="dxa"/>
            <w:shd w:val="clear" w:color="auto" w:fill="auto"/>
            <w:vAlign w:val="center"/>
            <w:hideMark/>
          </w:tcPr>
          <w:p w:rsidR="00B33B62" w:rsidRPr="00FE018B" w:rsidRDefault="00B33B62" w:rsidP="00B33B62">
            <w:pPr>
              <w:spacing w:line="240" w:lineRule="auto"/>
              <w:ind w:firstLine="0"/>
              <w:rPr>
                <w:rFonts w:eastAsia="Times New Roman"/>
                <w:color w:val="000000"/>
                <w:szCs w:val="24"/>
              </w:rPr>
            </w:pPr>
            <w:r w:rsidRPr="00FE018B">
              <w:rPr>
                <w:rFonts w:eastAsia="Times New Roman"/>
                <w:color w:val="000000"/>
                <w:szCs w:val="24"/>
              </w:rPr>
              <w:t>LSD ("acid")</w:t>
            </w: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r>
      <w:tr w:rsidR="00B33B62" w:rsidRPr="00FE018B" w:rsidTr="00B33B62">
        <w:trPr>
          <w:trHeight w:val="720"/>
        </w:trPr>
        <w:tc>
          <w:tcPr>
            <w:tcW w:w="4160" w:type="dxa"/>
            <w:shd w:val="clear" w:color="auto" w:fill="auto"/>
            <w:vAlign w:val="center"/>
            <w:hideMark/>
          </w:tcPr>
          <w:p w:rsidR="00B33B62" w:rsidRPr="00FE018B" w:rsidRDefault="00B33B62" w:rsidP="00B33B62">
            <w:pPr>
              <w:spacing w:line="240" w:lineRule="auto"/>
              <w:ind w:firstLine="0"/>
              <w:rPr>
                <w:rFonts w:eastAsia="Times New Roman"/>
                <w:color w:val="000000"/>
                <w:szCs w:val="24"/>
              </w:rPr>
            </w:pPr>
            <w:r w:rsidRPr="00FE018B">
              <w:rPr>
                <w:rFonts w:eastAsia="Times New Roman"/>
                <w:color w:val="000000"/>
                <w:szCs w:val="24"/>
              </w:rPr>
              <w:t xml:space="preserve">Other psychedelics (e.g., mescaline, peyote, psilocybin, PCP, </w:t>
            </w:r>
            <w:r>
              <w:rPr>
                <w:rFonts w:eastAsia="Times New Roman"/>
                <w:color w:val="000000"/>
                <w:szCs w:val="24"/>
              </w:rPr>
              <w:t>salvia</w:t>
            </w:r>
            <w:r w:rsidRPr="00FE018B">
              <w:rPr>
                <w:rFonts w:eastAsia="Times New Roman"/>
                <w:color w:val="000000"/>
                <w:szCs w:val="24"/>
              </w:rPr>
              <w:t>)</w:t>
            </w: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r>
      <w:tr w:rsidR="00B33B62" w:rsidRPr="00FE018B" w:rsidTr="00B33B62">
        <w:trPr>
          <w:trHeight w:val="422"/>
        </w:trPr>
        <w:tc>
          <w:tcPr>
            <w:tcW w:w="4160" w:type="dxa"/>
            <w:shd w:val="clear" w:color="auto" w:fill="auto"/>
            <w:vAlign w:val="center"/>
            <w:hideMark/>
          </w:tcPr>
          <w:p w:rsidR="00B33B62" w:rsidRPr="00FE018B" w:rsidRDefault="00B33B62" w:rsidP="00B33B62">
            <w:pPr>
              <w:spacing w:line="240" w:lineRule="auto"/>
              <w:ind w:firstLine="0"/>
              <w:rPr>
                <w:rFonts w:eastAsia="Times New Roman"/>
                <w:color w:val="000000"/>
                <w:szCs w:val="24"/>
              </w:rPr>
            </w:pPr>
            <w:r w:rsidRPr="00FE018B">
              <w:rPr>
                <w:rFonts w:eastAsia="Times New Roman"/>
                <w:color w:val="000000"/>
                <w:szCs w:val="24"/>
              </w:rPr>
              <w:t>Crystal meth ("ice")</w:t>
            </w: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r>
      <w:tr w:rsidR="00B33B62" w:rsidRPr="00FE018B" w:rsidTr="00B33B62">
        <w:trPr>
          <w:trHeight w:val="350"/>
        </w:trPr>
        <w:tc>
          <w:tcPr>
            <w:tcW w:w="4160" w:type="dxa"/>
            <w:shd w:val="clear" w:color="auto" w:fill="auto"/>
            <w:vAlign w:val="center"/>
            <w:hideMark/>
          </w:tcPr>
          <w:p w:rsidR="00B33B62" w:rsidRPr="00FE018B" w:rsidRDefault="00B33B62" w:rsidP="00B33B62">
            <w:pPr>
              <w:spacing w:line="240" w:lineRule="auto"/>
              <w:ind w:firstLine="0"/>
              <w:rPr>
                <w:rFonts w:eastAsia="Times New Roman"/>
                <w:color w:val="000000"/>
                <w:szCs w:val="24"/>
              </w:rPr>
            </w:pPr>
            <w:r w:rsidRPr="00FE018B">
              <w:rPr>
                <w:rFonts w:eastAsia="Times New Roman"/>
                <w:color w:val="000000"/>
                <w:szCs w:val="24"/>
              </w:rPr>
              <w:t xml:space="preserve">Heroin (smack, horse, </w:t>
            </w:r>
            <w:proofErr w:type="spellStart"/>
            <w:r w:rsidRPr="00FE018B">
              <w:rPr>
                <w:rFonts w:eastAsia="Times New Roman"/>
                <w:color w:val="000000"/>
                <w:szCs w:val="24"/>
              </w:rPr>
              <w:t>skag</w:t>
            </w:r>
            <w:proofErr w:type="spellEnd"/>
            <w:r w:rsidRPr="00FE018B">
              <w:rPr>
                <w:rFonts w:eastAsia="Times New Roman"/>
                <w:color w:val="000000"/>
                <w:szCs w:val="24"/>
              </w:rPr>
              <w:t>)</w:t>
            </w: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r>
      <w:tr w:rsidR="00B33B62" w:rsidRPr="00FE018B" w:rsidTr="00B33B62">
        <w:trPr>
          <w:trHeight w:val="720"/>
        </w:trPr>
        <w:tc>
          <w:tcPr>
            <w:tcW w:w="4160" w:type="dxa"/>
            <w:shd w:val="clear" w:color="auto" w:fill="auto"/>
            <w:vAlign w:val="center"/>
            <w:hideMark/>
          </w:tcPr>
          <w:p w:rsidR="00B33B62" w:rsidRPr="00FE018B" w:rsidRDefault="00B33B62" w:rsidP="00B33B62">
            <w:pPr>
              <w:spacing w:line="240" w:lineRule="auto"/>
              <w:ind w:firstLine="0"/>
              <w:rPr>
                <w:rFonts w:eastAsia="Times New Roman"/>
                <w:color w:val="000000"/>
                <w:szCs w:val="24"/>
              </w:rPr>
            </w:pPr>
            <w:r w:rsidRPr="00FE018B">
              <w:rPr>
                <w:rFonts w:eastAsia="Times New Roman"/>
                <w:color w:val="000000"/>
                <w:szCs w:val="24"/>
              </w:rPr>
              <w:t>Inhalants (glue, aerosol spray, nitrites, other gases or sprays)</w:t>
            </w: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r>
      <w:tr w:rsidR="00B33B62" w:rsidRPr="00FE018B" w:rsidTr="00B33B62">
        <w:trPr>
          <w:trHeight w:val="422"/>
        </w:trPr>
        <w:tc>
          <w:tcPr>
            <w:tcW w:w="4160" w:type="dxa"/>
            <w:shd w:val="clear" w:color="auto" w:fill="auto"/>
            <w:vAlign w:val="center"/>
            <w:hideMark/>
          </w:tcPr>
          <w:p w:rsidR="00B33B62" w:rsidRPr="00FE018B" w:rsidRDefault="00B33B62" w:rsidP="00B33B62">
            <w:pPr>
              <w:spacing w:line="240" w:lineRule="auto"/>
              <w:ind w:firstLine="0"/>
              <w:rPr>
                <w:rFonts w:eastAsia="Times New Roman"/>
                <w:color w:val="000000"/>
                <w:szCs w:val="24"/>
              </w:rPr>
            </w:pPr>
            <w:r w:rsidRPr="00FE018B">
              <w:rPr>
                <w:rFonts w:eastAsia="Times New Roman"/>
                <w:color w:val="000000"/>
                <w:szCs w:val="24"/>
              </w:rPr>
              <w:t>Ecstasy (MDMA)</w:t>
            </w: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r>
      <w:tr w:rsidR="00B33B62" w:rsidRPr="00FE018B" w:rsidTr="00B33B62">
        <w:trPr>
          <w:trHeight w:val="350"/>
        </w:trPr>
        <w:tc>
          <w:tcPr>
            <w:tcW w:w="4160" w:type="dxa"/>
            <w:shd w:val="clear" w:color="auto" w:fill="auto"/>
            <w:vAlign w:val="center"/>
            <w:hideMark/>
          </w:tcPr>
          <w:p w:rsidR="00B33B62" w:rsidRPr="00FE018B" w:rsidRDefault="00B33B62" w:rsidP="00B33B62">
            <w:pPr>
              <w:spacing w:line="240" w:lineRule="auto"/>
              <w:ind w:firstLine="0"/>
              <w:rPr>
                <w:rFonts w:eastAsia="Times New Roman"/>
                <w:color w:val="000000"/>
                <w:szCs w:val="24"/>
              </w:rPr>
            </w:pPr>
            <w:r w:rsidRPr="00FE018B">
              <w:rPr>
                <w:rFonts w:eastAsia="Times New Roman"/>
                <w:color w:val="000000"/>
                <w:szCs w:val="24"/>
              </w:rPr>
              <w:t>Anabolic Steroids</w:t>
            </w: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r>
    </w:tbl>
    <w:p w:rsidR="00B33B62" w:rsidRPr="00FE018B" w:rsidRDefault="00B33B62" w:rsidP="00B33B62">
      <w:pPr>
        <w:spacing w:line="240" w:lineRule="auto"/>
        <w:ind w:firstLine="0"/>
        <w:rPr>
          <w:szCs w:val="24"/>
        </w:rPr>
      </w:pPr>
    </w:p>
    <w:p w:rsidR="00B33B62" w:rsidRDefault="00B33B62" w:rsidP="00B33B62">
      <w:pPr>
        <w:spacing w:line="240" w:lineRule="auto"/>
        <w:ind w:firstLine="0"/>
        <w:rPr>
          <w:b/>
          <w:szCs w:val="24"/>
        </w:rPr>
      </w:pPr>
      <w:proofErr w:type="gramStart"/>
      <w:r>
        <w:rPr>
          <w:b/>
          <w:szCs w:val="24"/>
        </w:rPr>
        <w:t>Q9C – 17C.</w:t>
      </w:r>
      <w:proofErr w:type="gramEnd"/>
      <w:r>
        <w:rPr>
          <w:b/>
          <w:szCs w:val="24"/>
        </w:rPr>
        <w:t xml:space="preserve"> </w:t>
      </w:r>
      <w:r w:rsidRPr="00A660CD">
        <w:rPr>
          <w:b/>
          <w:szCs w:val="24"/>
        </w:rPr>
        <w:t>On how many occasions in the past 30 days have you used the following types of drugs? Do not include drugs used under a doctor’s prescription.</w:t>
      </w:r>
    </w:p>
    <w:p w:rsidR="00B33B62" w:rsidRPr="001F110E" w:rsidRDefault="00B33B62" w:rsidP="00B33B62">
      <w:pPr>
        <w:spacing w:line="240" w:lineRule="auto"/>
        <w:ind w:firstLine="0"/>
        <w:rPr>
          <w:szCs w:val="24"/>
        </w:rPr>
      </w:pPr>
      <w:r w:rsidRPr="001F110E">
        <w:rPr>
          <w:szCs w:val="24"/>
        </w:rPr>
        <w:t>[</w:t>
      </w:r>
      <w:r>
        <w:rPr>
          <w:szCs w:val="24"/>
        </w:rPr>
        <w:t>ONLY SHOW QUESTIONS THAT WERE TRUE FROM 9 – 17]</w:t>
      </w:r>
    </w:p>
    <w:p w:rsidR="00B33B62" w:rsidRPr="00FE018B" w:rsidRDefault="00B33B62" w:rsidP="00B33B62">
      <w:pPr>
        <w:spacing w:line="240" w:lineRule="auto"/>
        <w:ind w:firstLine="0"/>
        <w:rPr>
          <w:szCs w:val="24"/>
        </w:rPr>
      </w:pPr>
    </w:p>
    <w:tbl>
      <w:tblPr>
        <w:tblW w:w="1280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7"/>
        <w:gridCol w:w="1016"/>
        <w:gridCol w:w="1203"/>
        <w:gridCol w:w="1203"/>
        <w:gridCol w:w="1203"/>
        <w:gridCol w:w="1203"/>
        <w:gridCol w:w="1203"/>
        <w:gridCol w:w="1203"/>
        <w:gridCol w:w="1029"/>
      </w:tblGrid>
      <w:tr w:rsidR="00B33B62" w:rsidRPr="00FE018B" w:rsidTr="00B33B62">
        <w:trPr>
          <w:trHeight w:val="570"/>
        </w:trPr>
        <w:tc>
          <w:tcPr>
            <w:tcW w:w="3537"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16" w:type="dxa"/>
            <w:shd w:val="clear" w:color="auto" w:fill="auto"/>
            <w:vAlign w:val="bottom"/>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Never</w:t>
            </w:r>
          </w:p>
        </w:tc>
        <w:tc>
          <w:tcPr>
            <w:tcW w:w="1203" w:type="dxa"/>
            <w:shd w:val="clear" w:color="auto" w:fill="auto"/>
            <w:vAlign w:val="bottom"/>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1 - 2 Occasions</w:t>
            </w:r>
          </w:p>
        </w:tc>
        <w:tc>
          <w:tcPr>
            <w:tcW w:w="1203" w:type="dxa"/>
            <w:shd w:val="clear" w:color="auto" w:fill="auto"/>
            <w:vAlign w:val="bottom"/>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3 - 5 Occasions</w:t>
            </w:r>
          </w:p>
        </w:tc>
        <w:tc>
          <w:tcPr>
            <w:tcW w:w="1203" w:type="dxa"/>
            <w:shd w:val="clear" w:color="auto" w:fill="auto"/>
            <w:vAlign w:val="bottom"/>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6 - 9 Occasions</w:t>
            </w:r>
          </w:p>
        </w:tc>
        <w:tc>
          <w:tcPr>
            <w:tcW w:w="1203" w:type="dxa"/>
            <w:shd w:val="clear" w:color="auto" w:fill="auto"/>
            <w:vAlign w:val="bottom"/>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10 - 19 Occasions</w:t>
            </w:r>
          </w:p>
        </w:tc>
        <w:tc>
          <w:tcPr>
            <w:tcW w:w="1203" w:type="dxa"/>
            <w:shd w:val="clear" w:color="auto" w:fill="auto"/>
            <w:vAlign w:val="bottom"/>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20 - 39 Occasions</w:t>
            </w:r>
          </w:p>
        </w:tc>
        <w:tc>
          <w:tcPr>
            <w:tcW w:w="1203" w:type="dxa"/>
            <w:shd w:val="clear" w:color="auto" w:fill="auto"/>
            <w:vAlign w:val="bottom"/>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40+ Occasions</w:t>
            </w:r>
          </w:p>
        </w:tc>
        <w:tc>
          <w:tcPr>
            <w:tcW w:w="1029" w:type="dxa"/>
            <w:shd w:val="clear" w:color="auto" w:fill="auto"/>
            <w:vAlign w:val="bottom"/>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Rather not say</w:t>
            </w:r>
          </w:p>
        </w:tc>
      </w:tr>
      <w:tr w:rsidR="00B33B62" w:rsidRPr="00FE018B" w:rsidTr="00B33B62">
        <w:trPr>
          <w:trHeight w:val="422"/>
        </w:trPr>
        <w:tc>
          <w:tcPr>
            <w:tcW w:w="3537" w:type="dxa"/>
            <w:shd w:val="clear" w:color="auto" w:fill="auto"/>
            <w:vAlign w:val="center"/>
            <w:hideMark/>
          </w:tcPr>
          <w:p w:rsidR="00B33B62" w:rsidRPr="00FE018B" w:rsidRDefault="00B33B62" w:rsidP="00B33B62">
            <w:pPr>
              <w:spacing w:line="240" w:lineRule="auto"/>
              <w:ind w:firstLine="0"/>
              <w:rPr>
                <w:rFonts w:eastAsia="Times New Roman"/>
                <w:color w:val="000000"/>
                <w:szCs w:val="24"/>
              </w:rPr>
            </w:pPr>
            <w:r w:rsidRPr="00FE018B">
              <w:rPr>
                <w:rFonts w:eastAsia="Times New Roman"/>
                <w:color w:val="000000"/>
                <w:szCs w:val="24"/>
              </w:rPr>
              <w:t>Marijuana or hashish (hash)</w:t>
            </w:r>
          </w:p>
        </w:tc>
        <w:tc>
          <w:tcPr>
            <w:tcW w:w="1016"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29"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r>
      <w:tr w:rsidR="00B33B62" w:rsidRPr="00FE018B" w:rsidTr="00B33B62">
        <w:trPr>
          <w:trHeight w:val="720"/>
        </w:trPr>
        <w:tc>
          <w:tcPr>
            <w:tcW w:w="3537" w:type="dxa"/>
            <w:shd w:val="clear" w:color="auto" w:fill="auto"/>
            <w:vAlign w:val="center"/>
            <w:hideMark/>
          </w:tcPr>
          <w:p w:rsidR="00B33B62" w:rsidRPr="00FE018B" w:rsidRDefault="00B33B62" w:rsidP="00B33B62">
            <w:pPr>
              <w:spacing w:line="240" w:lineRule="auto"/>
              <w:ind w:firstLine="0"/>
              <w:rPr>
                <w:rFonts w:eastAsia="Times New Roman"/>
                <w:color w:val="000000"/>
                <w:szCs w:val="24"/>
              </w:rPr>
            </w:pPr>
            <w:proofErr w:type="gramStart"/>
            <w:r w:rsidRPr="00FE018B">
              <w:rPr>
                <w:rFonts w:eastAsia="Times New Roman"/>
                <w:color w:val="000000"/>
                <w:szCs w:val="24"/>
              </w:rPr>
              <w:t>Cocaine in any form (e.g., powder, crack, freebase, etc.)</w:t>
            </w:r>
            <w:proofErr w:type="gramEnd"/>
          </w:p>
        </w:tc>
        <w:tc>
          <w:tcPr>
            <w:tcW w:w="1016"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29"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r>
      <w:tr w:rsidR="00B33B62" w:rsidRPr="00FE018B" w:rsidTr="00B33B62">
        <w:trPr>
          <w:trHeight w:val="287"/>
        </w:trPr>
        <w:tc>
          <w:tcPr>
            <w:tcW w:w="3537" w:type="dxa"/>
            <w:shd w:val="clear" w:color="auto" w:fill="auto"/>
            <w:vAlign w:val="center"/>
            <w:hideMark/>
          </w:tcPr>
          <w:p w:rsidR="00B33B62" w:rsidRPr="00FE018B" w:rsidRDefault="00B33B62" w:rsidP="00B33B62">
            <w:pPr>
              <w:spacing w:line="240" w:lineRule="auto"/>
              <w:ind w:firstLine="0"/>
              <w:rPr>
                <w:rFonts w:eastAsia="Times New Roman"/>
                <w:color w:val="000000"/>
                <w:szCs w:val="24"/>
              </w:rPr>
            </w:pPr>
            <w:r w:rsidRPr="00FE018B">
              <w:rPr>
                <w:rFonts w:eastAsia="Times New Roman"/>
                <w:color w:val="000000"/>
                <w:szCs w:val="24"/>
              </w:rPr>
              <w:t>LSD ("acid")</w:t>
            </w:r>
          </w:p>
        </w:tc>
        <w:tc>
          <w:tcPr>
            <w:tcW w:w="1016"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29"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r>
      <w:tr w:rsidR="00B33B62" w:rsidRPr="00FE018B" w:rsidTr="00B33B62">
        <w:trPr>
          <w:trHeight w:val="720"/>
        </w:trPr>
        <w:tc>
          <w:tcPr>
            <w:tcW w:w="3537" w:type="dxa"/>
            <w:shd w:val="clear" w:color="auto" w:fill="auto"/>
            <w:vAlign w:val="center"/>
            <w:hideMark/>
          </w:tcPr>
          <w:p w:rsidR="00B33B62" w:rsidRPr="00FE018B" w:rsidRDefault="00B33B62" w:rsidP="00B33B62">
            <w:pPr>
              <w:spacing w:line="240" w:lineRule="auto"/>
              <w:ind w:firstLine="0"/>
              <w:rPr>
                <w:rFonts w:eastAsia="Times New Roman"/>
                <w:color w:val="000000"/>
                <w:szCs w:val="24"/>
              </w:rPr>
            </w:pPr>
            <w:r w:rsidRPr="00FE018B">
              <w:rPr>
                <w:rFonts w:eastAsia="Times New Roman"/>
                <w:color w:val="000000"/>
                <w:szCs w:val="24"/>
              </w:rPr>
              <w:lastRenderedPageBreak/>
              <w:t xml:space="preserve">Other psychedelics (e.g., mescaline, peyote, psilocybin, PCP, </w:t>
            </w:r>
            <w:r>
              <w:rPr>
                <w:rFonts w:eastAsia="Times New Roman"/>
                <w:color w:val="000000"/>
                <w:szCs w:val="24"/>
              </w:rPr>
              <w:t>salvia</w:t>
            </w:r>
            <w:r w:rsidRPr="00FE018B">
              <w:rPr>
                <w:rFonts w:eastAsia="Times New Roman"/>
                <w:color w:val="000000"/>
                <w:szCs w:val="24"/>
              </w:rPr>
              <w:t>)</w:t>
            </w:r>
          </w:p>
        </w:tc>
        <w:tc>
          <w:tcPr>
            <w:tcW w:w="1016"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29"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r>
      <w:tr w:rsidR="00B33B62" w:rsidRPr="00FE018B" w:rsidTr="00B33B62">
        <w:trPr>
          <w:trHeight w:val="323"/>
        </w:trPr>
        <w:tc>
          <w:tcPr>
            <w:tcW w:w="3537" w:type="dxa"/>
            <w:shd w:val="clear" w:color="auto" w:fill="auto"/>
            <w:vAlign w:val="center"/>
            <w:hideMark/>
          </w:tcPr>
          <w:p w:rsidR="00B33B62" w:rsidRPr="00FE018B" w:rsidRDefault="00B33B62" w:rsidP="00B33B62">
            <w:pPr>
              <w:spacing w:line="240" w:lineRule="auto"/>
              <w:ind w:firstLine="0"/>
              <w:rPr>
                <w:rFonts w:eastAsia="Times New Roman"/>
                <w:color w:val="000000"/>
                <w:szCs w:val="24"/>
              </w:rPr>
            </w:pPr>
            <w:r w:rsidRPr="00FE018B">
              <w:rPr>
                <w:rFonts w:eastAsia="Times New Roman"/>
                <w:color w:val="000000"/>
                <w:szCs w:val="24"/>
              </w:rPr>
              <w:t>Crystal meth ("ice")</w:t>
            </w:r>
          </w:p>
        </w:tc>
        <w:tc>
          <w:tcPr>
            <w:tcW w:w="1016"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29"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r>
      <w:tr w:rsidR="00B33B62" w:rsidRPr="00FE018B" w:rsidTr="00B33B62">
        <w:trPr>
          <w:trHeight w:val="350"/>
        </w:trPr>
        <w:tc>
          <w:tcPr>
            <w:tcW w:w="3537" w:type="dxa"/>
            <w:shd w:val="clear" w:color="auto" w:fill="auto"/>
            <w:vAlign w:val="center"/>
            <w:hideMark/>
          </w:tcPr>
          <w:p w:rsidR="00B33B62" w:rsidRPr="00FE018B" w:rsidRDefault="00B33B62" w:rsidP="00B33B62">
            <w:pPr>
              <w:spacing w:line="240" w:lineRule="auto"/>
              <w:ind w:firstLine="0"/>
              <w:rPr>
                <w:rFonts w:eastAsia="Times New Roman"/>
                <w:color w:val="000000"/>
                <w:szCs w:val="24"/>
              </w:rPr>
            </w:pPr>
            <w:r w:rsidRPr="00FE018B">
              <w:rPr>
                <w:rFonts w:eastAsia="Times New Roman"/>
                <w:color w:val="000000"/>
                <w:szCs w:val="24"/>
              </w:rPr>
              <w:t xml:space="preserve">Heroin (smack, horse, </w:t>
            </w:r>
            <w:proofErr w:type="spellStart"/>
            <w:r w:rsidRPr="00FE018B">
              <w:rPr>
                <w:rFonts w:eastAsia="Times New Roman"/>
                <w:color w:val="000000"/>
                <w:szCs w:val="24"/>
              </w:rPr>
              <w:t>skag</w:t>
            </w:r>
            <w:proofErr w:type="spellEnd"/>
            <w:r w:rsidRPr="00FE018B">
              <w:rPr>
                <w:rFonts w:eastAsia="Times New Roman"/>
                <w:color w:val="000000"/>
                <w:szCs w:val="24"/>
              </w:rPr>
              <w:t>)</w:t>
            </w:r>
          </w:p>
        </w:tc>
        <w:tc>
          <w:tcPr>
            <w:tcW w:w="1016"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29"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r>
      <w:tr w:rsidR="00B33B62" w:rsidRPr="00FE018B" w:rsidTr="00B33B62">
        <w:trPr>
          <w:trHeight w:val="720"/>
        </w:trPr>
        <w:tc>
          <w:tcPr>
            <w:tcW w:w="3537" w:type="dxa"/>
            <w:shd w:val="clear" w:color="auto" w:fill="auto"/>
            <w:vAlign w:val="center"/>
            <w:hideMark/>
          </w:tcPr>
          <w:p w:rsidR="00B33B62" w:rsidRPr="00FE018B" w:rsidRDefault="00B33B62" w:rsidP="00B33B62">
            <w:pPr>
              <w:spacing w:line="240" w:lineRule="auto"/>
              <w:ind w:firstLine="0"/>
              <w:rPr>
                <w:rFonts w:eastAsia="Times New Roman"/>
                <w:color w:val="000000"/>
                <w:szCs w:val="24"/>
              </w:rPr>
            </w:pPr>
            <w:r w:rsidRPr="00FE018B">
              <w:rPr>
                <w:rFonts w:eastAsia="Times New Roman"/>
                <w:color w:val="000000"/>
                <w:szCs w:val="24"/>
              </w:rPr>
              <w:t>Inhalants (glue, aerosol spray, nitrites, other gases or sprays)</w:t>
            </w:r>
          </w:p>
        </w:tc>
        <w:tc>
          <w:tcPr>
            <w:tcW w:w="1016"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29"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r>
      <w:tr w:rsidR="00B33B62" w:rsidRPr="00FE018B" w:rsidTr="00B33B62">
        <w:trPr>
          <w:trHeight w:val="332"/>
        </w:trPr>
        <w:tc>
          <w:tcPr>
            <w:tcW w:w="3537" w:type="dxa"/>
            <w:shd w:val="clear" w:color="auto" w:fill="auto"/>
            <w:vAlign w:val="center"/>
            <w:hideMark/>
          </w:tcPr>
          <w:p w:rsidR="00B33B62" w:rsidRPr="00FE018B" w:rsidRDefault="00B33B62" w:rsidP="00B33B62">
            <w:pPr>
              <w:spacing w:line="240" w:lineRule="auto"/>
              <w:ind w:firstLine="0"/>
              <w:rPr>
                <w:rFonts w:eastAsia="Times New Roman"/>
                <w:color w:val="000000"/>
                <w:szCs w:val="24"/>
              </w:rPr>
            </w:pPr>
            <w:r w:rsidRPr="00FE018B">
              <w:rPr>
                <w:rFonts w:eastAsia="Times New Roman"/>
                <w:color w:val="000000"/>
                <w:szCs w:val="24"/>
              </w:rPr>
              <w:t>Ecstasy (MDMA)</w:t>
            </w:r>
          </w:p>
        </w:tc>
        <w:tc>
          <w:tcPr>
            <w:tcW w:w="1016"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29"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r>
      <w:tr w:rsidR="00B33B62" w:rsidRPr="00FE018B" w:rsidTr="00B33B62">
        <w:trPr>
          <w:trHeight w:val="368"/>
        </w:trPr>
        <w:tc>
          <w:tcPr>
            <w:tcW w:w="3537" w:type="dxa"/>
            <w:shd w:val="clear" w:color="auto" w:fill="auto"/>
            <w:vAlign w:val="center"/>
            <w:hideMark/>
          </w:tcPr>
          <w:p w:rsidR="00B33B62" w:rsidRPr="00FE018B" w:rsidRDefault="00B33B62" w:rsidP="00B33B62">
            <w:pPr>
              <w:spacing w:line="240" w:lineRule="auto"/>
              <w:ind w:firstLine="0"/>
              <w:rPr>
                <w:rFonts w:eastAsia="Times New Roman"/>
                <w:color w:val="000000"/>
                <w:szCs w:val="24"/>
              </w:rPr>
            </w:pPr>
            <w:r w:rsidRPr="00FE018B">
              <w:rPr>
                <w:rFonts w:eastAsia="Times New Roman"/>
                <w:color w:val="000000"/>
                <w:szCs w:val="24"/>
              </w:rPr>
              <w:t>Anabolic Steroids</w:t>
            </w:r>
          </w:p>
        </w:tc>
        <w:tc>
          <w:tcPr>
            <w:tcW w:w="1016"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29"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r>
    </w:tbl>
    <w:p w:rsidR="00B33B62" w:rsidRDefault="00B33B62" w:rsidP="00B33B62">
      <w:pPr>
        <w:spacing w:line="240" w:lineRule="auto"/>
        <w:ind w:firstLine="0"/>
        <w:rPr>
          <w:rFonts w:eastAsia="Times New Roman"/>
          <w:b/>
          <w:color w:val="000000"/>
          <w:szCs w:val="24"/>
        </w:rPr>
      </w:pPr>
    </w:p>
    <w:p w:rsidR="00B33B62" w:rsidRPr="00CB59EF" w:rsidRDefault="00B33B62" w:rsidP="00B33B62">
      <w:pPr>
        <w:spacing w:line="240" w:lineRule="auto"/>
        <w:ind w:firstLine="0"/>
        <w:rPr>
          <w:b/>
          <w:szCs w:val="24"/>
        </w:rPr>
      </w:pPr>
      <w:proofErr w:type="gramStart"/>
      <w:r w:rsidRPr="00CB59EF">
        <w:rPr>
          <w:rFonts w:eastAsia="Times New Roman"/>
          <w:b/>
          <w:color w:val="000000"/>
          <w:szCs w:val="24"/>
        </w:rPr>
        <w:t>Q</w:t>
      </w:r>
      <w:r>
        <w:rPr>
          <w:rFonts w:eastAsia="Times New Roman"/>
          <w:b/>
          <w:color w:val="000000"/>
          <w:szCs w:val="24"/>
        </w:rPr>
        <w:t>18</w:t>
      </w:r>
      <w:r w:rsidRPr="00CB59EF">
        <w:rPr>
          <w:rFonts w:eastAsia="Times New Roman"/>
          <w:b/>
          <w:color w:val="000000"/>
          <w:szCs w:val="24"/>
        </w:rPr>
        <w:t xml:space="preserve"> – </w:t>
      </w:r>
      <w:r>
        <w:rPr>
          <w:rFonts w:eastAsia="Times New Roman"/>
          <w:b/>
          <w:color w:val="000000"/>
          <w:szCs w:val="24"/>
        </w:rPr>
        <w:t>19.</w:t>
      </w:r>
      <w:proofErr w:type="gramEnd"/>
      <w:r>
        <w:rPr>
          <w:rFonts w:eastAsia="Times New Roman"/>
          <w:b/>
          <w:color w:val="000000"/>
          <w:szCs w:val="24"/>
        </w:rPr>
        <w:t xml:space="preserve"> Based on a doctor’s prescription, h</w:t>
      </w:r>
      <w:r w:rsidRPr="00CB59EF">
        <w:rPr>
          <w:rFonts w:eastAsia="Times New Roman"/>
          <w:b/>
          <w:color w:val="000000"/>
          <w:szCs w:val="24"/>
        </w:rPr>
        <w:t>ave you ever taken prescription medication</w:t>
      </w:r>
      <w:r>
        <w:rPr>
          <w:rFonts w:eastAsia="Times New Roman"/>
          <w:b/>
          <w:color w:val="000000"/>
          <w:szCs w:val="24"/>
        </w:rPr>
        <w:t xml:space="preserve"> in your lifetime?</w:t>
      </w:r>
    </w:p>
    <w:p w:rsidR="00B33B62" w:rsidRPr="00CB59EF" w:rsidRDefault="00B33B62" w:rsidP="00B33B62">
      <w:pPr>
        <w:spacing w:line="240" w:lineRule="auto"/>
        <w:ind w:firstLine="0"/>
        <w:rPr>
          <w:b/>
          <w:szCs w:val="24"/>
        </w:rPr>
      </w:pPr>
    </w:p>
    <w:tbl>
      <w:tblPr>
        <w:tblW w:w="901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83"/>
        <w:gridCol w:w="666"/>
        <w:gridCol w:w="666"/>
      </w:tblGrid>
      <w:tr w:rsidR="00B33B62" w:rsidRPr="00CB59EF" w:rsidTr="00B33B62">
        <w:trPr>
          <w:trHeight w:val="531"/>
        </w:trPr>
        <w:tc>
          <w:tcPr>
            <w:tcW w:w="7683" w:type="dxa"/>
            <w:vAlign w:val="bottom"/>
          </w:tcPr>
          <w:p w:rsidR="00B33B62" w:rsidRPr="00CB59EF" w:rsidRDefault="00B33B62" w:rsidP="00B33B62">
            <w:pPr>
              <w:spacing w:line="240" w:lineRule="auto"/>
              <w:ind w:firstLine="0"/>
              <w:rPr>
                <w:rFonts w:eastAsia="Times New Roman"/>
                <w:color w:val="000000"/>
                <w:szCs w:val="24"/>
              </w:rPr>
            </w:pPr>
            <w:r w:rsidRPr="00CB59EF">
              <w:rPr>
                <w:rFonts w:eastAsia="Times New Roman"/>
                <w:color w:val="000000"/>
                <w:szCs w:val="24"/>
              </w:rPr>
              <w:t xml:space="preserve"> </w:t>
            </w:r>
          </w:p>
        </w:tc>
        <w:tc>
          <w:tcPr>
            <w:tcW w:w="666" w:type="dxa"/>
            <w:noWrap/>
            <w:textDirection w:val="btLr"/>
            <w:vAlign w:val="bottom"/>
            <w:hideMark/>
          </w:tcPr>
          <w:p w:rsidR="00B33B62" w:rsidRPr="00CB59EF" w:rsidRDefault="00B33B62" w:rsidP="00B33B62">
            <w:pPr>
              <w:spacing w:line="360" w:lineRule="auto"/>
              <w:ind w:firstLine="0"/>
              <w:rPr>
                <w:rFonts w:eastAsia="Times New Roman"/>
                <w:color w:val="000000"/>
                <w:szCs w:val="24"/>
              </w:rPr>
            </w:pPr>
            <w:r w:rsidRPr="00CB59EF">
              <w:rPr>
                <w:rFonts w:eastAsia="Times New Roman"/>
                <w:color w:val="000000"/>
                <w:szCs w:val="24"/>
              </w:rPr>
              <w:t>Yes</w:t>
            </w:r>
          </w:p>
        </w:tc>
        <w:tc>
          <w:tcPr>
            <w:tcW w:w="666" w:type="dxa"/>
            <w:noWrap/>
            <w:textDirection w:val="btLr"/>
            <w:vAlign w:val="bottom"/>
            <w:hideMark/>
          </w:tcPr>
          <w:p w:rsidR="00B33B62" w:rsidRPr="00CB59EF" w:rsidRDefault="00B33B62" w:rsidP="00B33B62">
            <w:pPr>
              <w:spacing w:line="360" w:lineRule="auto"/>
              <w:ind w:firstLine="0"/>
              <w:rPr>
                <w:rFonts w:eastAsia="Times New Roman"/>
                <w:color w:val="000000"/>
                <w:szCs w:val="24"/>
              </w:rPr>
            </w:pPr>
            <w:r w:rsidRPr="00CB59EF">
              <w:rPr>
                <w:rFonts w:eastAsia="Times New Roman"/>
                <w:color w:val="000000"/>
                <w:szCs w:val="24"/>
              </w:rPr>
              <w:t>No</w:t>
            </w:r>
          </w:p>
        </w:tc>
      </w:tr>
      <w:tr w:rsidR="00B33B62" w:rsidRPr="00CB59EF" w:rsidTr="00B33B62">
        <w:trPr>
          <w:trHeight w:val="720"/>
        </w:trPr>
        <w:tc>
          <w:tcPr>
            <w:tcW w:w="7683" w:type="dxa"/>
            <w:shd w:val="clear" w:color="auto" w:fill="auto"/>
            <w:noWrap/>
            <w:vAlign w:val="center"/>
            <w:hideMark/>
          </w:tcPr>
          <w:p w:rsidR="00B33B62" w:rsidRPr="00FE018B" w:rsidRDefault="00B33B62" w:rsidP="00B33B62">
            <w:pPr>
              <w:spacing w:line="240" w:lineRule="auto"/>
              <w:ind w:firstLine="0"/>
              <w:rPr>
                <w:rFonts w:eastAsia="Times New Roman"/>
                <w:color w:val="000000"/>
                <w:szCs w:val="24"/>
              </w:rPr>
            </w:pPr>
            <w:r w:rsidRPr="00FE018B">
              <w:rPr>
                <w:rFonts w:eastAsia="Times New Roman"/>
                <w:b/>
                <w:color w:val="000000"/>
                <w:szCs w:val="24"/>
              </w:rPr>
              <w:t>Stimulant medication for ADHD</w:t>
            </w:r>
            <w:r w:rsidRPr="00FE018B">
              <w:rPr>
                <w:rFonts w:eastAsia="Times New Roman"/>
                <w:color w:val="000000"/>
                <w:szCs w:val="24"/>
              </w:rPr>
              <w:t xml:space="preserve"> (e.g., Ritalin, Dexedrine, Adderall, Concerta, methylphenidate, Vyvanse) </w:t>
            </w:r>
          </w:p>
        </w:tc>
        <w:tc>
          <w:tcPr>
            <w:tcW w:w="666" w:type="dxa"/>
            <w:shd w:val="clear" w:color="auto" w:fill="auto"/>
            <w:noWrap/>
            <w:vAlign w:val="bottom"/>
          </w:tcPr>
          <w:p w:rsidR="00B33B62" w:rsidRPr="00CB59EF" w:rsidRDefault="00B33B62" w:rsidP="00B33B62">
            <w:pPr>
              <w:spacing w:line="240" w:lineRule="auto"/>
              <w:ind w:firstLine="0"/>
              <w:jc w:val="center"/>
              <w:rPr>
                <w:rFonts w:eastAsia="Times New Roman"/>
                <w:color w:val="000000"/>
                <w:szCs w:val="24"/>
              </w:rPr>
            </w:pPr>
          </w:p>
        </w:tc>
        <w:tc>
          <w:tcPr>
            <w:tcW w:w="666" w:type="dxa"/>
            <w:shd w:val="clear" w:color="auto" w:fill="auto"/>
            <w:noWrap/>
            <w:vAlign w:val="bottom"/>
          </w:tcPr>
          <w:p w:rsidR="00B33B62" w:rsidRPr="00CB59EF" w:rsidRDefault="00B33B62" w:rsidP="00B33B62">
            <w:pPr>
              <w:spacing w:line="240" w:lineRule="auto"/>
              <w:ind w:firstLine="0"/>
              <w:jc w:val="center"/>
              <w:rPr>
                <w:rFonts w:eastAsia="Times New Roman"/>
                <w:color w:val="000000"/>
                <w:szCs w:val="24"/>
              </w:rPr>
            </w:pPr>
          </w:p>
        </w:tc>
      </w:tr>
      <w:tr w:rsidR="00B33B62" w:rsidRPr="00CB59EF" w:rsidTr="00B33B62">
        <w:trPr>
          <w:trHeight w:val="972"/>
        </w:trPr>
        <w:tc>
          <w:tcPr>
            <w:tcW w:w="7683" w:type="dxa"/>
            <w:shd w:val="clear" w:color="auto" w:fill="auto"/>
            <w:noWrap/>
            <w:vAlign w:val="center"/>
            <w:hideMark/>
          </w:tcPr>
          <w:p w:rsidR="00B33B62" w:rsidRPr="00FE018B" w:rsidRDefault="00B33B62" w:rsidP="00B33B62">
            <w:pPr>
              <w:spacing w:line="240" w:lineRule="auto"/>
              <w:ind w:firstLine="0"/>
              <w:rPr>
                <w:rFonts w:eastAsia="Times New Roman"/>
                <w:b/>
                <w:i/>
                <w:color w:val="000000"/>
                <w:szCs w:val="24"/>
              </w:rPr>
            </w:pPr>
            <w:r w:rsidRPr="00FE018B">
              <w:rPr>
                <w:rFonts w:eastAsia="Times New Roman"/>
                <w:b/>
                <w:color w:val="000000"/>
                <w:szCs w:val="24"/>
              </w:rPr>
              <w:t>Pain medication</w:t>
            </w:r>
            <w:r w:rsidRPr="00FE018B">
              <w:rPr>
                <w:rFonts w:eastAsia="Times New Roman"/>
                <w:color w:val="000000"/>
                <w:szCs w:val="24"/>
              </w:rPr>
              <w:t xml:space="preserve"> (i.e., opioids such as Vicodin, OxyContin, Tylenol 3 with codeine, Percocet, Darvocet, morphine, hydrocodone, oxycodone) </w:t>
            </w:r>
          </w:p>
        </w:tc>
        <w:tc>
          <w:tcPr>
            <w:tcW w:w="666" w:type="dxa"/>
            <w:shd w:val="clear" w:color="auto" w:fill="auto"/>
            <w:noWrap/>
            <w:vAlign w:val="bottom"/>
          </w:tcPr>
          <w:p w:rsidR="00B33B62" w:rsidRPr="00CB59EF" w:rsidRDefault="00B33B62" w:rsidP="00B33B62">
            <w:pPr>
              <w:spacing w:line="240" w:lineRule="auto"/>
              <w:ind w:firstLine="0"/>
              <w:jc w:val="center"/>
              <w:rPr>
                <w:rFonts w:eastAsia="Times New Roman"/>
                <w:color w:val="000000"/>
                <w:szCs w:val="24"/>
              </w:rPr>
            </w:pPr>
          </w:p>
        </w:tc>
        <w:tc>
          <w:tcPr>
            <w:tcW w:w="666" w:type="dxa"/>
            <w:shd w:val="clear" w:color="auto" w:fill="auto"/>
            <w:noWrap/>
            <w:vAlign w:val="bottom"/>
          </w:tcPr>
          <w:p w:rsidR="00B33B62" w:rsidRPr="00CB59EF" w:rsidRDefault="00B33B62" w:rsidP="00B33B62">
            <w:pPr>
              <w:spacing w:line="240" w:lineRule="auto"/>
              <w:ind w:firstLine="0"/>
              <w:jc w:val="center"/>
              <w:rPr>
                <w:rFonts w:eastAsia="Times New Roman"/>
                <w:color w:val="000000"/>
                <w:szCs w:val="24"/>
              </w:rPr>
            </w:pPr>
          </w:p>
        </w:tc>
      </w:tr>
    </w:tbl>
    <w:p w:rsidR="00B33B62" w:rsidRDefault="00B33B62" w:rsidP="00B33B62">
      <w:pPr>
        <w:spacing w:line="240" w:lineRule="auto"/>
        <w:ind w:firstLine="0"/>
        <w:rPr>
          <w:b/>
          <w:szCs w:val="24"/>
        </w:rPr>
      </w:pPr>
    </w:p>
    <w:p w:rsidR="00B33B62" w:rsidRPr="00A660CD" w:rsidRDefault="00B33B62" w:rsidP="00B33B62">
      <w:pPr>
        <w:spacing w:line="240" w:lineRule="auto"/>
        <w:ind w:firstLine="0"/>
        <w:rPr>
          <w:b/>
          <w:szCs w:val="24"/>
        </w:rPr>
      </w:pPr>
      <w:proofErr w:type="gramStart"/>
      <w:r>
        <w:rPr>
          <w:b/>
          <w:szCs w:val="24"/>
        </w:rPr>
        <w:t>Q18A – 19A.</w:t>
      </w:r>
      <w:proofErr w:type="gramEnd"/>
      <w:r>
        <w:rPr>
          <w:b/>
          <w:szCs w:val="24"/>
        </w:rPr>
        <w:t xml:space="preserve"> </w:t>
      </w:r>
      <w:r w:rsidRPr="00A660CD">
        <w:rPr>
          <w:b/>
          <w:szCs w:val="24"/>
        </w:rPr>
        <w:t>Based on a doctor’s prescription, on how many occasions in your lifetime have you used the following types of drugs?</w:t>
      </w:r>
    </w:p>
    <w:p w:rsidR="00B33B62" w:rsidRPr="001F110E" w:rsidRDefault="00B33B62" w:rsidP="00B33B62">
      <w:pPr>
        <w:spacing w:line="240" w:lineRule="auto"/>
        <w:ind w:firstLine="0"/>
        <w:rPr>
          <w:szCs w:val="24"/>
        </w:rPr>
      </w:pPr>
      <w:r w:rsidRPr="001F110E">
        <w:rPr>
          <w:szCs w:val="24"/>
        </w:rPr>
        <w:t>[</w:t>
      </w:r>
      <w:r>
        <w:rPr>
          <w:szCs w:val="24"/>
        </w:rPr>
        <w:t>ONLY SHOW QUESTIONS THAT WERE TRUE FROM 18 – 19]</w:t>
      </w:r>
    </w:p>
    <w:p w:rsidR="00B33B62" w:rsidRPr="00FE018B" w:rsidRDefault="00B33B62" w:rsidP="00B33B62">
      <w:pPr>
        <w:spacing w:line="240" w:lineRule="auto"/>
        <w:ind w:firstLine="0"/>
        <w:rPr>
          <w:szCs w:val="24"/>
        </w:rPr>
      </w:pPr>
    </w:p>
    <w:tbl>
      <w:tblPr>
        <w:tblW w:w="1280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60"/>
        <w:gridCol w:w="803"/>
        <w:gridCol w:w="1203"/>
        <w:gridCol w:w="1203"/>
        <w:gridCol w:w="1203"/>
        <w:gridCol w:w="1203"/>
        <w:gridCol w:w="1203"/>
        <w:gridCol w:w="1203"/>
        <w:gridCol w:w="1019"/>
      </w:tblGrid>
      <w:tr w:rsidR="00B33B62" w:rsidRPr="00FE018B" w:rsidTr="00B33B62">
        <w:trPr>
          <w:trHeight w:val="570"/>
        </w:trPr>
        <w:tc>
          <w:tcPr>
            <w:tcW w:w="376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803" w:type="dxa"/>
            <w:shd w:val="clear" w:color="auto" w:fill="auto"/>
            <w:vAlign w:val="bottom"/>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Never</w:t>
            </w:r>
          </w:p>
        </w:tc>
        <w:tc>
          <w:tcPr>
            <w:tcW w:w="1203" w:type="dxa"/>
            <w:shd w:val="clear" w:color="auto" w:fill="auto"/>
            <w:vAlign w:val="bottom"/>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1 - 2 Occasions</w:t>
            </w:r>
          </w:p>
        </w:tc>
        <w:tc>
          <w:tcPr>
            <w:tcW w:w="1203" w:type="dxa"/>
            <w:shd w:val="clear" w:color="auto" w:fill="auto"/>
            <w:vAlign w:val="bottom"/>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3 - 5 Occasions</w:t>
            </w:r>
          </w:p>
        </w:tc>
        <w:tc>
          <w:tcPr>
            <w:tcW w:w="1203" w:type="dxa"/>
            <w:shd w:val="clear" w:color="auto" w:fill="auto"/>
            <w:vAlign w:val="bottom"/>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6 - 9 Occasions</w:t>
            </w:r>
          </w:p>
        </w:tc>
        <w:tc>
          <w:tcPr>
            <w:tcW w:w="1203" w:type="dxa"/>
            <w:shd w:val="clear" w:color="auto" w:fill="auto"/>
            <w:vAlign w:val="bottom"/>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10 - 19 Occasions</w:t>
            </w:r>
          </w:p>
        </w:tc>
        <w:tc>
          <w:tcPr>
            <w:tcW w:w="1203" w:type="dxa"/>
            <w:shd w:val="clear" w:color="auto" w:fill="auto"/>
            <w:vAlign w:val="bottom"/>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20 - 39 Occasions</w:t>
            </w:r>
          </w:p>
        </w:tc>
        <w:tc>
          <w:tcPr>
            <w:tcW w:w="1203" w:type="dxa"/>
            <w:shd w:val="clear" w:color="auto" w:fill="auto"/>
            <w:vAlign w:val="bottom"/>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40+ Occasions</w:t>
            </w:r>
          </w:p>
        </w:tc>
        <w:tc>
          <w:tcPr>
            <w:tcW w:w="1019" w:type="dxa"/>
            <w:shd w:val="clear" w:color="auto" w:fill="auto"/>
            <w:vAlign w:val="bottom"/>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Rather not say</w:t>
            </w:r>
          </w:p>
        </w:tc>
      </w:tr>
      <w:tr w:rsidR="00B33B62" w:rsidRPr="00FE018B" w:rsidTr="00B33B62">
        <w:trPr>
          <w:trHeight w:val="720"/>
        </w:trPr>
        <w:tc>
          <w:tcPr>
            <w:tcW w:w="3760" w:type="dxa"/>
            <w:shd w:val="clear" w:color="auto" w:fill="auto"/>
            <w:vAlign w:val="center"/>
            <w:hideMark/>
          </w:tcPr>
          <w:p w:rsidR="00B33B62" w:rsidRPr="00FE018B" w:rsidRDefault="00B33B62" w:rsidP="00B33B62">
            <w:pPr>
              <w:spacing w:line="240" w:lineRule="auto"/>
              <w:ind w:firstLine="0"/>
              <w:rPr>
                <w:rFonts w:eastAsia="Times New Roman"/>
                <w:color w:val="000000"/>
                <w:szCs w:val="24"/>
              </w:rPr>
            </w:pPr>
            <w:r w:rsidRPr="00FE018B">
              <w:rPr>
                <w:rFonts w:eastAsia="Times New Roman"/>
                <w:b/>
                <w:color w:val="000000"/>
                <w:szCs w:val="24"/>
              </w:rPr>
              <w:t>Stimulant medication for ADHD</w:t>
            </w:r>
            <w:r w:rsidRPr="00FE018B">
              <w:rPr>
                <w:rFonts w:eastAsia="Times New Roman"/>
                <w:color w:val="000000"/>
                <w:szCs w:val="24"/>
              </w:rPr>
              <w:t xml:space="preserve"> (e.g., Ritalin, Dexedrine, Adderall, </w:t>
            </w:r>
            <w:r w:rsidRPr="00FE018B">
              <w:rPr>
                <w:rFonts w:eastAsia="Times New Roman"/>
                <w:color w:val="000000"/>
                <w:szCs w:val="24"/>
              </w:rPr>
              <w:lastRenderedPageBreak/>
              <w:t>Concerta, methylphenidate, Vyvanse)</w:t>
            </w:r>
          </w:p>
        </w:tc>
        <w:tc>
          <w:tcPr>
            <w:tcW w:w="8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19"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r>
      <w:tr w:rsidR="00B33B62" w:rsidRPr="00FE018B" w:rsidTr="00B33B62">
        <w:trPr>
          <w:trHeight w:val="720"/>
        </w:trPr>
        <w:tc>
          <w:tcPr>
            <w:tcW w:w="3760" w:type="dxa"/>
            <w:shd w:val="clear" w:color="auto" w:fill="auto"/>
            <w:vAlign w:val="center"/>
            <w:hideMark/>
          </w:tcPr>
          <w:p w:rsidR="00B33B62" w:rsidRPr="00FE018B" w:rsidRDefault="00B33B62" w:rsidP="00B33B62">
            <w:pPr>
              <w:spacing w:line="240" w:lineRule="auto"/>
              <w:ind w:firstLine="0"/>
              <w:rPr>
                <w:rFonts w:eastAsia="Times New Roman"/>
                <w:color w:val="000000"/>
                <w:szCs w:val="24"/>
              </w:rPr>
            </w:pPr>
            <w:r w:rsidRPr="00FE018B">
              <w:rPr>
                <w:rFonts w:eastAsia="Times New Roman"/>
                <w:b/>
                <w:color w:val="000000"/>
                <w:szCs w:val="24"/>
              </w:rPr>
              <w:lastRenderedPageBreak/>
              <w:t>Pain medication</w:t>
            </w:r>
            <w:r w:rsidRPr="00FE018B">
              <w:rPr>
                <w:rFonts w:eastAsia="Times New Roman"/>
                <w:color w:val="000000"/>
                <w:szCs w:val="24"/>
              </w:rPr>
              <w:t xml:space="preserve"> (i.e., opioids such as Vicodin, OxyContin, Tylenol 3 with codeine, Percocet, Darvocet, morphine, hydrocodone, oxycodone)</w:t>
            </w:r>
          </w:p>
        </w:tc>
        <w:tc>
          <w:tcPr>
            <w:tcW w:w="8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19"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r>
    </w:tbl>
    <w:p w:rsidR="00B33B62" w:rsidRDefault="00B33B62" w:rsidP="00B33B62">
      <w:pPr>
        <w:spacing w:line="240" w:lineRule="auto"/>
        <w:ind w:firstLine="0"/>
        <w:rPr>
          <w:szCs w:val="24"/>
        </w:rPr>
      </w:pPr>
    </w:p>
    <w:p w:rsidR="00B33B62" w:rsidRDefault="00B33B62" w:rsidP="00B33B62">
      <w:pPr>
        <w:spacing w:line="240" w:lineRule="auto"/>
        <w:ind w:firstLine="0"/>
        <w:rPr>
          <w:b/>
          <w:szCs w:val="24"/>
        </w:rPr>
      </w:pPr>
      <w:proofErr w:type="gramStart"/>
      <w:r>
        <w:rPr>
          <w:b/>
          <w:szCs w:val="24"/>
        </w:rPr>
        <w:t>Q18B – 19B.</w:t>
      </w:r>
      <w:proofErr w:type="gramEnd"/>
      <w:r>
        <w:rPr>
          <w:b/>
          <w:szCs w:val="24"/>
        </w:rPr>
        <w:t xml:space="preserve"> </w:t>
      </w:r>
      <w:r w:rsidRPr="00A660CD">
        <w:rPr>
          <w:b/>
          <w:szCs w:val="24"/>
        </w:rPr>
        <w:t>Based on a doctor’s prescription, when did you first start using each prescription drug?</w:t>
      </w:r>
      <w:r>
        <w:rPr>
          <w:b/>
          <w:szCs w:val="24"/>
        </w:rPr>
        <w:t xml:space="preserve"> </w:t>
      </w:r>
    </w:p>
    <w:p w:rsidR="00B33B62" w:rsidRPr="001F110E" w:rsidRDefault="00B33B62" w:rsidP="00B33B62">
      <w:pPr>
        <w:spacing w:line="240" w:lineRule="auto"/>
        <w:ind w:firstLine="0"/>
        <w:rPr>
          <w:szCs w:val="24"/>
        </w:rPr>
      </w:pPr>
      <w:r w:rsidRPr="001F110E">
        <w:rPr>
          <w:szCs w:val="24"/>
        </w:rPr>
        <w:t>[</w:t>
      </w:r>
      <w:r>
        <w:rPr>
          <w:szCs w:val="24"/>
        </w:rPr>
        <w:t>ONLY SHOW QUESTIONS THAT WERE TRUE FROM 18 – 19]</w:t>
      </w:r>
    </w:p>
    <w:p w:rsidR="00B33B62" w:rsidRPr="00FE018B" w:rsidRDefault="00B33B62" w:rsidP="00B33B62">
      <w:pPr>
        <w:spacing w:line="240" w:lineRule="auto"/>
        <w:ind w:firstLine="0"/>
        <w:rPr>
          <w:szCs w:val="24"/>
        </w:rPr>
      </w:pPr>
    </w:p>
    <w:tbl>
      <w:tblPr>
        <w:tblW w:w="1308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3"/>
        <w:gridCol w:w="1061"/>
        <w:gridCol w:w="1062"/>
        <w:gridCol w:w="1062"/>
        <w:gridCol w:w="1062"/>
        <w:gridCol w:w="1062"/>
        <w:gridCol w:w="1070"/>
        <w:gridCol w:w="1096"/>
        <w:gridCol w:w="1065"/>
      </w:tblGrid>
      <w:tr w:rsidR="00B33B62" w:rsidRPr="00FE018B" w:rsidTr="00B33B62">
        <w:trPr>
          <w:trHeight w:val="570"/>
        </w:trPr>
        <w:tc>
          <w:tcPr>
            <w:tcW w:w="454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61" w:type="dxa"/>
            <w:shd w:val="clear" w:color="auto" w:fill="auto"/>
            <w:vAlign w:val="bottom"/>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 xml:space="preserve">Grade </w:t>
            </w:r>
          </w:p>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K - 4</w:t>
            </w:r>
          </w:p>
        </w:tc>
        <w:tc>
          <w:tcPr>
            <w:tcW w:w="1062" w:type="dxa"/>
            <w:shd w:val="clear" w:color="auto" w:fill="auto"/>
            <w:vAlign w:val="bottom"/>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 xml:space="preserve">Grade </w:t>
            </w:r>
          </w:p>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5 - 6</w:t>
            </w:r>
          </w:p>
        </w:tc>
        <w:tc>
          <w:tcPr>
            <w:tcW w:w="1062" w:type="dxa"/>
            <w:shd w:val="clear" w:color="auto" w:fill="auto"/>
            <w:vAlign w:val="bottom"/>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 xml:space="preserve">Grade </w:t>
            </w:r>
          </w:p>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7 - 8</w:t>
            </w:r>
          </w:p>
        </w:tc>
        <w:tc>
          <w:tcPr>
            <w:tcW w:w="1062" w:type="dxa"/>
            <w:shd w:val="clear" w:color="auto" w:fill="auto"/>
            <w:vAlign w:val="bottom"/>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 xml:space="preserve">Grade </w:t>
            </w:r>
          </w:p>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9 - 10</w:t>
            </w:r>
          </w:p>
        </w:tc>
        <w:tc>
          <w:tcPr>
            <w:tcW w:w="1062" w:type="dxa"/>
            <w:shd w:val="clear" w:color="auto" w:fill="auto"/>
            <w:vAlign w:val="bottom"/>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Grade 11 - 12</w:t>
            </w:r>
          </w:p>
        </w:tc>
        <w:tc>
          <w:tcPr>
            <w:tcW w:w="1070" w:type="dxa"/>
            <w:shd w:val="clear" w:color="auto" w:fill="auto"/>
            <w:vAlign w:val="center"/>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Under</w:t>
            </w:r>
          </w:p>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graduate</w:t>
            </w:r>
          </w:p>
        </w:tc>
        <w:tc>
          <w:tcPr>
            <w:tcW w:w="1096" w:type="dxa"/>
            <w:vAlign w:val="center"/>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Graduate</w:t>
            </w:r>
          </w:p>
        </w:tc>
        <w:tc>
          <w:tcPr>
            <w:tcW w:w="1065" w:type="dxa"/>
            <w:shd w:val="clear" w:color="auto" w:fill="auto"/>
            <w:vAlign w:val="bottom"/>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Rather not say</w:t>
            </w:r>
          </w:p>
        </w:tc>
      </w:tr>
      <w:tr w:rsidR="00B33B62" w:rsidRPr="00FE018B" w:rsidTr="00B33B62">
        <w:trPr>
          <w:trHeight w:val="720"/>
        </w:trPr>
        <w:tc>
          <w:tcPr>
            <w:tcW w:w="4543" w:type="dxa"/>
            <w:shd w:val="clear" w:color="auto" w:fill="auto"/>
            <w:vAlign w:val="center"/>
          </w:tcPr>
          <w:p w:rsidR="00B33B62" w:rsidRPr="00FE018B" w:rsidRDefault="00B33B62" w:rsidP="00B33B62">
            <w:pPr>
              <w:spacing w:line="240" w:lineRule="auto"/>
              <w:ind w:firstLine="0"/>
              <w:rPr>
                <w:rFonts w:eastAsia="Times New Roman"/>
                <w:color w:val="000000"/>
                <w:szCs w:val="24"/>
              </w:rPr>
            </w:pPr>
            <w:r w:rsidRPr="00FE018B">
              <w:rPr>
                <w:rFonts w:eastAsia="Times New Roman"/>
                <w:b/>
                <w:color w:val="000000"/>
                <w:szCs w:val="24"/>
              </w:rPr>
              <w:t>Stimulant medication for ADHD</w:t>
            </w:r>
            <w:r w:rsidRPr="00FE018B">
              <w:rPr>
                <w:rFonts w:eastAsia="Times New Roman"/>
                <w:color w:val="000000"/>
                <w:szCs w:val="24"/>
              </w:rPr>
              <w:t xml:space="preserve"> (e.g., Ritalin, Dexedrine, Adderall, Concerta, methylphenidate, Vyvanse)</w:t>
            </w:r>
          </w:p>
        </w:tc>
        <w:tc>
          <w:tcPr>
            <w:tcW w:w="1061"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62"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62"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62"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62"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7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96" w:type="dxa"/>
          </w:tcPr>
          <w:p w:rsidR="00B33B62" w:rsidRPr="00FE018B" w:rsidRDefault="00B33B62" w:rsidP="00B33B62">
            <w:pPr>
              <w:spacing w:line="240" w:lineRule="auto"/>
              <w:ind w:firstLine="0"/>
              <w:rPr>
                <w:rFonts w:eastAsia="Times New Roman"/>
                <w:color w:val="000000"/>
                <w:szCs w:val="24"/>
              </w:rPr>
            </w:pPr>
          </w:p>
        </w:tc>
        <w:tc>
          <w:tcPr>
            <w:tcW w:w="1065"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r>
      <w:tr w:rsidR="00B33B62" w:rsidRPr="00FE018B" w:rsidTr="00B33B62">
        <w:trPr>
          <w:trHeight w:val="720"/>
        </w:trPr>
        <w:tc>
          <w:tcPr>
            <w:tcW w:w="4543" w:type="dxa"/>
            <w:shd w:val="clear" w:color="auto" w:fill="auto"/>
            <w:vAlign w:val="center"/>
          </w:tcPr>
          <w:p w:rsidR="00B33B62" w:rsidRPr="00FE018B" w:rsidRDefault="00B33B62" w:rsidP="00B33B62">
            <w:pPr>
              <w:spacing w:line="240" w:lineRule="auto"/>
              <w:ind w:firstLine="0"/>
              <w:rPr>
                <w:rFonts w:eastAsia="Times New Roman"/>
                <w:color w:val="000000"/>
                <w:szCs w:val="24"/>
              </w:rPr>
            </w:pPr>
            <w:r w:rsidRPr="00FE018B">
              <w:rPr>
                <w:rFonts w:eastAsia="Times New Roman"/>
                <w:b/>
                <w:color w:val="000000"/>
                <w:szCs w:val="24"/>
              </w:rPr>
              <w:t>Pain medication</w:t>
            </w:r>
            <w:r w:rsidRPr="00FE018B">
              <w:rPr>
                <w:rFonts w:eastAsia="Times New Roman"/>
                <w:color w:val="000000"/>
                <w:szCs w:val="24"/>
              </w:rPr>
              <w:t xml:space="preserve"> (i.e., opioids such as Vicodin, OxyContin, Tylenol 3 with codeine, Percocet, Darvocet, morphine, hydrocodone, oxycodone)</w:t>
            </w:r>
          </w:p>
        </w:tc>
        <w:tc>
          <w:tcPr>
            <w:tcW w:w="1061"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62"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62"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62"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62"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7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96" w:type="dxa"/>
          </w:tcPr>
          <w:p w:rsidR="00B33B62" w:rsidRPr="00FE018B" w:rsidRDefault="00B33B62" w:rsidP="00B33B62">
            <w:pPr>
              <w:spacing w:line="240" w:lineRule="auto"/>
              <w:ind w:firstLine="0"/>
              <w:rPr>
                <w:rFonts w:eastAsia="Times New Roman"/>
                <w:color w:val="000000"/>
                <w:szCs w:val="24"/>
              </w:rPr>
            </w:pPr>
          </w:p>
        </w:tc>
        <w:tc>
          <w:tcPr>
            <w:tcW w:w="1065"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r>
    </w:tbl>
    <w:p w:rsidR="00B33B62" w:rsidRDefault="00B33B62" w:rsidP="00B33B62">
      <w:pPr>
        <w:spacing w:line="240" w:lineRule="auto"/>
        <w:ind w:firstLine="0"/>
        <w:rPr>
          <w:rFonts w:eastAsia="Times New Roman"/>
          <w:b/>
          <w:color w:val="000000"/>
          <w:szCs w:val="24"/>
        </w:rPr>
      </w:pPr>
    </w:p>
    <w:p w:rsidR="00B33B62" w:rsidRDefault="00B33B62" w:rsidP="00B33B62">
      <w:pPr>
        <w:spacing w:line="240" w:lineRule="auto"/>
        <w:ind w:firstLine="0"/>
        <w:rPr>
          <w:b/>
          <w:szCs w:val="24"/>
        </w:rPr>
      </w:pPr>
      <w:proofErr w:type="gramStart"/>
      <w:r>
        <w:rPr>
          <w:b/>
          <w:szCs w:val="24"/>
        </w:rPr>
        <w:t>Q18C – 19C.</w:t>
      </w:r>
      <w:proofErr w:type="gramEnd"/>
      <w:r>
        <w:rPr>
          <w:b/>
          <w:szCs w:val="24"/>
        </w:rPr>
        <w:t xml:space="preserve"> </w:t>
      </w:r>
      <w:r w:rsidRPr="00A660CD">
        <w:rPr>
          <w:b/>
          <w:szCs w:val="24"/>
        </w:rPr>
        <w:t>Based on a doctor’s prescription, on how many occasions in the past 12 months have you used the following types of drugs?</w:t>
      </w:r>
    </w:p>
    <w:p w:rsidR="00B33B62" w:rsidRPr="001F110E" w:rsidRDefault="00B33B62" w:rsidP="00B33B62">
      <w:pPr>
        <w:spacing w:line="240" w:lineRule="auto"/>
        <w:ind w:firstLine="0"/>
        <w:rPr>
          <w:szCs w:val="24"/>
        </w:rPr>
      </w:pPr>
      <w:r w:rsidRPr="001F110E">
        <w:rPr>
          <w:szCs w:val="24"/>
        </w:rPr>
        <w:t>[</w:t>
      </w:r>
      <w:r>
        <w:rPr>
          <w:szCs w:val="24"/>
        </w:rPr>
        <w:t>ONLY SHOW QUESTIONS THAT WERE TRUE FROM 18 – 19]</w:t>
      </w:r>
    </w:p>
    <w:p w:rsidR="00B33B62" w:rsidRPr="00FE018B" w:rsidRDefault="00B33B62" w:rsidP="00B33B62">
      <w:pPr>
        <w:spacing w:line="240" w:lineRule="auto"/>
        <w:ind w:firstLine="0"/>
        <w:rPr>
          <w:szCs w:val="24"/>
        </w:rPr>
      </w:pPr>
    </w:p>
    <w:tbl>
      <w:tblPr>
        <w:tblW w:w="1280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59"/>
        <w:gridCol w:w="1004"/>
        <w:gridCol w:w="1203"/>
        <w:gridCol w:w="1203"/>
        <w:gridCol w:w="1203"/>
        <w:gridCol w:w="1203"/>
        <w:gridCol w:w="1203"/>
        <w:gridCol w:w="1203"/>
        <w:gridCol w:w="1019"/>
      </w:tblGrid>
      <w:tr w:rsidR="00B33B62" w:rsidRPr="00FE018B" w:rsidTr="00B33B62">
        <w:trPr>
          <w:trHeight w:val="570"/>
        </w:trPr>
        <w:tc>
          <w:tcPr>
            <w:tcW w:w="3559"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04" w:type="dxa"/>
            <w:shd w:val="clear" w:color="auto" w:fill="auto"/>
            <w:vAlign w:val="bottom"/>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Never</w:t>
            </w:r>
          </w:p>
        </w:tc>
        <w:tc>
          <w:tcPr>
            <w:tcW w:w="1203" w:type="dxa"/>
            <w:shd w:val="clear" w:color="auto" w:fill="auto"/>
            <w:vAlign w:val="bottom"/>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1 - 2 Occasions</w:t>
            </w:r>
          </w:p>
        </w:tc>
        <w:tc>
          <w:tcPr>
            <w:tcW w:w="1203" w:type="dxa"/>
            <w:shd w:val="clear" w:color="auto" w:fill="auto"/>
            <w:vAlign w:val="bottom"/>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3 - 5 Occasions</w:t>
            </w:r>
          </w:p>
        </w:tc>
        <w:tc>
          <w:tcPr>
            <w:tcW w:w="1203" w:type="dxa"/>
            <w:shd w:val="clear" w:color="auto" w:fill="auto"/>
            <w:vAlign w:val="bottom"/>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6 - 9 Occasions</w:t>
            </w:r>
          </w:p>
        </w:tc>
        <w:tc>
          <w:tcPr>
            <w:tcW w:w="1203" w:type="dxa"/>
            <w:shd w:val="clear" w:color="auto" w:fill="auto"/>
            <w:vAlign w:val="bottom"/>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10 - 19 Occasions</w:t>
            </w:r>
          </w:p>
        </w:tc>
        <w:tc>
          <w:tcPr>
            <w:tcW w:w="1203" w:type="dxa"/>
            <w:shd w:val="clear" w:color="auto" w:fill="auto"/>
            <w:vAlign w:val="bottom"/>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20 - 39 Occasions</w:t>
            </w:r>
          </w:p>
        </w:tc>
        <w:tc>
          <w:tcPr>
            <w:tcW w:w="1203" w:type="dxa"/>
            <w:shd w:val="clear" w:color="auto" w:fill="auto"/>
            <w:vAlign w:val="bottom"/>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40+ Occasions</w:t>
            </w:r>
          </w:p>
        </w:tc>
        <w:tc>
          <w:tcPr>
            <w:tcW w:w="1019" w:type="dxa"/>
            <w:shd w:val="clear" w:color="auto" w:fill="auto"/>
            <w:vAlign w:val="bottom"/>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Rather not say</w:t>
            </w:r>
          </w:p>
        </w:tc>
      </w:tr>
      <w:tr w:rsidR="00B33B62" w:rsidRPr="00FE018B" w:rsidTr="00B33B62">
        <w:trPr>
          <w:trHeight w:val="720"/>
        </w:trPr>
        <w:tc>
          <w:tcPr>
            <w:tcW w:w="3559" w:type="dxa"/>
            <w:shd w:val="clear" w:color="auto" w:fill="auto"/>
            <w:vAlign w:val="center"/>
            <w:hideMark/>
          </w:tcPr>
          <w:p w:rsidR="00B33B62" w:rsidRPr="00FE018B" w:rsidRDefault="00B33B62" w:rsidP="00B33B62">
            <w:pPr>
              <w:spacing w:line="240" w:lineRule="auto"/>
              <w:ind w:firstLine="0"/>
              <w:rPr>
                <w:rFonts w:eastAsia="Times New Roman"/>
                <w:color w:val="000000"/>
                <w:szCs w:val="24"/>
              </w:rPr>
            </w:pPr>
            <w:r w:rsidRPr="00FE018B">
              <w:rPr>
                <w:rFonts w:eastAsia="Times New Roman"/>
                <w:b/>
                <w:color w:val="000000"/>
                <w:szCs w:val="24"/>
              </w:rPr>
              <w:t>Stimulant medication for ADHD</w:t>
            </w:r>
            <w:r w:rsidRPr="00FE018B">
              <w:rPr>
                <w:rFonts w:eastAsia="Times New Roman"/>
                <w:color w:val="000000"/>
                <w:szCs w:val="24"/>
              </w:rPr>
              <w:t xml:space="preserve"> (e.g., Ritalin, Dexedrine, Adderall, Concerta, methylphenidate, </w:t>
            </w:r>
            <w:r w:rsidRPr="00FE018B">
              <w:rPr>
                <w:rFonts w:eastAsia="Times New Roman"/>
                <w:color w:val="000000"/>
                <w:szCs w:val="24"/>
              </w:rPr>
              <w:lastRenderedPageBreak/>
              <w:t xml:space="preserve">Vyvanse) </w:t>
            </w:r>
            <w:r w:rsidRPr="00FE018B">
              <w:rPr>
                <w:rFonts w:eastAsia="Times New Roman"/>
                <w:b/>
                <w:i/>
                <w:color w:val="000000"/>
                <w:szCs w:val="24"/>
              </w:rPr>
              <w:t>if true answer 54a &amp; 54b</w:t>
            </w:r>
          </w:p>
        </w:tc>
        <w:tc>
          <w:tcPr>
            <w:tcW w:w="1004"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19"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r>
      <w:tr w:rsidR="00B33B62" w:rsidRPr="00FE018B" w:rsidTr="00B33B62">
        <w:trPr>
          <w:trHeight w:val="720"/>
        </w:trPr>
        <w:tc>
          <w:tcPr>
            <w:tcW w:w="3559" w:type="dxa"/>
            <w:shd w:val="clear" w:color="auto" w:fill="auto"/>
            <w:vAlign w:val="center"/>
            <w:hideMark/>
          </w:tcPr>
          <w:p w:rsidR="00B33B62" w:rsidRPr="00FE018B" w:rsidRDefault="00B33B62" w:rsidP="00B33B62">
            <w:pPr>
              <w:spacing w:line="240" w:lineRule="auto"/>
              <w:ind w:firstLine="0"/>
              <w:rPr>
                <w:rFonts w:eastAsia="Times New Roman"/>
                <w:b/>
                <w:i/>
                <w:color w:val="000000"/>
                <w:szCs w:val="24"/>
              </w:rPr>
            </w:pPr>
            <w:r w:rsidRPr="00FE018B">
              <w:rPr>
                <w:rFonts w:eastAsia="Times New Roman"/>
                <w:b/>
                <w:color w:val="000000"/>
                <w:szCs w:val="24"/>
              </w:rPr>
              <w:lastRenderedPageBreak/>
              <w:t>Pain medication</w:t>
            </w:r>
            <w:r w:rsidRPr="00FE018B">
              <w:rPr>
                <w:rFonts w:eastAsia="Times New Roman"/>
                <w:color w:val="000000"/>
                <w:szCs w:val="24"/>
              </w:rPr>
              <w:t xml:space="preserve"> (i.e., opioids such as Vicodin, OxyContin, Tylenol 3 with codeine, Percocet, Darvocet, morphine, hydrocodone, oxycodone) </w:t>
            </w:r>
            <w:r w:rsidRPr="00FE018B">
              <w:rPr>
                <w:rFonts w:eastAsia="Times New Roman"/>
                <w:b/>
                <w:i/>
                <w:color w:val="000000"/>
                <w:szCs w:val="24"/>
              </w:rPr>
              <w:t xml:space="preserve">if true answer 55a </w:t>
            </w:r>
          </w:p>
        </w:tc>
        <w:tc>
          <w:tcPr>
            <w:tcW w:w="1004"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19"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r>
    </w:tbl>
    <w:p w:rsidR="00B33B62" w:rsidRDefault="00B33B62" w:rsidP="00B33B62">
      <w:pPr>
        <w:spacing w:line="240" w:lineRule="auto"/>
        <w:ind w:firstLine="0"/>
        <w:rPr>
          <w:szCs w:val="24"/>
        </w:rPr>
      </w:pPr>
    </w:p>
    <w:p w:rsidR="00B33B62" w:rsidRPr="00A660CD" w:rsidRDefault="00B33B62" w:rsidP="00B33B62">
      <w:pPr>
        <w:spacing w:line="240" w:lineRule="auto"/>
        <w:ind w:firstLine="0"/>
        <w:rPr>
          <w:b/>
          <w:szCs w:val="24"/>
        </w:rPr>
      </w:pPr>
      <w:r>
        <w:rPr>
          <w:b/>
          <w:szCs w:val="24"/>
        </w:rPr>
        <w:t xml:space="preserve">Q19D. </w:t>
      </w:r>
      <w:r w:rsidRPr="00A660CD">
        <w:rPr>
          <w:b/>
          <w:szCs w:val="24"/>
        </w:rPr>
        <w:t>Please indicate if any of the following pain medications have been prescrib</w:t>
      </w:r>
      <w:r>
        <w:rPr>
          <w:b/>
          <w:szCs w:val="24"/>
        </w:rPr>
        <w:t>ed to you in the past 12 months.</w:t>
      </w:r>
    </w:p>
    <w:p w:rsidR="00B33B62" w:rsidRPr="001F110E" w:rsidRDefault="00B33B62" w:rsidP="00B33B62">
      <w:pPr>
        <w:spacing w:line="240" w:lineRule="auto"/>
        <w:ind w:firstLine="0"/>
        <w:rPr>
          <w:szCs w:val="24"/>
        </w:rPr>
      </w:pPr>
      <w:r w:rsidRPr="001F110E">
        <w:rPr>
          <w:szCs w:val="24"/>
        </w:rPr>
        <w:t>[</w:t>
      </w:r>
      <w:r>
        <w:rPr>
          <w:szCs w:val="24"/>
        </w:rPr>
        <w:t>ONLY SHOW QUESTIONS THAT WERE TRUE FROM 19]</w:t>
      </w:r>
    </w:p>
    <w:p w:rsidR="00B33B62" w:rsidRPr="00FE018B" w:rsidRDefault="00B33B62" w:rsidP="00B33B62">
      <w:pPr>
        <w:spacing w:line="240" w:lineRule="auto"/>
        <w:ind w:firstLine="0"/>
        <w:rPr>
          <w:szCs w:val="24"/>
        </w:rPr>
      </w:pPr>
    </w:p>
    <w:p w:rsidR="00B33B62" w:rsidRPr="00FE018B" w:rsidRDefault="00B33B62" w:rsidP="00B33B62">
      <w:pPr>
        <w:spacing w:line="240" w:lineRule="auto"/>
        <w:ind w:firstLine="0"/>
        <w:rPr>
          <w:b/>
          <w:i/>
          <w:szCs w:val="24"/>
        </w:rPr>
      </w:pPr>
      <w:r w:rsidRPr="00FE018B">
        <w:rPr>
          <w:b/>
          <w:i/>
          <w:szCs w:val="24"/>
        </w:rPr>
        <w:t>(Select all that apply.)</w:t>
      </w:r>
    </w:p>
    <w:p w:rsidR="00B33B62" w:rsidRDefault="00B33B62" w:rsidP="00B33B62">
      <w:pPr>
        <w:pStyle w:val="ListParagraph"/>
        <w:numPr>
          <w:ilvl w:val="0"/>
          <w:numId w:val="5"/>
        </w:numPr>
        <w:spacing w:line="240" w:lineRule="auto"/>
        <w:rPr>
          <w:szCs w:val="24"/>
        </w:rPr>
        <w:sectPr w:rsidR="00B33B62" w:rsidSect="006349DF">
          <w:headerReference w:type="default" r:id="rId14"/>
          <w:pgSz w:w="15840" w:h="12240" w:orient="landscape"/>
          <w:pgMar w:top="1440" w:right="1440" w:bottom="1440" w:left="1440" w:header="1440" w:footer="547" w:gutter="0"/>
          <w:cols w:space="720"/>
          <w:docGrid w:linePitch="360"/>
        </w:sectPr>
      </w:pPr>
    </w:p>
    <w:p w:rsidR="00B33B62" w:rsidRPr="00FE018B" w:rsidRDefault="00B33B62" w:rsidP="00B33B62">
      <w:pPr>
        <w:pStyle w:val="ListParagraph"/>
        <w:numPr>
          <w:ilvl w:val="0"/>
          <w:numId w:val="5"/>
        </w:numPr>
        <w:spacing w:line="240" w:lineRule="auto"/>
        <w:rPr>
          <w:szCs w:val="24"/>
        </w:rPr>
      </w:pPr>
      <w:r w:rsidRPr="00FE018B">
        <w:rPr>
          <w:szCs w:val="24"/>
        </w:rPr>
        <w:lastRenderedPageBreak/>
        <w:t>Tramadol (e.g., Ultram)</w:t>
      </w:r>
    </w:p>
    <w:p w:rsidR="00B33B62" w:rsidRPr="00FE018B" w:rsidRDefault="00B33B62" w:rsidP="00B33B62">
      <w:pPr>
        <w:pStyle w:val="ListParagraph"/>
        <w:numPr>
          <w:ilvl w:val="0"/>
          <w:numId w:val="5"/>
        </w:numPr>
        <w:spacing w:line="240" w:lineRule="auto"/>
        <w:rPr>
          <w:szCs w:val="24"/>
        </w:rPr>
      </w:pPr>
      <w:r w:rsidRPr="00FE018B">
        <w:rPr>
          <w:szCs w:val="24"/>
        </w:rPr>
        <w:t>Codeine (e.g., Tylenol #3 with Codeine)</w:t>
      </w:r>
    </w:p>
    <w:p w:rsidR="00B33B62" w:rsidRPr="00FE018B" w:rsidRDefault="00B33B62" w:rsidP="00B33B62">
      <w:pPr>
        <w:pStyle w:val="ListParagraph"/>
        <w:numPr>
          <w:ilvl w:val="0"/>
          <w:numId w:val="5"/>
        </w:numPr>
        <w:spacing w:line="240" w:lineRule="auto"/>
        <w:rPr>
          <w:szCs w:val="24"/>
        </w:rPr>
      </w:pPr>
      <w:r w:rsidRPr="00FE018B">
        <w:rPr>
          <w:szCs w:val="24"/>
        </w:rPr>
        <w:t>Hydromorphone (e.g., Dilaudid)</w:t>
      </w:r>
    </w:p>
    <w:p w:rsidR="00B33B62" w:rsidRPr="00FE018B" w:rsidRDefault="00B33B62" w:rsidP="00B33B62">
      <w:pPr>
        <w:pStyle w:val="ListParagraph"/>
        <w:numPr>
          <w:ilvl w:val="0"/>
          <w:numId w:val="5"/>
        </w:numPr>
        <w:spacing w:line="240" w:lineRule="auto"/>
        <w:rPr>
          <w:szCs w:val="24"/>
        </w:rPr>
      </w:pPr>
      <w:r w:rsidRPr="00FE018B">
        <w:rPr>
          <w:szCs w:val="24"/>
        </w:rPr>
        <w:t>Meperidine (e.g., Demerol)</w:t>
      </w:r>
    </w:p>
    <w:p w:rsidR="00B33B62" w:rsidRPr="00FE018B" w:rsidRDefault="00B33B62" w:rsidP="00B33B62">
      <w:pPr>
        <w:pStyle w:val="ListParagraph"/>
        <w:numPr>
          <w:ilvl w:val="0"/>
          <w:numId w:val="5"/>
        </w:numPr>
        <w:spacing w:line="240" w:lineRule="auto"/>
        <w:rPr>
          <w:szCs w:val="24"/>
        </w:rPr>
      </w:pPr>
      <w:r w:rsidRPr="00FE018B">
        <w:rPr>
          <w:szCs w:val="24"/>
        </w:rPr>
        <w:t>Methadone</w:t>
      </w:r>
    </w:p>
    <w:p w:rsidR="00B33B62" w:rsidRPr="00FE018B" w:rsidRDefault="00B33B62" w:rsidP="00B33B62">
      <w:pPr>
        <w:pStyle w:val="ListParagraph"/>
        <w:numPr>
          <w:ilvl w:val="0"/>
          <w:numId w:val="5"/>
        </w:numPr>
        <w:spacing w:line="240" w:lineRule="auto"/>
        <w:rPr>
          <w:szCs w:val="24"/>
        </w:rPr>
      </w:pPr>
      <w:r w:rsidRPr="00FE018B">
        <w:rPr>
          <w:szCs w:val="24"/>
        </w:rPr>
        <w:t>Oxycodone (e.g., OxyContin, Roxicodone, Percocet, Tylox, Percodan)</w:t>
      </w:r>
    </w:p>
    <w:p w:rsidR="00B33B62" w:rsidRPr="00FE018B" w:rsidRDefault="00B33B62" w:rsidP="00B33B62">
      <w:pPr>
        <w:pStyle w:val="ListParagraph"/>
        <w:numPr>
          <w:ilvl w:val="0"/>
          <w:numId w:val="5"/>
        </w:numPr>
        <w:spacing w:line="240" w:lineRule="auto"/>
        <w:rPr>
          <w:szCs w:val="24"/>
        </w:rPr>
      </w:pPr>
      <w:r w:rsidRPr="00FE018B">
        <w:rPr>
          <w:szCs w:val="24"/>
        </w:rPr>
        <w:t>Morphine</w:t>
      </w:r>
    </w:p>
    <w:p w:rsidR="00B33B62" w:rsidRPr="00FE018B" w:rsidRDefault="00B33B62" w:rsidP="00B33B62">
      <w:pPr>
        <w:pStyle w:val="ListParagraph"/>
        <w:numPr>
          <w:ilvl w:val="0"/>
          <w:numId w:val="5"/>
        </w:numPr>
        <w:spacing w:line="240" w:lineRule="auto"/>
        <w:rPr>
          <w:szCs w:val="24"/>
        </w:rPr>
      </w:pPr>
      <w:r w:rsidRPr="00FE018B">
        <w:rPr>
          <w:szCs w:val="24"/>
        </w:rPr>
        <w:lastRenderedPageBreak/>
        <w:t>Fentanyl (e.g., Actiq, Duragesic, Sublimaze)</w:t>
      </w:r>
    </w:p>
    <w:p w:rsidR="00B33B62" w:rsidRPr="00FE018B" w:rsidRDefault="00B33B62" w:rsidP="00B33B62">
      <w:pPr>
        <w:pStyle w:val="ListParagraph"/>
        <w:numPr>
          <w:ilvl w:val="0"/>
          <w:numId w:val="5"/>
        </w:numPr>
        <w:spacing w:line="240" w:lineRule="auto"/>
        <w:rPr>
          <w:szCs w:val="24"/>
        </w:rPr>
      </w:pPr>
      <w:r w:rsidRPr="00FE018B">
        <w:rPr>
          <w:szCs w:val="24"/>
        </w:rPr>
        <w:t>Hydrocodone (e.g., Vicodin, Lortab, Lorcet)</w:t>
      </w:r>
    </w:p>
    <w:p w:rsidR="00B33B62" w:rsidRPr="00FE018B" w:rsidRDefault="00B33B62" w:rsidP="00B33B62">
      <w:pPr>
        <w:pStyle w:val="ListParagraph"/>
        <w:numPr>
          <w:ilvl w:val="0"/>
          <w:numId w:val="5"/>
        </w:numPr>
        <w:spacing w:line="240" w:lineRule="auto"/>
        <w:rPr>
          <w:szCs w:val="24"/>
        </w:rPr>
      </w:pPr>
      <w:r w:rsidRPr="00FE018B">
        <w:rPr>
          <w:szCs w:val="24"/>
        </w:rPr>
        <w:t>Propoxyphene (e.g., Darvon, Darvocet)</w:t>
      </w:r>
    </w:p>
    <w:p w:rsidR="00B33B62" w:rsidRPr="00FE018B" w:rsidRDefault="00B33B62" w:rsidP="00B33B62">
      <w:pPr>
        <w:pStyle w:val="ListParagraph"/>
        <w:numPr>
          <w:ilvl w:val="0"/>
          <w:numId w:val="5"/>
        </w:numPr>
        <w:spacing w:line="240" w:lineRule="auto"/>
        <w:rPr>
          <w:szCs w:val="24"/>
        </w:rPr>
      </w:pPr>
      <w:r w:rsidRPr="00FE018B">
        <w:rPr>
          <w:szCs w:val="24"/>
        </w:rPr>
        <w:t>Other (please specify) __________________</w:t>
      </w:r>
    </w:p>
    <w:p w:rsidR="00B33B62" w:rsidRPr="00FE018B" w:rsidRDefault="00B33B62" w:rsidP="00B33B62">
      <w:pPr>
        <w:pStyle w:val="ListParagraph"/>
        <w:numPr>
          <w:ilvl w:val="0"/>
          <w:numId w:val="5"/>
        </w:numPr>
        <w:spacing w:line="240" w:lineRule="auto"/>
        <w:rPr>
          <w:szCs w:val="24"/>
        </w:rPr>
      </w:pPr>
      <w:r w:rsidRPr="00FE018B">
        <w:rPr>
          <w:szCs w:val="24"/>
        </w:rPr>
        <w:t>Don’t know names of same I have used</w:t>
      </w:r>
    </w:p>
    <w:p w:rsidR="00B33B62" w:rsidRPr="00FE018B" w:rsidRDefault="00B33B62" w:rsidP="00B33B62">
      <w:pPr>
        <w:pStyle w:val="ListParagraph"/>
        <w:numPr>
          <w:ilvl w:val="0"/>
          <w:numId w:val="5"/>
        </w:numPr>
        <w:spacing w:line="240" w:lineRule="auto"/>
        <w:rPr>
          <w:szCs w:val="24"/>
        </w:rPr>
      </w:pPr>
      <w:r w:rsidRPr="00FE018B">
        <w:rPr>
          <w:szCs w:val="24"/>
        </w:rPr>
        <w:t>None</w:t>
      </w:r>
    </w:p>
    <w:p w:rsidR="00B33B62" w:rsidRPr="00FE018B" w:rsidRDefault="00B33B62" w:rsidP="00B33B62">
      <w:pPr>
        <w:pStyle w:val="ListParagraph"/>
        <w:numPr>
          <w:ilvl w:val="0"/>
          <w:numId w:val="5"/>
        </w:numPr>
        <w:spacing w:line="240" w:lineRule="auto"/>
        <w:rPr>
          <w:szCs w:val="24"/>
        </w:rPr>
      </w:pPr>
      <w:r w:rsidRPr="00FE018B">
        <w:rPr>
          <w:szCs w:val="24"/>
        </w:rPr>
        <w:t>Rather not say</w:t>
      </w:r>
    </w:p>
    <w:p w:rsidR="00B33B62" w:rsidRDefault="00B33B62" w:rsidP="00B33B62">
      <w:pPr>
        <w:spacing w:line="240" w:lineRule="auto"/>
        <w:ind w:firstLine="0"/>
        <w:rPr>
          <w:szCs w:val="24"/>
        </w:rPr>
        <w:sectPr w:rsidR="00B33B62" w:rsidSect="00D7417A">
          <w:type w:val="continuous"/>
          <w:pgSz w:w="15840" w:h="12240" w:orient="landscape"/>
          <w:pgMar w:top="1440" w:right="1440" w:bottom="1440" w:left="1440" w:header="720" w:footer="720" w:gutter="0"/>
          <w:cols w:num="2" w:space="720"/>
          <w:docGrid w:linePitch="360"/>
        </w:sectPr>
      </w:pPr>
    </w:p>
    <w:p w:rsidR="00B33B62" w:rsidRDefault="00B33B62" w:rsidP="00B33B62">
      <w:pPr>
        <w:spacing w:line="240" w:lineRule="auto"/>
        <w:ind w:firstLine="0"/>
        <w:rPr>
          <w:b/>
          <w:szCs w:val="24"/>
        </w:rPr>
      </w:pPr>
    </w:p>
    <w:p w:rsidR="00B33B62" w:rsidRPr="00A660CD" w:rsidRDefault="00B33B62" w:rsidP="00B33B62">
      <w:pPr>
        <w:spacing w:line="240" w:lineRule="auto"/>
        <w:ind w:firstLine="0"/>
        <w:rPr>
          <w:b/>
          <w:szCs w:val="24"/>
        </w:rPr>
      </w:pPr>
      <w:r>
        <w:rPr>
          <w:b/>
          <w:szCs w:val="24"/>
        </w:rPr>
        <w:t xml:space="preserve">Q18D. </w:t>
      </w:r>
      <w:r w:rsidRPr="00A660CD">
        <w:rPr>
          <w:b/>
          <w:szCs w:val="24"/>
        </w:rPr>
        <w:t>Please indicate if any of the following stimulant medications have been prescrib</w:t>
      </w:r>
      <w:r>
        <w:rPr>
          <w:b/>
          <w:szCs w:val="24"/>
        </w:rPr>
        <w:t>ed to you in the past 12 months.</w:t>
      </w:r>
    </w:p>
    <w:p w:rsidR="00B33B62" w:rsidRPr="001F110E" w:rsidRDefault="00B33B62" w:rsidP="00B33B62">
      <w:pPr>
        <w:spacing w:line="240" w:lineRule="auto"/>
        <w:ind w:firstLine="0"/>
        <w:rPr>
          <w:szCs w:val="24"/>
        </w:rPr>
      </w:pPr>
      <w:r w:rsidRPr="001F110E">
        <w:rPr>
          <w:szCs w:val="24"/>
        </w:rPr>
        <w:t>[</w:t>
      </w:r>
      <w:r>
        <w:rPr>
          <w:szCs w:val="24"/>
        </w:rPr>
        <w:t>ONLY SHOW QUESTIONS THAT WERE TRUE FROM 18]</w:t>
      </w:r>
    </w:p>
    <w:p w:rsidR="00B33B62" w:rsidRPr="00FE018B" w:rsidRDefault="00B33B62" w:rsidP="00B33B62">
      <w:pPr>
        <w:spacing w:line="240" w:lineRule="auto"/>
        <w:ind w:firstLine="0"/>
        <w:rPr>
          <w:b/>
          <w:i/>
          <w:szCs w:val="24"/>
        </w:rPr>
      </w:pPr>
      <w:r w:rsidRPr="00FE018B">
        <w:rPr>
          <w:b/>
          <w:i/>
          <w:szCs w:val="24"/>
        </w:rPr>
        <w:t>(Select all that apply.)</w:t>
      </w:r>
    </w:p>
    <w:p w:rsidR="00B33B62" w:rsidRDefault="00B33B62" w:rsidP="00B33B62">
      <w:pPr>
        <w:pStyle w:val="ListParagraph"/>
        <w:numPr>
          <w:ilvl w:val="0"/>
          <w:numId w:val="5"/>
        </w:numPr>
        <w:spacing w:line="240" w:lineRule="auto"/>
        <w:rPr>
          <w:szCs w:val="24"/>
        </w:rPr>
        <w:sectPr w:rsidR="00B33B62" w:rsidSect="00D7417A">
          <w:type w:val="continuous"/>
          <w:pgSz w:w="15840" w:h="12240" w:orient="landscape"/>
          <w:pgMar w:top="1440" w:right="1440" w:bottom="1440" w:left="1440" w:header="720" w:footer="720" w:gutter="0"/>
          <w:cols w:space="720"/>
          <w:docGrid w:linePitch="360"/>
        </w:sectPr>
      </w:pPr>
    </w:p>
    <w:p w:rsidR="00B33B62" w:rsidRPr="00FE018B" w:rsidRDefault="00B33B62" w:rsidP="00B33B62">
      <w:pPr>
        <w:pStyle w:val="ListParagraph"/>
        <w:numPr>
          <w:ilvl w:val="0"/>
          <w:numId w:val="5"/>
        </w:numPr>
        <w:spacing w:line="240" w:lineRule="auto"/>
        <w:rPr>
          <w:szCs w:val="24"/>
        </w:rPr>
      </w:pPr>
      <w:r w:rsidRPr="00FE018B">
        <w:rPr>
          <w:szCs w:val="24"/>
        </w:rPr>
        <w:lastRenderedPageBreak/>
        <w:t>Ritalin</w:t>
      </w:r>
    </w:p>
    <w:p w:rsidR="00B33B62" w:rsidRPr="00FE018B" w:rsidRDefault="00B33B62" w:rsidP="00B33B62">
      <w:pPr>
        <w:pStyle w:val="ListParagraph"/>
        <w:numPr>
          <w:ilvl w:val="0"/>
          <w:numId w:val="5"/>
        </w:numPr>
        <w:spacing w:line="240" w:lineRule="auto"/>
        <w:rPr>
          <w:szCs w:val="24"/>
        </w:rPr>
      </w:pPr>
      <w:r w:rsidRPr="00FE018B">
        <w:rPr>
          <w:szCs w:val="24"/>
        </w:rPr>
        <w:t>Adderall XR</w:t>
      </w:r>
    </w:p>
    <w:p w:rsidR="00B33B62" w:rsidRPr="00FE018B" w:rsidRDefault="00B33B62" w:rsidP="00B33B62">
      <w:pPr>
        <w:pStyle w:val="ListParagraph"/>
        <w:numPr>
          <w:ilvl w:val="0"/>
          <w:numId w:val="5"/>
        </w:numPr>
        <w:spacing w:line="240" w:lineRule="auto"/>
        <w:rPr>
          <w:szCs w:val="24"/>
        </w:rPr>
      </w:pPr>
      <w:r w:rsidRPr="00FE018B">
        <w:rPr>
          <w:szCs w:val="24"/>
        </w:rPr>
        <w:t>Dextroamphetamine</w:t>
      </w:r>
    </w:p>
    <w:p w:rsidR="00B33B62" w:rsidRPr="00FE018B" w:rsidRDefault="00B33B62" w:rsidP="00B33B62">
      <w:pPr>
        <w:pStyle w:val="ListParagraph"/>
        <w:numPr>
          <w:ilvl w:val="0"/>
          <w:numId w:val="5"/>
        </w:numPr>
        <w:spacing w:line="240" w:lineRule="auto"/>
        <w:rPr>
          <w:szCs w:val="24"/>
        </w:rPr>
      </w:pPr>
      <w:r w:rsidRPr="00FE018B">
        <w:rPr>
          <w:szCs w:val="24"/>
        </w:rPr>
        <w:lastRenderedPageBreak/>
        <w:t>Dexedrine</w:t>
      </w:r>
    </w:p>
    <w:p w:rsidR="00B33B62" w:rsidRPr="00FE018B" w:rsidRDefault="00B33B62" w:rsidP="00B33B62">
      <w:pPr>
        <w:pStyle w:val="ListParagraph"/>
        <w:numPr>
          <w:ilvl w:val="0"/>
          <w:numId w:val="5"/>
        </w:numPr>
        <w:spacing w:line="240" w:lineRule="auto"/>
        <w:rPr>
          <w:szCs w:val="24"/>
        </w:rPr>
      </w:pPr>
      <w:r w:rsidRPr="00FE018B">
        <w:rPr>
          <w:szCs w:val="24"/>
        </w:rPr>
        <w:t>Ritalin SR</w:t>
      </w:r>
    </w:p>
    <w:p w:rsidR="00B33B62" w:rsidRPr="00FE018B" w:rsidRDefault="00B33B62" w:rsidP="00B33B62">
      <w:pPr>
        <w:pStyle w:val="ListParagraph"/>
        <w:numPr>
          <w:ilvl w:val="0"/>
          <w:numId w:val="5"/>
        </w:numPr>
        <w:spacing w:line="240" w:lineRule="auto"/>
        <w:rPr>
          <w:szCs w:val="24"/>
        </w:rPr>
      </w:pPr>
      <w:r w:rsidRPr="00FE018B">
        <w:rPr>
          <w:szCs w:val="24"/>
        </w:rPr>
        <w:t>Methylin ER</w:t>
      </w:r>
    </w:p>
    <w:p w:rsidR="00B33B62" w:rsidRPr="00FE018B" w:rsidRDefault="00B33B62" w:rsidP="00B33B62">
      <w:pPr>
        <w:pStyle w:val="ListParagraph"/>
        <w:numPr>
          <w:ilvl w:val="0"/>
          <w:numId w:val="5"/>
        </w:numPr>
        <w:spacing w:line="240" w:lineRule="auto"/>
        <w:rPr>
          <w:szCs w:val="24"/>
        </w:rPr>
      </w:pPr>
      <w:r w:rsidRPr="00FE018B">
        <w:rPr>
          <w:szCs w:val="24"/>
        </w:rPr>
        <w:lastRenderedPageBreak/>
        <w:t>Concerta</w:t>
      </w:r>
    </w:p>
    <w:p w:rsidR="00B33B62" w:rsidRPr="00FE018B" w:rsidRDefault="00B33B62" w:rsidP="00B33B62">
      <w:pPr>
        <w:pStyle w:val="ListParagraph"/>
        <w:numPr>
          <w:ilvl w:val="0"/>
          <w:numId w:val="5"/>
        </w:numPr>
        <w:spacing w:line="240" w:lineRule="auto"/>
        <w:rPr>
          <w:szCs w:val="24"/>
        </w:rPr>
      </w:pPr>
      <w:r w:rsidRPr="00FE018B">
        <w:rPr>
          <w:szCs w:val="24"/>
        </w:rPr>
        <w:t>Focalin XR</w:t>
      </w:r>
    </w:p>
    <w:p w:rsidR="00B33B62" w:rsidRPr="00FE018B" w:rsidRDefault="00B33B62" w:rsidP="00B33B62">
      <w:pPr>
        <w:pStyle w:val="ListParagraph"/>
        <w:numPr>
          <w:ilvl w:val="0"/>
          <w:numId w:val="5"/>
        </w:numPr>
        <w:spacing w:line="240" w:lineRule="auto"/>
        <w:rPr>
          <w:szCs w:val="24"/>
        </w:rPr>
      </w:pPr>
      <w:r w:rsidRPr="00FE018B">
        <w:rPr>
          <w:szCs w:val="24"/>
        </w:rPr>
        <w:t>Dextrostat</w:t>
      </w:r>
    </w:p>
    <w:p w:rsidR="00B33B62" w:rsidRPr="00FE018B" w:rsidRDefault="00B33B62" w:rsidP="00B33B62">
      <w:pPr>
        <w:pStyle w:val="ListParagraph"/>
        <w:numPr>
          <w:ilvl w:val="0"/>
          <w:numId w:val="5"/>
        </w:numPr>
        <w:spacing w:line="240" w:lineRule="auto"/>
        <w:rPr>
          <w:szCs w:val="24"/>
        </w:rPr>
      </w:pPr>
      <w:r w:rsidRPr="00FE018B">
        <w:rPr>
          <w:szCs w:val="24"/>
        </w:rPr>
        <w:t>Dexedrine Spansules</w:t>
      </w:r>
    </w:p>
    <w:p w:rsidR="00B33B62" w:rsidRPr="00FE018B" w:rsidRDefault="00B33B62" w:rsidP="00B33B62">
      <w:pPr>
        <w:pStyle w:val="ListParagraph"/>
        <w:numPr>
          <w:ilvl w:val="0"/>
          <w:numId w:val="5"/>
        </w:numPr>
        <w:spacing w:line="240" w:lineRule="auto"/>
        <w:rPr>
          <w:szCs w:val="24"/>
        </w:rPr>
      </w:pPr>
      <w:r w:rsidRPr="00FE018B">
        <w:rPr>
          <w:szCs w:val="24"/>
        </w:rPr>
        <w:t>Focalin</w:t>
      </w:r>
    </w:p>
    <w:p w:rsidR="00B33B62" w:rsidRPr="00FE018B" w:rsidRDefault="00B33B62" w:rsidP="00B33B62">
      <w:pPr>
        <w:pStyle w:val="ListParagraph"/>
        <w:numPr>
          <w:ilvl w:val="0"/>
          <w:numId w:val="5"/>
        </w:numPr>
        <w:spacing w:line="240" w:lineRule="auto"/>
        <w:rPr>
          <w:szCs w:val="24"/>
        </w:rPr>
      </w:pPr>
      <w:r w:rsidRPr="00FE018B">
        <w:rPr>
          <w:szCs w:val="24"/>
        </w:rPr>
        <w:t>Metadate ER</w:t>
      </w:r>
    </w:p>
    <w:p w:rsidR="00B33B62" w:rsidRPr="00FE018B" w:rsidRDefault="00B33B62" w:rsidP="00B33B62">
      <w:pPr>
        <w:pStyle w:val="ListParagraph"/>
        <w:numPr>
          <w:ilvl w:val="0"/>
          <w:numId w:val="5"/>
        </w:numPr>
        <w:spacing w:line="240" w:lineRule="auto"/>
        <w:rPr>
          <w:szCs w:val="24"/>
        </w:rPr>
      </w:pPr>
      <w:r w:rsidRPr="00FE018B">
        <w:rPr>
          <w:szCs w:val="24"/>
        </w:rPr>
        <w:t>Methylphenidate</w:t>
      </w:r>
    </w:p>
    <w:p w:rsidR="00B33B62" w:rsidRPr="00FE018B" w:rsidRDefault="00B33B62" w:rsidP="00B33B62">
      <w:pPr>
        <w:pStyle w:val="ListParagraph"/>
        <w:numPr>
          <w:ilvl w:val="0"/>
          <w:numId w:val="5"/>
        </w:numPr>
        <w:spacing w:line="240" w:lineRule="auto"/>
        <w:rPr>
          <w:szCs w:val="24"/>
        </w:rPr>
      </w:pPr>
      <w:r w:rsidRPr="00FE018B">
        <w:rPr>
          <w:szCs w:val="24"/>
        </w:rPr>
        <w:t>Ritalin LA</w:t>
      </w:r>
    </w:p>
    <w:p w:rsidR="00B33B62" w:rsidRPr="00FE018B" w:rsidRDefault="00B33B62" w:rsidP="00B33B62">
      <w:pPr>
        <w:pStyle w:val="ListParagraph"/>
        <w:numPr>
          <w:ilvl w:val="0"/>
          <w:numId w:val="5"/>
        </w:numPr>
        <w:spacing w:line="240" w:lineRule="auto"/>
        <w:rPr>
          <w:szCs w:val="24"/>
        </w:rPr>
      </w:pPr>
      <w:r w:rsidRPr="00FE018B">
        <w:rPr>
          <w:szCs w:val="24"/>
        </w:rPr>
        <w:t>Dextroamphetamine Extended Release</w:t>
      </w:r>
    </w:p>
    <w:p w:rsidR="00B33B62" w:rsidRPr="00FE018B" w:rsidRDefault="00B33B62" w:rsidP="00B33B62">
      <w:pPr>
        <w:pStyle w:val="ListParagraph"/>
        <w:numPr>
          <w:ilvl w:val="0"/>
          <w:numId w:val="5"/>
        </w:numPr>
        <w:spacing w:line="240" w:lineRule="auto"/>
        <w:rPr>
          <w:szCs w:val="24"/>
        </w:rPr>
      </w:pPr>
      <w:r w:rsidRPr="00FE018B">
        <w:rPr>
          <w:szCs w:val="24"/>
        </w:rPr>
        <w:t>Daytrana</w:t>
      </w:r>
    </w:p>
    <w:p w:rsidR="00B33B62" w:rsidRPr="00FE018B" w:rsidRDefault="00B33B62" w:rsidP="00B33B62">
      <w:pPr>
        <w:pStyle w:val="ListParagraph"/>
        <w:numPr>
          <w:ilvl w:val="0"/>
          <w:numId w:val="5"/>
        </w:numPr>
        <w:spacing w:line="240" w:lineRule="auto"/>
        <w:rPr>
          <w:szCs w:val="24"/>
        </w:rPr>
      </w:pPr>
      <w:r w:rsidRPr="00FE018B">
        <w:rPr>
          <w:szCs w:val="24"/>
        </w:rPr>
        <w:lastRenderedPageBreak/>
        <w:t>Amphetamine/Dextroamphetamine Combination</w:t>
      </w:r>
    </w:p>
    <w:p w:rsidR="00B33B62" w:rsidRPr="00FE018B" w:rsidRDefault="00B33B62" w:rsidP="00B33B62">
      <w:pPr>
        <w:pStyle w:val="ListParagraph"/>
        <w:numPr>
          <w:ilvl w:val="0"/>
          <w:numId w:val="5"/>
        </w:numPr>
        <w:spacing w:line="240" w:lineRule="auto"/>
        <w:rPr>
          <w:szCs w:val="24"/>
        </w:rPr>
      </w:pPr>
      <w:r w:rsidRPr="00FE018B">
        <w:rPr>
          <w:szCs w:val="24"/>
        </w:rPr>
        <w:t>Metadate CD</w:t>
      </w:r>
    </w:p>
    <w:p w:rsidR="00B33B62" w:rsidRPr="00FE018B" w:rsidRDefault="00B33B62" w:rsidP="00B33B62">
      <w:pPr>
        <w:pStyle w:val="ListParagraph"/>
        <w:numPr>
          <w:ilvl w:val="0"/>
          <w:numId w:val="5"/>
        </w:numPr>
        <w:spacing w:line="240" w:lineRule="auto"/>
        <w:rPr>
          <w:szCs w:val="24"/>
        </w:rPr>
      </w:pPr>
      <w:r w:rsidRPr="00FE018B">
        <w:rPr>
          <w:szCs w:val="24"/>
        </w:rPr>
        <w:t>Methylin</w:t>
      </w:r>
    </w:p>
    <w:p w:rsidR="00B33B62" w:rsidRPr="00FE018B" w:rsidRDefault="00B33B62" w:rsidP="00B33B62">
      <w:pPr>
        <w:pStyle w:val="ListParagraph"/>
        <w:numPr>
          <w:ilvl w:val="0"/>
          <w:numId w:val="5"/>
        </w:numPr>
        <w:spacing w:line="240" w:lineRule="auto"/>
        <w:rPr>
          <w:szCs w:val="24"/>
        </w:rPr>
      </w:pPr>
      <w:r w:rsidRPr="00FE018B">
        <w:rPr>
          <w:szCs w:val="24"/>
        </w:rPr>
        <w:t>Adderall</w:t>
      </w:r>
    </w:p>
    <w:p w:rsidR="00B33B62" w:rsidRPr="00FE018B" w:rsidRDefault="00B33B62" w:rsidP="00B33B62">
      <w:pPr>
        <w:pStyle w:val="ListParagraph"/>
        <w:numPr>
          <w:ilvl w:val="0"/>
          <w:numId w:val="5"/>
        </w:numPr>
        <w:spacing w:line="240" w:lineRule="auto"/>
        <w:rPr>
          <w:szCs w:val="24"/>
        </w:rPr>
      </w:pPr>
      <w:r w:rsidRPr="00FE018B">
        <w:rPr>
          <w:szCs w:val="24"/>
        </w:rPr>
        <w:t>Methylphenidate Extended Release</w:t>
      </w:r>
    </w:p>
    <w:p w:rsidR="00B33B62" w:rsidRPr="00FE018B" w:rsidRDefault="00B33B62" w:rsidP="00B33B62">
      <w:pPr>
        <w:pStyle w:val="ListParagraph"/>
        <w:numPr>
          <w:ilvl w:val="0"/>
          <w:numId w:val="5"/>
        </w:numPr>
        <w:spacing w:line="240" w:lineRule="auto"/>
        <w:rPr>
          <w:szCs w:val="24"/>
        </w:rPr>
      </w:pPr>
      <w:r w:rsidRPr="00FE018B">
        <w:rPr>
          <w:szCs w:val="24"/>
        </w:rPr>
        <w:t>Vyvanse</w:t>
      </w:r>
    </w:p>
    <w:p w:rsidR="00B33B62" w:rsidRPr="00FE018B" w:rsidRDefault="00B33B62" w:rsidP="00B33B62">
      <w:pPr>
        <w:pStyle w:val="ListParagraph"/>
        <w:numPr>
          <w:ilvl w:val="0"/>
          <w:numId w:val="5"/>
        </w:numPr>
        <w:spacing w:line="240" w:lineRule="auto"/>
        <w:rPr>
          <w:szCs w:val="24"/>
        </w:rPr>
      </w:pPr>
      <w:r w:rsidRPr="00FE018B">
        <w:rPr>
          <w:szCs w:val="24"/>
        </w:rPr>
        <w:t>Other (please specify) __________________</w:t>
      </w:r>
    </w:p>
    <w:p w:rsidR="00B33B62" w:rsidRPr="00FE018B" w:rsidRDefault="00B33B62" w:rsidP="00B33B62">
      <w:pPr>
        <w:pStyle w:val="ListParagraph"/>
        <w:numPr>
          <w:ilvl w:val="0"/>
          <w:numId w:val="5"/>
        </w:numPr>
        <w:spacing w:line="240" w:lineRule="auto"/>
        <w:rPr>
          <w:szCs w:val="24"/>
        </w:rPr>
      </w:pPr>
      <w:r w:rsidRPr="00FE018B">
        <w:rPr>
          <w:szCs w:val="24"/>
        </w:rPr>
        <w:t>Don’t know names of same I have used</w:t>
      </w:r>
    </w:p>
    <w:p w:rsidR="00B33B62" w:rsidRPr="00FE018B" w:rsidRDefault="00B33B62" w:rsidP="00B33B62">
      <w:pPr>
        <w:pStyle w:val="ListParagraph"/>
        <w:numPr>
          <w:ilvl w:val="0"/>
          <w:numId w:val="5"/>
        </w:numPr>
        <w:spacing w:line="240" w:lineRule="auto"/>
        <w:rPr>
          <w:szCs w:val="24"/>
        </w:rPr>
      </w:pPr>
      <w:r w:rsidRPr="00FE018B">
        <w:rPr>
          <w:szCs w:val="24"/>
        </w:rPr>
        <w:t>None</w:t>
      </w:r>
    </w:p>
    <w:p w:rsidR="00B33B62" w:rsidRPr="00FE018B" w:rsidRDefault="00B33B62" w:rsidP="00B33B62">
      <w:pPr>
        <w:pStyle w:val="ListParagraph"/>
        <w:numPr>
          <w:ilvl w:val="0"/>
          <w:numId w:val="5"/>
        </w:numPr>
        <w:spacing w:line="240" w:lineRule="auto"/>
        <w:rPr>
          <w:szCs w:val="24"/>
        </w:rPr>
      </w:pPr>
      <w:r w:rsidRPr="00FE018B">
        <w:rPr>
          <w:szCs w:val="24"/>
        </w:rPr>
        <w:t>Rather not say</w:t>
      </w:r>
    </w:p>
    <w:p w:rsidR="00B33B62" w:rsidRDefault="00B33B62" w:rsidP="00B33B62">
      <w:pPr>
        <w:spacing w:line="240" w:lineRule="auto"/>
        <w:ind w:firstLine="0"/>
        <w:rPr>
          <w:szCs w:val="24"/>
        </w:rPr>
        <w:sectPr w:rsidR="00B33B62" w:rsidSect="00FE256D">
          <w:type w:val="continuous"/>
          <w:pgSz w:w="15840" w:h="12240" w:orient="landscape"/>
          <w:pgMar w:top="1440" w:right="1440" w:bottom="1440" w:left="1440" w:header="1440" w:footer="720" w:gutter="0"/>
          <w:cols w:num="2" w:space="720"/>
          <w:docGrid w:linePitch="360"/>
        </w:sectPr>
      </w:pPr>
    </w:p>
    <w:p w:rsidR="00B33B62" w:rsidRPr="00A660CD" w:rsidRDefault="00B33B62" w:rsidP="00B33B62">
      <w:pPr>
        <w:spacing w:line="240" w:lineRule="auto"/>
        <w:ind w:firstLine="0"/>
        <w:rPr>
          <w:b/>
          <w:szCs w:val="24"/>
        </w:rPr>
      </w:pPr>
      <w:r w:rsidRPr="00C815E4">
        <w:rPr>
          <w:b/>
          <w:szCs w:val="24"/>
        </w:rPr>
        <w:lastRenderedPageBreak/>
        <w:t>Q18E. On how many occasions (if any) in the past 12 months have you…</w:t>
      </w:r>
    </w:p>
    <w:p w:rsidR="00B33B62" w:rsidRPr="001F110E" w:rsidRDefault="00B33B62" w:rsidP="00B33B62">
      <w:pPr>
        <w:spacing w:line="240" w:lineRule="auto"/>
        <w:ind w:firstLine="0"/>
        <w:rPr>
          <w:szCs w:val="24"/>
        </w:rPr>
      </w:pPr>
      <w:r w:rsidRPr="001F110E">
        <w:rPr>
          <w:szCs w:val="24"/>
        </w:rPr>
        <w:t>[</w:t>
      </w:r>
      <w:r>
        <w:rPr>
          <w:szCs w:val="24"/>
        </w:rPr>
        <w:t>ONLY SHOW QUESTIONS THAT WERE TRUE FROM 18]</w:t>
      </w:r>
    </w:p>
    <w:p w:rsidR="00B33B62" w:rsidRPr="00FE018B" w:rsidRDefault="00B33B62" w:rsidP="00B33B62">
      <w:pPr>
        <w:spacing w:line="240" w:lineRule="auto"/>
        <w:ind w:firstLine="0"/>
        <w:rPr>
          <w:szCs w:val="24"/>
        </w:rPr>
      </w:pPr>
    </w:p>
    <w:tbl>
      <w:tblPr>
        <w:tblW w:w="1280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3"/>
        <w:gridCol w:w="1013"/>
        <w:gridCol w:w="1203"/>
        <w:gridCol w:w="1203"/>
        <w:gridCol w:w="1203"/>
        <w:gridCol w:w="1203"/>
        <w:gridCol w:w="1203"/>
        <w:gridCol w:w="1203"/>
        <w:gridCol w:w="1026"/>
      </w:tblGrid>
      <w:tr w:rsidR="00B33B62" w:rsidRPr="00FE018B" w:rsidTr="00B33B62">
        <w:trPr>
          <w:trHeight w:val="570"/>
        </w:trPr>
        <w:tc>
          <w:tcPr>
            <w:tcW w:w="354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13" w:type="dxa"/>
            <w:shd w:val="clear" w:color="auto" w:fill="auto"/>
            <w:vAlign w:val="bottom"/>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Never</w:t>
            </w:r>
          </w:p>
        </w:tc>
        <w:tc>
          <w:tcPr>
            <w:tcW w:w="1203" w:type="dxa"/>
            <w:shd w:val="clear" w:color="auto" w:fill="auto"/>
            <w:vAlign w:val="bottom"/>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1 - 2 Occasions</w:t>
            </w:r>
          </w:p>
        </w:tc>
        <w:tc>
          <w:tcPr>
            <w:tcW w:w="1203" w:type="dxa"/>
            <w:shd w:val="clear" w:color="auto" w:fill="auto"/>
            <w:vAlign w:val="bottom"/>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3 - 5 Occasions</w:t>
            </w:r>
          </w:p>
        </w:tc>
        <w:tc>
          <w:tcPr>
            <w:tcW w:w="1203" w:type="dxa"/>
            <w:shd w:val="clear" w:color="auto" w:fill="auto"/>
            <w:vAlign w:val="bottom"/>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6 - 9 Occasions</w:t>
            </w:r>
          </w:p>
        </w:tc>
        <w:tc>
          <w:tcPr>
            <w:tcW w:w="1203" w:type="dxa"/>
            <w:shd w:val="clear" w:color="auto" w:fill="auto"/>
            <w:vAlign w:val="bottom"/>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10 - 19 Occasions</w:t>
            </w:r>
          </w:p>
        </w:tc>
        <w:tc>
          <w:tcPr>
            <w:tcW w:w="1203" w:type="dxa"/>
            <w:shd w:val="clear" w:color="auto" w:fill="auto"/>
            <w:vAlign w:val="bottom"/>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20 - 39 Occasions</w:t>
            </w:r>
          </w:p>
        </w:tc>
        <w:tc>
          <w:tcPr>
            <w:tcW w:w="1203" w:type="dxa"/>
            <w:shd w:val="clear" w:color="auto" w:fill="auto"/>
            <w:vAlign w:val="bottom"/>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40+ Occasions</w:t>
            </w:r>
          </w:p>
        </w:tc>
        <w:tc>
          <w:tcPr>
            <w:tcW w:w="1026" w:type="dxa"/>
            <w:shd w:val="clear" w:color="auto" w:fill="auto"/>
            <w:vAlign w:val="bottom"/>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Rather not say</w:t>
            </w:r>
          </w:p>
        </w:tc>
      </w:tr>
      <w:tr w:rsidR="00B33B62" w:rsidRPr="00FE018B" w:rsidTr="00B33B62">
        <w:trPr>
          <w:trHeight w:val="720"/>
        </w:trPr>
        <w:tc>
          <w:tcPr>
            <w:tcW w:w="3543" w:type="dxa"/>
            <w:shd w:val="clear" w:color="auto" w:fill="auto"/>
            <w:vAlign w:val="center"/>
            <w:hideMark/>
          </w:tcPr>
          <w:p w:rsidR="00B33B62" w:rsidRPr="00FE018B" w:rsidRDefault="00B33B62" w:rsidP="00B33B62">
            <w:pPr>
              <w:spacing w:line="240" w:lineRule="auto"/>
              <w:ind w:firstLine="0"/>
              <w:rPr>
                <w:rFonts w:eastAsia="Times New Roman"/>
                <w:color w:val="000000"/>
                <w:szCs w:val="24"/>
              </w:rPr>
            </w:pPr>
            <w:proofErr w:type="gramStart"/>
            <w:r>
              <w:rPr>
                <w:rFonts w:eastAsia="Times New Roman"/>
                <w:color w:val="000000"/>
                <w:szCs w:val="24"/>
              </w:rPr>
              <w:t>d</w:t>
            </w:r>
            <w:r w:rsidRPr="00FE018B">
              <w:rPr>
                <w:rFonts w:eastAsia="Times New Roman"/>
                <w:color w:val="000000"/>
                <w:szCs w:val="24"/>
              </w:rPr>
              <w:t>eliberately</w:t>
            </w:r>
            <w:proofErr w:type="gramEnd"/>
            <w:r w:rsidRPr="00FE018B">
              <w:rPr>
                <w:rFonts w:eastAsia="Times New Roman"/>
                <w:color w:val="000000"/>
                <w:szCs w:val="24"/>
              </w:rPr>
              <w:t xml:space="preserve"> stopped taking your stimulant medication for ADHD with your physician’s approval for the purposes of drug holidays?</w:t>
            </w:r>
          </w:p>
        </w:tc>
        <w:tc>
          <w:tcPr>
            <w:tcW w:w="101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26"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r>
      <w:tr w:rsidR="00B33B62" w:rsidRPr="00FE018B" w:rsidTr="00B33B62">
        <w:trPr>
          <w:trHeight w:val="720"/>
        </w:trPr>
        <w:tc>
          <w:tcPr>
            <w:tcW w:w="3543" w:type="dxa"/>
            <w:shd w:val="clear" w:color="auto" w:fill="auto"/>
            <w:vAlign w:val="center"/>
            <w:hideMark/>
          </w:tcPr>
          <w:p w:rsidR="00B33B62" w:rsidRPr="00FE018B" w:rsidRDefault="00B33B62" w:rsidP="00B33B62">
            <w:pPr>
              <w:spacing w:line="240" w:lineRule="auto"/>
              <w:ind w:firstLine="0"/>
              <w:rPr>
                <w:rFonts w:eastAsia="Times New Roman"/>
                <w:color w:val="000000"/>
                <w:szCs w:val="24"/>
              </w:rPr>
            </w:pPr>
            <w:proofErr w:type="gramStart"/>
            <w:r>
              <w:rPr>
                <w:rFonts w:eastAsia="Times New Roman"/>
                <w:color w:val="000000"/>
                <w:szCs w:val="24"/>
              </w:rPr>
              <w:t>u</w:t>
            </w:r>
            <w:r w:rsidRPr="00FE018B">
              <w:rPr>
                <w:rFonts w:eastAsia="Times New Roman"/>
                <w:color w:val="000000"/>
                <w:szCs w:val="24"/>
              </w:rPr>
              <w:t>sed</w:t>
            </w:r>
            <w:proofErr w:type="gramEnd"/>
            <w:r w:rsidRPr="00FE018B">
              <w:rPr>
                <w:rFonts w:eastAsia="Times New Roman"/>
                <w:color w:val="000000"/>
                <w:szCs w:val="24"/>
              </w:rPr>
              <w:t xml:space="preserve"> too much (e.g., higher doses, more frequent doses) of your prescribed stimulant medication for ADHD?</w:t>
            </w:r>
          </w:p>
        </w:tc>
        <w:tc>
          <w:tcPr>
            <w:tcW w:w="101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26"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r>
      <w:tr w:rsidR="00B33B62" w:rsidRPr="00FE018B" w:rsidTr="00B33B62">
        <w:trPr>
          <w:trHeight w:val="720"/>
        </w:trPr>
        <w:tc>
          <w:tcPr>
            <w:tcW w:w="3543" w:type="dxa"/>
            <w:shd w:val="clear" w:color="auto" w:fill="auto"/>
            <w:vAlign w:val="center"/>
            <w:hideMark/>
          </w:tcPr>
          <w:p w:rsidR="00B33B62" w:rsidRPr="00FE018B" w:rsidRDefault="00B33B62" w:rsidP="00B33B62">
            <w:pPr>
              <w:spacing w:line="240" w:lineRule="auto"/>
              <w:ind w:firstLine="0"/>
              <w:rPr>
                <w:rFonts w:eastAsia="Times New Roman"/>
                <w:color w:val="000000"/>
                <w:szCs w:val="24"/>
              </w:rPr>
            </w:pPr>
            <w:proofErr w:type="gramStart"/>
            <w:r>
              <w:rPr>
                <w:rFonts w:eastAsia="Times New Roman"/>
                <w:color w:val="000000"/>
                <w:szCs w:val="24"/>
              </w:rPr>
              <w:t>i</w:t>
            </w:r>
            <w:r w:rsidRPr="00FE018B">
              <w:rPr>
                <w:rFonts w:eastAsia="Times New Roman"/>
                <w:color w:val="000000"/>
                <w:szCs w:val="24"/>
              </w:rPr>
              <w:t>ntentionally</w:t>
            </w:r>
            <w:proofErr w:type="gramEnd"/>
            <w:r w:rsidRPr="00FE018B">
              <w:rPr>
                <w:rFonts w:eastAsia="Times New Roman"/>
                <w:color w:val="000000"/>
                <w:szCs w:val="24"/>
              </w:rPr>
              <w:t xml:space="preserve"> gotten high on your prescribed stimulant medication for ADHD?</w:t>
            </w:r>
          </w:p>
        </w:tc>
        <w:tc>
          <w:tcPr>
            <w:tcW w:w="101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26"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r>
      <w:tr w:rsidR="00B33B62" w:rsidRPr="00FE018B" w:rsidTr="00B33B62">
        <w:trPr>
          <w:trHeight w:val="720"/>
        </w:trPr>
        <w:tc>
          <w:tcPr>
            <w:tcW w:w="3543" w:type="dxa"/>
            <w:shd w:val="clear" w:color="auto" w:fill="auto"/>
            <w:vAlign w:val="center"/>
            <w:hideMark/>
          </w:tcPr>
          <w:p w:rsidR="00B33B62" w:rsidRPr="00FE018B" w:rsidRDefault="00B33B62" w:rsidP="00B33B62">
            <w:pPr>
              <w:spacing w:line="240" w:lineRule="auto"/>
              <w:ind w:firstLine="0"/>
              <w:rPr>
                <w:rFonts w:eastAsia="Times New Roman"/>
                <w:i/>
                <w:color w:val="000000"/>
                <w:szCs w:val="24"/>
              </w:rPr>
            </w:pPr>
            <w:proofErr w:type="gramStart"/>
            <w:r>
              <w:rPr>
                <w:rFonts w:eastAsia="Times New Roman"/>
                <w:color w:val="000000"/>
                <w:szCs w:val="24"/>
              </w:rPr>
              <w:t>m</w:t>
            </w:r>
            <w:r w:rsidRPr="00FE018B">
              <w:rPr>
                <w:rFonts w:eastAsia="Times New Roman"/>
                <w:color w:val="000000"/>
                <w:szCs w:val="24"/>
              </w:rPr>
              <w:t>isused</w:t>
            </w:r>
            <w:proofErr w:type="gramEnd"/>
            <w:r w:rsidRPr="00FE018B">
              <w:rPr>
                <w:rFonts w:eastAsia="Times New Roman"/>
                <w:color w:val="000000"/>
                <w:szCs w:val="24"/>
              </w:rPr>
              <w:t xml:space="preserve"> your prescribed stimulant medication for ADHD?</w:t>
            </w:r>
          </w:p>
        </w:tc>
        <w:tc>
          <w:tcPr>
            <w:tcW w:w="101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26"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r>
      <w:tr w:rsidR="00B33B62" w:rsidRPr="00FE018B" w:rsidTr="00B33B62">
        <w:trPr>
          <w:trHeight w:val="720"/>
        </w:trPr>
        <w:tc>
          <w:tcPr>
            <w:tcW w:w="3543" w:type="dxa"/>
            <w:shd w:val="clear" w:color="auto" w:fill="auto"/>
            <w:vAlign w:val="center"/>
            <w:hideMark/>
          </w:tcPr>
          <w:p w:rsidR="00B33B62" w:rsidRPr="00FE018B" w:rsidRDefault="00B33B62" w:rsidP="00B33B62">
            <w:pPr>
              <w:spacing w:line="240" w:lineRule="auto"/>
              <w:ind w:firstLine="0"/>
              <w:rPr>
                <w:rFonts w:eastAsia="Times New Roman"/>
                <w:color w:val="000000"/>
                <w:szCs w:val="24"/>
              </w:rPr>
            </w:pPr>
            <w:proofErr w:type="gramStart"/>
            <w:r>
              <w:rPr>
                <w:rFonts w:eastAsia="Times New Roman"/>
                <w:color w:val="000000"/>
                <w:szCs w:val="24"/>
              </w:rPr>
              <w:lastRenderedPageBreak/>
              <w:t>i</w:t>
            </w:r>
            <w:r w:rsidRPr="00FE018B">
              <w:rPr>
                <w:rFonts w:eastAsia="Times New Roman"/>
                <w:color w:val="000000"/>
                <w:szCs w:val="24"/>
              </w:rPr>
              <w:t>ntentionally</w:t>
            </w:r>
            <w:proofErr w:type="gramEnd"/>
            <w:r w:rsidRPr="00FE018B">
              <w:rPr>
                <w:rFonts w:eastAsia="Times New Roman"/>
                <w:color w:val="000000"/>
                <w:szCs w:val="24"/>
              </w:rPr>
              <w:t xml:space="preserve"> used your prescribed stimulant medication for ADHD with alcohol or other drugs?</w:t>
            </w:r>
          </w:p>
        </w:tc>
        <w:tc>
          <w:tcPr>
            <w:tcW w:w="101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26"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r>
      <w:tr w:rsidR="00B33B62" w:rsidRPr="00FE018B" w:rsidTr="00B33B62">
        <w:trPr>
          <w:trHeight w:val="720"/>
        </w:trPr>
        <w:tc>
          <w:tcPr>
            <w:tcW w:w="3543" w:type="dxa"/>
            <w:shd w:val="clear" w:color="auto" w:fill="auto"/>
            <w:vAlign w:val="center"/>
            <w:hideMark/>
          </w:tcPr>
          <w:p w:rsidR="00B33B62" w:rsidRPr="00FE018B" w:rsidRDefault="00B33B62" w:rsidP="00B33B62">
            <w:pPr>
              <w:spacing w:line="240" w:lineRule="auto"/>
              <w:ind w:firstLine="0"/>
              <w:rPr>
                <w:rFonts w:eastAsia="Times New Roman"/>
                <w:color w:val="000000"/>
                <w:szCs w:val="24"/>
              </w:rPr>
            </w:pPr>
            <w:proofErr w:type="gramStart"/>
            <w:r>
              <w:rPr>
                <w:rFonts w:eastAsia="Times New Roman"/>
                <w:color w:val="000000"/>
                <w:szCs w:val="24"/>
              </w:rPr>
              <w:t>g</w:t>
            </w:r>
            <w:r w:rsidRPr="00FE018B">
              <w:rPr>
                <w:rFonts w:eastAsia="Times New Roman"/>
                <w:color w:val="000000"/>
                <w:szCs w:val="24"/>
              </w:rPr>
              <w:t>iven</w:t>
            </w:r>
            <w:proofErr w:type="gramEnd"/>
            <w:r w:rsidRPr="00FE018B">
              <w:rPr>
                <w:rFonts w:eastAsia="Times New Roman"/>
                <w:color w:val="000000"/>
                <w:szCs w:val="24"/>
              </w:rPr>
              <w:t xml:space="preserve"> away, loaned </w:t>
            </w:r>
            <w:r>
              <w:rPr>
                <w:rFonts w:eastAsia="Times New Roman"/>
                <w:color w:val="000000"/>
                <w:szCs w:val="24"/>
              </w:rPr>
              <w:t>o</w:t>
            </w:r>
            <w:r w:rsidRPr="00FE018B">
              <w:rPr>
                <w:rFonts w:eastAsia="Times New Roman"/>
                <w:color w:val="000000"/>
                <w:szCs w:val="24"/>
              </w:rPr>
              <w:t>r sold your prescribed stimulant medication for ADHD to someone?</w:t>
            </w:r>
          </w:p>
        </w:tc>
        <w:tc>
          <w:tcPr>
            <w:tcW w:w="101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26"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r>
    </w:tbl>
    <w:p w:rsidR="00B33B62" w:rsidRPr="00FE018B" w:rsidRDefault="00B33B62" w:rsidP="00B33B62">
      <w:pPr>
        <w:spacing w:line="240" w:lineRule="auto"/>
        <w:ind w:firstLine="0"/>
        <w:rPr>
          <w:szCs w:val="24"/>
        </w:rPr>
      </w:pPr>
    </w:p>
    <w:p w:rsidR="00B33B62" w:rsidRDefault="00B33B62" w:rsidP="00B33B62">
      <w:pPr>
        <w:spacing w:line="240" w:lineRule="auto"/>
        <w:ind w:firstLine="0"/>
        <w:rPr>
          <w:b/>
          <w:szCs w:val="24"/>
        </w:rPr>
      </w:pPr>
      <w:proofErr w:type="gramStart"/>
      <w:r>
        <w:rPr>
          <w:b/>
          <w:szCs w:val="24"/>
        </w:rPr>
        <w:t>Q18F – 19F.</w:t>
      </w:r>
      <w:proofErr w:type="gramEnd"/>
      <w:r>
        <w:rPr>
          <w:b/>
          <w:szCs w:val="24"/>
        </w:rPr>
        <w:t xml:space="preserve"> </w:t>
      </w:r>
      <w:r w:rsidRPr="00A660CD">
        <w:rPr>
          <w:b/>
          <w:szCs w:val="24"/>
        </w:rPr>
        <w:t>On how many occasions in the past 12 months have you been approached to sell, trade, or give away your prescription medication?</w:t>
      </w:r>
    </w:p>
    <w:p w:rsidR="00B33B62" w:rsidRPr="001F110E" w:rsidRDefault="00B33B62" w:rsidP="00B33B62">
      <w:pPr>
        <w:spacing w:line="240" w:lineRule="auto"/>
        <w:ind w:firstLine="0"/>
        <w:rPr>
          <w:szCs w:val="24"/>
        </w:rPr>
      </w:pPr>
      <w:r w:rsidRPr="001F110E">
        <w:rPr>
          <w:szCs w:val="24"/>
        </w:rPr>
        <w:t>[</w:t>
      </w:r>
      <w:r>
        <w:rPr>
          <w:szCs w:val="24"/>
        </w:rPr>
        <w:t>ONLY SHOW QUESTIONS THAT WERE TRUE FROM 18 – 19]</w:t>
      </w:r>
    </w:p>
    <w:p w:rsidR="00B33B62" w:rsidRPr="00FE018B" w:rsidRDefault="00B33B62" w:rsidP="00B33B62">
      <w:pPr>
        <w:spacing w:line="240" w:lineRule="auto"/>
        <w:ind w:firstLine="0"/>
        <w:rPr>
          <w:szCs w:val="24"/>
        </w:rPr>
      </w:pPr>
    </w:p>
    <w:tbl>
      <w:tblPr>
        <w:tblW w:w="1280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59"/>
        <w:gridCol w:w="1004"/>
        <w:gridCol w:w="1203"/>
        <w:gridCol w:w="1203"/>
        <w:gridCol w:w="1203"/>
        <w:gridCol w:w="1203"/>
        <w:gridCol w:w="1203"/>
        <w:gridCol w:w="1203"/>
        <w:gridCol w:w="1019"/>
      </w:tblGrid>
      <w:tr w:rsidR="00B33B62" w:rsidRPr="00FE018B" w:rsidTr="00B33B62">
        <w:trPr>
          <w:trHeight w:val="570"/>
        </w:trPr>
        <w:tc>
          <w:tcPr>
            <w:tcW w:w="3559"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04" w:type="dxa"/>
            <w:shd w:val="clear" w:color="auto" w:fill="auto"/>
            <w:vAlign w:val="bottom"/>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Never</w:t>
            </w:r>
          </w:p>
        </w:tc>
        <w:tc>
          <w:tcPr>
            <w:tcW w:w="1203" w:type="dxa"/>
            <w:shd w:val="clear" w:color="auto" w:fill="auto"/>
            <w:vAlign w:val="bottom"/>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1 - 2 Occasions</w:t>
            </w:r>
          </w:p>
        </w:tc>
        <w:tc>
          <w:tcPr>
            <w:tcW w:w="1203" w:type="dxa"/>
            <w:shd w:val="clear" w:color="auto" w:fill="auto"/>
            <w:vAlign w:val="bottom"/>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3 - 5 Occasions</w:t>
            </w:r>
          </w:p>
        </w:tc>
        <w:tc>
          <w:tcPr>
            <w:tcW w:w="1203" w:type="dxa"/>
            <w:shd w:val="clear" w:color="auto" w:fill="auto"/>
            <w:vAlign w:val="bottom"/>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6 - 9 Occasions</w:t>
            </w:r>
          </w:p>
        </w:tc>
        <w:tc>
          <w:tcPr>
            <w:tcW w:w="1203" w:type="dxa"/>
            <w:shd w:val="clear" w:color="auto" w:fill="auto"/>
            <w:vAlign w:val="bottom"/>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10 - 19 Occasions</w:t>
            </w:r>
          </w:p>
        </w:tc>
        <w:tc>
          <w:tcPr>
            <w:tcW w:w="1203" w:type="dxa"/>
            <w:shd w:val="clear" w:color="auto" w:fill="auto"/>
            <w:vAlign w:val="bottom"/>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20 - 39 Occasions</w:t>
            </w:r>
          </w:p>
        </w:tc>
        <w:tc>
          <w:tcPr>
            <w:tcW w:w="1203" w:type="dxa"/>
            <w:shd w:val="clear" w:color="auto" w:fill="auto"/>
            <w:vAlign w:val="bottom"/>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40+ Occasions</w:t>
            </w:r>
          </w:p>
        </w:tc>
        <w:tc>
          <w:tcPr>
            <w:tcW w:w="1019" w:type="dxa"/>
            <w:shd w:val="clear" w:color="auto" w:fill="auto"/>
            <w:vAlign w:val="bottom"/>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Rather not say</w:t>
            </w:r>
          </w:p>
        </w:tc>
      </w:tr>
      <w:tr w:rsidR="00B33B62" w:rsidRPr="00FE018B" w:rsidTr="00B33B62">
        <w:trPr>
          <w:trHeight w:val="720"/>
        </w:trPr>
        <w:tc>
          <w:tcPr>
            <w:tcW w:w="3559" w:type="dxa"/>
            <w:shd w:val="clear" w:color="auto" w:fill="auto"/>
            <w:vAlign w:val="center"/>
            <w:hideMark/>
          </w:tcPr>
          <w:p w:rsidR="00B33B62" w:rsidRPr="00FE018B" w:rsidRDefault="00B33B62" w:rsidP="00B33B62">
            <w:pPr>
              <w:spacing w:line="240" w:lineRule="auto"/>
              <w:ind w:firstLine="0"/>
              <w:rPr>
                <w:rFonts w:eastAsia="Times New Roman"/>
                <w:color w:val="000000"/>
                <w:szCs w:val="24"/>
              </w:rPr>
            </w:pPr>
            <w:r w:rsidRPr="00FE018B">
              <w:rPr>
                <w:rFonts w:eastAsia="Times New Roman"/>
                <w:b/>
                <w:color w:val="000000"/>
                <w:szCs w:val="24"/>
              </w:rPr>
              <w:t>Stimulant medication for ADHD</w:t>
            </w:r>
            <w:r w:rsidRPr="00FE018B">
              <w:rPr>
                <w:rFonts w:eastAsia="Times New Roman"/>
                <w:color w:val="000000"/>
                <w:szCs w:val="24"/>
              </w:rPr>
              <w:t xml:space="preserve"> (e.g., Ritalin, Dexedrine, Adderall, Concerta, methylphenidate, Vyvanse) </w:t>
            </w:r>
          </w:p>
        </w:tc>
        <w:tc>
          <w:tcPr>
            <w:tcW w:w="1004"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19"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r>
      <w:tr w:rsidR="00B33B62" w:rsidRPr="00FE018B" w:rsidTr="00B33B62">
        <w:trPr>
          <w:trHeight w:val="720"/>
        </w:trPr>
        <w:tc>
          <w:tcPr>
            <w:tcW w:w="3559" w:type="dxa"/>
            <w:shd w:val="clear" w:color="auto" w:fill="auto"/>
            <w:vAlign w:val="center"/>
            <w:hideMark/>
          </w:tcPr>
          <w:p w:rsidR="00B33B62" w:rsidRPr="00FE018B" w:rsidRDefault="00B33B62" w:rsidP="00B33B62">
            <w:pPr>
              <w:spacing w:line="240" w:lineRule="auto"/>
              <w:ind w:firstLine="0"/>
              <w:rPr>
                <w:rFonts w:eastAsia="Times New Roman"/>
                <w:b/>
                <w:i/>
                <w:color w:val="000000"/>
                <w:szCs w:val="24"/>
              </w:rPr>
            </w:pPr>
            <w:r w:rsidRPr="00FE018B">
              <w:rPr>
                <w:rFonts w:eastAsia="Times New Roman"/>
                <w:b/>
                <w:color w:val="000000"/>
                <w:szCs w:val="24"/>
              </w:rPr>
              <w:t>Pain medication</w:t>
            </w:r>
            <w:r w:rsidRPr="00FE018B">
              <w:rPr>
                <w:rFonts w:eastAsia="Times New Roman"/>
                <w:color w:val="000000"/>
                <w:szCs w:val="24"/>
              </w:rPr>
              <w:t xml:space="preserve"> (i.e., opioids such as Vicodin, OxyContin, Tylenol 3 with codeine, Percocet, Darvocet, morphine, hydrocodone, oxycodone) </w:t>
            </w:r>
          </w:p>
        </w:tc>
        <w:tc>
          <w:tcPr>
            <w:tcW w:w="1004"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19"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r>
    </w:tbl>
    <w:p w:rsidR="00B33B62" w:rsidRDefault="00B33B62" w:rsidP="00B33B62">
      <w:pPr>
        <w:spacing w:line="240" w:lineRule="auto"/>
        <w:ind w:firstLine="0"/>
        <w:rPr>
          <w:b/>
          <w:szCs w:val="24"/>
        </w:rPr>
      </w:pPr>
    </w:p>
    <w:p w:rsidR="00B33B62" w:rsidRDefault="00B33B62" w:rsidP="00B33B62">
      <w:pPr>
        <w:spacing w:line="240" w:lineRule="auto"/>
        <w:ind w:firstLine="0"/>
        <w:rPr>
          <w:b/>
          <w:szCs w:val="24"/>
        </w:rPr>
      </w:pPr>
      <w:r w:rsidRPr="00A660CD">
        <w:rPr>
          <w:b/>
          <w:szCs w:val="24"/>
        </w:rPr>
        <w:t xml:space="preserve">Sometimes people use prescription drugs that were meant for other people, even when their own doctor has not prescribed them. </w:t>
      </w:r>
    </w:p>
    <w:p w:rsidR="006349DF" w:rsidRDefault="006349DF" w:rsidP="00B33B62">
      <w:pPr>
        <w:spacing w:line="240" w:lineRule="auto"/>
        <w:ind w:firstLine="0"/>
        <w:rPr>
          <w:b/>
          <w:szCs w:val="24"/>
        </w:rPr>
      </w:pPr>
      <w:r>
        <w:rPr>
          <w:b/>
          <w:szCs w:val="24"/>
        </w:rPr>
        <w:br w:type="page"/>
      </w:r>
    </w:p>
    <w:p w:rsidR="00B33B62" w:rsidRPr="00CB59EF" w:rsidRDefault="00B33B62" w:rsidP="00B33B62">
      <w:pPr>
        <w:spacing w:line="240" w:lineRule="auto"/>
        <w:ind w:firstLine="0"/>
        <w:rPr>
          <w:b/>
          <w:szCs w:val="24"/>
        </w:rPr>
      </w:pPr>
      <w:proofErr w:type="gramStart"/>
      <w:r w:rsidRPr="00D822BC">
        <w:rPr>
          <w:rFonts w:eastAsia="Times New Roman"/>
          <w:b/>
          <w:color w:val="000000"/>
          <w:szCs w:val="24"/>
        </w:rPr>
        <w:lastRenderedPageBreak/>
        <w:t>Q20 – 21.</w:t>
      </w:r>
      <w:proofErr w:type="gramEnd"/>
      <w:r w:rsidRPr="00D822BC">
        <w:rPr>
          <w:rFonts w:eastAsia="Times New Roman"/>
          <w:b/>
          <w:color w:val="000000"/>
          <w:szCs w:val="24"/>
        </w:rPr>
        <w:t xml:space="preserve"> In your lifetime, have you ever taken prescription medication, not prescribed to you by a doctor?</w:t>
      </w:r>
    </w:p>
    <w:p w:rsidR="00B33B62" w:rsidRPr="00CB59EF" w:rsidRDefault="00B33B62" w:rsidP="00B33B62">
      <w:pPr>
        <w:spacing w:line="240" w:lineRule="auto"/>
        <w:ind w:firstLine="0"/>
        <w:rPr>
          <w:b/>
          <w:szCs w:val="24"/>
        </w:rPr>
      </w:pPr>
    </w:p>
    <w:tbl>
      <w:tblPr>
        <w:tblW w:w="901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83"/>
        <w:gridCol w:w="666"/>
        <w:gridCol w:w="666"/>
      </w:tblGrid>
      <w:tr w:rsidR="00B33B62" w:rsidRPr="00CB59EF" w:rsidTr="00B33B62">
        <w:trPr>
          <w:trHeight w:val="531"/>
        </w:trPr>
        <w:tc>
          <w:tcPr>
            <w:tcW w:w="7683" w:type="dxa"/>
            <w:shd w:val="clear" w:color="auto" w:fill="auto"/>
            <w:vAlign w:val="bottom"/>
          </w:tcPr>
          <w:p w:rsidR="00B33B62" w:rsidRPr="00CB59EF" w:rsidRDefault="00B33B62" w:rsidP="00B33B62">
            <w:pPr>
              <w:spacing w:line="240" w:lineRule="auto"/>
              <w:ind w:firstLine="0"/>
              <w:rPr>
                <w:rFonts w:eastAsia="Times New Roman"/>
                <w:color w:val="000000"/>
                <w:szCs w:val="24"/>
              </w:rPr>
            </w:pPr>
            <w:r w:rsidRPr="00CB59EF">
              <w:rPr>
                <w:rFonts w:eastAsia="Times New Roman"/>
                <w:color w:val="000000"/>
                <w:szCs w:val="24"/>
              </w:rPr>
              <w:t xml:space="preserve"> </w:t>
            </w:r>
          </w:p>
        </w:tc>
        <w:tc>
          <w:tcPr>
            <w:tcW w:w="666" w:type="dxa"/>
            <w:shd w:val="clear" w:color="auto" w:fill="auto"/>
            <w:noWrap/>
            <w:textDirection w:val="btLr"/>
            <w:vAlign w:val="bottom"/>
            <w:hideMark/>
          </w:tcPr>
          <w:p w:rsidR="00B33B62" w:rsidRPr="00CB59EF" w:rsidRDefault="00B33B62" w:rsidP="00B33B62">
            <w:pPr>
              <w:spacing w:line="360" w:lineRule="auto"/>
              <w:ind w:firstLine="0"/>
              <w:rPr>
                <w:rFonts w:eastAsia="Times New Roman"/>
                <w:color w:val="000000"/>
                <w:szCs w:val="24"/>
              </w:rPr>
            </w:pPr>
            <w:r w:rsidRPr="00CB59EF">
              <w:rPr>
                <w:rFonts w:eastAsia="Times New Roman"/>
                <w:color w:val="000000"/>
                <w:szCs w:val="24"/>
              </w:rPr>
              <w:t>Yes</w:t>
            </w:r>
          </w:p>
        </w:tc>
        <w:tc>
          <w:tcPr>
            <w:tcW w:w="666" w:type="dxa"/>
            <w:shd w:val="clear" w:color="auto" w:fill="auto"/>
            <w:noWrap/>
            <w:textDirection w:val="btLr"/>
            <w:vAlign w:val="bottom"/>
            <w:hideMark/>
          </w:tcPr>
          <w:p w:rsidR="00B33B62" w:rsidRPr="00CB59EF" w:rsidRDefault="00B33B62" w:rsidP="00B33B62">
            <w:pPr>
              <w:spacing w:line="360" w:lineRule="auto"/>
              <w:ind w:firstLine="0"/>
              <w:rPr>
                <w:rFonts w:eastAsia="Times New Roman"/>
                <w:color w:val="000000"/>
                <w:szCs w:val="24"/>
              </w:rPr>
            </w:pPr>
            <w:r w:rsidRPr="00CB59EF">
              <w:rPr>
                <w:rFonts w:eastAsia="Times New Roman"/>
                <w:color w:val="000000"/>
                <w:szCs w:val="24"/>
              </w:rPr>
              <w:t>No</w:t>
            </w:r>
          </w:p>
        </w:tc>
      </w:tr>
      <w:tr w:rsidR="00B33B62" w:rsidRPr="00CB59EF" w:rsidTr="00B33B62">
        <w:trPr>
          <w:trHeight w:val="720"/>
        </w:trPr>
        <w:tc>
          <w:tcPr>
            <w:tcW w:w="7683" w:type="dxa"/>
            <w:shd w:val="clear" w:color="auto" w:fill="auto"/>
            <w:noWrap/>
            <w:vAlign w:val="center"/>
            <w:hideMark/>
          </w:tcPr>
          <w:p w:rsidR="00B33B62" w:rsidRPr="00FE018B" w:rsidRDefault="00B33B62" w:rsidP="00B33B62">
            <w:pPr>
              <w:spacing w:line="240" w:lineRule="auto"/>
              <w:ind w:firstLine="0"/>
              <w:rPr>
                <w:rFonts w:eastAsia="Times New Roman"/>
                <w:color w:val="000000"/>
                <w:szCs w:val="24"/>
              </w:rPr>
            </w:pPr>
            <w:r w:rsidRPr="00FE018B">
              <w:rPr>
                <w:rFonts w:eastAsia="Times New Roman"/>
                <w:b/>
                <w:color w:val="000000"/>
                <w:szCs w:val="24"/>
              </w:rPr>
              <w:t>Stimulant medication for ADHD</w:t>
            </w:r>
            <w:r w:rsidRPr="00FE018B">
              <w:rPr>
                <w:rFonts w:eastAsia="Times New Roman"/>
                <w:color w:val="000000"/>
                <w:szCs w:val="24"/>
              </w:rPr>
              <w:t xml:space="preserve"> (e.g., Ritalin, Dexedrine, Adderall, Concerta, methylphenidate, Vyvanse) </w:t>
            </w:r>
          </w:p>
        </w:tc>
        <w:tc>
          <w:tcPr>
            <w:tcW w:w="666" w:type="dxa"/>
            <w:shd w:val="clear" w:color="auto" w:fill="auto"/>
            <w:noWrap/>
            <w:vAlign w:val="bottom"/>
          </w:tcPr>
          <w:p w:rsidR="00B33B62" w:rsidRPr="00CB59EF" w:rsidRDefault="00B33B62" w:rsidP="00B33B62">
            <w:pPr>
              <w:spacing w:line="240" w:lineRule="auto"/>
              <w:ind w:firstLine="0"/>
              <w:jc w:val="center"/>
              <w:rPr>
                <w:rFonts w:eastAsia="Times New Roman"/>
                <w:color w:val="000000"/>
                <w:szCs w:val="24"/>
              </w:rPr>
            </w:pPr>
          </w:p>
        </w:tc>
        <w:tc>
          <w:tcPr>
            <w:tcW w:w="666" w:type="dxa"/>
            <w:shd w:val="clear" w:color="auto" w:fill="auto"/>
            <w:noWrap/>
            <w:vAlign w:val="bottom"/>
          </w:tcPr>
          <w:p w:rsidR="00B33B62" w:rsidRPr="00CB59EF" w:rsidRDefault="00B33B62" w:rsidP="00B33B62">
            <w:pPr>
              <w:spacing w:line="240" w:lineRule="auto"/>
              <w:ind w:firstLine="0"/>
              <w:jc w:val="center"/>
              <w:rPr>
                <w:rFonts w:eastAsia="Times New Roman"/>
                <w:color w:val="000000"/>
                <w:szCs w:val="24"/>
              </w:rPr>
            </w:pPr>
          </w:p>
        </w:tc>
      </w:tr>
      <w:tr w:rsidR="00B33B62" w:rsidRPr="00CB59EF" w:rsidTr="00B33B62">
        <w:trPr>
          <w:trHeight w:val="972"/>
        </w:trPr>
        <w:tc>
          <w:tcPr>
            <w:tcW w:w="7683" w:type="dxa"/>
            <w:shd w:val="clear" w:color="auto" w:fill="auto"/>
            <w:noWrap/>
            <w:vAlign w:val="center"/>
            <w:hideMark/>
          </w:tcPr>
          <w:p w:rsidR="00B33B62" w:rsidRPr="00FE018B" w:rsidRDefault="00B33B62" w:rsidP="00B33B62">
            <w:pPr>
              <w:spacing w:line="240" w:lineRule="auto"/>
              <w:ind w:firstLine="0"/>
              <w:rPr>
                <w:rFonts w:eastAsia="Times New Roman"/>
                <w:b/>
                <w:i/>
                <w:color w:val="000000"/>
                <w:szCs w:val="24"/>
              </w:rPr>
            </w:pPr>
            <w:r w:rsidRPr="00FE018B">
              <w:rPr>
                <w:rFonts w:eastAsia="Times New Roman"/>
                <w:b/>
                <w:color w:val="000000"/>
                <w:szCs w:val="24"/>
              </w:rPr>
              <w:t>Pain medication</w:t>
            </w:r>
            <w:r w:rsidRPr="00FE018B">
              <w:rPr>
                <w:rFonts w:eastAsia="Times New Roman"/>
                <w:color w:val="000000"/>
                <w:szCs w:val="24"/>
              </w:rPr>
              <w:t xml:space="preserve"> (i.e., opioids such as Vicodin, OxyContin, Tylenol 3 with codeine, Percocet, Darvocet, morphine, hydrocodone, oxycodone) </w:t>
            </w:r>
          </w:p>
        </w:tc>
        <w:tc>
          <w:tcPr>
            <w:tcW w:w="666" w:type="dxa"/>
            <w:shd w:val="clear" w:color="auto" w:fill="auto"/>
            <w:noWrap/>
            <w:vAlign w:val="bottom"/>
          </w:tcPr>
          <w:p w:rsidR="00B33B62" w:rsidRPr="00CB59EF" w:rsidRDefault="00B33B62" w:rsidP="00B33B62">
            <w:pPr>
              <w:spacing w:line="240" w:lineRule="auto"/>
              <w:ind w:firstLine="0"/>
              <w:jc w:val="center"/>
              <w:rPr>
                <w:rFonts w:eastAsia="Times New Roman"/>
                <w:color w:val="000000"/>
                <w:szCs w:val="24"/>
              </w:rPr>
            </w:pPr>
          </w:p>
        </w:tc>
        <w:tc>
          <w:tcPr>
            <w:tcW w:w="666" w:type="dxa"/>
            <w:shd w:val="clear" w:color="auto" w:fill="auto"/>
            <w:noWrap/>
            <w:vAlign w:val="bottom"/>
          </w:tcPr>
          <w:p w:rsidR="00B33B62" w:rsidRPr="00CB59EF" w:rsidRDefault="00B33B62" w:rsidP="00B33B62">
            <w:pPr>
              <w:spacing w:line="240" w:lineRule="auto"/>
              <w:ind w:firstLine="0"/>
              <w:jc w:val="center"/>
              <w:rPr>
                <w:rFonts w:eastAsia="Times New Roman"/>
                <w:color w:val="000000"/>
                <w:szCs w:val="24"/>
              </w:rPr>
            </w:pPr>
          </w:p>
        </w:tc>
      </w:tr>
    </w:tbl>
    <w:p w:rsidR="00B33B62" w:rsidRPr="00CB59EF" w:rsidRDefault="00B33B62" w:rsidP="00B33B62">
      <w:pPr>
        <w:spacing w:line="240" w:lineRule="auto"/>
        <w:ind w:firstLine="0"/>
        <w:rPr>
          <w:b/>
          <w:szCs w:val="24"/>
        </w:rPr>
      </w:pPr>
    </w:p>
    <w:p w:rsidR="00B33B62" w:rsidRPr="00A660CD" w:rsidRDefault="00B33B62" w:rsidP="00B33B62">
      <w:pPr>
        <w:spacing w:line="240" w:lineRule="auto"/>
        <w:ind w:firstLine="0"/>
        <w:rPr>
          <w:b/>
          <w:szCs w:val="24"/>
        </w:rPr>
      </w:pPr>
      <w:proofErr w:type="gramStart"/>
      <w:r>
        <w:rPr>
          <w:b/>
          <w:szCs w:val="24"/>
        </w:rPr>
        <w:t>Q20A – 21A.</w:t>
      </w:r>
      <w:proofErr w:type="gramEnd"/>
      <w:r>
        <w:rPr>
          <w:b/>
          <w:szCs w:val="24"/>
        </w:rPr>
        <w:t xml:space="preserve"> </w:t>
      </w:r>
      <w:r w:rsidRPr="00A660CD">
        <w:rPr>
          <w:b/>
          <w:szCs w:val="24"/>
        </w:rPr>
        <w:t>On how many occasions in your lifetime have you used the following types of drugs, not prescribed to you?</w:t>
      </w:r>
    </w:p>
    <w:p w:rsidR="00B33B62" w:rsidRDefault="00B33B62" w:rsidP="00B33B62">
      <w:pPr>
        <w:spacing w:line="240" w:lineRule="auto"/>
        <w:ind w:firstLine="0"/>
        <w:rPr>
          <w:szCs w:val="24"/>
        </w:rPr>
      </w:pPr>
      <w:r w:rsidRPr="001F110E">
        <w:rPr>
          <w:szCs w:val="24"/>
        </w:rPr>
        <w:t>[</w:t>
      </w:r>
      <w:r>
        <w:rPr>
          <w:szCs w:val="24"/>
        </w:rPr>
        <w:t>ONLY SHOW QUESTIONS THAT WERE TRUE FROM 20 – 21]</w:t>
      </w:r>
    </w:p>
    <w:p w:rsidR="00B33B62" w:rsidRPr="00FE018B" w:rsidRDefault="00B33B62" w:rsidP="00B33B62">
      <w:pPr>
        <w:spacing w:line="240" w:lineRule="auto"/>
        <w:ind w:firstLine="0"/>
        <w:rPr>
          <w:szCs w:val="24"/>
        </w:rPr>
      </w:pPr>
    </w:p>
    <w:tbl>
      <w:tblPr>
        <w:tblW w:w="1280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59"/>
        <w:gridCol w:w="1004"/>
        <w:gridCol w:w="1203"/>
        <w:gridCol w:w="1203"/>
        <w:gridCol w:w="1203"/>
        <w:gridCol w:w="1203"/>
        <w:gridCol w:w="1203"/>
        <w:gridCol w:w="1203"/>
        <w:gridCol w:w="1019"/>
      </w:tblGrid>
      <w:tr w:rsidR="00B33B62" w:rsidRPr="00FE018B" w:rsidTr="00B33B62">
        <w:trPr>
          <w:trHeight w:val="570"/>
        </w:trPr>
        <w:tc>
          <w:tcPr>
            <w:tcW w:w="3559"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04" w:type="dxa"/>
            <w:shd w:val="clear" w:color="auto" w:fill="auto"/>
            <w:vAlign w:val="bottom"/>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Never</w:t>
            </w:r>
          </w:p>
        </w:tc>
        <w:tc>
          <w:tcPr>
            <w:tcW w:w="1203" w:type="dxa"/>
            <w:shd w:val="clear" w:color="auto" w:fill="auto"/>
            <w:vAlign w:val="bottom"/>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1 - 2 Occasions</w:t>
            </w:r>
          </w:p>
        </w:tc>
        <w:tc>
          <w:tcPr>
            <w:tcW w:w="1203" w:type="dxa"/>
            <w:shd w:val="clear" w:color="auto" w:fill="auto"/>
            <w:vAlign w:val="bottom"/>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3 - 5 Occasions</w:t>
            </w:r>
          </w:p>
        </w:tc>
        <w:tc>
          <w:tcPr>
            <w:tcW w:w="1203" w:type="dxa"/>
            <w:shd w:val="clear" w:color="auto" w:fill="auto"/>
            <w:vAlign w:val="bottom"/>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6 - 9 Occasions</w:t>
            </w:r>
          </w:p>
        </w:tc>
        <w:tc>
          <w:tcPr>
            <w:tcW w:w="1203" w:type="dxa"/>
            <w:shd w:val="clear" w:color="auto" w:fill="auto"/>
            <w:vAlign w:val="bottom"/>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10 - 19 Occasions</w:t>
            </w:r>
          </w:p>
        </w:tc>
        <w:tc>
          <w:tcPr>
            <w:tcW w:w="1203" w:type="dxa"/>
            <w:shd w:val="clear" w:color="auto" w:fill="auto"/>
            <w:vAlign w:val="bottom"/>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20 - 39 Occasions</w:t>
            </w:r>
          </w:p>
        </w:tc>
        <w:tc>
          <w:tcPr>
            <w:tcW w:w="1203" w:type="dxa"/>
            <w:shd w:val="clear" w:color="auto" w:fill="auto"/>
            <w:vAlign w:val="bottom"/>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40+ Occasions</w:t>
            </w:r>
          </w:p>
        </w:tc>
        <w:tc>
          <w:tcPr>
            <w:tcW w:w="1019" w:type="dxa"/>
            <w:shd w:val="clear" w:color="auto" w:fill="auto"/>
            <w:vAlign w:val="bottom"/>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Rather not say</w:t>
            </w:r>
          </w:p>
        </w:tc>
      </w:tr>
      <w:tr w:rsidR="00B33B62" w:rsidRPr="00FE018B" w:rsidTr="00B33B62">
        <w:trPr>
          <w:trHeight w:val="720"/>
        </w:trPr>
        <w:tc>
          <w:tcPr>
            <w:tcW w:w="3559" w:type="dxa"/>
            <w:shd w:val="clear" w:color="auto" w:fill="auto"/>
            <w:vAlign w:val="center"/>
            <w:hideMark/>
          </w:tcPr>
          <w:p w:rsidR="00B33B62" w:rsidRPr="00FE018B" w:rsidRDefault="00B33B62" w:rsidP="00B33B62">
            <w:pPr>
              <w:spacing w:line="240" w:lineRule="auto"/>
              <w:ind w:firstLine="0"/>
              <w:rPr>
                <w:rFonts w:eastAsia="Times New Roman"/>
                <w:color w:val="000000"/>
                <w:szCs w:val="24"/>
              </w:rPr>
            </w:pPr>
            <w:r w:rsidRPr="00FE018B">
              <w:rPr>
                <w:rFonts w:eastAsia="Times New Roman"/>
                <w:b/>
                <w:color w:val="000000"/>
                <w:szCs w:val="24"/>
              </w:rPr>
              <w:t>Stimulant medication for ADHD</w:t>
            </w:r>
            <w:r w:rsidRPr="00FE018B">
              <w:rPr>
                <w:rFonts w:eastAsia="Times New Roman"/>
                <w:color w:val="000000"/>
                <w:szCs w:val="24"/>
              </w:rPr>
              <w:t xml:space="preserve"> (e.g., Ritalin, Dexedrine, Adderall, Concerta, methylphenidate, Vyvanse) </w:t>
            </w:r>
          </w:p>
        </w:tc>
        <w:tc>
          <w:tcPr>
            <w:tcW w:w="1004"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19"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r>
      <w:tr w:rsidR="00B33B62" w:rsidRPr="00FE018B" w:rsidTr="00B33B62">
        <w:trPr>
          <w:trHeight w:val="720"/>
        </w:trPr>
        <w:tc>
          <w:tcPr>
            <w:tcW w:w="3559" w:type="dxa"/>
            <w:shd w:val="clear" w:color="auto" w:fill="auto"/>
            <w:vAlign w:val="center"/>
            <w:hideMark/>
          </w:tcPr>
          <w:p w:rsidR="00B33B62" w:rsidRPr="00FE018B" w:rsidRDefault="00B33B62" w:rsidP="00B33B62">
            <w:pPr>
              <w:spacing w:line="240" w:lineRule="auto"/>
              <w:ind w:firstLine="0"/>
              <w:rPr>
                <w:rFonts w:eastAsia="Times New Roman"/>
                <w:b/>
                <w:i/>
                <w:color w:val="000000"/>
                <w:szCs w:val="24"/>
              </w:rPr>
            </w:pPr>
            <w:r w:rsidRPr="00FE018B">
              <w:rPr>
                <w:rFonts w:eastAsia="Times New Roman"/>
                <w:b/>
                <w:color w:val="000000"/>
                <w:szCs w:val="24"/>
              </w:rPr>
              <w:t>Pain medication</w:t>
            </w:r>
            <w:r w:rsidRPr="00FE018B">
              <w:rPr>
                <w:rFonts w:eastAsia="Times New Roman"/>
                <w:color w:val="000000"/>
                <w:szCs w:val="24"/>
              </w:rPr>
              <w:t xml:space="preserve"> (i.e., opioids such as Vicodin, OxyContin, Tylenol 3 with codeine, Percocet, Darvocet, morphine, hydrocodone, oxycodone) </w:t>
            </w:r>
          </w:p>
        </w:tc>
        <w:tc>
          <w:tcPr>
            <w:tcW w:w="1004"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19"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r>
    </w:tbl>
    <w:p w:rsidR="00B33B62" w:rsidRDefault="00B33B62" w:rsidP="00B33B62">
      <w:pPr>
        <w:spacing w:line="240" w:lineRule="auto"/>
        <w:ind w:firstLine="0"/>
        <w:rPr>
          <w:b/>
          <w:szCs w:val="24"/>
        </w:rPr>
      </w:pPr>
    </w:p>
    <w:p w:rsidR="00B33B62" w:rsidRDefault="00B33B62" w:rsidP="00B33B62">
      <w:pPr>
        <w:spacing w:line="240" w:lineRule="auto"/>
        <w:ind w:firstLine="0"/>
        <w:rPr>
          <w:szCs w:val="24"/>
        </w:rPr>
      </w:pPr>
      <w:proofErr w:type="gramStart"/>
      <w:r>
        <w:rPr>
          <w:b/>
          <w:szCs w:val="24"/>
        </w:rPr>
        <w:t>Q20B – 21B.</w:t>
      </w:r>
      <w:proofErr w:type="gramEnd"/>
      <w:r>
        <w:rPr>
          <w:b/>
          <w:szCs w:val="24"/>
        </w:rPr>
        <w:t xml:space="preserve"> </w:t>
      </w:r>
      <w:r w:rsidRPr="00A660CD">
        <w:rPr>
          <w:b/>
          <w:szCs w:val="24"/>
        </w:rPr>
        <w:t>When did you first start using each drug, not prescribed to you by a doctor?</w:t>
      </w:r>
      <w:r w:rsidRPr="001F110E">
        <w:rPr>
          <w:szCs w:val="24"/>
        </w:rPr>
        <w:t xml:space="preserve"> </w:t>
      </w:r>
    </w:p>
    <w:p w:rsidR="00B33B62" w:rsidRPr="001F110E" w:rsidRDefault="00B33B62" w:rsidP="00B33B62">
      <w:pPr>
        <w:spacing w:line="240" w:lineRule="auto"/>
        <w:ind w:firstLine="0"/>
        <w:rPr>
          <w:szCs w:val="24"/>
        </w:rPr>
      </w:pPr>
      <w:r w:rsidRPr="001F110E">
        <w:rPr>
          <w:szCs w:val="24"/>
        </w:rPr>
        <w:t>[</w:t>
      </w:r>
      <w:r>
        <w:rPr>
          <w:szCs w:val="24"/>
        </w:rPr>
        <w:t>ONLY SHOW QUESTIONS THAT WERE TRUE FROM 20 – 21]</w:t>
      </w:r>
    </w:p>
    <w:p w:rsidR="00B33B62" w:rsidRPr="00FE018B" w:rsidRDefault="00B33B62" w:rsidP="00B33B62">
      <w:pPr>
        <w:spacing w:line="240" w:lineRule="auto"/>
        <w:ind w:firstLine="0"/>
        <w:rPr>
          <w:szCs w:val="24"/>
        </w:rPr>
      </w:pPr>
    </w:p>
    <w:tbl>
      <w:tblPr>
        <w:tblW w:w="1308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3"/>
        <w:gridCol w:w="1061"/>
        <w:gridCol w:w="1062"/>
        <w:gridCol w:w="1062"/>
        <w:gridCol w:w="1062"/>
        <w:gridCol w:w="1062"/>
        <w:gridCol w:w="1070"/>
        <w:gridCol w:w="1096"/>
        <w:gridCol w:w="1065"/>
      </w:tblGrid>
      <w:tr w:rsidR="00B33B62" w:rsidRPr="00FE018B" w:rsidTr="00B33B62">
        <w:trPr>
          <w:trHeight w:val="570"/>
        </w:trPr>
        <w:tc>
          <w:tcPr>
            <w:tcW w:w="454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61" w:type="dxa"/>
            <w:shd w:val="clear" w:color="auto" w:fill="auto"/>
            <w:vAlign w:val="bottom"/>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 xml:space="preserve">Grade </w:t>
            </w:r>
          </w:p>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K - 4</w:t>
            </w:r>
          </w:p>
        </w:tc>
        <w:tc>
          <w:tcPr>
            <w:tcW w:w="1062" w:type="dxa"/>
            <w:shd w:val="clear" w:color="auto" w:fill="auto"/>
            <w:vAlign w:val="bottom"/>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 xml:space="preserve">Grade </w:t>
            </w:r>
          </w:p>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5 - 6</w:t>
            </w:r>
          </w:p>
        </w:tc>
        <w:tc>
          <w:tcPr>
            <w:tcW w:w="1062" w:type="dxa"/>
            <w:shd w:val="clear" w:color="auto" w:fill="auto"/>
            <w:vAlign w:val="bottom"/>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 xml:space="preserve">Grade </w:t>
            </w:r>
          </w:p>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7 - 8</w:t>
            </w:r>
          </w:p>
        </w:tc>
        <w:tc>
          <w:tcPr>
            <w:tcW w:w="1062" w:type="dxa"/>
            <w:shd w:val="clear" w:color="auto" w:fill="auto"/>
            <w:vAlign w:val="bottom"/>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 xml:space="preserve">Grade </w:t>
            </w:r>
          </w:p>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9 - 10</w:t>
            </w:r>
          </w:p>
        </w:tc>
        <w:tc>
          <w:tcPr>
            <w:tcW w:w="1062" w:type="dxa"/>
            <w:shd w:val="clear" w:color="auto" w:fill="auto"/>
            <w:vAlign w:val="bottom"/>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Grade 11 - 12</w:t>
            </w:r>
          </w:p>
        </w:tc>
        <w:tc>
          <w:tcPr>
            <w:tcW w:w="1070" w:type="dxa"/>
            <w:shd w:val="clear" w:color="auto" w:fill="auto"/>
            <w:vAlign w:val="center"/>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Under</w:t>
            </w:r>
          </w:p>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graduate</w:t>
            </w:r>
          </w:p>
        </w:tc>
        <w:tc>
          <w:tcPr>
            <w:tcW w:w="1096" w:type="dxa"/>
            <w:vAlign w:val="center"/>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Graduate</w:t>
            </w:r>
          </w:p>
        </w:tc>
        <w:tc>
          <w:tcPr>
            <w:tcW w:w="1065" w:type="dxa"/>
            <w:shd w:val="clear" w:color="auto" w:fill="auto"/>
            <w:vAlign w:val="bottom"/>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Rather not say</w:t>
            </w:r>
          </w:p>
        </w:tc>
      </w:tr>
      <w:tr w:rsidR="00B33B62" w:rsidRPr="00FE018B" w:rsidTr="00B33B62">
        <w:trPr>
          <w:trHeight w:val="720"/>
        </w:trPr>
        <w:tc>
          <w:tcPr>
            <w:tcW w:w="4543" w:type="dxa"/>
            <w:shd w:val="clear" w:color="auto" w:fill="auto"/>
            <w:vAlign w:val="center"/>
          </w:tcPr>
          <w:p w:rsidR="00B33B62" w:rsidRPr="00FE018B" w:rsidRDefault="00B33B62" w:rsidP="00B33B62">
            <w:pPr>
              <w:spacing w:line="240" w:lineRule="auto"/>
              <w:ind w:firstLine="0"/>
              <w:rPr>
                <w:rFonts w:eastAsia="Times New Roman"/>
                <w:color w:val="000000"/>
                <w:szCs w:val="24"/>
              </w:rPr>
            </w:pPr>
            <w:r w:rsidRPr="00FE018B">
              <w:rPr>
                <w:rFonts w:eastAsia="Times New Roman"/>
                <w:b/>
                <w:color w:val="000000"/>
                <w:szCs w:val="24"/>
              </w:rPr>
              <w:lastRenderedPageBreak/>
              <w:t>Stimulant medication for ADHD</w:t>
            </w:r>
            <w:r w:rsidRPr="00FE018B">
              <w:rPr>
                <w:rFonts w:eastAsia="Times New Roman"/>
                <w:color w:val="000000"/>
                <w:szCs w:val="24"/>
              </w:rPr>
              <w:t xml:space="preserve"> (e.g., Ritalin, Dexedrine, Adderall, Concerta, methylphenidate, Vyvanse)</w:t>
            </w:r>
          </w:p>
        </w:tc>
        <w:tc>
          <w:tcPr>
            <w:tcW w:w="1061"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62"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62"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62"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62"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7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96" w:type="dxa"/>
          </w:tcPr>
          <w:p w:rsidR="00B33B62" w:rsidRPr="00FE018B" w:rsidRDefault="00B33B62" w:rsidP="00B33B62">
            <w:pPr>
              <w:spacing w:line="240" w:lineRule="auto"/>
              <w:ind w:firstLine="0"/>
              <w:rPr>
                <w:rFonts w:eastAsia="Times New Roman"/>
                <w:color w:val="000000"/>
                <w:szCs w:val="24"/>
              </w:rPr>
            </w:pPr>
          </w:p>
        </w:tc>
        <w:tc>
          <w:tcPr>
            <w:tcW w:w="1065"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r>
      <w:tr w:rsidR="00B33B62" w:rsidRPr="00FE018B" w:rsidTr="00B33B62">
        <w:trPr>
          <w:trHeight w:val="720"/>
        </w:trPr>
        <w:tc>
          <w:tcPr>
            <w:tcW w:w="4543" w:type="dxa"/>
            <w:shd w:val="clear" w:color="auto" w:fill="auto"/>
            <w:vAlign w:val="center"/>
          </w:tcPr>
          <w:p w:rsidR="00B33B62" w:rsidRPr="00FE018B" w:rsidRDefault="00B33B62" w:rsidP="00B33B62">
            <w:pPr>
              <w:spacing w:line="240" w:lineRule="auto"/>
              <w:ind w:firstLine="0"/>
              <w:rPr>
                <w:rFonts w:eastAsia="Times New Roman"/>
                <w:color w:val="000000"/>
                <w:szCs w:val="24"/>
              </w:rPr>
            </w:pPr>
            <w:r w:rsidRPr="00FE018B">
              <w:rPr>
                <w:rFonts w:eastAsia="Times New Roman"/>
                <w:b/>
                <w:color w:val="000000"/>
                <w:szCs w:val="24"/>
              </w:rPr>
              <w:t>Pain medication</w:t>
            </w:r>
            <w:r w:rsidRPr="00FE018B">
              <w:rPr>
                <w:rFonts w:eastAsia="Times New Roman"/>
                <w:color w:val="000000"/>
                <w:szCs w:val="24"/>
              </w:rPr>
              <w:t xml:space="preserve"> (i.e., opioids such as Vicodin, OxyContin, Tylenol 3 with codeine, Percocet, Darvocet, morphine, hydrocodone, oxycodone)</w:t>
            </w:r>
          </w:p>
        </w:tc>
        <w:tc>
          <w:tcPr>
            <w:tcW w:w="1061"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62"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62"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62"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62"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7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96" w:type="dxa"/>
          </w:tcPr>
          <w:p w:rsidR="00B33B62" w:rsidRPr="00FE018B" w:rsidRDefault="00B33B62" w:rsidP="00B33B62">
            <w:pPr>
              <w:spacing w:line="240" w:lineRule="auto"/>
              <w:ind w:firstLine="0"/>
              <w:rPr>
                <w:rFonts w:eastAsia="Times New Roman"/>
                <w:color w:val="000000"/>
                <w:szCs w:val="24"/>
              </w:rPr>
            </w:pPr>
          </w:p>
        </w:tc>
        <w:tc>
          <w:tcPr>
            <w:tcW w:w="1065"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r>
    </w:tbl>
    <w:p w:rsidR="006349DF" w:rsidRDefault="006349DF" w:rsidP="00B33B62">
      <w:pPr>
        <w:spacing w:line="240" w:lineRule="auto"/>
        <w:ind w:firstLine="0"/>
        <w:rPr>
          <w:b/>
          <w:szCs w:val="24"/>
        </w:rPr>
      </w:pPr>
    </w:p>
    <w:p w:rsidR="00B33B62" w:rsidRDefault="00B33B62" w:rsidP="00B33B62">
      <w:pPr>
        <w:spacing w:line="240" w:lineRule="auto"/>
        <w:ind w:firstLine="0"/>
        <w:rPr>
          <w:b/>
          <w:szCs w:val="24"/>
        </w:rPr>
      </w:pPr>
      <w:proofErr w:type="gramStart"/>
      <w:r>
        <w:rPr>
          <w:b/>
          <w:szCs w:val="24"/>
        </w:rPr>
        <w:t>Q20C – 21C.</w:t>
      </w:r>
      <w:proofErr w:type="gramEnd"/>
      <w:r>
        <w:rPr>
          <w:b/>
          <w:szCs w:val="24"/>
        </w:rPr>
        <w:t xml:space="preserve"> </w:t>
      </w:r>
      <w:r w:rsidRPr="00A660CD">
        <w:rPr>
          <w:b/>
          <w:szCs w:val="24"/>
        </w:rPr>
        <w:t>On how many occasions in the past 12 months have you used the following types of drugs, not prescribed to you?</w:t>
      </w:r>
    </w:p>
    <w:p w:rsidR="00B33B62" w:rsidRPr="00A660CD" w:rsidRDefault="00B33B62" w:rsidP="00B33B62">
      <w:pPr>
        <w:spacing w:line="240" w:lineRule="auto"/>
        <w:ind w:firstLine="0"/>
        <w:rPr>
          <w:b/>
          <w:szCs w:val="24"/>
        </w:rPr>
      </w:pPr>
      <w:r w:rsidRPr="001F110E">
        <w:rPr>
          <w:szCs w:val="24"/>
        </w:rPr>
        <w:t>[</w:t>
      </w:r>
      <w:r>
        <w:rPr>
          <w:szCs w:val="24"/>
        </w:rPr>
        <w:t>ONLY SHOW QUESTIONS THAT WERE TRUE FROM 20 – 21]</w:t>
      </w:r>
    </w:p>
    <w:p w:rsidR="00B33B62" w:rsidRPr="00FE018B" w:rsidRDefault="00B33B62" w:rsidP="00B33B62">
      <w:pPr>
        <w:spacing w:line="240" w:lineRule="auto"/>
        <w:ind w:firstLine="0"/>
        <w:rPr>
          <w:szCs w:val="24"/>
        </w:rPr>
      </w:pPr>
    </w:p>
    <w:tbl>
      <w:tblPr>
        <w:tblW w:w="1280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59"/>
        <w:gridCol w:w="1004"/>
        <w:gridCol w:w="1203"/>
        <w:gridCol w:w="1203"/>
        <w:gridCol w:w="1203"/>
        <w:gridCol w:w="1203"/>
        <w:gridCol w:w="1203"/>
        <w:gridCol w:w="1203"/>
        <w:gridCol w:w="1019"/>
      </w:tblGrid>
      <w:tr w:rsidR="00B33B62" w:rsidRPr="00FE018B" w:rsidTr="00B33B62">
        <w:trPr>
          <w:trHeight w:val="570"/>
        </w:trPr>
        <w:tc>
          <w:tcPr>
            <w:tcW w:w="3559"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04" w:type="dxa"/>
            <w:shd w:val="clear" w:color="auto" w:fill="auto"/>
            <w:vAlign w:val="bottom"/>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Never</w:t>
            </w:r>
          </w:p>
        </w:tc>
        <w:tc>
          <w:tcPr>
            <w:tcW w:w="1203" w:type="dxa"/>
            <w:shd w:val="clear" w:color="auto" w:fill="auto"/>
            <w:vAlign w:val="bottom"/>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1 - 2 Occasions</w:t>
            </w:r>
          </w:p>
        </w:tc>
        <w:tc>
          <w:tcPr>
            <w:tcW w:w="1203" w:type="dxa"/>
            <w:shd w:val="clear" w:color="auto" w:fill="auto"/>
            <w:vAlign w:val="bottom"/>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3 - 5 Occasions</w:t>
            </w:r>
          </w:p>
        </w:tc>
        <w:tc>
          <w:tcPr>
            <w:tcW w:w="1203" w:type="dxa"/>
            <w:shd w:val="clear" w:color="auto" w:fill="auto"/>
            <w:vAlign w:val="bottom"/>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6 - 9 Occasions</w:t>
            </w:r>
          </w:p>
        </w:tc>
        <w:tc>
          <w:tcPr>
            <w:tcW w:w="1203" w:type="dxa"/>
            <w:shd w:val="clear" w:color="auto" w:fill="auto"/>
            <w:vAlign w:val="bottom"/>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10 - 19 Occasions</w:t>
            </w:r>
          </w:p>
        </w:tc>
        <w:tc>
          <w:tcPr>
            <w:tcW w:w="1203" w:type="dxa"/>
            <w:shd w:val="clear" w:color="auto" w:fill="auto"/>
            <w:vAlign w:val="bottom"/>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20 - 39 Occasions</w:t>
            </w:r>
          </w:p>
        </w:tc>
        <w:tc>
          <w:tcPr>
            <w:tcW w:w="1203" w:type="dxa"/>
            <w:shd w:val="clear" w:color="auto" w:fill="auto"/>
            <w:vAlign w:val="bottom"/>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40+ Occasions</w:t>
            </w:r>
          </w:p>
        </w:tc>
        <w:tc>
          <w:tcPr>
            <w:tcW w:w="1019" w:type="dxa"/>
            <w:shd w:val="clear" w:color="auto" w:fill="auto"/>
            <w:vAlign w:val="bottom"/>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Rather not say</w:t>
            </w:r>
          </w:p>
        </w:tc>
      </w:tr>
      <w:tr w:rsidR="00B33B62" w:rsidRPr="00FE018B" w:rsidTr="00B33B62">
        <w:trPr>
          <w:trHeight w:val="720"/>
        </w:trPr>
        <w:tc>
          <w:tcPr>
            <w:tcW w:w="3559" w:type="dxa"/>
            <w:shd w:val="clear" w:color="auto" w:fill="auto"/>
            <w:vAlign w:val="center"/>
            <w:hideMark/>
          </w:tcPr>
          <w:p w:rsidR="00B33B62" w:rsidRPr="00FE018B" w:rsidRDefault="00B33B62" w:rsidP="00B33B62">
            <w:pPr>
              <w:spacing w:line="240" w:lineRule="auto"/>
              <w:ind w:firstLine="0"/>
              <w:rPr>
                <w:rFonts w:eastAsia="Times New Roman"/>
                <w:color w:val="000000"/>
                <w:szCs w:val="24"/>
              </w:rPr>
            </w:pPr>
            <w:r w:rsidRPr="00FE018B">
              <w:rPr>
                <w:rFonts w:eastAsia="Times New Roman"/>
                <w:b/>
                <w:color w:val="000000"/>
                <w:szCs w:val="24"/>
              </w:rPr>
              <w:t>Stimulant medication for ADHD</w:t>
            </w:r>
            <w:r w:rsidRPr="00FE018B">
              <w:rPr>
                <w:rFonts w:eastAsia="Times New Roman"/>
                <w:color w:val="000000"/>
                <w:szCs w:val="24"/>
              </w:rPr>
              <w:t xml:space="preserve"> (e.g., Ritalin, Dexedrine, Adderall, Conc</w:t>
            </w:r>
            <w:r>
              <w:rPr>
                <w:rFonts w:eastAsia="Times New Roman"/>
                <w:color w:val="000000"/>
                <w:szCs w:val="24"/>
              </w:rPr>
              <w:t>erta, methylphenidate, Vyvanse)</w:t>
            </w:r>
          </w:p>
        </w:tc>
        <w:tc>
          <w:tcPr>
            <w:tcW w:w="1004"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19"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r>
      <w:tr w:rsidR="00B33B62" w:rsidRPr="00FE018B" w:rsidTr="00B33B62">
        <w:trPr>
          <w:trHeight w:val="720"/>
        </w:trPr>
        <w:tc>
          <w:tcPr>
            <w:tcW w:w="3559" w:type="dxa"/>
            <w:shd w:val="clear" w:color="auto" w:fill="auto"/>
            <w:vAlign w:val="center"/>
            <w:hideMark/>
          </w:tcPr>
          <w:p w:rsidR="00B33B62" w:rsidRPr="00FE018B" w:rsidRDefault="00B33B62" w:rsidP="00B33B62">
            <w:pPr>
              <w:spacing w:line="240" w:lineRule="auto"/>
              <w:ind w:firstLine="0"/>
              <w:rPr>
                <w:rFonts w:eastAsia="Times New Roman"/>
                <w:b/>
                <w:i/>
                <w:color w:val="000000"/>
                <w:szCs w:val="24"/>
              </w:rPr>
            </w:pPr>
            <w:r w:rsidRPr="00FE018B">
              <w:rPr>
                <w:rFonts w:eastAsia="Times New Roman"/>
                <w:b/>
                <w:color w:val="000000"/>
                <w:szCs w:val="24"/>
              </w:rPr>
              <w:t>Pain medication</w:t>
            </w:r>
            <w:r w:rsidRPr="00FE018B">
              <w:rPr>
                <w:rFonts w:eastAsia="Times New Roman"/>
                <w:color w:val="000000"/>
                <w:szCs w:val="24"/>
              </w:rPr>
              <w:t xml:space="preserve"> (i.e., opioids such as Vicodin, OxyContin, Tylenol 3 with codeine, Percocet, Darvocet, morphine, hydrocodone, oxycodone</w:t>
            </w:r>
            <w:r>
              <w:rPr>
                <w:rFonts w:eastAsia="Times New Roman"/>
                <w:color w:val="000000"/>
                <w:szCs w:val="24"/>
              </w:rPr>
              <w:t>)</w:t>
            </w:r>
          </w:p>
        </w:tc>
        <w:tc>
          <w:tcPr>
            <w:tcW w:w="1004"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19"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r>
    </w:tbl>
    <w:p w:rsidR="00B33B62" w:rsidRPr="00FE018B" w:rsidRDefault="00B33B62" w:rsidP="00B33B62">
      <w:pPr>
        <w:spacing w:line="240" w:lineRule="auto"/>
        <w:ind w:firstLine="0"/>
        <w:rPr>
          <w:szCs w:val="24"/>
        </w:rPr>
      </w:pPr>
    </w:p>
    <w:p w:rsidR="00B33B62" w:rsidRDefault="00B33B62" w:rsidP="00B33B62">
      <w:pPr>
        <w:spacing w:line="240" w:lineRule="auto"/>
        <w:ind w:firstLine="0"/>
        <w:rPr>
          <w:b/>
          <w:szCs w:val="24"/>
        </w:rPr>
      </w:pPr>
      <w:r>
        <w:rPr>
          <w:b/>
          <w:szCs w:val="24"/>
        </w:rPr>
        <w:t xml:space="preserve">Q20D – 21D. </w:t>
      </w:r>
      <w:r w:rsidRPr="00A660CD">
        <w:rPr>
          <w:b/>
          <w:szCs w:val="24"/>
        </w:rPr>
        <w:t>On how many occasions in the past 30 days have you used the following types of drugs not prescribed to you?</w:t>
      </w:r>
    </w:p>
    <w:p w:rsidR="00B33B62" w:rsidRPr="00A660CD" w:rsidRDefault="00B33B62" w:rsidP="00B33B62">
      <w:pPr>
        <w:spacing w:line="240" w:lineRule="auto"/>
        <w:ind w:firstLine="0"/>
        <w:rPr>
          <w:b/>
          <w:szCs w:val="24"/>
        </w:rPr>
      </w:pPr>
      <w:r w:rsidRPr="001F110E">
        <w:rPr>
          <w:szCs w:val="24"/>
        </w:rPr>
        <w:t>[</w:t>
      </w:r>
      <w:r>
        <w:rPr>
          <w:szCs w:val="24"/>
        </w:rPr>
        <w:t>ONLY SHOW QUESTIONS THAT WERE TRUE FROM 20 – 21]</w:t>
      </w:r>
    </w:p>
    <w:p w:rsidR="00B33B62" w:rsidRPr="00FE018B" w:rsidRDefault="00B33B62" w:rsidP="00B33B62">
      <w:pPr>
        <w:spacing w:line="240" w:lineRule="auto"/>
        <w:ind w:firstLine="0"/>
        <w:rPr>
          <w:szCs w:val="24"/>
        </w:rPr>
      </w:pPr>
    </w:p>
    <w:tbl>
      <w:tblPr>
        <w:tblW w:w="1280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59"/>
        <w:gridCol w:w="1004"/>
        <w:gridCol w:w="1203"/>
        <w:gridCol w:w="1203"/>
        <w:gridCol w:w="1203"/>
        <w:gridCol w:w="1203"/>
        <w:gridCol w:w="1203"/>
        <w:gridCol w:w="1203"/>
        <w:gridCol w:w="1019"/>
      </w:tblGrid>
      <w:tr w:rsidR="00B33B62" w:rsidRPr="00FE018B" w:rsidTr="00B33B62">
        <w:trPr>
          <w:trHeight w:val="570"/>
        </w:trPr>
        <w:tc>
          <w:tcPr>
            <w:tcW w:w="3559"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04" w:type="dxa"/>
            <w:shd w:val="clear" w:color="auto" w:fill="auto"/>
            <w:vAlign w:val="bottom"/>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Never</w:t>
            </w:r>
          </w:p>
        </w:tc>
        <w:tc>
          <w:tcPr>
            <w:tcW w:w="1203" w:type="dxa"/>
            <w:shd w:val="clear" w:color="auto" w:fill="auto"/>
            <w:vAlign w:val="bottom"/>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1 - 2 Occasions</w:t>
            </w:r>
          </w:p>
        </w:tc>
        <w:tc>
          <w:tcPr>
            <w:tcW w:w="1203" w:type="dxa"/>
            <w:shd w:val="clear" w:color="auto" w:fill="auto"/>
            <w:vAlign w:val="bottom"/>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3 - 5 Occasions</w:t>
            </w:r>
          </w:p>
        </w:tc>
        <w:tc>
          <w:tcPr>
            <w:tcW w:w="1203" w:type="dxa"/>
            <w:shd w:val="clear" w:color="auto" w:fill="auto"/>
            <w:vAlign w:val="bottom"/>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6 - 9 Occasions</w:t>
            </w:r>
          </w:p>
        </w:tc>
        <w:tc>
          <w:tcPr>
            <w:tcW w:w="1203" w:type="dxa"/>
            <w:shd w:val="clear" w:color="auto" w:fill="auto"/>
            <w:vAlign w:val="bottom"/>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10 - 19 Occasions</w:t>
            </w:r>
          </w:p>
        </w:tc>
        <w:tc>
          <w:tcPr>
            <w:tcW w:w="1203" w:type="dxa"/>
            <w:shd w:val="clear" w:color="auto" w:fill="auto"/>
            <w:vAlign w:val="bottom"/>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20 - 39 Occasions</w:t>
            </w:r>
          </w:p>
        </w:tc>
        <w:tc>
          <w:tcPr>
            <w:tcW w:w="1203" w:type="dxa"/>
            <w:shd w:val="clear" w:color="auto" w:fill="auto"/>
            <w:vAlign w:val="bottom"/>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40+ Occasions</w:t>
            </w:r>
          </w:p>
        </w:tc>
        <w:tc>
          <w:tcPr>
            <w:tcW w:w="1019" w:type="dxa"/>
            <w:shd w:val="clear" w:color="auto" w:fill="auto"/>
            <w:vAlign w:val="bottom"/>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Rather not say</w:t>
            </w:r>
          </w:p>
        </w:tc>
      </w:tr>
      <w:tr w:rsidR="00B33B62" w:rsidRPr="00FE018B" w:rsidTr="00B33B62">
        <w:trPr>
          <w:trHeight w:val="720"/>
        </w:trPr>
        <w:tc>
          <w:tcPr>
            <w:tcW w:w="3559" w:type="dxa"/>
            <w:shd w:val="clear" w:color="auto" w:fill="auto"/>
            <w:vAlign w:val="center"/>
            <w:hideMark/>
          </w:tcPr>
          <w:p w:rsidR="00B33B62" w:rsidRPr="00FE018B" w:rsidRDefault="00B33B62" w:rsidP="00B33B62">
            <w:pPr>
              <w:spacing w:line="240" w:lineRule="auto"/>
              <w:ind w:firstLine="0"/>
              <w:rPr>
                <w:rFonts w:eastAsia="Times New Roman"/>
                <w:color w:val="000000"/>
                <w:szCs w:val="24"/>
              </w:rPr>
            </w:pPr>
            <w:r w:rsidRPr="00FE018B">
              <w:rPr>
                <w:rFonts w:eastAsia="Times New Roman"/>
                <w:b/>
                <w:color w:val="000000"/>
                <w:szCs w:val="24"/>
              </w:rPr>
              <w:t>Stimulant medication for ADHD</w:t>
            </w:r>
            <w:r w:rsidRPr="00FE018B">
              <w:rPr>
                <w:rFonts w:eastAsia="Times New Roman"/>
                <w:color w:val="000000"/>
                <w:szCs w:val="24"/>
              </w:rPr>
              <w:t xml:space="preserve"> (e.g., Ritalin, Dexedrine, Adderall, Concerta, methylphenidate, </w:t>
            </w:r>
            <w:r w:rsidRPr="00FE018B">
              <w:rPr>
                <w:rFonts w:eastAsia="Times New Roman"/>
                <w:color w:val="000000"/>
                <w:szCs w:val="24"/>
              </w:rPr>
              <w:lastRenderedPageBreak/>
              <w:t xml:space="preserve">Vyvanse) </w:t>
            </w:r>
            <w:r w:rsidRPr="00FE018B">
              <w:rPr>
                <w:rFonts w:eastAsia="Times New Roman"/>
                <w:b/>
                <w:i/>
                <w:color w:val="000000"/>
                <w:szCs w:val="24"/>
              </w:rPr>
              <w:t>if true answer 54a &amp; 54b</w:t>
            </w:r>
          </w:p>
        </w:tc>
        <w:tc>
          <w:tcPr>
            <w:tcW w:w="1004"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19"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r>
      <w:tr w:rsidR="00B33B62" w:rsidRPr="00FE018B" w:rsidTr="00B33B62">
        <w:trPr>
          <w:trHeight w:val="720"/>
        </w:trPr>
        <w:tc>
          <w:tcPr>
            <w:tcW w:w="3559" w:type="dxa"/>
            <w:shd w:val="clear" w:color="auto" w:fill="auto"/>
            <w:vAlign w:val="center"/>
            <w:hideMark/>
          </w:tcPr>
          <w:p w:rsidR="00B33B62" w:rsidRPr="00FE018B" w:rsidRDefault="00B33B62" w:rsidP="00B33B62">
            <w:pPr>
              <w:spacing w:line="240" w:lineRule="auto"/>
              <w:ind w:firstLine="0"/>
              <w:rPr>
                <w:rFonts w:eastAsia="Times New Roman"/>
                <w:b/>
                <w:i/>
                <w:color w:val="000000"/>
                <w:szCs w:val="24"/>
              </w:rPr>
            </w:pPr>
            <w:r w:rsidRPr="00FE018B">
              <w:rPr>
                <w:rFonts w:eastAsia="Times New Roman"/>
                <w:b/>
                <w:color w:val="000000"/>
                <w:szCs w:val="24"/>
              </w:rPr>
              <w:lastRenderedPageBreak/>
              <w:t>Pain medication</w:t>
            </w:r>
            <w:r w:rsidRPr="00FE018B">
              <w:rPr>
                <w:rFonts w:eastAsia="Times New Roman"/>
                <w:color w:val="000000"/>
                <w:szCs w:val="24"/>
              </w:rPr>
              <w:t xml:space="preserve"> (i.e., opioids such as Vicodin, OxyContin, Tylenol 3 with codeine, Percocet, Darvocet, morphine, hydrocodone, oxycodone) </w:t>
            </w:r>
            <w:r w:rsidRPr="00FE018B">
              <w:rPr>
                <w:rFonts w:eastAsia="Times New Roman"/>
                <w:b/>
                <w:i/>
                <w:color w:val="000000"/>
                <w:szCs w:val="24"/>
              </w:rPr>
              <w:t xml:space="preserve">if true answer 55a </w:t>
            </w:r>
          </w:p>
        </w:tc>
        <w:tc>
          <w:tcPr>
            <w:tcW w:w="1004"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203"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19"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r>
    </w:tbl>
    <w:p w:rsidR="00B33B62" w:rsidRDefault="00B33B62" w:rsidP="00B33B62">
      <w:pPr>
        <w:spacing w:line="240" w:lineRule="auto"/>
        <w:ind w:firstLine="0"/>
        <w:rPr>
          <w:szCs w:val="24"/>
        </w:rPr>
      </w:pPr>
    </w:p>
    <w:p w:rsidR="00B33B62" w:rsidRPr="00A660CD" w:rsidRDefault="00B33B62" w:rsidP="00B33B62">
      <w:pPr>
        <w:spacing w:line="240" w:lineRule="auto"/>
        <w:ind w:firstLine="0"/>
        <w:rPr>
          <w:b/>
          <w:szCs w:val="24"/>
        </w:rPr>
      </w:pPr>
      <w:r>
        <w:rPr>
          <w:b/>
          <w:szCs w:val="24"/>
        </w:rPr>
        <w:t xml:space="preserve">Q21E. </w:t>
      </w:r>
      <w:r w:rsidRPr="00A660CD">
        <w:rPr>
          <w:b/>
          <w:szCs w:val="24"/>
        </w:rPr>
        <w:t>Please indicate if you have used any of the following pain medications not prescribed to you in the past 12 months.</w:t>
      </w:r>
    </w:p>
    <w:p w:rsidR="00B33B62" w:rsidRDefault="00B33B62" w:rsidP="00B33B62">
      <w:pPr>
        <w:spacing w:line="240" w:lineRule="auto"/>
        <w:ind w:firstLine="0"/>
        <w:rPr>
          <w:szCs w:val="24"/>
        </w:rPr>
      </w:pPr>
      <w:r w:rsidRPr="001F110E">
        <w:rPr>
          <w:szCs w:val="24"/>
        </w:rPr>
        <w:t>[</w:t>
      </w:r>
      <w:r>
        <w:rPr>
          <w:szCs w:val="24"/>
        </w:rPr>
        <w:t>ONLY SHOW QUESTIONS THAT WERE TRUE FROM 21]</w:t>
      </w:r>
    </w:p>
    <w:p w:rsidR="00B33B62" w:rsidRPr="00FE018B" w:rsidRDefault="00B33B62" w:rsidP="00B33B62">
      <w:pPr>
        <w:spacing w:line="240" w:lineRule="auto"/>
        <w:ind w:firstLine="0"/>
        <w:rPr>
          <w:szCs w:val="24"/>
        </w:rPr>
      </w:pPr>
    </w:p>
    <w:p w:rsidR="00B33B62" w:rsidRPr="00FE018B" w:rsidRDefault="00B33B62" w:rsidP="00B33B62">
      <w:pPr>
        <w:spacing w:line="240" w:lineRule="auto"/>
        <w:ind w:firstLine="0"/>
        <w:rPr>
          <w:b/>
          <w:i/>
          <w:szCs w:val="24"/>
        </w:rPr>
      </w:pPr>
      <w:r w:rsidRPr="00FE018B">
        <w:rPr>
          <w:b/>
          <w:i/>
          <w:szCs w:val="24"/>
        </w:rPr>
        <w:t>(Select all that apply.)</w:t>
      </w:r>
    </w:p>
    <w:p w:rsidR="00B33B62" w:rsidRDefault="00B33B62" w:rsidP="00B33B62">
      <w:pPr>
        <w:pStyle w:val="ListParagraph"/>
        <w:numPr>
          <w:ilvl w:val="0"/>
          <w:numId w:val="5"/>
        </w:numPr>
        <w:spacing w:line="240" w:lineRule="auto"/>
        <w:rPr>
          <w:szCs w:val="24"/>
        </w:rPr>
        <w:sectPr w:rsidR="00B33B62" w:rsidSect="00FE256D">
          <w:type w:val="continuous"/>
          <w:pgSz w:w="15840" w:h="12240" w:orient="landscape"/>
          <w:pgMar w:top="1440" w:right="1440" w:bottom="1440" w:left="1440" w:header="1440" w:footer="720" w:gutter="0"/>
          <w:cols w:space="720"/>
          <w:docGrid w:linePitch="360"/>
        </w:sectPr>
      </w:pPr>
    </w:p>
    <w:p w:rsidR="00B33B62" w:rsidRPr="00FE018B" w:rsidRDefault="00B33B62" w:rsidP="00B33B62">
      <w:pPr>
        <w:pStyle w:val="ListParagraph"/>
        <w:numPr>
          <w:ilvl w:val="0"/>
          <w:numId w:val="5"/>
        </w:numPr>
        <w:spacing w:line="240" w:lineRule="auto"/>
        <w:rPr>
          <w:szCs w:val="24"/>
        </w:rPr>
      </w:pPr>
      <w:r w:rsidRPr="00FE018B">
        <w:rPr>
          <w:szCs w:val="24"/>
        </w:rPr>
        <w:lastRenderedPageBreak/>
        <w:t>Tramadol (e.g., Ultram)</w:t>
      </w:r>
    </w:p>
    <w:p w:rsidR="00B33B62" w:rsidRPr="00FE018B" w:rsidRDefault="00B33B62" w:rsidP="00B33B62">
      <w:pPr>
        <w:pStyle w:val="ListParagraph"/>
        <w:numPr>
          <w:ilvl w:val="0"/>
          <w:numId w:val="5"/>
        </w:numPr>
        <w:spacing w:line="240" w:lineRule="auto"/>
        <w:rPr>
          <w:szCs w:val="24"/>
        </w:rPr>
      </w:pPr>
      <w:r w:rsidRPr="00FE018B">
        <w:rPr>
          <w:szCs w:val="24"/>
        </w:rPr>
        <w:t>Codeine (e.g., Tylenol #3 with Codeine)</w:t>
      </w:r>
    </w:p>
    <w:p w:rsidR="00B33B62" w:rsidRPr="00FE018B" w:rsidRDefault="00B33B62" w:rsidP="00B33B62">
      <w:pPr>
        <w:pStyle w:val="ListParagraph"/>
        <w:numPr>
          <w:ilvl w:val="0"/>
          <w:numId w:val="5"/>
        </w:numPr>
        <w:spacing w:line="240" w:lineRule="auto"/>
        <w:rPr>
          <w:szCs w:val="24"/>
        </w:rPr>
      </w:pPr>
      <w:r w:rsidRPr="00FE018B">
        <w:rPr>
          <w:szCs w:val="24"/>
        </w:rPr>
        <w:t>Hydromorphone (e.g., Dilaudid)</w:t>
      </w:r>
    </w:p>
    <w:p w:rsidR="00B33B62" w:rsidRPr="00FE018B" w:rsidRDefault="00B33B62" w:rsidP="00B33B62">
      <w:pPr>
        <w:pStyle w:val="ListParagraph"/>
        <w:numPr>
          <w:ilvl w:val="0"/>
          <w:numId w:val="5"/>
        </w:numPr>
        <w:spacing w:line="240" w:lineRule="auto"/>
        <w:rPr>
          <w:szCs w:val="24"/>
        </w:rPr>
      </w:pPr>
      <w:r w:rsidRPr="00FE018B">
        <w:rPr>
          <w:szCs w:val="24"/>
        </w:rPr>
        <w:t>Meperidine (e.g., Demerol)</w:t>
      </w:r>
    </w:p>
    <w:p w:rsidR="00B33B62" w:rsidRPr="00FE018B" w:rsidRDefault="00B33B62" w:rsidP="00B33B62">
      <w:pPr>
        <w:pStyle w:val="ListParagraph"/>
        <w:numPr>
          <w:ilvl w:val="0"/>
          <w:numId w:val="5"/>
        </w:numPr>
        <w:spacing w:line="240" w:lineRule="auto"/>
        <w:rPr>
          <w:szCs w:val="24"/>
        </w:rPr>
      </w:pPr>
      <w:r w:rsidRPr="00FE018B">
        <w:rPr>
          <w:szCs w:val="24"/>
        </w:rPr>
        <w:t>Methadone</w:t>
      </w:r>
    </w:p>
    <w:p w:rsidR="00B33B62" w:rsidRPr="00FE018B" w:rsidRDefault="00B33B62" w:rsidP="00B33B62">
      <w:pPr>
        <w:pStyle w:val="ListParagraph"/>
        <w:numPr>
          <w:ilvl w:val="0"/>
          <w:numId w:val="5"/>
        </w:numPr>
        <w:spacing w:line="240" w:lineRule="auto"/>
        <w:rPr>
          <w:szCs w:val="24"/>
        </w:rPr>
      </w:pPr>
      <w:r w:rsidRPr="00FE018B">
        <w:rPr>
          <w:szCs w:val="24"/>
        </w:rPr>
        <w:t>Oxycodone (e.g., OxyContin, Roxicodone, Percocet, Tylox, Percodan)</w:t>
      </w:r>
    </w:p>
    <w:p w:rsidR="00B33B62" w:rsidRPr="00FE018B" w:rsidRDefault="00B33B62" w:rsidP="00B33B62">
      <w:pPr>
        <w:pStyle w:val="ListParagraph"/>
        <w:numPr>
          <w:ilvl w:val="0"/>
          <w:numId w:val="5"/>
        </w:numPr>
        <w:spacing w:line="240" w:lineRule="auto"/>
        <w:rPr>
          <w:szCs w:val="24"/>
        </w:rPr>
      </w:pPr>
      <w:r w:rsidRPr="00FE018B">
        <w:rPr>
          <w:szCs w:val="24"/>
        </w:rPr>
        <w:t>Morphine</w:t>
      </w:r>
    </w:p>
    <w:p w:rsidR="00B33B62" w:rsidRPr="00FE018B" w:rsidRDefault="00B33B62" w:rsidP="00B33B62">
      <w:pPr>
        <w:pStyle w:val="ListParagraph"/>
        <w:numPr>
          <w:ilvl w:val="0"/>
          <w:numId w:val="5"/>
        </w:numPr>
        <w:spacing w:line="240" w:lineRule="auto"/>
        <w:rPr>
          <w:szCs w:val="24"/>
        </w:rPr>
      </w:pPr>
      <w:r w:rsidRPr="00FE018B">
        <w:rPr>
          <w:szCs w:val="24"/>
        </w:rPr>
        <w:lastRenderedPageBreak/>
        <w:t>Fentanyl (e.g., Actiq, Duragesic, Sublimaze)</w:t>
      </w:r>
    </w:p>
    <w:p w:rsidR="00B33B62" w:rsidRPr="00FE018B" w:rsidRDefault="00B33B62" w:rsidP="00B33B62">
      <w:pPr>
        <w:pStyle w:val="ListParagraph"/>
        <w:numPr>
          <w:ilvl w:val="0"/>
          <w:numId w:val="5"/>
        </w:numPr>
        <w:spacing w:line="240" w:lineRule="auto"/>
        <w:rPr>
          <w:szCs w:val="24"/>
        </w:rPr>
      </w:pPr>
      <w:r w:rsidRPr="00FE018B">
        <w:rPr>
          <w:szCs w:val="24"/>
        </w:rPr>
        <w:t>Hydrocodone (e.g., Vicodin, Lortab, Lorcet)</w:t>
      </w:r>
    </w:p>
    <w:p w:rsidR="00B33B62" w:rsidRPr="00FE018B" w:rsidRDefault="00B33B62" w:rsidP="00B33B62">
      <w:pPr>
        <w:pStyle w:val="ListParagraph"/>
        <w:numPr>
          <w:ilvl w:val="0"/>
          <w:numId w:val="5"/>
        </w:numPr>
        <w:spacing w:line="240" w:lineRule="auto"/>
        <w:rPr>
          <w:szCs w:val="24"/>
        </w:rPr>
      </w:pPr>
      <w:r w:rsidRPr="00FE018B">
        <w:rPr>
          <w:szCs w:val="24"/>
        </w:rPr>
        <w:t>Propoxyphene (e.g., Darvon, Darvocet)</w:t>
      </w:r>
    </w:p>
    <w:p w:rsidR="00B33B62" w:rsidRPr="00FE018B" w:rsidRDefault="00B33B62" w:rsidP="00B33B62">
      <w:pPr>
        <w:pStyle w:val="ListParagraph"/>
        <w:numPr>
          <w:ilvl w:val="0"/>
          <w:numId w:val="5"/>
        </w:numPr>
        <w:spacing w:line="240" w:lineRule="auto"/>
        <w:rPr>
          <w:szCs w:val="24"/>
        </w:rPr>
      </w:pPr>
      <w:r w:rsidRPr="00FE018B">
        <w:rPr>
          <w:szCs w:val="24"/>
        </w:rPr>
        <w:t>Other (please specify) __________________</w:t>
      </w:r>
    </w:p>
    <w:p w:rsidR="00B33B62" w:rsidRPr="00FE018B" w:rsidRDefault="00B33B62" w:rsidP="00B33B62">
      <w:pPr>
        <w:pStyle w:val="ListParagraph"/>
        <w:numPr>
          <w:ilvl w:val="0"/>
          <w:numId w:val="5"/>
        </w:numPr>
        <w:spacing w:line="240" w:lineRule="auto"/>
        <w:rPr>
          <w:szCs w:val="24"/>
        </w:rPr>
      </w:pPr>
      <w:r w:rsidRPr="00FE018B">
        <w:rPr>
          <w:szCs w:val="24"/>
        </w:rPr>
        <w:t>Don’t know names of same I have used</w:t>
      </w:r>
    </w:p>
    <w:p w:rsidR="00B33B62" w:rsidRPr="00FE018B" w:rsidRDefault="00B33B62" w:rsidP="00B33B62">
      <w:pPr>
        <w:pStyle w:val="ListParagraph"/>
        <w:numPr>
          <w:ilvl w:val="0"/>
          <w:numId w:val="5"/>
        </w:numPr>
        <w:spacing w:line="240" w:lineRule="auto"/>
        <w:rPr>
          <w:szCs w:val="24"/>
        </w:rPr>
      </w:pPr>
      <w:r w:rsidRPr="00FE018B">
        <w:rPr>
          <w:szCs w:val="24"/>
        </w:rPr>
        <w:t>None</w:t>
      </w:r>
    </w:p>
    <w:p w:rsidR="00B33B62" w:rsidRPr="00FE018B" w:rsidRDefault="00B33B62" w:rsidP="00B33B62">
      <w:pPr>
        <w:pStyle w:val="ListParagraph"/>
        <w:numPr>
          <w:ilvl w:val="0"/>
          <w:numId w:val="5"/>
        </w:numPr>
        <w:spacing w:line="240" w:lineRule="auto"/>
        <w:rPr>
          <w:szCs w:val="24"/>
        </w:rPr>
      </w:pPr>
      <w:r w:rsidRPr="00FE018B">
        <w:rPr>
          <w:szCs w:val="24"/>
        </w:rPr>
        <w:t>Rather not say</w:t>
      </w:r>
    </w:p>
    <w:p w:rsidR="00B33B62" w:rsidRDefault="00B33B62" w:rsidP="00B33B62">
      <w:pPr>
        <w:spacing w:line="240" w:lineRule="auto"/>
        <w:ind w:firstLine="0"/>
        <w:rPr>
          <w:szCs w:val="24"/>
        </w:rPr>
        <w:sectPr w:rsidR="00B33B62" w:rsidSect="00D7417A">
          <w:type w:val="continuous"/>
          <w:pgSz w:w="15840" w:h="12240" w:orient="landscape"/>
          <w:pgMar w:top="1440" w:right="1440" w:bottom="1440" w:left="1440" w:header="720" w:footer="720" w:gutter="0"/>
          <w:cols w:num="2" w:space="720"/>
          <w:docGrid w:linePitch="360"/>
        </w:sectPr>
      </w:pPr>
    </w:p>
    <w:p w:rsidR="00B33B62" w:rsidRDefault="00B33B62" w:rsidP="00B33B62">
      <w:pPr>
        <w:spacing w:line="240" w:lineRule="auto"/>
        <w:ind w:firstLine="0"/>
        <w:rPr>
          <w:szCs w:val="24"/>
        </w:rPr>
      </w:pPr>
    </w:p>
    <w:p w:rsidR="00B33B62" w:rsidRPr="00A660CD" w:rsidRDefault="00B33B62" w:rsidP="00B33B62">
      <w:pPr>
        <w:spacing w:line="240" w:lineRule="auto"/>
        <w:ind w:firstLine="0"/>
        <w:rPr>
          <w:b/>
          <w:szCs w:val="24"/>
        </w:rPr>
      </w:pPr>
      <w:r>
        <w:rPr>
          <w:b/>
          <w:szCs w:val="24"/>
        </w:rPr>
        <w:t xml:space="preserve">Q20E. </w:t>
      </w:r>
      <w:r w:rsidRPr="00A660CD">
        <w:rPr>
          <w:b/>
          <w:szCs w:val="24"/>
        </w:rPr>
        <w:t>Please indicate if you have used any of the following stimulants not prescribed to you in the past 12 months.</w:t>
      </w:r>
    </w:p>
    <w:p w:rsidR="00B33B62" w:rsidRDefault="00B33B62" w:rsidP="00B33B62">
      <w:pPr>
        <w:spacing w:line="240" w:lineRule="auto"/>
        <w:ind w:firstLine="0"/>
        <w:rPr>
          <w:szCs w:val="24"/>
        </w:rPr>
      </w:pPr>
      <w:r w:rsidRPr="001F110E">
        <w:rPr>
          <w:szCs w:val="24"/>
        </w:rPr>
        <w:t>[</w:t>
      </w:r>
      <w:r>
        <w:rPr>
          <w:szCs w:val="24"/>
        </w:rPr>
        <w:t>ONLY SHOW QUESTIONS THAT WERE TRUE FROM 20]</w:t>
      </w:r>
    </w:p>
    <w:p w:rsidR="00B33B62" w:rsidRPr="00FE018B" w:rsidRDefault="00B33B62" w:rsidP="00B33B62">
      <w:pPr>
        <w:spacing w:line="240" w:lineRule="auto"/>
        <w:ind w:firstLine="0"/>
        <w:rPr>
          <w:b/>
          <w:i/>
          <w:szCs w:val="24"/>
        </w:rPr>
      </w:pPr>
      <w:r w:rsidRPr="00FE018B">
        <w:rPr>
          <w:b/>
          <w:i/>
          <w:szCs w:val="24"/>
        </w:rPr>
        <w:t>(Select all that apply.)</w:t>
      </w:r>
    </w:p>
    <w:p w:rsidR="00B33B62" w:rsidRDefault="00B33B62" w:rsidP="00B33B62">
      <w:pPr>
        <w:pStyle w:val="ListParagraph"/>
        <w:numPr>
          <w:ilvl w:val="0"/>
          <w:numId w:val="5"/>
        </w:numPr>
        <w:spacing w:line="240" w:lineRule="auto"/>
        <w:rPr>
          <w:szCs w:val="24"/>
        </w:rPr>
        <w:sectPr w:rsidR="00B33B62" w:rsidSect="00D7417A">
          <w:type w:val="continuous"/>
          <w:pgSz w:w="15840" w:h="12240" w:orient="landscape"/>
          <w:pgMar w:top="1440" w:right="1440" w:bottom="1440" w:left="1440" w:header="720" w:footer="720" w:gutter="0"/>
          <w:cols w:space="720"/>
          <w:docGrid w:linePitch="360"/>
        </w:sectPr>
      </w:pPr>
    </w:p>
    <w:p w:rsidR="00B33B62" w:rsidRPr="00FE018B" w:rsidRDefault="00B33B62" w:rsidP="00B33B62">
      <w:pPr>
        <w:pStyle w:val="ListParagraph"/>
        <w:numPr>
          <w:ilvl w:val="0"/>
          <w:numId w:val="5"/>
        </w:numPr>
        <w:spacing w:line="240" w:lineRule="auto"/>
        <w:rPr>
          <w:szCs w:val="24"/>
        </w:rPr>
      </w:pPr>
      <w:r w:rsidRPr="00FE018B">
        <w:rPr>
          <w:szCs w:val="24"/>
        </w:rPr>
        <w:lastRenderedPageBreak/>
        <w:t>Ritalin</w:t>
      </w:r>
    </w:p>
    <w:p w:rsidR="00B33B62" w:rsidRPr="00FE018B" w:rsidRDefault="00B33B62" w:rsidP="00B33B62">
      <w:pPr>
        <w:pStyle w:val="ListParagraph"/>
        <w:numPr>
          <w:ilvl w:val="0"/>
          <w:numId w:val="5"/>
        </w:numPr>
        <w:spacing w:line="240" w:lineRule="auto"/>
        <w:rPr>
          <w:szCs w:val="24"/>
        </w:rPr>
      </w:pPr>
      <w:r w:rsidRPr="00FE018B">
        <w:rPr>
          <w:szCs w:val="24"/>
        </w:rPr>
        <w:t>Adderall XR</w:t>
      </w:r>
    </w:p>
    <w:p w:rsidR="00B33B62" w:rsidRPr="00FE018B" w:rsidRDefault="00B33B62" w:rsidP="00B33B62">
      <w:pPr>
        <w:pStyle w:val="ListParagraph"/>
        <w:numPr>
          <w:ilvl w:val="0"/>
          <w:numId w:val="5"/>
        </w:numPr>
        <w:spacing w:line="240" w:lineRule="auto"/>
        <w:rPr>
          <w:szCs w:val="24"/>
        </w:rPr>
      </w:pPr>
      <w:r w:rsidRPr="00FE018B">
        <w:rPr>
          <w:szCs w:val="24"/>
        </w:rPr>
        <w:t>Dextroamphetamine</w:t>
      </w:r>
    </w:p>
    <w:p w:rsidR="00B33B62" w:rsidRPr="00FE018B" w:rsidRDefault="00B33B62" w:rsidP="00B33B62">
      <w:pPr>
        <w:pStyle w:val="ListParagraph"/>
        <w:numPr>
          <w:ilvl w:val="0"/>
          <w:numId w:val="5"/>
        </w:numPr>
        <w:spacing w:line="240" w:lineRule="auto"/>
        <w:rPr>
          <w:szCs w:val="24"/>
        </w:rPr>
      </w:pPr>
      <w:r w:rsidRPr="00FE018B">
        <w:rPr>
          <w:szCs w:val="24"/>
        </w:rPr>
        <w:lastRenderedPageBreak/>
        <w:t>Dexedrine</w:t>
      </w:r>
    </w:p>
    <w:p w:rsidR="00B33B62" w:rsidRPr="00FE018B" w:rsidRDefault="00B33B62" w:rsidP="00B33B62">
      <w:pPr>
        <w:pStyle w:val="ListParagraph"/>
        <w:numPr>
          <w:ilvl w:val="0"/>
          <w:numId w:val="5"/>
        </w:numPr>
        <w:spacing w:line="240" w:lineRule="auto"/>
        <w:rPr>
          <w:szCs w:val="24"/>
        </w:rPr>
      </w:pPr>
      <w:r w:rsidRPr="00FE018B">
        <w:rPr>
          <w:szCs w:val="24"/>
        </w:rPr>
        <w:t>Ritalin SR</w:t>
      </w:r>
    </w:p>
    <w:p w:rsidR="00B33B62" w:rsidRPr="00FE018B" w:rsidRDefault="00B33B62" w:rsidP="00B33B62">
      <w:pPr>
        <w:pStyle w:val="ListParagraph"/>
        <w:numPr>
          <w:ilvl w:val="0"/>
          <w:numId w:val="5"/>
        </w:numPr>
        <w:spacing w:line="240" w:lineRule="auto"/>
        <w:rPr>
          <w:szCs w:val="24"/>
        </w:rPr>
      </w:pPr>
      <w:r w:rsidRPr="00FE018B">
        <w:rPr>
          <w:szCs w:val="24"/>
        </w:rPr>
        <w:t>Methylin ER</w:t>
      </w:r>
    </w:p>
    <w:p w:rsidR="00B33B62" w:rsidRPr="00FE018B" w:rsidRDefault="00B33B62" w:rsidP="00B33B62">
      <w:pPr>
        <w:pStyle w:val="ListParagraph"/>
        <w:numPr>
          <w:ilvl w:val="0"/>
          <w:numId w:val="5"/>
        </w:numPr>
        <w:spacing w:line="240" w:lineRule="auto"/>
        <w:rPr>
          <w:szCs w:val="24"/>
        </w:rPr>
      </w:pPr>
      <w:r w:rsidRPr="00FE018B">
        <w:rPr>
          <w:szCs w:val="24"/>
        </w:rPr>
        <w:lastRenderedPageBreak/>
        <w:t>Concerta</w:t>
      </w:r>
    </w:p>
    <w:p w:rsidR="00B33B62" w:rsidRPr="00FE018B" w:rsidRDefault="00B33B62" w:rsidP="00B33B62">
      <w:pPr>
        <w:pStyle w:val="ListParagraph"/>
        <w:numPr>
          <w:ilvl w:val="0"/>
          <w:numId w:val="5"/>
        </w:numPr>
        <w:spacing w:line="240" w:lineRule="auto"/>
        <w:rPr>
          <w:szCs w:val="24"/>
        </w:rPr>
      </w:pPr>
      <w:r w:rsidRPr="00FE018B">
        <w:rPr>
          <w:szCs w:val="24"/>
        </w:rPr>
        <w:t>Focalin XR</w:t>
      </w:r>
    </w:p>
    <w:p w:rsidR="00B33B62" w:rsidRPr="00FE018B" w:rsidRDefault="00B33B62" w:rsidP="00B33B62">
      <w:pPr>
        <w:pStyle w:val="ListParagraph"/>
        <w:numPr>
          <w:ilvl w:val="0"/>
          <w:numId w:val="5"/>
        </w:numPr>
        <w:spacing w:line="240" w:lineRule="auto"/>
        <w:rPr>
          <w:szCs w:val="24"/>
        </w:rPr>
      </w:pPr>
      <w:r w:rsidRPr="00FE018B">
        <w:rPr>
          <w:szCs w:val="24"/>
        </w:rPr>
        <w:t>Dextrostat</w:t>
      </w:r>
    </w:p>
    <w:p w:rsidR="00B33B62" w:rsidRPr="00FE018B" w:rsidRDefault="00B33B62" w:rsidP="00B33B62">
      <w:pPr>
        <w:pStyle w:val="ListParagraph"/>
        <w:numPr>
          <w:ilvl w:val="0"/>
          <w:numId w:val="5"/>
        </w:numPr>
        <w:spacing w:line="240" w:lineRule="auto"/>
        <w:rPr>
          <w:szCs w:val="24"/>
        </w:rPr>
      </w:pPr>
      <w:r w:rsidRPr="00FE018B">
        <w:rPr>
          <w:szCs w:val="24"/>
        </w:rPr>
        <w:t>Dexedrine Spansules</w:t>
      </w:r>
    </w:p>
    <w:p w:rsidR="00B33B62" w:rsidRPr="00FE018B" w:rsidRDefault="00B33B62" w:rsidP="00B33B62">
      <w:pPr>
        <w:pStyle w:val="ListParagraph"/>
        <w:numPr>
          <w:ilvl w:val="0"/>
          <w:numId w:val="5"/>
        </w:numPr>
        <w:spacing w:line="240" w:lineRule="auto"/>
        <w:rPr>
          <w:szCs w:val="24"/>
        </w:rPr>
      </w:pPr>
      <w:r w:rsidRPr="00FE018B">
        <w:rPr>
          <w:szCs w:val="24"/>
        </w:rPr>
        <w:t>Focalin</w:t>
      </w:r>
    </w:p>
    <w:p w:rsidR="00B33B62" w:rsidRPr="00FE018B" w:rsidRDefault="00B33B62" w:rsidP="00B33B62">
      <w:pPr>
        <w:pStyle w:val="ListParagraph"/>
        <w:numPr>
          <w:ilvl w:val="0"/>
          <w:numId w:val="5"/>
        </w:numPr>
        <w:spacing w:line="240" w:lineRule="auto"/>
        <w:rPr>
          <w:szCs w:val="24"/>
        </w:rPr>
      </w:pPr>
      <w:r w:rsidRPr="00FE018B">
        <w:rPr>
          <w:szCs w:val="24"/>
        </w:rPr>
        <w:t>Metadate ER</w:t>
      </w:r>
    </w:p>
    <w:p w:rsidR="00B33B62" w:rsidRPr="00FE018B" w:rsidRDefault="00B33B62" w:rsidP="00B33B62">
      <w:pPr>
        <w:pStyle w:val="ListParagraph"/>
        <w:numPr>
          <w:ilvl w:val="0"/>
          <w:numId w:val="5"/>
        </w:numPr>
        <w:spacing w:line="240" w:lineRule="auto"/>
        <w:rPr>
          <w:szCs w:val="24"/>
        </w:rPr>
      </w:pPr>
      <w:r w:rsidRPr="00FE018B">
        <w:rPr>
          <w:szCs w:val="24"/>
        </w:rPr>
        <w:t>Methylphenidate</w:t>
      </w:r>
    </w:p>
    <w:p w:rsidR="00B33B62" w:rsidRPr="00FE018B" w:rsidRDefault="00B33B62" w:rsidP="00B33B62">
      <w:pPr>
        <w:pStyle w:val="ListParagraph"/>
        <w:numPr>
          <w:ilvl w:val="0"/>
          <w:numId w:val="5"/>
        </w:numPr>
        <w:spacing w:line="240" w:lineRule="auto"/>
        <w:rPr>
          <w:szCs w:val="24"/>
        </w:rPr>
      </w:pPr>
      <w:r w:rsidRPr="00FE018B">
        <w:rPr>
          <w:szCs w:val="24"/>
        </w:rPr>
        <w:t>Ritalin LA</w:t>
      </w:r>
    </w:p>
    <w:p w:rsidR="00B33B62" w:rsidRPr="00FE018B" w:rsidRDefault="00B33B62" w:rsidP="00B33B62">
      <w:pPr>
        <w:pStyle w:val="ListParagraph"/>
        <w:numPr>
          <w:ilvl w:val="0"/>
          <w:numId w:val="5"/>
        </w:numPr>
        <w:spacing w:line="240" w:lineRule="auto"/>
        <w:rPr>
          <w:szCs w:val="24"/>
        </w:rPr>
      </w:pPr>
      <w:r w:rsidRPr="00FE018B">
        <w:rPr>
          <w:szCs w:val="24"/>
        </w:rPr>
        <w:t>Dextroamphetamine Extended Release</w:t>
      </w:r>
    </w:p>
    <w:p w:rsidR="00B33B62" w:rsidRPr="00FE018B" w:rsidRDefault="00B33B62" w:rsidP="00B33B62">
      <w:pPr>
        <w:pStyle w:val="ListParagraph"/>
        <w:numPr>
          <w:ilvl w:val="0"/>
          <w:numId w:val="5"/>
        </w:numPr>
        <w:spacing w:line="240" w:lineRule="auto"/>
        <w:rPr>
          <w:szCs w:val="24"/>
        </w:rPr>
      </w:pPr>
      <w:r w:rsidRPr="00FE018B">
        <w:rPr>
          <w:szCs w:val="24"/>
        </w:rPr>
        <w:t>Daytrana</w:t>
      </w:r>
    </w:p>
    <w:p w:rsidR="00B33B62" w:rsidRPr="00FE018B" w:rsidRDefault="00B33B62" w:rsidP="00B33B62">
      <w:pPr>
        <w:pStyle w:val="ListParagraph"/>
        <w:numPr>
          <w:ilvl w:val="0"/>
          <w:numId w:val="5"/>
        </w:numPr>
        <w:spacing w:line="240" w:lineRule="auto"/>
        <w:rPr>
          <w:szCs w:val="24"/>
        </w:rPr>
      </w:pPr>
      <w:r w:rsidRPr="00FE018B">
        <w:rPr>
          <w:szCs w:val="24"/>
        </w:rPr>
        <w:lastRenderedPageBreak/>
        <w:t>Amphetamine/Dextroamphetamine Combination</w:t>
      </w:r>
    </w:p>
    <w:p w:rsidR="00B33B62" w:rsidRPr="00FE018B" w:rsidRDefault="00B33B62" w:rsidP="00B33B62">
      <w:pPr>
        <w:pStyle w:val="ListParagraph"/>
        <w:numPr>
          <w:ilvl w:val="0"/>
          <w:numId w:val="5"/>
        </w:numPr>
        <w:spacing w:line="240" w:lineRule="auto"/>
        <w:rPr>
          <w:szCs w:val="24"/>
        </w:rPr>
      </w:pPr>
      <w:r w:rsidRPr="00FE018B">
        <w:rPr>
          <w:szCs w:val="24"/>
        </w:rPr>
        <w:t>Metadate CD</w:t>
      </w:r>
    </w:p>
    <w:p w:rsidR="00B33B62" w:rsidRPr="00FE018B" w:rsidRDefault="00B33B62" w:rsidP="00B33B62">
      <w:pPr>
        <w:pStyle w:val="ListParagraph"/>
        <w:numPr>
          <w:ilvl w:val="0"/>
          <w:numId w:val="5"/>
        </w:numPr>
        <w:spacing w:line="240" w:lineRule="auto"/>
        <w:rPr>
          <w:szCs w:val="24"/>
        </w:rPr>
      </w:pPr>
      <w:r w:rsidRPr="00FE018B">
        <w:rPr>
          <w:szCs w:val="24"/>
        </w:rPr>
        <w:t>Methylin</w:t>
      </w:r>
    </w:p>
    <w:p w:rsidR="00B33B62" w:rsidRPr="00FE018B" w:rsidRDefault="00B33B62" w:rsidP="00B33B62">
      <w:pPr>
        <w:pStyle w:val="ListParagraph"/>
        <w:numPr>
          <w:ilvl w:val="0"/>
          <w:numId w:val="5"/>
        </w:numPr>
        <w:spacing w:line="240" w:lineRule="auto"/>
        <w:rPr>
          <w:szCs w:val="24"/>
        </w:rPr>
      </w:pPr>
      <w:r w:rsidRPr="00FE018B">
        <w:rPr>
          <w:szCs w:val="24"/>
        </w:rPr>
        <w:t>Adderall</w:t>
      </w:r>
    </w:p>
    <w:p w:rsidR="00B33B62" w:rsidRPr="00FE018B" w:rsidRDefault="00B33B62" w:rsidP="00B33B62">
      <w:pPr>
        <w:pStyle w:val="ListParagraph"/>
        <w:numPr>
          <w:ilvl w:val="0"/>
          <w:numId w:val="5"/>
        </w:numPr>
        <w:spacing w:line="240" w:lineRule="auto"/>
        <w:rPr>
          <w:szCs w:val="24"/>
        </w:rPr>
      </w:pPr>
      <w:r w:rsidRPr="00FE018B">
        <w:rPr>
          <w:szCs w:val="24"/>
        </w:rPr>
        <w:t>Methylphenidate Extended Release</w:t>
      </w:r>
    </w:p>
    <w:p w:rsidR="00B33B62" w:rsidRPr="00FE018B" w:rsidRDefault="00B33B62" w:rsidP="00B33B62">
      <w:pPr>
        <w:pStyle w:val="ListParagraph"/>
        <w:numPr>
          <w:ilvl w:val="0"/>
          <w:numId w:val="5"/>
        </w:numPr>
        <w:spacing w:line="240" w:lineRule="auto"/>
        <w:rPr>
          <w:szCs w:val="24"/>
        </w:rPr>
      </w:pPr>
      <w:r w:rsidRPr="00FE018B">
        <w:rPr>
          <w:szCs w:val="24"/>
        </w:rPr>
        <w:t>Vyvanse</w:t>
      </w:r>
    </w:p>
    <w:p w:rsidR="00B33B62" w:rsidRPr="00FE018B" w:rsidRDefault="00B33B62" w:rsidP="00B33B62">
      <w:pPr>
        <w:pStyle w:val="ListParagraph"/>
        <w:numPr>
          <w:ilvl w:val="0"/>
          <w:numId w:val="5"/>
        </w:numPr>
        <w:spacing w:line="240" w:lineRule="auto"/>
        <w:rPr>
          <w:szCs w:val="24"/>
        </w:rPr>
      </w:pPr>
      <w:r w:rsidRPr="00FE018B">
        <w:rPr>
          <w:szCs w:val="24"/>
        </w:rPr>
        <w:t>Other (please specify) __________________</w:t>
      </w:r>
    </w:p>
    <w:p w:rsidR="00B33B62" w:rsidRPr="00FE018B" w:rsidRDefault="00B33B62" w:rsidP="00B33B62">
      <w:pPr>
        <w:pStyle w:val="ListParagraph"/>
        <w:numPr>
          <w:ilvl w:val="0"/>
          <w:numId w:val="5"/>
        </w:numPr>
        <w:spacing w:line="240" w:lineRule="auto"/>
        <w:rPr>
          <w:szCs w:val="24"/>
        </w:rPr>
      </w:pPr>
      <w:r w:rsidRPr="00FE018B">
        <w:rPr>
          <w:szCs w:val="24"/>
        </w:rPr>
        <w:t>Don’t know names of same I have used</w:t>
      </w:r>
    </w:p>
    <w:p w:rsidR="00B33B62" w:rsidRPr="00FE018B" w:rsidRDefault="00B33B62" w:rsidP="00B33B62">
      <w:pPr>
        <w:pStyle w:val="ListParagraph"/>
        <w:numPr>
          <w:ilvl w:val="0"/>
          <w:numId w:val="5"/>
        </w:numPr>
        <w:spacing w:line="240" w:lineRule="auto"/>
        <w:rPr>
          <w:szCs w:val="24"/>
        </w:rPr>
      </w:pPr>
      <w:r w:rsidRPr="00FE018B">
        <w:rPr>
          <w:szCs w:val="24"/>
        </w:rPr>
        <w:t>None</w:t>
      </w:r>
    </w:p>
    <w:p w:rsidR="00B33B62" w:rsidRPr="00FE018B" w:rsidRDefault="00B33B62" w:rsidP="00B33B62">
      <w:pPr>
        <w:pStyle w:val="ListParagraph"/>
        <w:numPr>
          <w:ilvl w:val="0"/>
          <w:numId w:val="5"/>
        </w:numPr>
        <w:spacing w:line="240" w:lineRule="auto"/>
        <w:rPr>
          <w:szCs w:val="24"/>
        </w:rPr>
      </w:pPr>
      <w:r w:rsidRPr="00FE018B">
        <w:rPr>
          <w:szCs w:val="24"/>
        </w:rPr>
        <w:t>Rather not say</w:t>
      </w:r>
    </w:p>
    <w:p w:rsidR="00B33B62" w:rsidRDefault="00B33B62" w:rsidP="00B33B62">
      <w:pPr>
        <w:spacing w:line="240" w:lineRule="auto"/>
        <w:ind w:firstLine="0"/>
        <w:rPr>
          <w:szCs w:val="24"/>
        </w:rPr>
        <w:sectPr w:rsidR="00B33B62" w:rsidSect="00FE256D">
          <w:type w:val="continuous"/>
          <w:pgSz w:w="15840" w:h="12240" w:orient="landscape"/>
          <w:pgMar w:top="1440" w:right="1440" w:bottom="1440" w:left="1440" w:header="1440" w:footer="720" w:gutter="0"/>
          <w:cols w:num="2" w:space="720"/>
          <w:docGrid w:linePitch="360"/>
        </w:sectPr>
      </w:pPr>
    </w:p>
    <w:p w:rsidR="00B33B62" w:rsidRPr="00A660CD" w:rsidRDefault="00B33B62" w:rsidP="00B33B62">
      <w:pPr>
        <w:spacing w:line="240" w:lineRule="auto"/>
        <w:ind w:firstLine="0"/>
        <w:rPr>
          <w:b/>
          <w:szCs w:val="24"/>
        </w:rPr>
      </w:pPr>
      <w:r>
        <w:rPr>
          <w:b/>
          <w:szCs w:val="24"/>
        </w:rPr>
        <w:lastRenderedPageBreak/>
        <w:t xml:space="preserve">Q20F. </w:t>
      </w:r>
      <w:r w:rsidRPr="00A660CD">
        <w:rPr>
          <w:b/>
          <w:szCs w:val="24"/>
        </w:rPr>
        <w:t>Please provide the reason(s) why you used stimulant medication not prescribed to you.</w:t>
      </w:r>
    </w:p>
    <w:p w:rsidR="00B33B62" w:rsidRDefault="00B33B62" w:rsidP="00B33B62">
      <w:pPr>
        <w:spacing w:line="240" w:lineRule="auto"/>
        <w:ind w:firstLine="0"/>
        <w:rPr>
          <w:szCs w:val="24"/>
        </w:rPr>
      </w:pPr>
      <w:r w:rsidRPr="001F110E">
        <w:rPr>
          <w:szCs w:val="24"/>
        </w:rPr>
        <w:t>[</w:t>
      </w:r>
      <w:r>
        <w:rPr>
          <w:szCs w:val="24"/>
        </w:rPr>
        <w:t>ONLY SHOW QUESTIONS THAT WERE TRUE FROM 20]</w:t>
      </w:r>
    </w:p>
    <w:p w:rsidR="00B33B62" w:rsidRPr="00FE018B" w:rsidRDefault="00B33B62" w:rsidP="00B33B62">
      <w:pPr>
        <w:spacing w:line="240" w:lineRule="auto"/>
        <w:ind w:firstLine="0"/>
        <w:rPr>
          <w:szCs w:val="24"/>
        </w:rPr>
      </w:pPr>
    </w:p>
    <w:p w:rsidR="00B33B62" w:rsidRPr="00FE018B" w:rsidRDefault="00B33B62" w:rsidP="00B33B62">
      <w:pPr>
        <w:spacing w:line="240" w:lineRule="auto"/>
        <w:ind w:firstLine="0"/>
        <w:rPr>
          <w:b/>
          <w:i/>
          <w:szCs w:val="24"/>
        </w:rPr>
      </w:pPr>
      <w:r w:rsidRPr="00FE018B">
        <w:rPr>
          <w:b/>
          <w:i/>
          <w:szCs w:val="24"/>
        </w:rPr>
        <w:t>(Select all that apply.)</w:t>
      </w:r>
    </w:p>
    <w:p w:rsidR="00B33B62" w:rsidRDefault="00B33B62" w:rsidP="00B33B62">
      <w:pPr>
        <w:pStyle w:val="ListParagraph"/>
        <w:numPr>
          <w:ilvl w:val="0"/>
          <w:numId w:val="5"/>
        </w:numPr>
        <w:spacing w:line="240" w:lineRule="auto"/>
        <w:rPr>
          <w:szCs w:val="24"/>
        </w:rPr>
        <w:sectPr w:rsidR="00B33B62" w:rsidSect="00D7417A">
          <w:type w:val="continuous"/>
          <w:pgSz w:w="15840" w:h="12240" w:orient="landscape"/>
          <w:pgMar w:top="1440" w:right="1440" w:bottom="1440" w:left="1440" w:header="720" w:footer="720" w:gutter="0"/>
          <w:cols w:space="720"/>
          <w:docGrid w:linePitch="360"/>
        </w:sectPr>
      </w:pPr>
    </w:p>
    <w:p w:rsidR="00B33B62" w:rsidRPr="00FE018B" w:rsidRDefault="00B33B62" w:rsidP="00B33B62">
      <w:pPr>
        <w:pStyle w:val="ListParagraph"/>
        <w:numPr>
          <w:ilvl w:val="0"/>
          <w:numId w:val="5"/>
        </w:numPr>
        <w:spacing w:line="240" w:lineRule="auto"/>
        <w:rPr>
          <w:szCs w:val="24"/>
        </w:rPr>
      </w:pPr>
      <w:r w:rsidRPr="00FE018B">
        <w:rPr>
          <w:szCs w:val="24"/>
        </w:rPr>
        <w:lastRenderedPageBreak/>
        <w:t>To increase my alertness while driving</w:t>
      </w:r>
    </w:p>
    <w:p w:rsidR="00B33B62" w:rsidRPr="00FE018B" w:rsidRDefault="00B33B62" w:rsidP="00B33B62">
      <w:pPr>
        <w:pStyle w:val="ListParagraph"/>
        <w:numPr>
          <w:ilvl w:val="0"/>
          <w:numId w:val="5"/>
        </w:numPr>
        <w:spacing w:line="240" w:lineRule="auto"/>
        <w:rPr>
          <w:szCs w:val="24"/>
        </w:rPr>
      </w:pPr>
      <w:r w:rsidRPr="00FE018B">
        <w:rPr>
          <w:szCs w:val="24"/>
        </w:rPr>
        <w:t>To get high</w:t>
      </w:r>
    </w:p>
    <w:p w:rsidR="00B33B62" w:rsidRPr="00FE018B" w:rsidRDefault="00B33B62" w:rsidP="00B33B62">
      <w:pPr>
        <w:pStyle w:val="ListParagraph"/>
        <w:numPr>
          <w:ilvl w:val="0"/>
          <w:numId w:val="5"/>
        </w:numPr>
        <w:spacing w:line="240" w:lineRule="auto"/>
        <w:rPr>
          <w:szCs w:val="24"/>
        </w:rPr>
      </w:pPr>
      <w:r w:rsidRPr="00FE018B">
        <w:rPr>
          <w:szCs w:val="24"/>
        </w:rPr>
        <w:t>To counteract the effects of other drugs</w:t>
      </w:r>
    </w:p>
    <w:p w:rsidR="00B33B62" w:rsidRPr="00FE018B" w:rsidRDefault="00B33B62" w:rsidP="00B33B62">
      <w:pPr>
        <w:pStyle w:val="ListParagraph"/>
        <w:numPr>
          <w:ilvl w:val="0"/>
          <w:numId w:val="5"/>
        </w:numPr>
        <w:spacing w:line="240" w:lineRule="auto"/>
        <w:rPr>
          <w:szCs w:val="24"/>
        </w:rPr>
      </w:pPr>
      <w:r w:rsidRPr="00FE018B">
        <w:rPr>
          <w:szCs w:val="24"/>
        </w:rPr>
        <w:t>To concentrate better while studying</w:t>
      </w:r>
    </w:p>
    <w:p w:rsidR="00B33B62" w:rsidRPr="00FE018B" w:rsidRDefault="00B33B62" w:rsidP="00B33B62">
      <w:pPr>
        <w:pStyle w:val="ListParagraph"/>
        <w:numPr>
          <w:ilvl w:val="0"/>
          <w:numId w:val="5"/>
        </w:numPr>
        <w:spacing w:line="240" w:lineRule="auto"/>
        <w:rPr>
          <w:szCs w:val="24"/>
        </w:rPr>
      </w:pPr>
      <w:r w:rsidRPr="00FE018B">
        <w:rPr>
          <w:szCs w:val="24"/>
        </w:rPr>
        <w:t>To increase my alertness in order to study longer</w:t>
      </w:r>
    </w:p>
    <w:p w:rsidR="00B33B62" w:rsidRPr="00FE018B" w:rsidRDefault="00B33B62" w:rsidP="00B33B62">
      <w:pPr>
        <w:pStyle w:val="ListParagraph"/>
        <w:numPr>
          <w:ilvl w:val="0"/>
          <w:numId w:val="5"/>
        </w:numPr>
        <w:spacing w:line="240" w:lineRule="auto"/>
        <w:rPr>
          <w:szCs w:val="24"/>
        </w:rPr>
      </w:pPr>
      <w:r w:rsidRPr="00FE018B">
        <w:rPr>
          <w:szCs w:val="24"/>
        </w:rPr>
        <w:t>To lose weight</w:t>
      </w:r>
    </w:p>
    <w:p w:rsidR="00B33B62" w:rsidRPr="00FE018B" w:rsidRDefault="00B33B62" w:rsidP="00B33B62">
      <w:pPr>
        <w:pStyle w:val="ListParagraph"/>
        <w:numPr>
          <w:ilvl w:val="0"/>
          <w:numId w:val="5"/>
        </w:numPr>
        <w:spacing w:line="240" w:lineRule="auto"/>
        <w:rPr>
          <w:szCs w:val="24"/>
        </w:rPr>
      </w:pPr>
      <w:r w:rsidRPr="00FE018B">
        <w:rPr>
          <w:szCs w:val="24"/>
        </w:rPr>
        <w:t>To enhance my athletic performance</w:t>
      </w:r>
    </w:p>
    <w:p w:rsidR="00B33B62" w:rsidRPr="00FE018B" w:rsidRDefault="00B33B62" w:rsidP="00B33B62">
      <w:pPr>
        <w:pStyle w:val="ListParagraph"/>
        <w:numPr>
          <w:ilvl w:val="0"/>
          <w:numId w:val="5"/>
        </w:numPr>
        <w:spacing w:line="240" w:lineRule="auto"/>
        <w:rPr>
          <w:szCs w:val="24"/>
        </w:rPr>
      </w:pPr>
      <w:r w:rsidRPr="00FE018B">
        <w:rPr>
          <w:szCs w:val="24"/>
        </w:rPr>
        <w:t>To prolong the intoxicating effects of alcohol or other substances</w:t>
      </w:r>
    </w:p>
    <w:p w:rsidR="00B33B62" w:rsidRPr="00FE018B" w:rsidRDefault="00B33B62" w:rsidP="00B33B62">
      <w:pPr>
        <w:pStyle w:val="ListParagraph"/>
        <w:numPr>
          <w:ilvl w:val="0"/>
          <w:numId w:val="5"/>
        </w:numPr>
        <w:spacing w:line="240" w:lineRule="auto"/>
        <w:rPr>
          <w:szCs w:val="24"/>
        </w:rPr>
      </w:pPr>
      <w:r w:rsidRPr="00FE018B">
        <w:rPr>
          <w:szCs w:val="24"/>
        </w:rPr>
        <w:t>To prevent other students who do this from having an “edge” over me academically</w:t>
      </w:r>
    </w:p>
    <w:p w:rsidR="00B33B62" w:rsidRPr="00FE018B" w:rsidRDefault="00B33B62" w:rsidP="00B33B62">
      <w:pPr>
        <w:pStyle w:val="ListParagraph"/>
        <w:numPr>
          <w:ilvl w:val="0"/>
          <w:numId w:val="5"/>
        </w:numPr>
        <w:spacing w:line="240" w:lineRule="auto"/>
        <w:rPr>
          <w:szCs w:val="24"/>
        </w:rPr>
      </w:pPr>
      <w:r w:rsidRPr="00FE018B">
        <w:rPr>
          <w:szCs w:val="24"/>
        </w:rPr>
        <w:t>To feel restless while studying</w:t>
      </w:r>
    </w:p>
    <w:p w:rsidR="00B33B62" w:rsidRPr="00FE018B" w:rsidRDefault="00B33B62" w:rsidP="00B33B62">
      <w:pPr>
        <w:pStyle w:val="ListParagraph"/>
        <w:numPr>
          <w:ilvl w:val="0"/>
          <w:numId w:val="5"/>
        </w:numPr>
        <w:spacing w:line="240" w:lineRule="auto"/>
        <w:rPr>
          <w:szCs w:val="24"/>
        </w:rPr>
      </w:pPr>
      <w:r w:rsidRPr="00FE018B">
        <w:rPr>
          <w:szCs w:val="24"/>
        </w:rPr>
        <w:lastRenderedPageBreak/>
        <w:t>Because I have ADHD</w:t>
      </w:r>
    </w:p>
    <w:p w:rsidR="00B33B62" w:rsidRPr="00FE018B" w:rsidRDefault="00B33B62" w:rsidP="00B33B62">
      <w:pPr>
        <w:pStyle w:val="ListParagraph"/>
        <w:numPr>
          <w:ilvl w:val="0"/>
          <w:numId w:val="5"/>
        </w:numPr>
        <w:spacing w:line="240" w:lineRule="auto"/>
        <w:rPr>
          <w:szCs w:val="24"/>
        </w:rPr>
      </w:pPr>
      <w:r w:rsidRPr="00FE018B">
        <w:rPr>
          <w:szCs w:val="24"/>
        </w:rPr>
        <w:t>To keep better track of my class assignments</w:t>
      </w:r>
    </w:p>
    <w:p w:rsidR="00B33B62" w:rsidRPr="00FE018B" w:rsidRDefault="00B33B62" w:rsidP="00B33B62">
      <w:pPr>
        <w:pStyle w:val="ListParagraph"/>
        <w:numPr>
          <w:ilvl w:val="0"/>
          <w:numId w:val="5"/>
        </w:numPr>
        <w:spacing w:line="240" w:lineRule="auto"/>
        <w:rPr>
          <w:szCs w:val="24"/>
        </w:rPr>
      </w:pPr>
      <w:r w:rsidRPr="00FE018B">
        <w:rPr>
          <w:szCs w:val="24"/>
        </w:rPr>
        <w:t>To concentrate better while working</w:t>
      </w:r>
    </w:p>
    <w:p w:rsidR="00B33B62" w:rsidRPr="00FE018B" w:rsidRDefault="00B33B62" w:rsidP="00B33B62">
      <w:pPr>
        <w:pStyle w:val="ListParagraph"/>
        <w:numPr>
          <w:ilvl w:val="0"/>
          <w:numId w:val="5"/>
        </w:numPr>
        <w:spacing w:line="240" w:lineRule="auto"/>
        <w:rPr>
          <w:szCs w:val="24"/>
        </w:rPr>
      </w:pPr>
      <w:r w:rsidRPr="00FE018B">
        <w:rPr>
          <w:szCs w:val="24"/>
        </w:rPr>
        <w:t>To feel less restless while working</w:t>
      </w:r>
    </w:p>
    <w:p w:rsidR="00B33B62" w:rsidRPr="00FE018B" w:rsidRDefault="00B33B62" w:rsidP="00B33B62">
      <w:pPr>
        <w:pStyle w:val="ListParagraph"/>
        <w:numPr>
          <w:ilvl w:val="0"/>
          <w:numId w:val="5"/>
        </w:numPr>
        <w:spacing w:line="240" w:lineRule="auto"/>
        <w:rPr>
          <w:szCs w:val="24"/>
        </w:rPr>
      </w:pPr>
      <w:r w:rsidRPr="00FE018B">
        <w:rPr>
          <w:szCs w:val="24"/>
        </w:rPr>
        <w:t>Because I’m addicted</w:t>
      </w:r>
    </w:p>
    <w:p w:rsidR="00B33B62" w:rsidRPr="00FE018B" w:rsidRDefault="00B33B62" w:rsidP="00B33B62">
      <w:pPr>
        <w:pStyle w:val="ListParagraph"/>
        <w:numPr>
          <w:ilvl w:val="0"/>
          <w:numId w:val="5"/>
        </w:numPr>
        <w:spacing w:line="240" w:lineRule="auto"/>
        <w:rPr>
          <w:szCs w:val="24"/>
        </w:rPr>
      </w:pPr>
      <w:r w:rsidRPr="00FE018B">
        <w:rPr>
          <w:szCs w:val="24"/>
        </w:rPr>
        <w:t>Because it’s safer than street drugs</w:t>
      </w:r>
    </w:p>
    <w:p w:rsidR="00B33B62" w:rsidRPr="00FE018B" w:rsidRDefault="00B33B62" w:rsidP="00B33B62">
      <w:pPr>
        <w:pStyle w:val="ListParagraph"/>
        <w:numPr>
          <w:ilvl w:val="0"/>
          <w:numId w:val="5"/>
        </w:numPr>
        <w:spacing w:line="240" w:lineRule="auto"/>
        <w:rPr>
          <w:szCs w:val="24"/>
        </w:rPr>
      </w:pPr>
      <w:r w:rsidRPr="00FE018B">
        <w:rPr>
          <w:szCs w:val="24"/>
        </w:rPr>
        <w:t>To enhance my academic performance</w:t>
      </w:r>
    </w:p>
    <w:p w:rsidR="00B33B62" w:rsidRPr="00FE018B" w:rsidRDefault="00B33B62" w:rsidP="00B33B62">
      <w:pPr>
        <w:pStyle w:val="ListParagraph"/>
        <w:numPr>
          <w:ilvl w:val="0"/>
          <w:numId w:val="5"/>
        </w:numPr>
        <w:spacing w:line="240" w:lineRule="auto"/>
        <w:rPr>
          <w:szCs w:val="24"/>
        </w:rPr>
      </w:pPr>
      <w:r w:rsidRPr="00FE018B">
        <w:rPr>
          <w:szCs w:val="24"/>
        </w:rPr>
        <w:t>To increase my alertness in order to work longer</w:t>
      </w:r>
    </w:p>
    <w:p w:rsidR="00B33B62" w:rsidRPr="00FE018B" w:rsidRDefault="00B33B62" w:rsidP="00B33B62">
      <w:pPr>
        <w:pStyle w:val="ListParagraph"/>
        <w:numPr>
          <w:ilvl w:val="0"/>
          <w:numId w:val="5"/>
        </w:numPr>
        <w:spacing w:line="240" w:lineRule="auto"/>
        <w:rPr>
          <w:szCs w:val="24"/>
        </w:rPr>
      </w:pPr>
      <w:r w:rsidRPr="00FE018B">
        <w:rPr>
          <w:szCs w:val="24"/>
        </w:rPr>
        <w:t>To experiment</w:t>
      </w:r>
    </w:p>
    <w:p w:rsidR="00B33B62" w:rsidRPr="00FE018B" w:rsidRDefault="00B33B62" w:rsidP="00B33B62">
      <w:pPr>
        <w:pStyle w:val="ListParagraph"/>
        <w:numPr>
          <w:ilvl w:val="0"/>
          <w:numId w:val="5"/>
        </w:numPr>
        <w:spacing w:line="240" w:lineRule="auto"/>
        <w:rPr>
          <w:szCs w:val="24"/>
        </w:rPr>
      </w:pPr>
      <w:r w:rsidRPr="00FE018B">
        <w:rPr>
          <w:szCs w:val="24"/>
        </w:rPr>
        <w:t>Other (please specify) __________________</w:t>
      </w:r>
    </w:p>
    <w:p w:rsidR="00B33B62" w:rsidRPr="00FE018B" w:rsidRDefault="00B33B62" w:rsidP="00B33B62">
      <w:pPr>
        <w:pStyle w:val="ListParagraph"/>
        <w:numPr>
          <w:ilvl w:val="0"/>
          <w:numId w:val="5"/>
        </w:numPr>
        <w:spacing w:line="240" w:lineRule="auto"/>
        <w:rPr>
          <w:szCs w:val="24"/>
        </w:rPr>
      </w:pPr>
      <w:r w:rsidRPr="00FE018B">
        <w:rPr>
          <w:szCs w:val="24"/>
        </w:rPr>
        <w:t>Rather not say</w:t>
      </w:r>
    </w:p>
    <w:p w:rsidR="00B33B62" w:rsidRDefault="00B33B62" w:rsidP="00B33B62">
      <w:pPr>
        <w:spacing w:line="240" w:lineRule="auto"/>
        <w:ind w:firstLine="0"/>
        <w:rPr>
          <w:szCs w:val="24"/>
        </w:rPr>
        <w:sectPr w:rsidR="00B33B62" w:rsidSect="00D7417A">
          <w:type w:val="continuous"/>
          <w:pgSz w:w="15840" w:h="12240" w:orient="landscape"/>
          <w:pgMar w:top="1440" w:right="1440" w:bottom="1440" w:left="1440" w:header="720" w:footer="720" w:gutter="0"/>
          <w:cols w:num="2" w:space="720"/>
          <w:docGrid w:linePitch="360"/>
        </w:sectPr>
      </w:pPr>
    </w:p>
    <w:p w:rsidR="00B33B62" w:rsidRPr="00FE018B" w:rsidRDefault="00B33B62" w:rsidP="00B33B62">
      <w:pPr>
        <w:spacing w:line="240" w:lineRule="auto"/>
        <w:ind w:firstLine="0"/>
        <w:rPr>
          <w:szCs w:val="24"/>
        </w:rPr>
      </w:pPr>
    </w:p>
    <w:p w:rsidR="00B33B62" w:rsidRPr="00A660CD" w:rsidRDefault="00B33B62" w:rsidP="00B33B62">
      <w:pPr>
        <w:spacing w:line="240" w:lineRule="auto"/>
        <w:ind w:firstLine="0"/>
        <w:rPr>
          <w:b/>
          <w:szCs w:val="24"/>
        </w:rPr>
      </w:pPr>
      <w:r>
        <w:rPr>
          <w:b/>
          <w:szCs w:val="24"/>
        </w:rPr>
        <w:lastRenderedPageBreak/>
        <w:t xml:space="preserve">Q21F. </w:t>
      </w:r>
      <w:r w:rsidRPr="00A660CD">
        <w:rPr>
          <w:b/>
          <w:szCs w:val="24"/>
        </w:rPr>
        <w:t>Please provide the reason(s) why you used pain medication not prescribed to you.</w:t>
      </w:r>
    </w:p>
    <w:p w:rsidR="00B33B62" w:rsidRDefault="00B33B62" w:rsidP="00B33B62">
      <w:pPr>
        <w:spacing w:line="240" w:lineRule="auto"/>
        <w:ind w:firstLine="0"/>
        <w:rPr>
          <w:szCs w:val="24"/>
        </w:rPr>
      </w:pPr>
      <w:r w:rsidRPr="001F110E">
        <w:rPr>
          <w:szCs w:val="24"/>
        </w:rPr>
        <w:t>[</w:t>
      </w:r>
      <w:r>
        <w:rPr>
          <w:szCs w:val="24"/>
        </w:rPr>
        <w:t>ONLY SHOW QUESTIONS THAT WERE TRUE FROM 21]</w:t>
      </w:r>
    </w:p>
    <w:p w:rsidR="00B33B62" w:rsidRPr="00FE018B" w:rsidRDefault="00B33B62" w:rsidP="00B33B62">
      <w:pPr>
        <w:spacing w:line="240" w:lineRule="auto"/>
        <w:ind w:firstLine="0"/>
        <w:rPr>
          <w:szCs w:val="24"/>
        </w:rPr>
      </w:pPr>
    </w:p>
    <w:p w:rsidR="00B33B62" w:rsidRPr="00FE018B" w:rsidRDefault="00B33B62" w:rsidP="00B33B62">
      <w:pPr>
        <w:spacing w:line="240" w:lineRule="auto"/>
        <w:ind w:firstLine="0"/>
        <w:rPr>
          <w:b/>
          <w:i/>
          <w:szCs w:val="24"/>
        </w:rPr>
      </w:pPr>
      <w:r w:rsidRPr="00FE018B">
        <w:rPr>
          <w:b/>
          <w:i/>
          <w:szCs w:val="24"/>
        </w:rPr>
        <w:t>(Select all that apply.)</w:t>
      </w:r>
    </w:p>
    <w:p w:rsidR="00B33B62" w:rsidRDefault="00B33B62" w:rsidP="00B33B62">
      <w:pPr>
        <w:pStyle w:val="ListParagraph"/>
        <w:numPr>
          <w:ilvl w:val="0"/>
          <w:numId w:val="5"/>
        </w:numPr>
        <w:spacing w:line="240" w:lineRule="auto"/>
        <w:rPr>
          <w:szCs w:val="24"/>
        </w:rPr>
        <w:sectPr w:rsidR="00B33B62" w:rsidSect="00D50562">
          <w:type w:val="continuous"/>
          <w:pgSz w:w="15840" w:h="12240" w:orient="landscape"/>
          <w:pgMar w:top="1440" w:right="1440" w:bottom="1440" w:left="1440" w:header="1440" w:footer="720" w:gutter="0"/>
          <w:cols w:space="720"/>
          <w:docGrid w:linePitch="360"/>
        </w:sectPr>
      </w:pPr>
    </w:p>
    <w:p w:rsidR="00B33B62" w:rsidRPr="00FE018B" w:rsidRDefault="00B33B62" w:rsidP="00B33B62">
      <w:pPr>
        <w:pStyle w:val="ListParagraph"/>
        <w:numPr>
          <w:ilvl w:val="0"/>
          <w:numId w:val="5"/>
        </w:numPr>
        <w:spacing w:line="240" w:lineRule="auto"/>
        <w:rPr>
          <w:szCs w:val="24"/>
        </w:rPr>
      </w:pPr>
      <w:r w:rsidRPr="00FE018B">
        <w:rPr>
          <w:szCs w:val="24"/>
        </w:rPr>
        <w:lastRenderedPageBreak/>
        <w:t>Because it’s safer than street drugs</w:t>
      </w:r>
    </w:p>
    <w:p w:rsidR="00B33B62" w:rsidRPr="00FE018B" w:rsidRDefault="00B33B62" w:rsidP="00B33B62">
      <w:pPr>
        <w:pStyle w:val="ListParagraph"/>
        <w:numPr>
          <w:ilvl w:val="0"/>
          <w:numId w:val="5"/>
        </w:numPr>
        <w:spacing w:line="240" w:lineRule="auto"/>
        <w:rPr>
          <w:szCs w:val="24"/>
        </w:rPr>
      </w:pPr>
      <w:r w:rsidRPr="00FE018B">
        <w:rPr>
          <w:szCs w:val="24"/>
        </w:rPr>
        <w:t>Because it helps me sleep</w:t>
      </w:r>
    </w:p>
    <w:p w:rsidR="00B33B62" w:rsidRPr="00FE018B" w:rsidRDefault="00B33B62" w:rsidP="00B33B62">
      <w:pPr>
        <w:pStyle w:val="ListParagraph"/>
        <w:numPr>
          <w:ilvl w:val="0"/>
          <w:numId w:val="5"/>
        </w:numPr>
        <w:spacing w:line="240" w:lineRule="auto"/>
        <w:rPr>
          <w:szCs w:val="24"/>
        </w:rPr>
      </w:pPr>
      <w:r w:rsidRPr="00FE018B">
        <w:rPr>
          <w:szCs w:val="24"/>
        </w:rPr>
        <w:t>Because it relieves pain</w:t>
      </w:r>
    </w:p>
    <w:p w:rsidR="00B33B62" w:rsidRPr="00FE018B" w:rsidRDefault="00B33B62" w:rsidP="00B33B62">
      <w:pPr>
        <w:pStyle w:val="ListParagraph"/>
        <w:numPr>
          <w:ilvl w:val="0"/>
          <w:numId w:val="5"/>
        </w:numPr>
        <w:spacing w:line="240" w:lineRule="auto"/>
        <w:rPr>
          <w:szCs w:val="24"/>
        </w:rPr>
      </w:pPr>
      <w:r w:rsidRPr="00FE018B">
        <w:rPr>
          <w:szCs w:val="24"/>
        </w:rPr>
        <w:t>Because it helps decrease anxiety</w:t>
      </w:r>
    </w:p>
    <w:p w:rsidR="00B33B62" w:rsidRPr="00FE018B" w:rsidRDefault="00B33B62" w:rsidP="00B33B62">
      <w:pPr>
        <w:pStyle w:val="ListParagraph"/>
        <w:numPr>
          <w:ilvl w:val="0"/>
          <w:numId w:val="5"/>
        </w:numPr>
        <w:spacing w:line="240" w:lineRule="auto"/>
        <w:rPr>
          <w:szCs w:val="24"/>
        </w:rPr>
      </w:pPr>
      <w:r w:rsidRPr="00FE018B">
        <w:rPr>
          <w:szCs w:val="24"/>
        </w:rPr>
        <w:t>Because of experimentation</w:t>
      </w:r>
    </w:p>
    <w:p w:rsidR="00B33B62" w:rsidRPr="00FE018B" w:rsidRDefault="00B33B62" w:rsidP="00B33B62">
      <w:pPr>
        <w:pStyle w:val="ListParagraph"/>
        <w:numPr>
          <w:ilvl w:val="0"/>
          <w:numId w:val="5"/>
        </w:numPr>
        <w:spacing w:line="240" w:lineRule="auto"/>
        <w:rPr>
          <w:szCs w:val="24"/>
        </w:rPr>
      </w:pPr>
      <w:r w:rsidRPr="00FE018B">
        <w:rPr>
          <w:szCs w:val="24"/>
        </w:rPr>
        <w:t>Because I’m addicted</w:t>
      </w:r>
    </w:p>
    <w:p w:rsidR="00B33B62" w:rsidRPr="00FE018B" w:rsidRDefault="00B33B62" w:rsidP="00B33B62">
      <w:pPr>
        <w:pStyle w:val="ListParagraph"/>
        <w:numPr>
          <w:ilvl w:val="0"/>
          <w:numId w:val="5"/>
        </w:numPr>
        <w:spacing w:line="240" w:lineRule="auto"/>
        <w:rPr>
          <w:szCs w:val="24"/>
        </w:rPr>
      </w:pPr>
      <w:r w:rsidRPr="00FE018B">
        <w:rPr>
          <w:szCs w:val="24"/>
        </w:rPr>
        <w:t>Because it counters the effects of other drugs</w:t>
      </w:r>
    </w:p>
    <w:p w:rsidR="00B33B62" w:rsidRPr="00FE018B" w:rsidRDefault="00B33B62" w:rsidP="00B33B62">
      <w:pPr>
        <w:pStyle w:val="ListParagraph"/>
        <w:numPr>
          <w:ilvl w:val="0"/>
          <w:numId w:val="5"/>
        </w:numPr>
        <w:spacing w:line="240" w:lineRule="auto"/>
        <w:rPr>
          <w:szCs w:val="24"/>
        </w:rPr>
      </w:pPr>
      <w:r w:rsidRPr="00FE018B">
        <w:rPr>
          <w:szCs w:val="24"/>
        </w:rPr>
        <w:t>Because it gives me a high</w:t>
      </w:r>
    </w:p>
    <w:p w:rsidR="00B33B62" w:rsidRPr="00FE018B" w:rsidRDefault="00B33B62" w:rsidP="00B33B62">
      <w:pPr>
        <w:pStyle w:val="ListParagraph"/>
        <w:numPr>
          <w:ilvl w:val="0"/>
          <w:numId w:val="5"/>
        </w:numPr>
        <w:spacing w:line="240" w:lineRule="auto"/>
        <w:rPr>
          <w:szCs w:val="24"/>
        </w:rPr>
      </w:pPr>
      <w:r w:rsidRPr="00FE018B">
        <w:rPr>
          <w:szCs w:val="24"/>
        </w:rPr>
        <w:t>Other (please specify) __________________</w:t>
      </w:r>
    </w:p>
    <w:p w:rsidR="00B33B62" w:rsidRPr="00FE018B" w:rsidRDefault="00B33B62" w:rsidP="00B33B62">
      <w:pPr>
        <w:pStyle w:val="ListParagraph"/>
        <w:numPr>
          <w:ilvl w:val="0"/>
          <w:numId w:val="5"/>
        </w:numPr>
        <w:spacing w:line="240" w:lineRule="auto"/>
        <w:rPr>
          <w:szCs w:val="24"/>
        </w:rPr>
      </w:pPr>
      <w:r w:rsidRPr="00FE018B">
        <w:rPr>
          <w:szCs w:val="24"/>
        </w:rPr>
        <w:t>Rather not say</w:t>
      </w:r>
    </w:p>
    <w:p w:rsidR="00B33B62" w:rsidRDefault="00B33B62" w:rsidP="00B33B62">
      <w:pPr>
        <w:spacing w:line="240" w:lineRule="auto"/>
        <w:ind w:firstLine="0"/>
        <w:rPr>
          <w:szCs w:val="24"/>
        </w:rPr>
        <w:sectPr w:rsidR="00B33B62" w:rsidSect="00FE256D">
          <w:type w:val="continuous"/>
          <w:pgSz w:w="15840" w:h="12240" w:orient="landscape"/>
          <w:pgMar w:top="1440" w:right="1440" w:bottom="1440" w:left="1440" w:header="1440" w:footer="720" w:gutter="0"/>
          <w:cols w:num="2" w:space="720"/>
          <w:docGrid w:linePitch="360"/>
        </w:sectPr>
      </w:pPr>
    </w:p>
    <w:p w:rsidR="00B33B62" w:rsidRDefault="00B33B62" w:rsidP="00B33B62">
      <w:pPr>
        <w:spacing w:line="240" w:lineRule="auto"/>
        <w:ind w:firstLine="0"/>
        <w:rPr>
          <w:szCs w:val="24"/>
        </w:rPr>
      </w:pPr>
    </w:p>
    <w:p w:rsidR="00B33B62" w:rsidRPr="00A660CD" w:rsidRDefault="00B33B62" w:rsidP="00B33B62">
      <w:pPr>
        <w:spacing w:line="240" w:lineRule="auto"/>
        <w:ind w:firstLine="0"/>
        <w:rPr>
          <w:b/>
          <w:szCs w:val="24"/>
        </w:rPr>
      </w:pPr>
      <w:r>
        <w:rPr>
          <w:b/>
          <w:szCs w:val="24"/>
        </w:rPr>
        <w:t xml:space="preserve">Q20G. </w:t>
      </w:r>
      <w:r w:rsidRPr="00A660CD">
        <w:rPr>
          <w:b/>
          <w:szCs w:val="24"/>
        </w:rPr>
        <w:t>Which of the following routes of administration have you used for taking the following stimulant medication not prescribed to you?</w:t>
      </w:r>
    </w:p>
    <w:p w:rsidR="00B33B62" w:rsidRDefault="00B33B62" w:rsidP="00B33B62">
      <w:pPr>
        <w:spacing w:line="240" w:lineRule="auto"/>
        <w:ind w:firstLine="0"/>
        <w:rPr>
          <w:szCs w:val="24"/>
        </w:rPr>
      </w:pPr>
      <w:r w:rsidRPr="001F110E">
        <w:rPr>
          <w:szCs w:val="24"/>
        </w:rPr>
        <w:t>[</w:t>
      </w:r>
      <w:r>
        <w:rPr>
          <w:szCs w:val="24"/>
        </w:rPr>
        <w:t>ONLY SHOW QUESTIONS THAT WERE TRUE FROM 20]</w:t>
      </w:r>
    </w:p>
    <w:p w:rsidR="00B33B62" w:rsidRPr="00FE018B" w:rsidRDefault="00B33B62" w:rsidP="00B33B62">
      <w:pPr>
        <w:spacing w:line="240" w:lineRule="auto"/>
        <w:ind w:firstLine="0"/>
        <w:rPr>
          <w:szCs w:val="24"/>
        </w:rPr>
      </w:pPr>
    </w:p>
    <w:tbl>
      <w:tblPr>
        <w:tblW w:w="1308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42"/>
        <w:gridCol w:w="1060"/>
        <w:gridCol w:w="1012"/>
        <w:gridCol w:w="1077"/>
        <w:gridCol w:w="1083"/>
        <w:gridCol w:w="1079"/>
        <w:gridCol w:w="1075"/>
        <w:gridCol w:w="1055"/>
      </w:tblGrid>
      <w:tr w:rsidR="00D822BC" w:rsidRPr="00FE018B" w:rsidTr="00D822BC">
        <w:trPr>
          <w:trHeight w:val="300"/>
        </w:trPr>
        <w:tc>
          <w:tcPr>
            <w:tcW w:w="5642"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60" w:type="dxa"/>
            <w:shd w:val="clear" w:color="auto" w:fill="auto"/>
            <w:vAlign w:val="bottom"/>
            <w:hideMark/>
          </w:tcPr>
          <w:p w:rsidR="00D822BC" w:rsidRPr="00FE018B" w:rsidRDefault="00D822BC" w:rsidP="00B33B62">
            <w:pPr>
              <w:spacing w:line="240" w:lineRule="auto"/>
              <w:ind w:firstLine="0"/>
              <w:jc w:val="center"/>
              <w:rPr>
                <w:rFonts w:eastAsia="Times New Roman"/>
                <w:color w:val="000000"/>
                <w:szCs w:val="24"/>
              </w:rPr>
            </w:pPr>
            <w:r>
              <w:rPr>
                <w:rFonts w:eastAsia="Times New Roman"/>
                <w:color w:val="000000"/>
                <w:szCs w:val="24"/>
              </w:rPr>
              <w:t>N/A</w:t>
            </w:r>
          </w:p>
        </w:tc>
        <w:tc>
          <w:tcPr>
            <w:tcW w:w="1012" w:type="dxa"/>
          </w:tcPr>
          <w:p w:rsidR="00D822BC" w:rsidRPr="00FE018B" w:rsidRDefault="00D822BC" w:rsidP="00B33B62">
            <w:pPr>
              <w:spacing w:line="240" w:lineRule="auto"/>
              <w:ind w:firstLine="0"/>
              <w:jc w:val="center"/>
              <w:rPr>
                <w:rFonts w:eastAsia="Times New Roman"/>
                <w:color w:val="000000"/>
                <w:szCs w:val="24"/>
              </w:rPr>
            </w:pPr>
            <w:r>
              <w:rPr>
                <w:rFonts w:eastAsia="Times New Roman"/>
                <w:color w:val="000000"/>
                <w:szCs w:val="24"/>
              </w:rPr>
              <w:t>Orally</w:t>
            </w:r>
          </w:p>
        </w:tc>
        <w:tc>
          <w:tcPr>
            <w:tcW w:w="1077" w:type="dxa"/>
            <w:shd w:val="clear" w:color="auto" w:fill="auto"/>
            <w:vAlign w:val="bottom"/>
            <w:hideMark/>
          </w:tcPr>
          <w:p w:rsidR="00D822BC" w:rsidRPr="00FE018B" w:rsidRDefault="00D822BC" w:rsidP="00B33B62">
            <w:pPr>
              <w:spacing w:line="240" w:lineRule="auto"/>
              <w:ind w:firstLine="0"/>
              <w:jc w:val="center"/>
              <w:rPr>
                <w:rFonts w:eastAsia="Times New Roman"/>
                <w:color w:val="000000"/>
                <w:szCs w:val="24"/>
              </w:rPr>
            </w:pPr>
            <w:r w:rsidRPr="00FE018B">
              <w:rPr>
                <w:rFonts w:eastAsia="Times New Roman"/>
                <w:color w:val="000000"/>
                <w:szCs w:val="24"/>
              </w:rPr>
              <w:t>Snorting</w:t>
            </w:r>
          </w:p>
        </w:tc>
        <w:tc>
          <w:tcPr>
            <w:tcW w:w="1083" w:type="dxa"/>
            <w:shd w:val="clear" w:color="auto" w:fill="auto"/>
            <w:vAlign w:val="bottom"/>
            <w:hideMark/>
          </w:tcPr>
          <w:p w:rsidR="00D822BC" w:rsidRPr="00FE018B" w:rsidRDefault="00D822BC" w:rsidP="00B33B62">
            <w:pPr>
              <w:spacing w:line="240" w:lineRule="auto"/>
              <w:ind w:firstLine="0"/>
              <w:jc w:val="center"/>
              <w:rPr>
                <w:rFonts w:eastAsia="Times New Roman"/>
                <w:color w:val="000000"/>
                <w:szCs w:val="24"/>
              </w:rPr>
            </w:pPr>
            <w:r w:rsidRPr="00FE018B">
              <w:rPr>
                <w:rFonts w:eastAsia="Times New Roman"/>
                <w:color w:val="000000"/>
                <w:szCs w:val="24"/>
              </w:rPr>
              <w:t>Smoking</w:t>
            </w:r>
          </w:p>
        </w:tc>
        <w:tc>
          <w:tcPr>
            <w:tcW w:w="1079" w:type="dxa"/>
            <w:shd w:val="clear" w:color="auto" w:fill="auto"/>
            <w:vAlign w:val="bottom"/>
            <w:hideMark/>
          </w:tcPr>
          <w:p w:rsidR="00D822BC" w:rsidRPr="00FE018B" w:rsidRDefault="00D822BC" w:rsidP="00B33B62">
            <w:pPr>
              <w:spacing w:line="240" w:lineRule="auto"/>
              <w:ind w:firstLine="0"/>
              <w:jc w:val="center"/>
              <w:rPr>
                <w:rFonts w:eastAsia="Times New Roman"/>
                <w:color w:val="000000"/>
                <w:szCs w:val="24"/>
              </w:rPr>
            </w:pPr>
            <w:r w:rsidRPr="00FE018B">
              <w:rPr>
                <w:rFonts w:eastAsia="Times New Roman"/>
                <w:color w:val="000000"/>
                <w:szCs w:val="24"/>
              </w:rPr>
              <w:t>Injecting</w:t>
            </w:r>
          </w:p>
        </w:tc>
        <w:tc>
          <w:tcPr>
            <w:tcW w:w="1075" w:type="dxa"/>
            <w:shd w:val="clear" w:color="auto" w:fill="auto"/>
            <w:vAlign w:val="bottom"/>
            <w:hideMark/>
          </w:tcPr>
          <w:p w:rsidR="00D822BC" w:rsidRPr="00FE018B" w:rsidRDefault="00D822BC" w:rsidP="00B33B62">
            <w:pPr>
              <w:spacing w:line="240" w:lineRule="auto"/>
              <w:ind w:firstLine="0"/>
              <w:jc w:val="center"/>
              <w:rPr>
                <w:rFonts w:eastAsia="Times New Roman"/>
                <w:color w:val="000000"/>
                <w:szCs w:val="24"/>
              </w:rPr>
            </w:pPr>
            <w:r w:rsidRPr="00FE018B">
              <w:rPr>
                <w:rFonts w:eastAsia="Times New Roman"/>
                <w:color w:val="000000"/>
                <w:szCs w:val="24"/>
              </w:rPr>
              <w:t>Inhaling</w:t>
            </w:r>
          </w:p>
        </w:tc>
        <w:tc>
          <w:tcPr>
            <w:tcW w:w="1055" w:type="dxa"/>
            <w:shd w:val="clear" w:color="auto" w:fill="auto"/>
            <w:vAlign w:val="bottom"/>
            <w:hideMark/>
          </w:tcPr>
          <w:p w:rsidR="00D822BC" w:rsidRPr="00FE018B" w:rsidRDefault="00D822BC" w:rsidP="00B33B62">
            <w:pPr>
              <w:spacing w:line="240" w:lineRule="auto"/>
              <w:ind w:firstLine="0"/>
              <w:jc w:val="center"/>
              <w:rPr>
                <w:rFonts w:eastAsia="Times New Roman"/>
                <w:color w:val="000000"/>
                <w:szCs w:val="24"/>
              </w:rPr>
            </w:pPr>
            <w:r w:rsidRPr="00FE018B">
              <w:rPr>
                <w:rFonts w:eastAsia="Times New Roman"/>
                <w:color w:val="000000"/>
                <w:szCs w:val="24"/>
              </w:rPr>
              <w:t>Other</w:t>
            </w:r>
          </w:p>
        </w:tc>
      </w:tr>
      <w:tr w:rsidR="00D822BC" w:rsidRPr="00FE018B" w:rsidTr="00D822BC">
        <w:trPr>
          <w:trHeight w:val="300"/>
        </w:trPr>
        <w:tc>
          <w:tcPr>
            <w:tcW w:w="5642" w:type="dxa"/>
            <w:shd w:val="clear" w:color="auto" w:fill="auto"/>
            <w:vAlign w:val="center"/>
            <w:hideMark/>
          </w:tcPr>
          <w:p w:rsidR="00D822BC" w:rsidRPr="00FE018B" w:rsidRDefault="00D822BC" w:rsidP="00B33B62">
            <w:pPr>
              <w:spacing w:line="240" w:lineRule="auto"/>
              <w:ind w:firstLine="0"/>
              <w:rPr>
                <w:rFonts w:eastAsia="Times New Roman"/>
                <w:color w:val="000000"/>
                <w:szCs w:val="24"/>
              </w:rPr>
            </w:pPr>
            <w:r w:rsidRPr="00FE018B">
              <w:rPr>
                <w:rFonts w:eastAsia="Times New Roman"/>
                <w:color w:val="000000"/>
                <w:szCs w:val="24"/>
              </w:rPr>
              <w:t>Methylphenidate</w:t>
            </w:r>
          </w:p>
        </w:tc>
        <w:tc>
          <w:tcPr>
            <w:tcW w:w="1060"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12" w:type="dxa"/>
          </w:tcPr>
          <w:p w:rsidR="00D822BC" w:rsidRPr="00FE018B" w:rsidRDefault="00D822BC" w:rsidP="00B33B62">
            <w:pPr>
              <w:spacing w:line="240" w:lineRule="auto"/>
              <w:ind w:firstLine="0"/>
              <w:rPr>
                <w:rFonts w:eastAsia="Times New Roman"/>
                <w:color w:val="000000"/>
                <w:szCs w:val="24"/>
              </w:rPr>
            </w:pPr>
          </w:p>
        </w:tc>
        <w:tc>
          <w:tcPr>
            <w:tcW w:w="1077"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83"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79"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75"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55"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r>
      <w:tr w:rsidR="00D822BC" w:rsidRPr="00FE018B" w:rsidTr="00D822BC">
        <w:trPr>
          <w:trHeight w:val="300"/>
        </w:trPr>
        <w:tc>
          <w:tcPr>
            <w:tcW w:w="5642" w:type="dxa"/>
            <w:shd w:val="clear" w:color="auto" w:fill="auto"/>
            <w:vAlign w:val="center"/>
            <w:hideMark/>
          </w:tcPr>
          <w:p w:rsidR="00D822BC" w:rsidRPr="00FE018B" w:rsidRDefault="00D822BC" w:rsidP="00B33B62">
            <w:pPr>
              <w:spacing w:line="240" w:lineRule="auto"/>
              <w:ind w:firstLine="0"/>
              <w:rPr>
                <w:rFonts w:eastAsia="Times New Roman"/>
                <w:color w:val="000000"/>
                <w:szCs w:val="24"/>
              </w:rPr>
            </w:pPr>
            <w:r w:rsidRPr="00FE018B">
              <w:rPr>
                <w:rFonts w:eastAsia="Times New Roman"/>
                <w:color w:val="000000"/>
                <w:szCs w:val="24"/>
              </w:rPr>
              <w:t>Methylphenidate Extended Release</w:t>
            </w:r>
          </w:p>
        </w:tc>
        <w:tc>
          <w:tcPr>
            <w:tcW w:w="1060"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12" w:type="dxa"/>
          </w:tcPr>
          <w:p w:rsidR="00D822BC" w:rsidRPr="00FE018B" w:rsidRDefault="00D822BC" w:rsidP="00B33B62">
            <w:pPr>
              <w:spacing w:line="240" w:lineRule="auto"/>
              <w:ind w:firstLine="0"/>
              <w:rPr>
                <w:rFonts w:eastAsia="Times New Roman"/>
                <w:color w:val="000000"/>
                <w:szCs w:val="24"/>
              </w:rPr>
            </w:pPr>
          </w:p>
        </w:tc>
        <w:tc>
          <w:tcPr>
            <w:tcW w:w="1077"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83"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79"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75"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55"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r>
      <w:tr w:rsidR="00D822BC" w:rsidRPr="00FE018B" w:rsidTr="00D822BC">
        <w:trPr>
          <w:trHeight w:val="300"/>
        </w:trPr>
        <w:tc>
          <w:tcPr>
            <w:tcW w:w="5642" w:type="dxa"/>
            <w:shd w:val="clear" w:color="auto" w:fill="auto"/>
            <w:vAlign w:val="center"/>
            <w:hideMark/>
          </w:tcPr>
          <w:p w:rsidR="00D822BC" w:rsidRPr="00FE018B" w:rsidRDefault="00D822BC" w:rsidP="00B33B62">
            <w:pPr>
              <w:spacing w:line="240" w:lineRule="auto"/>
              <w:ind w:firstLine="0"/>
              <w:rPr>
                <w:rFonts w:eastAsia="Times New Roman"/>
                <w:color w:val="000000"/>
                <w:szCs w:val="24"/>
              </w:rPr>
            </w:pPr>
            <w:r w:rsidRPr="00FE018B">
              <w:rPr>
                <w:rFonts w:eastAsia="Times New Roman"/>
                <w:color w:val="000000"/>
                <w:szCs w:val="24"/>
              </w:rPr>
              <w:t>Ritalin</w:t>
            </w:r>
          </w:p>
        </w:tc>
        <w:tc>
          <w:tcPr>
            <w:tcW w:w="1060"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12" w:type="dxa"/>
          </w:tcPr>
          <w:p w:rsidR="00D822BC" w:rsidRPr="00FE018B" w:rsidRDefault="00D822BC" w:rsidP="00B33B62">
            <w:pPr>
              <w:spacing w:line="240" w:lineRule="auto"/>
              <w:ind w:firstLine="0"/>
              <w:rPr>
                <w:rFonts w:eastAsia="Times New Roman"/>
                <w:color w:val="000000"/>
                <w:szCs w:val="24"/>
              </w:rPr>
            </w:pPr>
          </w:p>
        </w:tc>
        <w:tc>
          <w:tcPr>
            <w:tcW w:w="1077"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83"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79"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75"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55"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r>
      <w:tr w:rsidR="00D822BC" w:rsidRPr="00FE018B" w:rsidTr="00D822BC">
        <w:trPr>
          <w:trHeight w:val="300"/>
        </w:trPr>
        <w:tc>
          <w:tcPr>
            <w:tcW w:w="5642" w:type="dxa"/>
            <w:shd w:val="clear" w:color="auto" w:fill="auto"/>
            <w:vAlign w:val="center"/>
            <w:hideMark/>
          </w:tcPr>
          <w:p w:rsidR="00D822BC" w:rsidRPr="00FE018B" w:rsidRDefault="00D822BC" w:rsidP="00B33B62">
            <w:pPr>
              <w:spacing w:line="240" w:lineRule="auto"/>
              <w:ind w:firstLine="0"/>
              <w:rPr>
                <w:rFonts w:eastAsia="Times New Roman"/>
                <w:color w:val="000000"/>
                <w:szCs w:val="24"/>
              </w:rPr>
            </w:pPr>
            <w:r w:rsidRPr="00FE018B">
              <w:rPr>
                <w:rFonts w:eastAsia="Times New Roman"/>
                <w:color w:val="000000"/>
                <w:szCs w:val="24"/>
              </w:rPr>
              <w:t>Ritalin SR</w:t>
            </w:r>
          </w:p>
        </w:tc>
        <w:tc>
          <w:tcPr>
            <w:tcW w:w="1060"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12" w:type="dxa"/>
          </w:tcPr>
          <w:p w:rsidR="00D822BC" w:rsidRPr="00FE018B" w:rsidRDefault="00D822BC" w:rsidP="00B33B62">
            <w:pPr>
              <w:spacing w:line="240" w:lineRule="auto"/>
              <w:ind w:firstLine="0"/>
              <w:rPr>
                <w:rFonts w:eastAsia="Times New Roman"/>
                <w:color w:val="000000"/>
                <w:szCs w:val="24"/>
              </w:rPr>
            </w:pPr>
          </w:p>
        </w:tc>
        <w:tc>
          <w:tcPr>
            <w:tcW w:w="1077"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83"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79"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75"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55"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r>
      <w:tr w:rsidR="00D822BC" w:rsidRPr="00FE018B" w:rsidTr="00D822BC">
        <w:trPr>
          <w:trHeight w:val="300"/>
        </w:trPr>
        <w:tc>
          <w:tcPr>
            <w:tcW w:w="5642" w:type="dxa"/>
            <w:shd w:val="clear" w:color="auto" w:fill="auto"/>
            <w:vAlign w:val="center"/>
            <w:hideMark/>
          </w:tcPr>
          <w:p w:rsidR="00D822BC" w:rsidRPr="00FE018B" w:rsidRDefault="00D822BC" w:rsidP="00B33B62">
            <w:pPr>
              <w:spacing w:line="240" w:lineRule="auto"/>
              <w:ind w:firstLine="0"/>
              <w:rPr>
                <w:rFonts w:eastAsia="Times New Roman"/>
                <w:color w:val="000000"/>
                <w:szCs w:val="24"/>
              </w:rPr>
            </w:pPr>
            <w:r w:rsidRPr="00FE018B">
              <w:rPr>
                <w:rFonts w:eastAsia="Times New Roman"/>
                <w:color w:val="000000"/>
                <w:szCs w:val="24"/>
              </w:rPr>
              <w:t>Ritalin LA</w:t>
            </w:r>
          </w:p>
        </w:tc>
        <w:tc>
          <w:tcPr>
            <w:tcW w:w="1060"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12" w:type="dxa"/>
          </w:tcPr>
          <w:p w:rsidR="00D822BC" w:rsidRPr="00FE018B" w:rsidRDefault="00D822BC" w:rsidP="00B33B62">
            <w:pPr>
              <w:spacing w:line="240" w:lineRule="auto"/>
              <w:ind w:firstLine="0"/>
              <w:rPr>
                <w:rFonts w:eastAsia="Times New Roman"/>
                <w:color w:val="000000"/>
                <w:szCs w:val="24"/>
              </w:rPr>
            </w:pPr>
          </w:p>
        </w:tc>
        <w:tc>
          <w:tcPr>
            <w:tcW w:w="1077"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83"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79"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75"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55"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r>
      <w:tr w:rsidR="00D822BC" w:rsidRPr="00FE018B" w:rsidTr="00D822BC">
        <w:trPr>
          <w:trHeight w:val="300"/>
        </w:trPr>
        <w:tc>
          <w:tcPr>
            <w:tcW w:w="5642" w:type="dxa"/>
            <w:shd w:val="clear" w:color="auto" w:fill="auto"/>
            <w:vAlign w:val="center"/>
            <w:hideMark/>
          </w:tcPr>
          <w:p w:rsidR="00D822BC" w:rsidRPr="00FE018B" w:rsidRDefault="00D822BC" w:rsidP="00B33B62">
            <w:pPr>
              <w:spacing w:line="240" w:lineRule="auto"/>
              <w:ind w:firstLine="0"/>
              <w:rPr>
                <w:rFonts w:eastAsia="Times New Roman"/>
                <w:color w:val="000000"/>
                <w:szCs w:val="24"/>
              </w:rPr>
            </w:pPr>
            <w:r w:rsidRPr="00FE018B">
              <w:rPr>
                <w:rFonts w:eastAsia="Times New Roman"/>
                <w:color w:val="000000"/>
                <w:szCs w:val="24"/>
              </w:rPr>
              <w:t>Concerta</w:t>
            </w:r>
          </w:p>
        </w:tc>
        <w:tc>
          <w:tcPr>
            <w:tcW w:w="1060"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12" w:type="dxa"/>
          </w:tcPr>
          <w:p w:rsidR="00D822BC" w:rsidRPr="00FE018B" w:rsidRDefault="00D822BC" w:rsidP="00B33B62">
            <w:pPr>
              <w:spacing w:line="240" w:lineRule="auto"/>
              <w:ind w:firstLine="0"/>
              <w:rPr>
                <w:rFonts w:eastAsia="Times New Roman"/>
                <w:color w:val="000000"/>
                <w:szCs w:val="24"/>
              </w:rPr>
            </w:pPr>
          </w:p>
        </w:tc>
        <w:tc>
          <w:tcPr>
            <w:tcW w:w="1077"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83"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79"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75"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55"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r>
      <w:tr w:rsidR="00D822BC" w:rsidRPr="00FE018B" w:rsidTr="00D822BC">
        <w:trPr>
          <w:trHeight w:val="300"/>
        </w:trPr>
        <w:tc>
          <w:tcPr>
            <w:tcW w:w="5642" w:type="dxa"/>
            <w:shd w:val="clear" w:color="auto" w:fill="auto"/>
            <w:vAlign w:val="center"/>
            <w:hideMark/>
          </w:tcPr>
          <w:p w:rsidR="00D822BC" w:rsidRPr="00FE018B" w:rsidRDefault="00D822BC" w:rsidP="00B33B62">
            <w:pPr>
              <w:spacing w:line="240" w:lineRule="auto"/>
              <w:ind w:firstLine="0"/>
              <w:rPr>
                <w:rFonts w:eastAsia="Times New Roman"/>
                <w:color w:val="000000"/>
                <w:szCs w:val="24"/>
              </w:rPr>
            </w:pPr>
            <w:r w:rsidRPr="00FE018B">
              <w:rPr>
                <w:rFonts w:eastAsia="Times New Roman"/>
                <w:color w:val="000000"/>
                <w:szCs w:val="24"/>
              </w:rPr>
              <w:t>Metadate CD</w:t>
            </w:r>
          </w:p>
        </w:tc>
        <w:tc>
          <w:tcPr>
            <w:tcW w:w="1060"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12" w:type="dxa"/>
          </w:tcPr>
          <w:p w:rsidR="00D822BC" w:rsidRPr="00FE018B" w:rsidRDefault="00D822BC" w:rsidP="00B33B62">
            <w:pPr>
              <w:spacing w:line="240" w:lineRule="auto"/>
              <w:ind w:firstLine="0"/>
              <w:rPr>
                <w:rFonts w:eastAsia="Times New Roman"/>
                <w:color w:val="000000"/>
                <w:szCs w:val="24"/>
              </w:rPr>
            </w:pPr>
          </w:p>
        </w:tc>
        <w:tc>
          <w:tcPr>
            <w:tcW w:w="1077"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83"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79"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75"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55"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r>
      <w:tr w:rsidR="00D822BC" w:rsidRPr="00FE018B" w:rsidTr="00D822BC">
        <w:trPr>
          <w:trHeight w:val="300"/>
        </w:trPr>
        <w:tc>
          <w:tcPr>
            <w:tcW w:w="5642" w:type="dxa"/>
            <w:shd w:val="clear" w:color="auto" w:fill="auto"/>
            <w:vAlign w:val="center"/>
            <w:hideMark/>
          </w:tcPr>
          <w:p w:rsidR="00D822BC" w:rsidRPr="00FE018B" w:rsidRDefault="00D822BC" w:rsidP="00B33B62">
            <w:pPr>
              <w:spacing w:line="240" w:lineRule="auto"/>
              <w:ind w:firstLine="0"/>
              <w:rPr>
                <w:rFonts w:eastAsia="Times New Roman"/>
                <w:color w:val="000000"/>
                <w:szCs w:val="24"/>
              </w:rPr>
            </w:pPr>
            <w:r w:rsidRPr="00FE018B">
              <w:rPr>
                <w:rFonts w:eastAsia="Times New Roman"/>
                <w:color w:val="000000"/>
                <w:szCs w:val="24"/>
              </w:rPr>
              <w:t>Metadate ER</w:t>
            </w:r>
          </w:p>
        </w:tc>
        <w:tc>
          <w:tcPr>
            <w:tcW w:w="1060"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12" w:type="dxa"/>
          </w:tcPr>
          <w:p w:rsidR="00D822BC" w:rsidRPr="00FE018B" w:rsidRDefault="00D822BC" w:rsidP="00B33B62">
            <w:pPr>
              <w:spacing w:line="240" w:lineRule="auto"/>
              <w:ind w:firstLine="0"/>
              <w:rPr>
                <w:rFonts w:eastAsia="Times New Roman"/>
                <w:color w:val="000000"/>
                <w:szCs w:val="24"/>
              </w:rPr>
            </w:pPr>
          </w:p>
        </w:tc>
        <w:tc>
          <w:tcPr>
            <w:tcW w:w="1077"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83"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79"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75"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55"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r>
      <w:tr w:rsidR="00D822BC" w:rsidRPr="00FE018B" w:rsidTr="00D822BC">
        <w:trPr>
          <w:trHeight w:val="300"/>
        </w:trPr>
        <w:tc>
          <w:tcPr>
            <w:tcW w:w="5642" w:type="dxa"/>
            <w:shd w:val="clear" w:color="auto" w:fill="auto"/>
            <w:vAlign w:val="center"/>
            <w:hideMark/>
          </w:tcPr>
          <w:p w:rsidR="00D822BC" w:rsidRPr="00FE018B" w:rsidRDefault="00D822BC" w:rsidP="00B33B62">
            <w:pPr>
              <w:spacing w:line="240" w:lineRule="auto"/>
              <w:ind w:firstLine="0"/>
              <w:rPr>
                <w:rFonts w:eastAsia="Times New Roman"/>
                <w:color w:val="000000"/>
                <w:szCs w:val="24"/>
              </w:rPr>
            </w:pPr>
            <w:r w:rsidRPr="00FE018B">
              <w:rPr>
                <w:rFonts w:eastAsia="Times New Roman"/>
                <w:color w:val="000000"/>
                <w:szCs w:val="24"/>
              </w:rPr>
              <w:t>Methylin ER</w:t>
            </w:r>
          </w:p>
        </w:tc>
        <w:tc>
          <w:tcPr>
            <w:tcW w:w="1060"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12" w:type="dxa"/>
          </w:tcPr>
          <w:p w:rsidR="00D822BC" w:rsidRPr="00FE018B" w:rsidRDefault="00D822BC" w:rsidP="00B33B62">
            <w:pPr>
              <w:spacing w:line="240" w:lineRule="auto"/>
              <w:ind w:firstLine="0"/>
              <w:rPr>
                <w:rFonts w:eastAsia="Times New Roman"/>
                <w:color w:val="000000"/>
                <w:szCs w:val="24"/>
              </w:rPr>
            </w:pPr>
          </w:p>
        </w:tc>
        <w:tc>
          <w:tcPr>
            <w:tcW w:w="1077"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83"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79"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75"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55"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r>
      <w:tr w:rsidR="00D822BC" w:rsidRPr="00FE018B" w:rsidTr="00D822BC">
        <w:trPr>
          <w:trHeight w:val="300"/>
        </w:trPr>
        <w:tc>
          <w:tcPr>
            <w:tcW w:w="5642"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r w:rsidRPr="00FE018B">
              <w:rPr>
                <w:rFonts w:eastAsia="Times New Roman"/>
                <w:color w:val="000000"/>
                <w:szCs w:val="24"/>
              </w:rPr>
              <w:t>Focalin</w:t>
            </w:r>
          </w:p>
        </w:tc>
        <w:tc>
          <w:tcPr>
            <w:tcW w:w="1060"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12" w:type="dxa"/>
          </w:tcPr>
          <w:p w:rsidR="00D822BC" w:rsidRPr="00FE018B" w:rsidRDefault="00D822BC" w:rsidP="00B33B62">
            <w:pPr>
              <w:spacing w:line="240" w:lineRule="auto"/>
              <w:ind w:firstLine="0"/>
              <w:rPr>
                <w:rFonts w:eastAsia="Times New Roman"/>
                <w:color w:val="000000"/>
                <w:szCs w:val="24"/>
              </w:rPr>
            </w:pPr>
          </w:p>
        </w:tc>
        <w:tc>
          <w:tcPr>
            <w:tcW w:w="1077"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83"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79"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75"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55"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r>
      <w:tr w:rsidR="00D822BC" w:rsidRPr="00FE018B" w:rsidTr="00D822BC">
        <w:trPr>
          <w:trHeight w:val="300"/>
        </w:trPr>
        <w:tc>
          <w:tcPr>
            <w:tcW w:w="5642"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r w:rsidRPr="00FE018B">
              <w:rPr>
                <w:rFonts w:eastAsia="Times New Roman"/>
                <w:color w:val="000000"/>
                <w:szCs w:val="24"/>
              </w:rPr>
              <w:t>Focalin XR</w:t>
            </w:r>
          </w:p>
        </w:tc>
        <w:tc>
          <w:tcPr>
            <w:tcW w:w="1060"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12" w:type="dxa"/>
          </w:tcPr>
          <w:p w:rsidR="00D822BC" w:rsidRPr="00FE018B" w:rsidRDefault="00D822BC" w:rsidP="00B33B62">
            <w:pPr>
              <w:spacing w:line="240" w:lineRule="auto"/>
              <w:ind w:firstLine="0"/>
              <w:rPr>
                <w:rFonts w:eastAsia="Times New Roman"/>
                <w:color w:val="000000"/>
                <w:szCs w:val="24"/>
              </w:rPr>
            </w:pPr>
          </w:p>
        </w:tc>
        <w:tc>
          <w:tcPr>
            <w:tcW w:w="1077"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83"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79"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75"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55"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r>
      <w:tr w:rsidR="00D822BC" w:rsidRPr="00FE018B" w:rsidTr="00D822BC">
        <w:trPr>
          <w:trHeight w:val="300"/>
        </w:trPr>
        <w:tc>
          <w:tcPr>
            <w:tcW w:w="5642"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r w:rsidRPr="00FE018B">
              <w:rPr>
                <w:rFonts w:eastAsia="Times New Roman"/>
                <w:color w:val="000000"/>
                <w:szCs w:val="24"/>
              </w:rPr>
              <w:t>Daytrana</w:t>
            </w:r>
          </w:p>
        </w:tc>
        <w:tc>
          <w:tcPr>
            <w:tcW w:w="1060"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12" w:type="dxa"/>
          </w:tcPr>
          <w:p w:rsidR="00D822BC" w:rsidRPr="00FE018B" w:rsidRDefault="00D822BC" w:rsidP="00B33B62">
            <w:pPr>
              <w:spacing w:line="240" w:lineRule="auto"/>
              <w:ind w:firstLine="0"/>
              <w:rPr>
                <w:rFonts w:eastAsia="Times New Roman"/>
                <w:color w:val="000000"/>
                <w:szCs w:val="24"/>
              </w:rPr>
            </w:pPr>
          </w:p>
        </w:tc>
        <w:tc>
          <w:tcPr>
            <w:tcW w:w="1077"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83"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79"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75"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55"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r>
      <w:tr w:rsidR="00D822BC" w:rsidRPr="00FE018B" w:rsidTr="00D822BC">
        <w:trPr>
          <w:trHeight w:val="300"/>
        </w:trPr>
        <w:tc>
          <w:tcPr>
            <w:tcW w:w="5642"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r w:rsidRPr="00FE018B">
              <w:rPr>
                <w:rFonts w:eastAsia="Times New Roman"/>
                <w:color w:val="000000"/>
                <w:szCs w:val="24"/>
              </w:rPr>
              <w:t>Amphetamine/Dextroamphetamine Combination</w:t>
            </w:r>
          </w:p>
        </w:tc>
        <w:tc>
          <w:tcPr>
            <w:tcW w:w="1060"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12" w:type="dxa"/>
          </w:tcPr>
          <w:p w:rsidR="00D822BC" w:rsidRPr="00FE018B" w:rsidRDefault="00D822BC" w:rsidP="00B33B62">
            <w:pPr>
              <w:spacing w:line="240" w:lineRule="auto"/>
              <w:ind w:firstLine="0"/>
              <w:rPr>
                <w:rFonts w:eastAsia="Times New Roman"/>
                <w:color w:val="000000"/>
                <w:szCs w:val="24"/>
              </w:rPr>
            </w:pPr>
          </w:p>
        </w:tc>
        <w:tc>
          <w:tcPr>
            <w:tcW w:w="1077"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83"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79"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75"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55"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r>
      <w:tr w:rsidR="00D822BC" w:rsidRPr="00FE018B" w:rsidTr="00D822BC">
        <w:trPr>
          <w:trHeight w:val="300"/>
        </w:trPr>
        <w:tc>
          <w:tcPr>
            <w:tcW w:w="5642"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r w:rsidRPr="00FE018B">
              <w:rPr>
                <w:rFonts w:eastAsia="Times New Roman"/>
                <w:color w:val="000000"/>
                <w:szCs w:val="24"/>
              </w:rPr>
              <w:t>Adderall</w:t>
            </w:r>
          </w:p>
        </w:tc>
        <w:tc>
          <w:tcPr>
            <w:tcW w:w="1060"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12" w:type="dxa"/>
          </w:tcPr>
          <w:p w:rsidR="00D822BC" w:rsidRPr="00FE018B" w:rsidRDefault="00D822BC" w:rsidP="00B33B62">
            <w:pPr>
              <w:spacing w:line="240" w:lineRule="auto"/>
              <w:ind w:firstLine="0"/>
              <w:rPr>
                <w:rFonts w:eastAsia="Times New Roman"/>
                <w:color w:val="000000"/>
                <w:szCs w:val="24"/>
              </w:rPr>
            </w:pPr>
          </w:p>
        </w:tc>
        <w:tc>
          <w:tcPr>
            <w:tcW w:w="1077"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83"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79"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75"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55"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r>
      <w:tr w:rsidR="00D822BC" w:rsidRPr="00FE018B" w:rsidTr="00D822BC">
        <w:trPr>
          <w:trHeight w:val="300"/>
        </w:trPr>
        <w:tc>
          <w:tcPr>
            <w:tcW w:w="5642"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r w:rsidRPr="00FE018B">
              <w:rPr>
                <w:rFonts w:eastAsia="Times New Roman"/>
                <w:color w:val="000000"/>
                <w:szCs w:val="24"/>
              </w:rPr>
              <w:t>Adderall XR</w:t>
            </w:r>
          </w:p>
        </w:tc>
        <w:tc>
          <w:tcPr>
            <w:tcW w:w="1060"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12" w:type="dxa"/>
          </w:tcPr>
          <w:p w:rsidR="00D822BC" w:rsidRPr="00FE018B" w:rsidRDefault="00D822BC" w:rsidP="00B33B62">
            <w:pPr>
              <w:spacing w:line="240" w:lineRule="auto"/>
              <w:ind w:firstLine="0"/>
              <w:rPr>
                <w:rFonts w:eastAsia="Times New Roman"/>
                <w:color w:val="000000"/>
                <w:szCs w:val="24"/>
              </w:rPr>
            </w:pPr>
          </w:p>
        </w:tc>
        <w:tc>
          <w:tcPr>
            <w:tcW w:w="1077"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83"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79"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75"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55"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r>
      <w:tr w:rsidR="00D822BC" w:rsidRPr="00FE018B" w:rsidTr="00D822BC">
        <w:trPr>
          <w:trHeight w:val="300"/>
        </w:trPr>
        <w:tc>
          <w:tcPr>
            <w:tcW w:w="5642"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r w:rsidRPr="00FE018B">
              <w:rPr>
                <w:rFonts w:eastAsia="Times New Roman"/>
                <w:color w:val="000000"/>
                <w:szCs w:val="24"/>
              </w:rPr>
              <w:t>Dextroamphetamine</w:t>
            </w:r>
          </w:p>
        </w:tc>
        <w:tc>
          <w:tcPr>
            <w:tcW w:w="1060"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12" w:type="dxa"/>
          </w:tcPr>
          <w:p w:rsidR="00D822BC" w:rsidRPr="00FE018B" w:rsidRDefault="00D822BC" w:rsidP="00B33B62">
            <w:pPr>
              <w:spacing w:line="240" w:lineRule="auto"/>
              <w:ind w:firstLine="0"/>
              <w:rPr>
                <w:rFonts w:eastAsia="Times New Roman"/>
                <w:color w:val="000000"/>
                <w:szCs w:val="24"/>
              </w:rPr>
            </w:pPr>
          </w:p>
        </w:tc>
        <w:tc>
          <w:tcPr>
            <w:tcW w:w="1077"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83"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79"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75"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55"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r>
      <w:tr w:rsidR="00D822BC" w:rsidRPr="00FE018B" w:rsidTr="00D822BC">
        <w:trPr>
          <w:trHeight w:val="300"/>
        </w:trPr>
        <w:tc>
          <w:tcPr>
            <w:tcW w:w="5642"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r w:rsidRPr="00FE018B">
              <w:rPr>
                <w:rFonts w:eastAsia="Times New Roman"/>
                <w:color w:val="000000"/>
                <w:szCs w:val="24"/>
              </w:rPr>
              <w:t>Dextroamphetamine Extended Release</w:t>
            </w:r>
          </w:p>
        </w:tc>
        <w:tc>
          <w:tcPr>
            <w:tcW w:w="1060"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12" w:type="dxa"/>
          </w:tcPr>
          <w:p w:rsidR="00D822BC" w:rsidRPr="00FE018B" w:rsidRDefault="00D822BC" w:rsidP="00B33B62">
            <w:pPr>
              <w:spacing w:line="240" w:lineRule="auto"/>
              <w:ind w:firstLine="0"/>
              <w:rPr>
                <w:rFonts w:eastAsia="Times New Roman"/>
                <w:color w:val="000000"/>
                <w:szCs w:val="24"/>
              </w:rPr>
            </w:pPr>
          </w:p>
        </w:tc>
        <w:tc>
          <w:tcPr>
            <w:tcW w:w="1077"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83"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79"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75"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55"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r>
      <w:tr w:rsidR="00D822BC" w:rsidRPr="00FE018B" w:rsidTr="00D822BC">
        <w:trPr>
          <w:trHeight w:val="300"/>
        </w:trPr>
        <w:tc>
          <w:tcPr>
            <w:tcW w:w="5642"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r w:rsidRPr="00FE018B">
              <w:rPr>
                <w:rFonts w:eastAsia="Times New Roman"/>
                <w:color w:val="000000"/>
                <w:szCs w:val="24"/>
              </w:rPr>
              <w:t>Dexedrine</w:t>
            </w:r>
          </w:p>
        </w:tc>
        <w:tc>
          <w:tcPr>
            <w:tcW w:w="1060"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12" w:type="dxa"/>
          </w:tcPr>
          <w:p w:rsidR="00D822BC" w:rsidRPr="00FE018B" w:rsidRDefault="00D822BC" w:rsidP="00B33B62">
            <w:pPr>
              <w:spacing w:line="240" w:lineRule="auto"/>
              <w:ind w:firstLine="0"/>
              <w:rPr>
                <w:rFonts w:eastAsia="Times New Roman"/>
                <w:color w:val="000000"/>
                <w:szCs w:val="24"/>
              </w:rPr>
            </w:pPr>
          </w:p>
        </w:tc>
        <w:tc>
          <w:tcPr>
            <w:tcW w:w="1077"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83"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79"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75"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55"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r>
      <w:tr w:rsidR="00D822BC" w:rsidRPr="00FE018B" w:rsidTr="00D822BC">
        <w:trPr>
          <w:trHeight w:val="300"/>
        </w:trPr>
        <w:tc>
          <w:tcPr>
            <w:tcW w:w="5642"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r w:rsidRPr="00FE018B">
              <w:rPr>
                <w:rFonts w:eastAsia="Times New Roman"/>
                <w:color w:val="000000"/>
                <w:szCs w:val="24"/>
              </w:rPr>
              <w:t>Dexedrine Spansules</w:t>
            </w:r>
          </w:p>
        </w:tc>
        <w:tc>
          <w:tcPr>
            <w:tcW w:w="1060"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12" w:type="dxa"/>
          </w:tcPr>
          <w:p w:rsidR="00D822BC" w:rsidRPr="00FE018B" w:rsidRDefault="00D822BC" w:rsidP="00B33B62">
            <w:pPr>
              <w:spacing w:line="240" w:lineRule="auto"/>
              <w:ind w:firstLine="0"/>
              <w:rPr>
                <w:rFonts w:eastAsia="Times New Roman"/>
                <w:color w:val="000000"/>
                <w:szCs w:val="24"/>
              </w:rPr>
            </w:pPr>
          </w:p>
        </w:tc>
        <w:tc>
          <w:tcPr>
            <w:tcW w:w="1077"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83"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79"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75"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55"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r>
      <w:tr w:rsidR="00D822BC" w:rsidRPr="00FE018B" w:rsidTr="00D822BC">
        <w:trPr>
          <w:trHeight w:val="300"/>
        </w:trPr>
        <w:tc>
          <w:tcPr>
            <w:tcW w:w="5642"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r w:rsidRPr="00FE018B">
              <w:rPr>
                <w:rFonts w:eastAsia="Times New Roman"/>
                <w:color w:val="000000"/>
                <w:szCs w:val="24"/>
              </w:rPr>
              <w:t>Dextrostat</w:t>
            </w:r>
          </w:p>
        </w:tc>
        <w:tc>
          <w:tcPr>
            <w:tcW w:w="1060"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12" w:type="dxa"/>
          </w:tcPr>
          <w:p w:rsidR="00D822BC" w:rsidRPr="00FE018B" w:rsidRDefault="00D822BC" w:rsidP="00B33B62">
            <w:pPr>
              <w:spacing w:line="240" w:lineRule="auto"/>
              <w:ind w:firstLine="0"/>
              <w:rPr>
                <w:rFonts w:eastAsia="Times New Roman"/>
                <w:color w:val="000000"/>
                <w:szCs w:val="24"/>
              </w:rPr>
            </w:pPr>
          </w:p>
        </w:tc>
        <w:tc>
          <w:tcPr>
            <w:tcW w:w="1077"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83"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79"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75"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55"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r>
      <w:tr w:rsidR="00D822BC" w:rsidRPr="00FE018B" w:rsidTr="00D822BC">
        <w:trPr>
          <w:trHeight w:val="300"/>
        </w:trPr>
        <w:tc>
          <w:tcPr>
            <w:tcW w:w="5642" w:type="dxa"/>
            <w:shd w:val="clear" w:color="auto" w:fill="auto"/>
            <w:vAlign w:val="bottom"/>
          </w:tcPr>
          <w:p w:rsidR="00D822BC" w:rsidRPr="00FE018B" w:rsidRDefault="00D822BC" w:rsidP="00B33B62">
            <w:pPr>
              <w:spacing w:line="240" w:lineRule="auto"/>
              <w:ind w:firstLine="0"/>
              <w:rPr>
                <w:rFonts w:eastAsia="Times New Roman"/>
                <w:color w:val="000000"/>
                <w:szCs w:val="24"/>
              </w:rPr>
            </w:pPr>
            <w:r>
              <w:rPr>
                <w:rFonts w:eastAsia="Times New Roman"/>
                <w:color w:val="000000"/>
                <w:szCs w:val="24"/>
              </w:rPr>
              <w:t>Vy</w:t>
            </w:r>
            <w:r w:rsidRPr="00FE018B">
              <w:rPr>
                <w:rFonts w:eastAsia="Times New Roman"/>
                <w:color w:val="000000"/>
                <w:szCs w:val="24"/>
              </w:rPr>
              <w:t>vanse</w:t>
            </w:r>
          </w:p>
        </w:tc>
        <w:tc>
          <w:tcPr>
            <w:tcW w:w="1060" w:type="dxa"/>
            <w:shd w:val="clear" w:color="auto" w:fill="auto"/>
            <w:vAlign w:val="bottom"/>
          </w:tcPr>
          <w:p w:rsidR="00D822BC" w:rsidRPr="00FE018B" w:rsidRDefault="00D822BC" w:rsidP="00B33B62">
            <w:pPr>
              <w:spacing w:line="240" w:lineRule="auto"/>
              <w:ind w:firstLine="0"/>
              <w:rPr>
                <w:rFonts w:eastAsia="Times New Roman"/>
                <w:color w:val="000000"/>
                <w:szCs w:val="24"/>
              </w:rPr>
            </w:pPr>
          </w:p>
        </w:tc>
        <w:tc>
          <w:tcPr>
            <w:tcW w:w="1012" w:type="dxa"/>
          </w:tcPr>
          <w:p w:rsidR="00D822BC" w:rsidRPr="00FE018B" w:rsidRDefault="00D822BC" w:rsidP="00B33B62">
            <w:pPr>
              <w:spacing w:line="240" w:lineRule="auto"/>
              <w:ind w:firstLine="0"/>
              <w:rPr>
                <w:rFonts w:eastAsia="Times New Roman"/>
                <w:color w:val="000000"/>
                <w:szCs w:val="24"/>
              </w:rPr>
            </w:pPr>
          </w:p>
        </w:tc>
        <w:tc>
          <w:tcPr>
            <w:tcW w:w="1077" w:type="dxa"/>
            <w:shd w:val="clear" w:color="auto" w:fill="auto"/>
            <w:vAlign w:val="bottom"/>
          </w:tcPr>
          <w:p w:rsidR="00D822BC" w:rsidRPr="00FE018B" w:rsidRDefault="00D822BC" w:rsidP="00B33B62">
            <w:pPr>
              <w:spacing w:line="240" w:lineRule="auto"/>
              <w:ind w:firstLine="0"/>
              <w:rPr>
                <w:rFonts w:eastAsia="Times New Roman"/>
                <w:color w:val="000000"/>
                <w:szCs w:val="24"/>
              </w:rPr>
            </w:pPr>
          </w:p>
        </w:tc>
        <w:tc>
          <w:tcPr>
            <w:tcW w:w="1083" w:type="dxa"/>
            <w:shd w:val="clear" w:color="auto" w:fill="auto"/>
            <w:vAlign w:val="bottom"/>
          </w:tcPr>
          <w:p w:rsidR="00D822BC" w:rsidRPr="00FE018B" w:rsidRDefault="00D822BC" w:rsidP="00B33B62">
            <w:pPr>
              <w:spacing w:line="240" w:lineRule="auto"/>
              <w:ind w:firstLine="0"/>
              <w:rPr>
                <w:rFonts w:eastAsia="Times New Roman"/>
                <w:color w:val="000000"/>
                <w:szCs w:val="24"/>
              </w:rPr>
            </w:pPr>
          </w:p>
        </w:tc>
        <w:tc>
          <w:tcPr>
            <w:tcW w:w="1079" w:type="dxa"/>
            <w:shd w:val="clear" w:color="auto" w:fill="auto"/>
            <w:vAlign w:val="bottom"/>
          </w:tcPr>
          <w:p w:rsidR="00D822BC" w:rsidRPr="00FE018B" w:rsidRDefault="00D822BC" w:rsidP="00B33B62">
            <w:pPr>
              <w:spacing w:line="240" w:lineRule="auto"/>
              <w:ind w:firstLine="0"/>
              <w:rPr>
                <w:rFonts w:eastAsia="Times New Roman"/>
                <w:color w:val="000000"/>
                <w:szCs w:val="24"/>
              </w:rPr>
            </w:pPr>
          </w:p>
        </w:tc>
        <w:tc>
          <w:tcPr>
            <w:tcW w:w="1075" w:type="dxa"/>
            <w:shd w:val="clear" w:color="auto" w:fill="auto"/>
            <w:vAlign w:val="bottom"/>
          </w:tcPr>
          <w:p w:rsidR="00D822BC" w:rsidRPr="00FE018B" w:rsidRDefault="00D822BC" w:rsidP="00B33B62">
            <w:pPr>
              <w:spacing w:line="240" w:lineRule="auto"/>
              <w:ind w:firstLine="0"/>
              <w:rPr>
                <w:rFonts w:eastAsia="Times New Roman"/>
                <w:color w:val="000000"/>
                <w:szCs w:val="24"/>
              </w:rPr>
            </w:pPr>
          </w:p>
        </w:tc>
        <w:tc>
          <w:tcPr>
            <w:tcW w:w="1055" w:type="dxa"/>
            <w:shd w:val="clear" w:color="auto" w:fill="auto"/>
            <w:vAlign w:val="bottom"/>
          </w:tcPr>
          <w:p w:rsidR="00D822BC" w:rsidRPr="00FE018B" w:rsidRDefault="00D822BC" w:rsidP="00B33B62">
            <w:pPr>
              <w:spacing w:line="240" w:lineRule="auto"/>
              <w:ind w:firstLine="0"/>
              <w:rPr>
                <w:rFonts w:eastAsia="Times New Roman"/>
                <w:color w:val="000000"/>
                <w:szCs w:val="24"/>
              </w:rPr>
            </w:pPr>
          </w:p>
        </w:tc>
      </w:tr>
    </w:tbl>
    <w:p w:rsidR="00B33B62" w:rsidRDefault="00B33B62" w:rsidP="00B33B62">
      <w:pPr>
        <w:spacing w:line="240" w:lineRule="auto"/>
        <w:ind w:firstLine="0"/>
        <w:rPr>
          <w:szCs w:val="24"/>
        </w:rPr>
      </w:pPr>
    </w:p>
    <w:p w:rsidR="00B33B62" w:rsidRPr="00A660CD" w:rsidRDefault="00B33B62" w:rsidP="00B33B62">
      <w:pPr>
        <w:spacing w:line="240" w:lineRule="auto"/>
        <w:ind w:firstLine="0"/>
        <w:rPr>
          <w:b/>
          <w:szCs w:val="24"/>
        </w:rPr>
      </w:pPr>
      <w:r>
        <w:rPr>
          <w:b/>
          <w:szCs w:val="24"/>
        </w:rPr>
        <w:lastRenderedPageBreak/>
        <w:t xml:space="preserve">Q21G. </w:t>
      </w:r>
      <w:r w:rsidRPr="00A660CD">
        <w:rPr>
          <w:b/>
          <w:szCs w:val="24"/>
        </w:rPr>
        <w:t>Which of the following routes of administration have you used for taking the following pain medication not prescribed to you?</w:t>
      </w:r>
    </w:p>
    <w:p w:rsidR="00B33B62" w:rsidRDefault="00B33B62" w:rsidP="00B33B62">
      <w:pPr>
        <w:spacing w:line="240" w:lineRule="auto"/>
        <w:ind w:firstLine="0"/>
        <w:rPr>
          <w:szCs w:val="24"/>
        </w:rPr>
      </w:pPr>
      <w:r w:rsidRPr="001F110E">
        <w:rPr>
          <w:szCs w:val="24"/>
        </w:rPr>
        <w:t>[</w:t>
      </w:r>
      <w:r>
        <w:rPr>
          <w:szCs w:val="24"/>
        </w:rPr>
        <w:t>ONLY SHOW QUESTIONS THAT WERE TRUE FROM 21]</w:t>
      </w:r>
    </w:p>
    <w:p w:rsidR="00B33B62" w:rsidRPr="00FE018B" w:rsidRDefault="00B33B62" w:rsidP="00B33B62">
      <w:pPr>
        <w:spacing w:line="240" w:lineRule="auto"/>
        <w:ind w:firstLine="0"/>
        <w:rPr>
          <w:szCs w:val="24"/>
        </w:rPr>
      </w:pPr>
    </w:p>
    <w:tbl>
      <w:tblPr>
        <w:tblW w:w="1308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2"/>
        <w:gridCol w:w="1034"/>
        <w:gridCol w:w="1067"/>
        <w:gridCol w:w="1078"/>
        <w:gridCol w:w="1083"/>
        <w:gridCol w:w="1079"/>
        <w:gridCol w:w="1077"/>
        <w:gridCol w:w="1063"/>
      </w:tblGrid>
      <w:tr w:rsidR="00D822BC" w:rsidRPr="00FE018B" w:rsidTr="00D822BC">
        <w:trPr>
          <w:trHeight w:val="300"/>
        </w:trPr>
        <w:tc>
          <w:tcPr>
            <w:tcW w:w="5602"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34" w:type="dxa"/>
          </w:tcPr>
          <w:p w:rsidR="00D822BC" w:rsidRPr="00FE018B" w:rsidRDefault="00D822BC" w:rsidP="00B33B62">
            <w:pPr>
              <w:spacing w:line="240" w:lineRule="auto"/>
              <w:ind w:firstLine="0"/>
              <w:jc w:val="center"/>
              <w:rPr>
                <w:rFonts w:eastAsia="Times New Roman"/>
                <w:color w:val="000000"/>
                <w:szCs w:val="24"/>
              </w:rPr>
            </w:pPr>
            <w:r>
              <w:rPr>
                <w:rFonts w:eastAsia="Times New Roman"/>
                <w:color w:val="000000"/>
                <w:szCs w:val="24"/>
              </w:rPr>
              <w:t>N/A</w:t>
            </w:r>
          </w:p>
        </w:tc>
        <w:tc>
          <w:tcPr>
            <w:tcW w:w="1067" w:type="dxa"/>
            <w:shd w:val="clear" w:color="auto" w:fill="auto"/>
            <w:vAlign w:val="bottom"/>
            <w:hideMark/>
          </w:tcPr>
          <w:p w:rsidR="00D822BC" w:rsidRPr="00FE018B" w:rsidRDefault="00D822BC" w:rsidP="00B33B62">
            <w:pPr>
              <w:spacing w:line="240" w:lineRule="auto"/>
              <w:ind w:firstLine="0"/>
              <w:jc w:val="center"/>
              <w:rPr>
                <w:rFonts w:eastAsia="Times New Roman"/>
                <w:color w:val="000000"/>
                <w:szCs w:val="24"/>
              </w:rPr>
            </w:pPr>
            <w:r w:rsidRPr="00FE018B">
              <w:rPr>
                <w:rFonts w:eastAsia="Times New Roman"/>
                <w:color w:val="000000"/>
                <w:szCs w:val="24"/>
              </w:rPr>
              <w:t>Orally</w:t>
            </w:r>
          </w:p>
        </w:tc>
        <w:tc>
          <w:tcPr>
            <w:tcW w:w="1078" w:type="dxa"/>
            <w:shd w:val="clear" w:color="auto" w:fill="auto"/>
            <w:vAlign w:val="bottom"/>
            <w:hideMark/>
          </w:tcPr>
          <w:p w:rsidR="00D822BC" w:rsidRPr="00FE018B" w:rsidRDefault="00D822BC" w:rsidP="00B33B62">
            <w:pPr>
              <w:spacing w:line="240" w:lineRule="auto"/>
              <w:ind w:firstLine="0"/>
              <w:jc w:val="center"/>
              <w:rPr>
                <w:rFonts w:eastAsia="Times New Roman"/>
                <w:color w:val="000000"/>
                <w:szCs w:val="24"/>
              </w:rPr>
            </w:pPr>
            <w:r w:rsidRPr="00FE018B">
              <w:rPr>
                <w:rFonts w:eastAsia="Times New Roman"/>
                <w:color w:val="000000"/>
                <w:szCs w:val="24"/>
              </w:rPr>
              <w:t>Snorting</w:t>
            </w:r>
          </w:p>
        </w:tc>
        <w:tc>
          <w:tcPr>
            <w:tcW w:w="1083" w:type="dxa"/>
            <w:shd w:val="clear" w:color="auto" w:fill="auto"/>
            <w:vAlign w:val="bottom"/>
            <w:hideMark/>
          </w:tcPr>
          <w:p w:rsidR="00D822BC" w:rsidRPr="00FE018B" w:rsidRDefault="00D822BC" w:rsidP="00B33B62">
            <w:pPr>
              <w:spacing w:line="240" w:lineRule="auto"/>
              <w:ind w:firstLine="0"/>
              <w:jc w:val="center"/>
              <w:rPr>
                <w:rFonts w:eastAsia="Times New Roman"/>
                <w:color w:val="000000"/>
                <w:szCs w:val="24"/>
              </w:rPr>
            </w:pPr>
            <w:r w:rsidRPr="00FE018B">
              <w:rPr>
                <w:rFonts w:eastAsia="Times New Roman"/>
                <w:color w:val="000000"/>
                <w:szCs w:val="24"/>
              </w:rPr>
              <w:t>Smoking</w:t>
            </w:r>
          </w:p>
        </w:tc>
        <w:tc>
          <w:tcPr>
            <w:tcW w:w="1079" w:type="dxa"/>
            <w:shd w:val="clear" w:color="auto" w:fill="auto"/>
            <w:vAlign w:val="bottom"/>
            <w:hideMark/>
          </w:tcPr>
          <w:p w:rsidR="00D822BC" w:rsidRPr="00FE018B" w:rsidRDefault="00D822BC" w:rsidP="00B33B62">
            <w:pPr>
              <w:spacing w:line="240" w:lineRule="auto"/>
              <w:ind w:firstLine="0"/>
              <w:jc w:val="center"/>
              <w:rPr>
                <w:rFonts w:eastAsia="Times New Roman"/>
                <w:color w:val="000000"/>
                <w:szCs w:val="24"/>
              </w:rPr>
            </w:pPr>
            <w:r w:rsidRPr="00FE018B">
              <w:rPr>
                <w:rFonts w:eastAsia="Times New Roman"/>
                <w:color w:val="000000"/>
                <w:szCs w:val="24"/>
              </w:rPr>
              <w:t>Injecting</w:t>
            </w:r>
          </w:p>
        </w:tc>
        <w:tc>
          <w:tcPr>
            <w:tcW w:w="1077" w:type="dxa"/>
            <w:shd w:val="clear" w:color="auto" w:fill="auto"/>
            <w:vAlign w:val="bottom"/>
            <w:hideMark/>
          </w:tcPr>
          <w:p w:rsidR="00D822BC" w:rsidRPr="00FE018B" w:rsidRDefault="00D822BC" w:rsidP="00B33B62">
            <w:pPr>
              <w:spacing w:line="240" w:lineRule="auto"/>
              <w:ind w:firstLine="0"/>
              <w:jc w:val="center"/>
              <w:rPr>
                <w:rFonts w:eastAsia="Times New Roman"/>
                <w:color w:val="000000"/>
                <w:szCs w:val="24"/>
              </w:rPr>
            </w:pPr>
            <w:r w:rsidRPr="00FE018B">
              <w:rPr>
                <w:rFonts w:eastAsia="Times New Roman"/>
                <w:color w:val="000000"/>
                <w:szCs w:val="24"/>
              </w:rPr>
              <w:t>Inhaling</w:t>
            </w:r>
          </w:p>
        </w:tc>
        <w:tc>
          <w:tcPr>
            <w:tcW w:w="1063" w:type="dxa"/>
            <w:shd w:val="clear" w:color="auto" w:fill="auto"/>
            <w:vAlign w:val="bottom"/>
            <w:hideMark/>
          </w:tcPr>
          <w:p w:rsidR="00D822BC" w:rsidRPr="00FE018B" w:rsidRDefault="00D822BC" w:rsidP="00B33B62">
            <w:pPr>
              <w:spacing w:line="240" w:lineRule="auto"/>
              <w:ind w:firstLine="0"/>
              <w:jc w:val="center"/>
              <w:rPr>
                <w:rFonts w:eastAsia="Times New Roman"/>
                <w:color w:val="000000"/>
                <w:szCs w:val="24"/>
              </w:rPr>
            </w:pPr>
            <w:r w:rsidRPr="00FE018B">
              <w:rPr>
                <w:rFonts w:eastAsia="Times New Roman"/>
                <w:color w:val="000000"/>
                <w:szCs w:val="24"/>
              </w:rPr>
              <w:t>Other</w:t>
            </w:r>
          </w:p>
        </w:tc>
      </w:tr>
      <w:tr w:rsidR="00D822BC" w:rsidRPr="00FE018B" w:rsidTr="00D822BC">
        <w:trPr>
          <w:trHeight w:val="300"/>
        </w:trPr>
        <w:tc>
          <w:tcPr>
            <w:tcW w:w="5602" w:type="dxa"/>
            <w:shd w:val="clear" w:color="auto" w:fill="auto"/>
            <w:vAlign w:val="center"/>
            <w:hideMark/>
          </w:tcPr>
          <w:p w:rsidR="00D822BC" w:rsidRPr="00FE018B" w:rsidRDefault="00D822BC" w:rsidP="00B33B62">
            <w:pPr>
              <w:spacing w:line="240" w:lineRule="auto"/>
              <w:ind w:firstLine="0"/>
              <w:rPr>
                <w:rFonts w:eastAsia="Times New Roman"/>
                <w:color w:val="000000"/>
                <w:szCs w:val="24"/>
              </w:rPr>
            </w:pPr>
            <w:r w:rsidRPr="00FE018B">
              <w:rPr>
                <w:rFonts w:eastAsia="Times New Roman"/>
                <w:color w:val="000000"/>
                <w:szCs w:val="24"/>
              </w:rPr>
              <w:t>Codeine (e.g., Tylenol #3 with Codeine)</w:t>
            </w:r>
          </w:p>
        </w:tc>
        <w:tc>
          <w:tcPr>
            <w:tcW w:w="1034" w:type="dxa"/>
          </w:tcPr>
          <w:p w:rsidR="00D822BC" w:rsidRPr="00FE018B" w:rsidRDefault="00D822BC" w:rsidP="00B33B62">
            <w:pPr>
              <w:spacing w:line="240" w:lineRule="auto"/>
              <w:ind w:firstLine="0"/>
              <w:rPr>
                <w:rFonts w:eastAsia="Times New Roman"/>
                <w:color w:val="000000"/>
                <w:szCs w:val="24"/>
              </w:rPr>
            </w:pPr>
          </w:p>
        </w:tc>
        <w:tc>
          <w:tcPr>
            <w:tcW w:w="1067"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78"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83"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79"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77"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63"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r>
      <w:tr w:rsidR="00D822BC" w:rsidRPr="00FE018B" w:rsidTr="00D822BC">
        <w:trPr>
          <w:trHeight w:val="300"/>
        </w:trPr>
        <w:tc>
          <w:tcPr>
            <w:tcW w:w="5602" w:type="dxa"/>
            <w:shd w:val="clear" w:color="auto" w:fill="auto"/>
            <w:vAlign w:val="center"/>
            <w:hideMark/>
          </w:tcPr>
          <w:p w:rsidR="00D822BC" w:rsidRPr="00FE018B" w:rsidRDefault="00D822BC" w:rsidP="00B33B62">
            <w:pPr>
              <w:spacing w:line="240" w:lineRule="auto"/>
              <w:ind w:firstLine="0"/>
              <w:rPr>
                <w:rFonts w:eastAsia="Times New Roman"/>
                <w:color w:val="000000"/>
                <w:szCs w:val="24"/>
              </w:rPr>
            </w:pPr>
            <w:r w:rsidRPr="00FE018B">
              <w:rPr>
                <w:rFonts w:eastAsia="Times New Roman"/>
                <w:color w:val="000000"/>
                <w:szCs w:val="24"/>
              </w:rPr>
              <w:t>Fentanyl (e.g., Actiq, Duragesic, Sublimaze)</w:t>
            </w:r>
          </w:p>
        </w:tc>
        <w:tc>
          <w:tcPr>
            <w:tcW w:w="1034" w:type="dxa"/>
          </w:tcPr>
          <w:p w:rsidR="00D822BC" w:rsidRPr="00FE018B" w:rsidRDefault="00D822BC" w:rsidP="00B33B62">
            <w:pPr>
              <w:spacing w:line="240" w:lineRule="auto"/>
              <w:ind w:firstLine="0"/>
              <w:rPr>
                <w:rFonts w:eastAsia="Times New Roman"/>
                <w:color w:val="000000"/>
                <w:szCs w:val="24"/>
              </w:rPr>
            </w:pPr>
          </w:p>
        </w:tc>
        <w:tc>
          <w:tcPr>
            <w:tcW w:w="1067"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78"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83"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79"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77"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63"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r>
      <w:tr w:rsidR="00D822BC" w:rsidRPr="00FE018B" w:rsidTr="00D822BC">
        <w:trPr>
          <w:trHeight w:val="300"/>
        </w:trPr>
        <w:tc>
          <w:tcPr>
            <w:tcW w:w="5602" w:type="dxa"/>
            <w:shd w:val="clear" w:color="auto" w:fill="auto"/>
            <w:vAlign w:val="center"/>
            <w:hideMark/>
          </w:tcPr>
          <w:p w:rsidR="00D822BC" w:rsidRPr="00FE018B" w:rsidRDefault="00D822BC" w:rsidP="00B33B62">
            <w:pPr>
              <w:spacing w:line="240" w:lineRule="auto"/>
              <w:ind w:firstLine="0"/>
              <w:rPr>
                <w:rFonts w:eastAsia="Times New Roman"/>
                <w:color w:val="000000"/>
                <w:szCs w:val="24"/>
              </w:rPr>
            </w:pPr>
            <w:r w:rsidRPr="00FE018B">
              <w:rPr>
                <w:rFonts w:eastAsia="Times New Roman"/>
                <w:color w:val="000000"/>
                <w:szCs w:val="24"/>
              </w:rPr>
              <w:t>Hydrocodone (e.g., Vicodin, Lortab, Lorcet)</w:t>
            </w:r>
          </w:p>
        </w:tc>
        <w:tc>
          <w:tcPr>
            <w:tcW w:w="1034" w:type="dxa"/>
          </w:tcPr>
          <w:p w:rsidR="00D822BC" w:rsidRPr="00FE018B" w:rsidRDefault="00D822BC" w:rsidP="00B33B62">
            <w:pPr>
              <w:spacing w:line="240" w:lineRule="auto"/>
              <w:ind w:firstLine="0"/>
              <w:rPr>
                <w:rFonts w:eastAsia="Times New Roman"/>
                <w:color w:val="000000"/>
                <w:szCs w:val="24"/>
              </w:rPr>
            </w:pPr>
          </w:p>
        </w:tc>
        <w:tc>
          <w:tcPr>
            <w:tcW w:w="1067"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78"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83"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79"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77"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63"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r>
      <w:tr w:rsidR="00D822BC" w:rsidRPr="00FE018B" w:rsidTr="00D822BC">
        <w:trPr>
          <w:trHeight w:val="300"/>
        </w:trPr>
        <w:tc>
          <w:tcPr>
            <w:tcW w:w="5602" w:type="dxa"/>
            <w:shd w:val="clear" w:color="auto" w:fill="auto"/>
            <w:vAlign w:val="center"/>
            <w:hideMark/>
          </w:tcPr>
          <w:p w:rsidR="00D822BC" w:rsidRPr="00FE018B" w:rsidRDefault="00D822BC" w:rsidP="00B33B62">
            <w:pPr>
              <w:spacing w:line="240" w:lineRule="auto"/>
              <w:ind w:firstLine="0"/>
              <w:rPr>
                <w:rFonts w:eastAsia="Times New Roman"/>
                <w:color w:val="000000"/>
                <w:szCs w:val="24"/>
              </w:rPr>
            </w:pPr>
            <w:r w:rsidRPr="00FE018B">
              <w:rPr>
                <w:rFonts w:eastAsia="Times New Roman"/>
                <w:color w:val="000000"/>
                <w:szCs w:val="24"/>
              </w:rPr>
              <w:t>Hydromorphone (e.g., Dilaudid)</w:t>
            </w:r>
          </w:p>
        </w:tc>
        <w:tc>
          <w:tcPr>
            <w:tcW w:w="1034" w:type="dxa"/>
          </w:tcPr>
          <w:p w:rsidR="00D822BC" w:rsidRPr="00FE018B" w:rsidRDefault="00D822BC" w:rsidP="00B33B62">
            <w:pPr>
              <w:spacing w:line="240" w:lineRule="auto"/>
              <w:ind w:firstLine="0"/>
              <w:rPr>
                <w:rFonts w:eastAsia="Times New Roman"/>
                <w:color w:val="000000"/>
                <w:szCs w:val="24"/>
              </w:rPr>
            </w:pPr>
          </w:p>
        </w:tc>
        <w:tc>
          <w:tcPr>
            <w:tcW w:w="1067"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78"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83"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79"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77"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63"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r>
      <w:tr w:rsidR="00D822BC" w:rsidRPr="00FE018B" w:rsidTr="00D822BC">
        <w:trPr>
          <w:trHeight w:val="300"/>
        </w:trPr>
        <w:tc>
          <w:tcPr>
            <w:tcW w:w="5602" w:type="dxa"/>
            <w:shd w:val="clear" w:color="auto" w:fill="auto"/>
            <w:vAlign w:val="center"/>
            <w:hideMark/>
          </w:tcPr>
          <w:p w:rsidR="00D822BC" w:rsidRPr="00FE018B" w:rsidRDefault="00D822BC" w:rsidP="00B33B62">
            <w:pPr>
              <w:spacing w:line="240" w:lineRule="auto"/>
              <w:ind w:firstLine="0"/>
              <w:rPr>
                <w:rFonts w:eastAsia="Times New Roman"/>
                <w:color w:val="000000"/>
                <w:szCs w:val="24"/>
              </w:rPr>
            </w:pPr>
            <w:r w:rsidRPr="00FE018B">
              <w:rPr>
                <w:rFonts w:eastAsia="Times New Roman"/>
                <w:color w:val="000000"/>
                <w:szCs w:val="24"/>
              </w:rPr>
              <w:t>Meperidine (e.g., Demerol)</w:t>
            </w:r>
          </w:p>
        </w:tc>
        <w:tc>
          <w:tcPr>
            <w:tcW w:w="1034" w:type="dxa"/>
          </w:tcPr>
          <w:p w:rsidR="00D822BC" w:rsidRPr="00FE018B" w:rsidRDefault="00D822BC" w:rsidP="00B33B62">
            <w:pPr>
              <w:spacing w:line="240" w:lineRule="auto"/>
              <w:ind w:firstLine="0"/>
              <w:rPr>
                <w:rFonts w:eastAsia="Times New Roman"/>
                <w:color w:val="000000"/>
                <w:szCs w:val="24"/>
              </w:rPr>
            </w:pPr>
          </w:p>
        </w:tc>
        <w:tc>
          <w:tcPr>
            <w:tcW w:w="1067"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78"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83"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79"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77"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63"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r>
      <w:tr w:rsidR="00D822BC" w:rsidRPr="00FE018B" w:rsidTr="00D822BC">
        <w:trPr>
          <w:trHeight w:val="300"/>
        </w:trPr>
        <w:tc>
          <w:tcPr>
            <w:tcW w:w="5602" w:type="dxa"/>
            <w:shd w:val="clear" w:color="auto" w:fill="auto"/>
            <w:vAlign w:val="center"/>
            <w:hideMark/>
          </w:tcPr>
          <w:p w:rsidR="00D822BC" w:rsidRPr="00FE018B" w:rsidRDefault="00D822BC" w:rsidP="00B33B62">
            <w:pPr>
              <w:spacing w:line="240" w:lineRule="auto"/>
              <w:ind w:firstLine="0"/>
              <w:rPr>
                <w:rFonts w:eastAsia="Times New Roman"/>
                <w:color w:val="000000"/>
                <w:szCs w:val="24"/>
              </w:rPr>
            </w:pPr>
            <w:r w:rsidRPr="00FE018B">
              <w:rPr>
                <w:rFonts w:eastAsia="Times New Roman"/>
                <w:color w:val="000000"/>
                <w:szCs w:val="24"/>
              </w:rPr>
              <w:t>Methadone</w:t>
            </w:r>
          </w:p>
        </w:tc>
        <w:tc>
          <w:tcPr>
            <w:tcW w:w="1034" w:type="dxa"/>
          </w:tcPr>
          <w:p w:rsidR="00D822BC" w:rsidRPr="00FE018B" w:rsidRDefault="00D822BC" w:rsidP="00B33B62">
            <w:pPr>
              <w:spacing w:line="240" w:lineRule="auto"/>
              <w:ind w:firstLine="0"/>
              <w:rPr>
                <w:rFonts w:eastAsia="Times New Roman"/>
                <w:color w:val="000000"/>
                <w:szCs w:val="24"/>
              </w:rPr>
            </w:pPr>
          </w:p>
        </w:tc>
        <w:tc>
          <w:tcPr>
            <w:tcW w:w="1067"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78"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83"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79"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77"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63"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r>
      <w:tr w:rsidR="00D822BC" w:rsidRPr="00FE018B" w:rsidTr="00D822BC">
        <w:trPr>
          <w:trHeight w:val="300"/>
        </w:trPr>
        <w:tc>
          <w:tcPr>
            <w:tcW w:w="5602" w:type="dxa"/>
            <w:shd w:val="clear" w:color="auto" w:fill="auto"/>
            <w:vAlign w:val="center"/>
            <w:hideMark/>
          </w:tcPr>
          <w:p w:rsidR="00D822BC" w:rsidRPr="00FE018B" w:rsidRDefault="00D822BC" w:rsidP="00B33B62">
            <w:pPr>
              <w:spacing w:line="240" w:lineRule="auto"/>
              <w:ind w:firstLine="0"/>
              <w:rPr>
                <w:rFonts w:eastAsia="Times New Roman"/>
                <w:color w:val="000000"/>
                <w:szCs w:val="24"/>
              </w:rPr>
            </w:pPr>
            <w:r w:rsidRPr="00FE018B">
              <w:rPr>
                <w:rFonts w:eastAsia="Times New Roman"/>
                <w:color w:val="000000"/>
                <w:szCs w:val="24"/>
              </w:rPr>
              <w:t>Morphine</w:t>
            </w:r>
          </w:p>
        </w:tc>
        <w:tc>
          <w:tcPr>
            <w:tcW w:w="1034" w:type="dxa"/>
          </w:tcPr>
          <w:p w:rsidR="00D822BC" w:rsidRPr="00FE018B" w:rsidRDefault="00D822BC" w:rsidP="00B33B62">
            <w:pPr>
              <w:spacing w:line="240" w:lineRule="auto"/>
              <w:ind w:firstLine="0"/>
              <w:rPr>
                <w:rFonts w:eastAsia="Times New Roman"/>
                <w:color w:val="000000"/>
                <w:szCs w:val="24"/>
              </w:rPr>
            </w:pPr>
          </w:p>
        </w:tc>
        <w:tc>
          <w:tcPr>
            <w:tcW w:w="1067"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78"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83"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79"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77"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63"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r>
      <w:tr w:rsidR="00D822BC" w:rsidRPr="00FE018B" w:rsidTr="00D822BC">
        <w:trPr>
          <w:trHeight w:val="585"/>
        </w:trPr>
        <w:tc>
          <w:tcPr>
            <w:tcW w:w="5602" w:type="dxa"/>
            <w:shd w:val="clear" w:color="auto" w:fill="auto"/>
            <w:vAlign w:val="center"/>
            <w:hideMark/>
          </w:tcPr>
          <w:p w:rsidR="00D822BC" w:rsidRPr="00FE018B" w:rsidRDefault="00D822BC" w:rsidP="00B33B62">
            <w:pPr>
              <w:spacing w:line="240" w:lineRule="auto"/>
              <w:ind w:firstLine="0"/>
              <w:rPr>
                <w:rFonts w:eastAsia="Times New Roman"/>
                <w:color w:val="000000"/>
                <w:szCs w:val="24"/>
              </w:rPr>
            </w:pPr>
            <w:r w:rsidRPr="00FE018B">
              <w:rPr>
                <w:rFonts w:eastAsia="Times New Roman"/>
                <w:color w:val="000000"/>
                <w:szCs w:val="24"/>
              </w:rPr>
              <w:t>Oxycodone (e.g., OxyContin, Roxicodone, Percocet, Tylox, Percodan)</w:t>
            </w:r>
          </w:p>
        </w:tc>
        <w:tc>
          <w:tcPr>
            <w:tcW w:w="1034" w:type="dxa"/>
          </w:tcPr>
          <w:p w:rsidR="00D822BC" w:rsidRPr="00FE018B" w:rsidRDefault="00D822BC" w:rsidP="00B33B62">
            <w:pPr>
              <w:spacing w:line="240" w:lineRule="auto"/>
              <w:ind w:firstLine="0"/>
              <w:rPr>
                <w:rFonts w:eastAsia="Times New Roman"/>
                <w:color w:val="000000"/>
                <w:szCs w:val="24"/>
              </w:rPr>
            </w:pPr>
          </w:p>
        </w:tc>
        <w:tc>
          <w:tcPr>
            <w:tcW w:w="1067"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78"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83"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79"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77"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63"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r>
      <w:tr w:rsidR="00D822BC" w:rsidRPr="00FE018B" w:rsidTr="00D822BC">
        <w:trPr>
          <w:trHeight w:val="300"/>
        </w:trPr>
        <w:tc>
          <w:tcPr>
            <w:tcW w:w="5602" w:type="dxa"/>
            <w:shd w:val="clear" w:color="auto" w:fill="auto"/>
            <w:vAlign w:val="center"/>
            <w:hideMark/>
          </w:tcPr>
          <w:p w:rsidR="00D822BC" w:rsidRPr="00FE018B" w:rsidRDefault="00D822BC" w:rsidP="00B33B62">
            <w:pPr>
              <w:spacing w:line="240" w:lineRule="auto"/>
              <w:ind w:firstLine="0"/>
              <w:rPr>
                <w:rFonts w:eastAsia="Times New Roman"/>
                <w:color w:val="000000"/>
                <w:szCs w:val="24"/>
              </w:rPr>
            </w:pPr>
            <w:r w:rsidRPr="00FE018B">
              <w:rPr>
                <w:rFonts w:eastAsia="Times New Roman"/>
                <w:color w:val="000000"/>
                <w:szCs w:val="24"/>
              </w:rPr>
              <w:t>Propoxyphene (e.g., Darvon, Darvocet)</w:t>
            </w:r>
          </w:p>
        </w:tc>
        <w:tc>
          <w:tcPr>
            <w:tcW w:w="1034" w:type="dxa"/>
          </w:tcPr>
          <w:p w:rsidR="00D822BC" w:rsidRPr="00FE018B" w:rsidRDefault="00D822BC" w:rsidP="00B33B62">
            <w:pPr>
              <w:spacing w:line="240" w:lineRule="auto"/>
              <w:ind w:firstLine="0"/>
              <w:rPr>
                <w:rFonts w:eastAsia="Times New Roman"/>
                <w:color w:val="000000"/>
                <w:szCs w:val="24"/>
              </w:rPr>
            </w:pPr>
          </w:p>
        </w:tc>
        <w:tc>
          <w:tcPr>
            <w:tcW w:w="1067"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78"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83"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79"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77"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63"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r>
      <w:tr w:rsidR="00D822BC" w:rsidRPr="00FE018B" w:rsidTr="00D822BC">
        <w:trPr>
          <w:trHeight w:val="300"/>
        </w:trPr>
        <w:tc>
          <w:tcPr>
            <w:tcW w:w="5602"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r w:rsidRPr="00FE018B">
              <w:rPr>
                <w:rFonts w:eastAsia="Times New Roman"/>
                <w:color w:val="000000"/>
                <w:szCs w:val="24"/>
              </w:rPr>
              <w:t>Tramadol (e.g., Ultram)</w:t>
            </w:r>
          </w:p>
        </w:tc>
        <w:tc>
          <w:tcPr>
            <w:tcW w:w="1034" w:type="dxa"/>
          </w:tcPr>
          <w:p w:rsidR="00D822BC" w:rsidRPr="00FE018B" w:rsidRDefault="00D822BC" w:rsidP="00B33B62">
            <w:pPr>
              <w:spacing w:line="240" w:lineRule="auto"/>
              <w:ind w:firstLine="0"/>
              <w:rPr>
                <w:rFonts w:eastAsia="Times New Roman"/>
                <w:color w:val="000000"/>
                <w:szCs w:val="24"/>
              </w:rPr>
            </w:pPr>
          </w:p>
        </w:tc>
        <w:tc>
          <w:tcPr>
            <w:tcW w:w="1067"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78"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83"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79"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77"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c>
          <w:tcPr>
            <w:tcW w:w="1063" w:type="dxa"/>
            <w:shd w:val="clear" w:color="auto" w:fill="auto"/>
            <w:vAlign w:val="bottom"/>
            <w:hideMark/>
          </w:tcPr>
          <w:p w:rsidR="00D822BC" w:rsidRPr="00FE018B" w:rsidRDefault="00D822BC" w:rsidP="00B33B62">
            <w:pPr>
              <w:spacing w:line="240" w:lineRule="auto"/>
              <w:ind w:firstLine="0"/>
              <w:rPr>
                <w:rFonts w:eastAsia="Times New Roman"/>
                <w:color w:val="000000"/>
                <w:szCs w:val="24"/>
              </w:rPr>
            </w:pPr>
          </w:p>
        </w:tc>
      </w:tr>
    </w:tbl>
    <w:p w:rsidR="006349DF" w:rsidRDefault="006349DF" w:rsidP="00B33B62">
      <w:pPr>
        <w:spacing w:line="240" w:lineRule="auto"/>
        <w:ind w:firstLine="0"/>
        <w:rPr>
          <w:szCs w:val="24"/>
        </w:rPr>
      </w:pPr>
      <w:r>
        <w:rPr>
          <w:szCs w:val="24"/>
        </w:rPr>
        <w:br w:type="page"/>
      </w:r>
    </w:p>
    <w:p w:rsidR="00B33B62" w:rsidRPr="00A660CD" w:rsidRDefault="00B33B62" w:rsidP="00B33B62">
      <w:pPr>
        <w:spacing w:line="240" w:lineRule="auto"/>
        <w:ind w:firstLine="0"/>
        <w:rPr>
          <w:b/>
          <w:szCs w:val="24"/>
        </w:rPr>
      </w:pPr>
      <w:r>
        <w:rPr>
          <w:b/>
          <w:szCs w:val="24"/>
        </w:rPr>
        <w:lastRenderedPageBreak/>
        <w:t xml:space="preserve">Q20H. </w:t>
      </w:r>
      <w:r w:rsidRPr="00A660CD">
        <w:rPr>
          <w:b/>
          <w:szCs w:val="24"/>
        </w:rPr>
        <w:t>Please indicate who you obtained stimulant medication from that was not prescribed to you by a doctor.</w:t>
      </w:r>
    </w:p>
    <w:p w:rsidR="00B33B62" w:rsidRDefault="00B33B62" w:rsidP="00B33B62">
      <w:pPr>
        <w:spacing w:line="240" w:lineRule="auto"/>
        <w:ind w:firstLine="0"/>
        <w:rPr>
          <w:szCs w:val="24"/>
        </w:rPr>
      </w:pPr>
      <w:r w:rsidRPr="001F110E">
        <w:rPr>
          <w:szCs w:val="24"/>
        </w:rPr>
        <w:t>[</w:t>
      </w:r>
      <w:r>
        <w:rPr>
          <w:szCs w:val="24"/>
        </w:rPr>
        <w:t>ONLY SHOW QUESTIONS THAT WERE TRUE FROM 20]</w:t>
      </w:r>
    </w:p>
    <w:p w:rsidR="00B33B62" w:rsidRPr="00FE018B" w:rsidRDefault="00B33B62" w:rsidP="00B33B62">
      <w:pPr>
        <w:spacing w:line="240" w:lineRule="auto"/>
        <w:ind w:firstLine="0"/>
        <w:rPr>
          <w:b/>
          <w:i/>
          <w:szCs w:val="24"/>
        </w:rPr>
      </w:pPr>
      <w:r w:rsidRPr="00FE018B">
        <w:rPr>
          <w:b/>
          <w:i/>
          <w:szCs w:val="24"/>
        </w:rPr>
        <w:t>(Select all that apply.)</w:t>
      </w:r>
    </w:p>
    <w:p w:rsidR="006349DF" w:rsidRDefault="006349DF" w:rsidP="00B33B62">
      <w:pPr>
        <w:pStyle w:val="ListParagraph"/>
        <w:numPr>
          <w:ilvl w:val="0"/>
          <w:numId w:val="5"/>
        </w:numPr>
        <w:spacing w:line="240" w:lineRule="auto"/>
        <w:rPr>
          <w:szCs w:val="24"/>
        </w:rPr>
        <w:sectPr w:rsidR="006349DF" w:rsidSect="00FE256D">
          <w:pgSz w:w="15840" w:h="12240" w:orient="landscape"/>
          <w:pgMar w:top="1440" w:right="1440" w:bottom="1440" w:left="1440" w:header="1440" w:footer="720" w:gutter="0"/>
          <w:cols w:space="720"/>
          <w:docGrid w:linePitch="360"/>
        </w:sectPr>
      </w:pPr>
    </w:p>
    <w:p w:rsidR="00B33B62" w:rsidRPr="00FE018B" w:rsidRDefault="00B33B62" w:rsidP="00B33B62">
      <w:pPr>
        <w:pStyle w:val="ListParagraph"/>
        <w:numPr>
          <w:ilvl w:val="0"/>
          <w:numId w:val="5"/>
        </w:numPr>
        <w:spacing w:line="240" w:lineRule="auto"/>
        <w:rPr>
          <w:szCs w:val="24"/>
        </w:rPr>
      </w:pPr>
      <w:r w:rsidRPr="00FE018B">
        <w:rPr>
          <w:szCs w:val="24"/>
        </w:rPr>
        <w:lastRenderedPageBreak/>
        <w:t>Friend who is a fellow graduate student</w:t>
      </w:r>
    </w:p>
    <w:p w:rsidR="00B33B62" w:rsidRPr="00FE018B" w:rsidRDefault="00B33B62" w:rsidP="00B33B62">
      <w:pPr>
        <w:pStyle w:val="ListParagraph"/>
        <w:numPr>
          <w:ilvl w:val="0"/>
          <w:numId w:val="5"/>
        </w:numPr>
        <w:spacing w:line="240" w:lineRule="auto"/>
        <w:rPr>
          <w:szCs w:val="24"/>
        </w:rPr>
      </w:pPr>
      <w:r w:rsidRPr="00FE018B">
        <w:rPr>
          <w:szCs w:val="24"/>
        </w:rPr>
        <w:t xml:space="preserve">Friend </w:t>
      </w:r>
      <w:r>
        <w:rPr>
          <w:szCs w:val="24"/>
        </w:rPr>
        <w:t xml:space="preserve">who is </w:t>
      </w:r>
      <w:r w:rsidRPr="00FE018B">
        <w:rPr>
          <w:szCs w:val="24"/>
        </w:rPr>
        <w:t>not a graduate student</w:t>
      </w:r>
    </w:p>
    <w:p w:rsidR="00B33B62" w:rsidRPr="00FE018B" w:rsidRDefault="00B33B62" w:rsidP="00B33B62">
      <w:pPr>
        <w:pStyle w:val="ListParagraph"/>
        <w:numPr>
          <w:ilvl w:val="0"/>
          <w:numId w:val="5"/>
        </w:numPr>
        <w:spacing w:line="240" w:lineRule="auto"/>
        <w:rPr>
          <w:szCs w:val="24"/>
        </w:rPr>
      </w:pPr>
      <w:r w:rsidRPr="00FE018B">
        <w:rPr>
          <w:szCs w:val="24"/>
        </w:rPr>
        <w:t>Acquaintance who is a fellow graduate student</w:t>
      </w:r>
    </w:p>
    <w:p w:rsidR="00B33B62" w:rsidRPr="00FE018B" w:rsidRDefault="00B33B62" w:rsidP="00B33B62">
      <w:pPr>
        <w:pStyle w:val="ListParagraph"/>
        <w:numPr>
          <w:ilvl w:val="0"/>
          <w:numId w:val="5"/>
        </w:numPr>
        <w:spacing w:line="240" w:lineRule="auto"/>
        <w:rPr>
          <w:szCs w:val="24"/>
        </w:rPr>
      </w:pPr>
      <w:r w:rsidRPr="00FE018B">
        <w:rPr>
          <w:szCs w:val="24"/>
        </w:rPr>
        <w:t>Acquaintance who is not a graduate student</w:t>
      </w:r>
    </w:p>
    <w:p w:rsidR="00B33B62" w:rsidRPr="00FE018B" w:rsidRDefault="00B33B62" w:rsidP="00B33B62">
      <w:pPr>
        <w:pStyle w:val="ListParagraph"/>
        <w:numPr>
          <w:ilvl w:val="0"/>
          <w:numId w:val="5"/>
        </w:numPr>
        <w:spacing w:line="240" w:lineRule="auto"/>
        <w:rPr>
          <w:szCs w:val="24"/>
        </w:rPr>
      </w:pPr>
      <w:r w:rsidRPr="00FE018B">
        <w:rPr>
          <w:szCs w:val="24"/>
        </w:rPr>
        <w:t>Roommate</w:t>
      </w:r>
    </w:p>
    <w:p w:rsidR="00B33B62" w:rsidRPr="00FE018B" w:rsidRDefault="00B33B62" w:rsidP="00B33B62">
      <w:pPr>
        <w:pStyle w:val="ListParagraph"/>
        <w:numPr>
          <w:ilvl w:val="0"/>
          <w:numId w:val="5"/>
        </w:numPr>
        <w:spacing w:line="240" w:lineRule="auto"/>
        <w:rPr>
          <w:szCs w:val="24"/>
        </w:rPr>
      </w:pPr>
      <w:r w:rsidRPr="00FE018B">
        <w:rPr>
          <w:szCs w:val="24"/>
        </w:rPr>
        <w:t>Boyfriend/Girlfriend/Romantic partner</w:t>
      </w:r>
    </w:p>
    <w:p w:rsidR="00B33B62" w:rsidRPr="00FE018B" w:rsidRDefault="00B33B62" w:rsidP="00B33B62">
      <w:pPr>
        <w:pStyle w:val="ListParagraph"/>
        <w:numPr>
          <w:ilvl w:val="0"/>
          <w:numId w:val="5"/>
        </w:numPr>
        <w:spacing w:line="240" w:lineRule="auto"/>
        <w:rPr>
          <w:szCs w:val="24"/>
        </w:rPr>
      </w:pPr>
      <w:r w:rsidRPr="00FE018B">
        <w:rPr>
          <w:szCs w:val="24"/>
        </w:rPr>
        <w:t>Parent</w:t>
      </w:r>
    </w:p>
    <w:p w:rsidR="00B33B62" w:rsidRDefault="00B33B62" w:rsidP="00B33B62">
      <w:pPr>
        <w:pStyle w:val="ListParagraph"/>
        <w:numPr>
          <w:ilvl w:val="0"/>
          <w:numId w:val="5"/>
        </w:numPr>
        <w:spacing w:line="240" w:lineRule="auto"/>
        <w:rPr>
          <w:szCs w:val="24"/>
        </w:rPr>
      </w:pPr>
      <w:r w:rsidRPr="00FE018B">
        <w:rPr>
          <w:szCs w:val="24"/>
        </w:rPr>
        <w:t>Sibling</w:t>
      </w:r>
    </w:p>
    <w:p w:rsidR="00B33B62" w:rsidRPr="00FE018B" w:rsidRDefault="00B33B62" w:rsidP="00B33B62">
      <w:pPr>
        <w:pStyle w:val="ListParagraph"/>
        <w:numPr>
          <w:ilvl w:val="0"/>
          <w:numId w:val="5"/>
        </w:numPr>
        <w:spacing w:line="240" w:lineRule="auto"/>
        <w:rPr>
          <w:szCs w:val="24"/>
        </w:rPr>
      </w:pPr>
      <w:r>
        <w:rPr>
          <w:szCs w:val="24"/>
        </w:rPr>
        <w:t>Child/Stepchild</w:t>
      </w:r>
    </w:p>
    <w:p w:rsidR="00B33B62" w:rsidRPr="00FE018B" w:rsidRDefault="00B33B62" w:rsidP="00B33B62">
      <w:pPr>
        <w:pStyle w:val="ListParagraph"/>
        <w:numPr>
          <w:ilvl w:val="0"/>
          <w:numId w:val="5"/>
        </w:numPr>
        <w:spacing w:line="240" w:lineRule="auto"/>
        <w:rPr>
          <w:szCs w:val="24"/>
        </w:rPr>
      </w:pPr>
      <w:r w:rsidRPr="00FE018B">
        <w:rPr>
          <w:szCs w:val="24"/>
        </w:rPr>
        <w:lastRenderedPageBreak/>
        <w:t>Aunt/Uncle</w:t>
      </w:r>
    </w:p>
    <w:p w:rsidR="00B33B62" w:rsidRPr="00FE018B" w:rsidRDefault="00B33B62" w:rsidP="00B33B62">
      <w:pPr>
        <w:pStyle w:val="ListParagraph"/>
        <w:numPr>
          <w:ilvl w:val="0"/>
          <w:numId w:val="5"/>
        </w:numPr>
        <w:spacing w:line="240" w:lineRule="auto"/>
        <w:rPr>
          <w:szCs w:val="24"/>
        </w:rPr>
      </w:pPr>
      <w:r w:rsidRPr="00FE018B">
        <w:rPr>
          <w:szCs w:val="24"/>
        </w:rPr>
        <w:t>Other family member</w:t>
      </w:r>
    </w:p>
    <w:p w:rsidR="00B33B62" w:rsidRPr="00FE018B" w:rsidRDefault="00B33B62" w:rsidP="00B33B62">
      <w:pPr>
        <w:pStyle w:val="ListParagraph"/>
        <w:numPr>
          <w:ilvl w:val="0"/>
          <w:numId w:val="5"/>
        </w:numPr>
        <w:spacing w:line="240" w:lineRule="auto"/>
        <w:rPr>
          <w:szCs w:val="24"/>
        </w:rPr>
      </w:pPr>
      <w:r w:rsidRPr="00FE018B">
        <w:rPr>
          <w:szCs w:val="24"/>
        </w:rPr>
        <w:t>Drug dealer</w:t>
      </w:r>
    </w:p>
    <w:p w:rsidR="00B33B62" w:rsidRPr="00FE018B" w:rsidRDefault="00B33B62" w:rsidP="00B33B62">
      <w:pPr>
        <w:pStyle w:val="ListParagraph"/>
        <w:numPr>
          <w:ilvl w:val="0"/>
          <w:numId w:val="5"/>
        </w:numPr>
        <w:spacing w:line="240" w:lineRule="auto"/>
        <w:rPr>
          <w:szCs w:val="24"/>
        </w:rPr>
      </w:pPr>
      <w:r w:rsidRPr="00FE018B">
        <w:rPr>
          <w:szCs w:val="24"/>
        </w:rPr>
        <w:t>Abroad</w:t>
      </w:r>
    </w:p>
    <w:p w:rsidR="00B33B62" w:rsidRDefault="00B33B62" w:rsidP="00B33B62">
      <w:pPr>
        <w:pStyle w:val="ListParagraph"/>
        <w:numPr>
          <w:ilvl w:val="0"/>
          <w:numId w:val="5"/>
        </w:numPr>
        <w:spacing w:line="240" w:lineRule="auto"/>
        <w:rPr>
          <w:szCs w:val="24"/>
        </w:rPr>
      </w:pPr>
      <w:r w:rsidRPr="00FE018B">
        <w:rPr>
          <w:szCs w:val="24"/>
        </w:rPr>
        <w:t>Internet</w:t>
      </w:r>
    </w:p>
    <w:p w:rsidR="00B33B62" w:rsidRPr="00FE018B" w:rsidRDefault="00B33B62" w:rsidP="00B33B62">
      <w:pPr>
        <w:pStyle w:val="ListParagraph"/>
        <w:numPr>
          <w:ilvl w:val="0"/>
          <w:numId w:val="5"/>
        </w:numPr>
        <w:spacing w:line="240" w:lineRule="auto"/>
        <w:rPr>
          <w:szCs w:val="24"/>
        </w:rPr>
      </w:pPr>
      <w:r w:rsidRPr="00FE018B">
        <w:rPr>
          <w:szCs w:val="24"/>
        </w:rPr>
        <w:t>Other (please specify) __________________</w:t>
      </w:r>
    </w:p>
    <w:p w:rsidR="00B33B62" w:rsidRPr="00FE018B" w:rsidRDefault="00B33B62" w:rsidP="00B33B62">
      <w:pPr>
        <w:pStyle w:val="ListParagraph"/>
        <w:numPr>
          <w:ilvl w:val="0"/>
          <w:numId w:val="5"/>
        </w:numPr>
        <w:spacing w:line="240" w:lineRule="auto"/>
        <w:rPr>
          <w:szCs w:val="24"/>
        </w:rPr>
      </w:pPr>
      <w:r w:rsidRPr="00FE018B">
        <w:rPr>
          <w:szCs w:val="24"/>
        </w:rPr>
        <w:t>Don’t know</w:t>
      </w:r>
    </w:p>
    <w:p w:rsidR="00B33B62" w:rsidRPr="00FE018B" w:rsidRDefault="00B33B62" w:rsidP="00B33B62">
      <w:pPr>
        <w:pStyle w:val="ListParagraph"/>
        <w:numPr>
          <w:ilvl w:val="0"/>
          <w:numId w:val="5"/>
        </w:numPr>
        <w:spacing w:line="240" w:lineRule="auto"/>
        <w:rPr>
          <w:szCs w:val="24"/>
        </w:rPr>
      </w:pPr>
      <w:r w:rsidRPr="00FE018B">
        <w:rPr>
          <w:szCs w:val="24"/>
        </w:rPr>
        <w:t>Rather not say</w:t>
      </w:r>
    </w:p>
    <w:p w:rsidR="006349DF" w:rsidRDefault="006349DF" w:rsidP="00B33B62">
      <w:pPr>
        <w:spacing w:line="240" w:lineRule="auto"/>
        <w:ind w:firstLine="0"/>
        <w:rPr>
          <w:b/>
          <w:szCs w:val="24"/>
        </w:rPr>
        <w:sectPr w:rsidR="006349DF" w:rsidSect="006349DF">
          <w:type w:val="continuous"/>
          <w:pgSz w:w="15840" w:h="12240" w:orient="landscape"/>
          <w:pgMar w:top="1440" w:right="1440" w:bottom="1440" w:left="1440" w:header="1440" w:footer="720" w:gutter="0"/>
          <w:cols w:num="2" w:space="720"/>
          <w:docGrid w:linePitch="360"/>
        </w:sectPr>
      </w:pPr>
    </w:p>
    <w:p w:rsidR="00B33B62" w:rsidRDefault="00B33B62" w:rsidP="00B33B62">
      <w:pPr>
        <w:spacing w:line="240" w:lineRule="auto"/>
        <w:ind w:firstLine="0"/>
        <w:rPr>
          <w:b/>
          <w:szCs w:val="24"/>
        </w:rPr>
      </w:pPr>
    </w:p>
    <w:p w:rsidR="00B33B62" w:rsidRPr="00A660CD" w:rsidRDefault="00B33B62" w:rsidP="00B33B62">
      <w:pPr>
        <w:spacing w:line="240" w:lineRule="auto"/>
        <w:ind w:firstLine="0"/>
        <w:rPr>
          <w:b/>
          <w:szCs w:val="24"/>
        </w:rPr>
      </w:pPr>
      <w:r>
        <w:rPr>
          <w:b/>
          <w:szCs w:val="24"/>
        </w:rPr>
        <w:t xml:space="preserve">Q21H. </w:t>
      </w:r>
      <w:r w:rsidRPr="00A660CD">
        <w:rPr>
          <w:b/>
          <w:szCs w:val="24"/>
        </w:rPr>
        <w:t>Please indicate who you obtained pain medication from that was not prescribed to you by a doctor.</w:t>
      </w:r>
    </w:p>
    <w:p w:rsidR="00B33B62" w:rsidRDefault="00B33B62" w:rsidP="00B33B62">
      <w:pPr>
        <w:spacing w:line="240" w:lineRule="auto"/>
        <w:ind w:firstLine="0"/>
        <w:rPr>
          <w:szCs w:val="24"/>
        </w:rPr>
      </w:pPr>
      <w:r w:rsidRPr="001F110E">
        <w:rPr>
          <w:szCs w:val="24"/>
        </w:rPr>
        <w:t>[</w:t>
      </w:r>
      <w:r>
        <w:rPr>
          <w:szCs w:val="24"/>
        </w:rPr>
        <w:t>ONLY SHOW QUESTIONS THAT WERE TRUE FROM 21]</w:t>
      </w:r>
    </w:p>
    <w:p w:rsidR="00B33B62" w:rsidRPr="00FE018B" w:rsidRDefault="00B33B62" w:rsidP="00B33B62">
      <w:pPr>
        <w:spacing w:line="240" w:lineRule="auto"/>
        <w:ind w:firstLine="0"/>
        <w:rPr>
          <w:szCs w:val="24"/>
        </w:rPr>
      </w:pPr>
    </w:p>
    <w:p w:rsidR="00B33B62" w:rsidRPr="00FE018B" w:rsidRDefault="00B33B62" w:rsidP="00B33B62">
      <w:pPr>
        <w:spacing w:line="240" w:lineRule="auto"/>
        <w:ind w:firstLine="0"/>
        <w:rPr>
          <w:b/>
          <w:i/>
          <w:szCs w:val="24"/>
        </w:rPr>
      </w:pPr>
      <w:r w:rsidRPr="00FE018B">
        <w:rPr>
          <w:b/>
          <w:i/>
          <w:szCs w:val="24"/>
        </w:rPr>
        <w:t>(Select all that apply.)</w:t>
      </w:r>
    </w:p>
    <w:p w:rsidR="00B33B62" w:rsidRDefault="00B33B62" w:rsidP="00B33B62">
      <w:pPr>
        <w:pStyle w:val="ListParagraph"/>
        <w:numPr>
          <w:ilvl w:val="0"/>
          <w:numId w:val="5"/>
        </w:numPr>
        <w:spacing w:line="240" w:lineRule="auto"/>
        <w:rPr>
          <w:szCs w:val="24"/>
        </w:rPr>
        <w:sectPr w:rsidR="00B33B62" w:rsidSect="006349DF">
          <w:type w:val="continuous"/>
          <w:pgSz w:w="15840" w:h="12240" w:orient="landscape"/>
          <w:pgMar w:top="1440" w:right="1440" w:bottom="1440" w:left="1440" w:header="1440" w:footer="720" w:gutter="0"/>
          <w:cols w:space="720"/>
          <w:docGrid w:linePitch="360"/>
        </w:sectPr>
      </w:pPr>
    </w:p>
    <w:p w:rsidR="00B33B62" w:rsidRPr="00FE018B" w:rsidRDefault="00B33B62" w:rsidP="00B33B62">
      <w:pPr>
        <w:pStyle w:val="ListParagraph"/>
        <w:numPr>
          <w:ilvl w:val="0"/>
          <w:numId w:val="5"/>
        </w:numPr>
        <w:spacing w:line="240" w:lineRule="auto"/>
        <w:rPr>
          <w:szCs w:val="24"/>
        </w:rPr>
      </w:pPr>
      <w:r w:rsidRPr="00FE018B">
        <w:rPr>
          <w:szCs w:val="24"/>
        </w:rPr>
        <w:lastRenderedPageBreak/>
        <w:t>Friend who is a fellow graduate student</w:t>
      </w:r>
    </w:p>
    <w:p w:rsidR="00B33B62" w:rsidRPr="00FE018B" w:rsidRDefault="00B33B62" w:rsidP="00B33B62">
      <w:pPr>
        <w:pStyle w:val="ListParagraph"/>
        <w:numPr>
          <w:ilvl w:val="0"/>
          <w:numId w:val="5"/>
        </w:numPr>
        <w:spacing w:line="240" w:lineRule="auto"/>
        <w:rPr>
          <w:szCs w:val="24"/>
        </w:rPr>
      </w:pPr>
      <w:r w:rsidRPr="00FE018B">
        <w:rPr>
          <w:szCs w:val="24"/>
        </w:rPr>
        <w:t xml:space="preserve">Friend not </w:t>
      </w:r>
      <w:r>
        <w:rPr>
          <w:szCs w:val="24"/>
        </w:rPr>
        <w:t xml:space="preserve">is not </w:t>
      </w:r>
      <w:r w:rsidRPr="00FE018B">
        <w:rPr>
          <w:szCs w:val="24"/>
        </w:rPr>
        <w:t xml:space="preserve">a </w:t>
      </w:r>
      <w:r>
        <w:rPr>
          <w:szCs w:val="24"/>
        </w:rPr>
        <w:t xml:space="preserve">fellow </w:t>
      </w:r>
      <w:r w:rsidRPr="00FE018B">
        <w:rPr>
          <w:szCs w:val="24"/>
        </w:rPr>
        <w:t>graduate student</w:t>
      </w:r>
    </w:p>
    <w:p w:rsidR="00B33B62" w:rsidRPr="00FE018B" w:rsidRDefault="00B33B62" w:rsidP="00B33B62">
      <w:pPr>
        <w:pStyle w:val="ListParagraph"/>
        <w:numPr>
          <w:ilvl w:val="0"/>
          <w:numId w:val="5"/>
        </w:numPr>
        <w:spacing w:line="240" w:lineRule="auto"/>
        <w:rPr>
          <w:szCs w:val="24"/>
        </w:rPr>
      </w:pPr>
      <w:r w:rsidRPr="00FE018B">
        <w:rPr>
          <w:szCs w:val="24"/>
        </w:rPr>
        <w:t>Acquaintance who is a fellow graduate student</w:t>
      </w:r>
    </w:p>
    <w:p w:rsidR="00B33B62" w:rsidRPr="00FE018B" w:rsidRDefault="00B33B62" w:rsidP="00B33B62">
      <w:pPr>
        <w:pStyle w:val="ListParagraph"/>
        <w:numPr>
          <w:ilvl w:val="0"/>
          <w:numId w:val="5"/>
        </w:numPr>
        <w:spacing w:line="240" w:lineRule="auto"/>
        <w:rPr>
          <w:szCs w:val="24"/>
        </w:rPr>
      </w:pPr>
      <w:r w:rsidRPr="00FE018B">
        <w:rPr>
          <w:szCs w:val="24"/>
        </w:rPr>
        <w:t>Acquaintance who is not a graduate student</w:t>
      </w:r>
    </w:p>
    <w:p w:rsidR="00B33B62" w:rsidRPr="00FE018B" w:rsidRDefault="00B33B62" w:rsidP="00B33B62">
      <w:pPr>
        <w:pStyle w:val="ListParagraph"/>
        <w:numPr>
          <w:ilvl w:val="0"/>
          <w:numId w:val="5"/>
        </w:numPr>
        <w:spacing w:line="240" w:lineRule="auto"/>
        <w:rPr>
          <w:szCs w:val="24"/>
        </w:rPr>
      </w:pPr>
      <w:r w:rsidRPr="00FE018B">
        <w:rPr>
          <w:szCs w:val="24"/>
        </w:rPr>
        <w:t>Roommate</w:t>
      </w:r>
    </w:p>
    <w:p w:rsidR="00B33B62" w:rsidRPr="00FE018B" w:rsidRDefault="00B33B62" w:rsidP="00B33B62">
      <w:pPr>
        <w:pStyle w:val="ListParagraph"/>
        <w:numPr>
          <w:ilvl w:val="0"/>
          <w:numId w:val="5"/>
        </w:numPr>
        <w:spacing w:line="240" w:lineRule="auto"/>
        <w:rPr>
          <w:szCs w:val="24"/>
        </w:rPr>
      </w:pPr>
      <w:r w:rsidRPr="00FE018B">
        <w:rPr>
          <w:szCs w:val="24"/>
        </w:rPr>
        <w:t>Boyfriend/Girlfriend/Romantic partner</w:t>
      </w:r>
    </w:p>
    <w:p w:rsidR="00B33B62" w:rsidRPr="00FE018B" w:rsidRDefault="00B33B62" w:rsidP="00B33B62">
      <w:pPr>
        <w:pStyle w:val="ListParagraph"/>
        <w:numPr>
          <w:ilvl w:val="0"/>
          <w:numId w:val="5"/>
        </w:numPr>
        <w:spacing w:line="240" w:lineRule="auto"/>
        <w:rPr>
          <w:szCs w:val="24"/>
        </w:rPr>
      </w:pPr>
      <w:r w:rsidRPr="00FE018B">
        <w:rPr>
          <w:szCs w:val="24"/>
        </w:rPr>
        <w:t>Parent</w:t>
      </w:r>
    </w:p>
    <w:p w:rsidR="00B33B62" w:rsidRDefault="00B33B62" w:rsidP="00B33B62">
      <w:pPr>
        <w:pStyle w:val="ListParagraph"/>
        <w:numPr>
          <w:ilvl w:val="0"/>
          <w:numId w:val="5"/>
        </w:numPr>
        <w:spacing w:line="240" w:lineRule="auto"/>
        <w:rPr>
          <w:szCs w:val="24"/>
        </w:rPr>
      </w:pPr>
      <w:r w:rsidRPr="00FE018B">
        <w:rPr>
          <w:szCs w:val="24"/>
        </w:rPr>
        <w:t>Sibling</w:t>
      </w:r>
    </w:p>
    <w:p w:rsidR="00B33B62" w:rsidRPr="00FE018B" w:rsidRDefault="00B33B62" w:rsidP="00B33B62">
      <w:pPr>
        <w:pStyle w:val="ListParagraph"/>
        <w:numPr>
          <w:ilvl w:val="0"/>
          <w:numId w:val="5"/>
        </w:numPr>
        <w:spacing w:line="240" w:lineRule="auto"/>
        <w:rPr>
          <w:szCs w:val="24"/>
        </w:rPr>
      </w:pPr>
      <w:r>
        <w:rPr>
          <w:szCs w:val="24"/>
        </w:rPr>
        <w:t>Child/Stepchild</w:t>
      </w:r>
    </w:p>
    <w:p w:rsidR="00B33B62" w:rsidRPr="00FE018B" w:rsidRDefault="00B33B62" w:rsidP="00B33B62">
      <w:pPr>
        <w:pStyle w:val="ListParagraph"/>
        <w:numPr>
          <w:ilvl w:val="0"/>
          <w:numId w:val="5"/>
        </w:numPr>
        <w:spacing w:line="240" w:lineRule="auto"/>
        <w:rPr>
          <w:szCs w:val="24"/>
        </w:rPr>
      </w:pPr>
      <w:r w:rsidRPr="00FE018B">
        <w:rPr>
          <w:szCs w:val="24"/>
        </w:rPr>
        <w:lastRenderedPageBreak/>
        <w:t>Aunt/Uncle</w:t>
      </w:r>
    </w:p>
    <w:p w:rsidR="00B33B62" w:rsidRPr="00FE018B" w:rsidRDefault="00B33B62" w:rsidP="00B33B62">
      <w:pPr>
        <w:pStyle w:val="ListParagraph"/>
        <w:numPr>
          <w:ilvl w:val="0"/>
          <w:numId w:val="5"/>
        </w:numPr>
        <w:spacing w:line="240" w:lineRule="auto"/>
        <w:rPr>
          <w:szCs w:val="24"/>
        </w:rPr>
      </w:pPr>
      <w:r w:rsidRPr="00FE018B">
        <w:rPr>
          <w:szCs w:val="24"/>
        </w:rPr>
        <w:t>Other family member</w:t>
      </w:r>
    </w:p>
    <w:p w:rsidR="00B33B62" w:rsidRPr="00FE018B" w:rsidRDefault="00B33B62" w:rsidP="00B33B62">
      <w:pPr>
        <w:pStyle w:val="ListParagraph"/>
        <w:numPr>
          <w:ilvl w:val="0"/>
          <w:numId w:val="5"/>
        </w:numPr>
        <w:spacing w:line="240" w:lineRule="auto"/>
        <w:rPr>
          <w:szCs w:val="24"/>
        </w:rPr>
      </w:pPr>
      <w:r w:rsidRPr="00FE018B">
        <w:rPr>
          <w:szCs w:val="24"/>
        </w:rPr>
        <w:t>Drug dealer</w:t>
      </w:r>
    </w:p>
    <w:p w:rsidR="00B33B62" w:rsidRPr="00FE018B" w:rsidRDefault="00B33B62" w:rsidP="00B33B62">
      <w:pPr>
        <w:pStyle w:val="ListParagraph"/>
        <w:numPr>
          <w:ilvl w:val="0"/>
          <w:numId w:val="5"/>
        </w:numPr>
        <w:spacing w:line="240" w:lineRule="auto"/>
        <w:rPr>
          <w:szCs w:val="24"/>
        </w:rPr>
      </w:pPr>
      <w:r w:rsidRPr="00FE018B">
        <w:rPr>
          <w:szCs w:val="24"/>
        </w:rPr>
        <w:t>Abroad</w:t>
      </w:r>
    </w:p>
    <w:p w:rsidR="00B33B62" w:rsidRDefault="00B33B62" w:rsidP="00B33B62">
      <w:pPr>
        <w:pStyle w:val="ListParagraph"/>
        <w:numPr>
          <w:ilvl w:val="0"/>
          <w:numId w:val="5"/>
        </w:numPr>
        <w:spacing w:line="240" w:lineRule="auto"/>
        <w:rPr>
          <w:szCs w:val="24"/>
        </w:rPr>
      </w:pPr>
      <w:r w:rsidRPr="00FE018B">
        <w:rPr>
          <w:szCs w:val="24"/>
        </w:rPr>
        <w:t>Internet</w:t>
      </w:r>
    </w:p>
    <w:p w:rsidR="00B33B62" w:rsidRPr="00FE018B" w:rsidRDefault="00B33B62" w:rsidP="00B33B62">
      <w:pPr>
        <w:pStyle w:val="ListParagraph"/>
        <w:numPr>
          <w:ilvl w:val="0"/>
          <w:numId w:val="5"/>
        </w:numPr>
        <w:spacing w:line="240" w:lineRule="auto"/>
        <w:rPr>
          <w:szCs w:val="24"/>
        </w:rPr>
      </w:pPr>
      <w:r>
        <w:rPr>
          <w:szCs w:val="24"/>
        </w:rPr>
        <w:t>Child</w:t>
      </w:r>
    </w:p>
    <w:p w:rsidR="00B33B62" w:rsidRPr="00FE018B" w:rsidRDefault="00B33B62" w:rsidP="00B33B62">
      <w:pPr>
        <w:pStyle w:val="ListParagraph"/>
        <w:numPr>
          <w:ilvl w:val="0"/>
          <w:numId w:val="5"/>
        </w:numPr>
        <w:spacing w:line="240" w:lineRule="auto"/>
        <w:rPr>
          <w:szCs w:val="24"/>
        </w:rPr>
      </w:pPr>
      <w:r w:rsidRPr="00FE018B">
        <w:rPr>
          <w:szCs w:val="24"/>
        </w:rPr>
        <w:t>Other (please specify) __________________</w:t>
      </w:r>
    </w:p>
    <w:p w:rsidR="00B33B62" w:rsidRPr="00FE018B" w:rsidRDefault="00B33B62" w:rsidP="00B33B62">
      <w:pPr>
        <w:pStyle w:val="ListParagraph"/>
        <w:numPr>
          <w:ilvl w:val="0"/>
          <w:numId w:val="5"/>
        </w:numPr>
        <w:spacing w:line="240" w:lineRule="auto"/>
        <w:rPr>
          <w:szCs w:val="24"/>
        </w:rPr>
      </w:pPr>
      <w:r w:rsidRPr="00FE018B">
        <w:rPr>
          <w:szCs w:val="24"/>
        </w:rPr>
        <w:t>Don’t know</w:t>
      </w:r>
    </w:p>
    <w:p w:rsidR="00B33B62" w:rsidRPr="00FE018B" w:rsidRDefault="00B33B62" w:rsidP="00B33B62">
      <w:pPr>
        <w:pStyle w:val="ListParagraph"/>
        <w:numPr>
          <w:ilvl w:val="0"/>
          <w:numId w:val="5"/>
        </w:numPr>
        <w:spacing w:line="240" w:lineRule="auto"/>
        <w:rPr>
          <w:szCs w:val="24"/>
        </w:rPr>
      </w:pPr>
      <w:r w:rsidRPr="00FE018B">
        <w:rPr>
          <w:szCs w:val="24"/>
        </w:rPr>
        <w:t>Rather not say</w:t>
      </w:r>
    </w:p>
    <w:p w:rsidR="00B33B62" w:rsidRDefault="00B33B62" w:rsidP="00B33B62">
      <w:pPr>
        <w:spacing w:line="240" w:lineRule="auto"/>
        <w:ind w:firstLine="0"/>
        <w:rPr>
          <w:szCs w:val="24"/>
        </w:rPr>
        <w:sectPr w:rsidR="00B33B62" w:rsidSect="0001679B">
          <w:type w:val="continuous"/>
          <w:pgSz w:w="15840" w:h="12240" w:orient="landscape"/>
          <w:pgMar w:top="1440" w:right="1440" w:bottom="1440" w:left="1440" w:header="720" w:footer="720" w:gutter="0"/>
          <w:cols w:num="2" w:space="720"/>
          <w:docGrid w:linePitch="360"/>
        </w:sectPr>
      </w:pPr>
    </w:p>
    <w:p w:rsidR="00B33B62" w:rsidRPr="00FE018B" w:rsidRDefault="00B33B62" w:rsidP="00B33B62">
      <w:pPr>
        <w:spacing w:line="240" w:lineRule="auto"/>
        <w:ind w:firstLine="0"/>
        <w:rPr>
          <w:szCs w:val="24"/>
        </w:rPr>
      </w:pPr>
    </w:p>
    <w:p w:rsidR="00B33B62" w:rsidRPr="00A660CD" w:rsidRDefault="00B33B62" w:rsidP="00B33B62">
      <w:pPr>
        <w:spacing w:line="240" w:lineRule="auto"/>
        <w:ind w:firstLine="0"/>
        <w:rPr>
          <w:b/>
          <w:szCs w:val="24"/>
        </w:rPr>
      </w:pPr>
      <w:r>
        <w:rPr>
          <w:b/>
          <w:szCs w:val="24"/>
        </w:rPr>
        <w:lastRenderedPageBreak/>
        <w:t xml:space="preserve">Q20I. </w:t>
      </w:r>
      <w:r w:rsidRPr="00A660CD">
        <w:rPr>
          <w:b/>
          <w:szCs w:val="24"/>
        </w:rPr>
        <w:t>In the past 12 months, how many days have you used prescription stimulant medication (e.g., Ritalin, Dexedrine, Adderall, Concerta, methylphenidate), not prescribed to you by a doctor at the same time you were drinking alcohol? (Enter “0” for none)</w:t>
      </w:r>
    </w:p>
    <w:p w:rsidR="00B33B62" w:rsidRDefault="00B33B62" w:rsidP="00B33B62">
      <w:pPr>
        <w:spacing w:line="240" w:lineRule="auto"/>
        <w:ind w:firstLine="0"/>
        <w:rPr>
          <w:szCs w:val="24"/>
        </w:rPr>
      </w:pPr>
      <w:r w:rsidRPr="001F110E">
        <w:rPr>
          <w:szCs w:val="24"/>
        </w:rPr>
        <w:t>[</w:t>
      </w:r>
      <w:r>
        <w:rPr>
          <w:szCs w:val="24"/>
        </w:rPr>
        <w:t>ONLY SHOW QUESTIONS THAT WERE TRUE FROM 20]</w:t>
      </w:r>
    </w:p>
    <w:p w:rsidR="00B33B62" w:rsidRPr="00FE018B" w:rsidRDefault="00B33B62" w:rsidP="00B33B62">
      <w:pPr>
        <w:spacing w:line="240" w:lineRule="auto"/>
        <w:ind w:firstLine="0"/>
        <w:rPr>
          <w:szCs w:val="24"/>
        </w:rPr>
      </w:pPr>
    </w:p>
    <w:p w:rsidR="00B33B62" w:rsidRPr="00FE018B" w:rsidRDefault="00B33B62" w:rsidP="00B33B62">
      <w:pPr>
        <w:spacing w:line="240" w:lineRule="auto"/>
        <w:ind w:firstLine="0"/>
        <w:rPr>
          <w:szCs w:val="24"/>
        </w:rPr>
      </w:pPr>
      <w:r w:rsidRPr="00FE018B">
        <w:rPr>
          <w:szCs w:val="24"/>
        </w:rPr>
        <w:t>NUMBER OF DAYS: _____</w:t>
      </w:r>
    </w:p>
    <w:p w:rsidR="00B33B62" w:rsidRPr="00FE018B" w:rsidRDefault="00B33B62" w:rsidP="00B33B62">
      <w:pPr>
        <w:spacing w:line="240" w:lineRule="auto"/>
        <w:ind w:firstLine="0"/>
        <w:rPr>
          <w:szCs w:val="24"/>
        </w:rPr>
      </w:pPr>
    </w:p>
    <w:p w:rsidR="00B33B62" w:rsidRPr="00FF78BE" w:rsidRDefault="00B33B62" w:rsidP="00B33B62">
      <w:pPr>
        <w:spacing w:line="240" w:lineRule="auto"/>
        <w:ind w:firstLine="0"/>
        <w:rPr>
          <w:b/>
          <w:szCs w:val="24"/>
        </w:rPr>
      </w:pPr>
      <w:r>
        <w:rPr>
          <w:b/>
          <w:szCs w:val="24"/>
        </w:rPr>
        <w:t xml:space="preserve">Q21I. </w:t>
      </w:r>
      <w:r w:rsidRPr="00A660CD">
        <w:rPr>
          <w:b/>
          <w:szCs w:val="24"/>
        </w:rPr>
        <w:t xml:space="preserve">In the past 12 months, how many days have you used prescription pain </w:t>
      </w:r>
      <w:r w:rsidRPr="00FF78BE">
        <w:rPr>
          <w:b/>
          <w:szCs w:val="24"/>
        </w:rPr>
        <w:t xml:space="preserve">medication </w:t>
      </w:r>
      <w:r w:rsidRPr="00FF78BE">
        <w:rPr>
          <w:rFonts w:eastAsia="Times New Roman"/>
          <w:b/>
          <w:color w:val="000000"/>
          <w:szCs w:val="24"/>
        </w:rPr>
        <w:t>(i.e., opioids such as Vicodin, OxyContin, Tylenol 3 with codeine, Percocet, Darvocet, morphine, hydrocodone, oxycodone)</w:t>
      </w:r>
      <w:r w:rsidRPr="00FF78BE">
        <w:rPr>
          <w:b/>
          <w:szCs w:val="24"/>
        </w:rPr>
        <w:t>, not prescribed to you by a doctor at the same time you were drinking alcohol? (Enter “0” for none)</w:t>
      </w:r>
    </w:p>
    <w:p w:rsidR="00B33B62" w:rsidRPr="00A660CD" w:rsidRDefault="00B33B62" w:rsidP="00B33B62">
      <w:pPr>
        <w:spacing w:line="240" w:lineRule="auto"/>
        <w:ind w:firstLine="0"/>
        <w:rPr>
          <w:b/>
          <w:szCs w:val="24"/>
        </w:rPr>
      </w:pPr>
      <w:r w:rsidRPr="001F110E">
        <w:rPr>
          <w:szCs w:val="24"/>
        </w:rPr>
        <w:t>[</w:t>
      </w:r>
      <w:r>
        <w:rPr>
          <w:szCs w:val="24"/>
        </w:rPr>
        <w:t>ONLY SHOW QUESTIONS THAT WERE TRUE FROM 21]</w:t>
      </w:r>
    </w:p>
    <w:p w:rsidR="00B33B62" w:rsidRPr="00FE018B" w:rsidRDefault="00B33B62" w:rsidP="00B33B62">
      <w:pPr>
        <w:spacing w:line="240" w:lineRule="auto"/>
        <w:ind w:firstLine="0"/>
        <w:rPr>
          <w:szCs w:val="24"/>
        </w:rPr>
      </w:pPr>
    </w:p>
    <w:p w:rsidR="00B33B62" w:rsidRPr="00FE018B" w:rsidRDefault="00B33B62" w:rsidP="00B33B62">
      <w:pPr>
        <w:spacing w:line="240" w:lineRule="auto"/>
        <w:ind w:firstLine="0"/>
        <w:rPr>
          <w:szCs w:val="24"/>
        </w:rPr>
      </w:pPr>
      <w:r w:rsidRPr="00FE018B">
        <w:rPr>
          <w:szCs w:val="24"/>
        </w:rPr>
        <w:t>NUMBER OF DAYS: _____</w:t>
      </w:r>
    </w:p>
    <w:p w:rsidR="00B33B62" w:rsidRDefault="00B33B62" w:rsidP="00B33B62">
      <w:pPr>
        <w:spacing w:line="240" w:lineRule="auto"/>
        <w:ind w:firstLine="0"/>
        <w:rPr>
          <w:szCs w:val="24"/>
        </w:rPr>
      </w:pPr>
    </w:p>
    <w:p w:rsidR="00B33B62" w:rsidRDefault="00B33B62" w:rsidP="00B33B62">
      <w:pPr>
        <w:spacing w:line="240" w:lineRule="auto"/>
        <w:ind w:firstLine="0"/>
        <w:rPr>
          <w:szCs w:val="24"/>
        </w:rPr>
      </w:pPr>
    </w:p>
    <w:p w:rsidR="00B33B62" w:rsidRDefault="00B33B62" w:rsidP="00B33B62">
      <w:pPr>
        <w:spacing w:line="240" w:lineRule="auto"/>
        <w:ind w:firstLine="0"/>
        <w:rPr>
          <w:szCs w:val="24"/>
        </w:rPr>
      </w:pPr>
    </w:p>
    <w:p w:rsidR="00B33B62" w:rsidRPr="00A93A4C" w:rsidRDefault="00B33B62" w:rsidP="00B33B62">
      <w:pPr>
        <w:spacing w:line="240" w:lineRule="auto"/>
        <w:ind w:firstLine="0"/>
        <w:rPr>
          <w:b/>
          <w:szCs w:val="24"/>
        </w:rPr>
      </w:pPr>
      <w:r w:rsidRPr="00A93A4C">
        <w:rPr>
          <w:b/>
          <w:szCs w:val="24"/>
        </w:rPr>
        <w:t>The following questions ask about drugs other than alcoholic beverages.</w:t>
      </w:r>
    </w:p>
    <w:p w:rsidR="00B33B62" w:rsidRPr="00FE018B" w:rsidRDefault="00B33B62" w:rsidP="00B33B62">
      <w:pPr>
        <w:spacing w:line="240" w:lineRule="auto"/>
        <w:ind w:firstLine="0"/>
        <w:rPr>
          <w:szCs w:val="24"/>
        </w:rPr>
      </w:pPr>
    </w:p>
    <w:p w:rsidR="00B33B62" w:rsidRPr="00A660CD" w:rsidRDefault="00B33B62" w:rsidP="00B33B62">
      <w:pPr>
        <w:spacing w:line="240" w:lineRule="auto"/>
        <w:ind w:firstLine="0"/>
        <w:rPr>
          <w:b/>
          <w:szCs w:val="24"/>
        </w:rPr>
      </w:pPr>
      <w:r w:rsidRPr="00A660CD">
        <w:rPr>
          <w:b/>
          <w:szCs w:val="24"/>
        </w:rPr>
        <w:t>Read each statement and decide if your answer is “Yes” or “No”. Check the most appropriate response for each statement.</w:t>
      </w:r>
    </w:p>
    <w:p w:rsidR="00B33B62" w:rsidRPr="00FE018B" w:rsidRDefault="00B33B62" w:rsidP="00B33B62">
      <w:pPr>
        <w:spacing w:line="240" w:lineRule="auto"/>
        <w:ind w:firstLine="0"/>
        <w:rPr>
          <w:szCs w:val="24"/>
        </w:rPr>
      </w:pPr>
    </w:p>
    <w:p w:rsidR="00B33B62" w:rsidRPr="00A660CD" w:rsidRDefault="00B33B62" w:rsidP="00B33B62">
      <w:pPr>
        <w:spacing w:line="240" w:lineRule="auto"/>
        <w:ind w:firstLine="0"/>
        <w:rPr>
          <w:b/>
          <w:szCs w:val="24"/>
        </w:rPr>
      </w:pPr>
      <w:r w:rsidRPr="00A660CD">
        <w:rPr>
          <w:b/>
          <w:szCs w:val="24"/>
        </w:rPr>
        <w:t>In the statements below, “drug” refers to:</w:t>
      </w:r>
    </w:p>
    <w:p w:rsidR="00B33B62" w:rsidRPr="00FE018B" w:rsidRDefault="00B33B62" w:rsidP="00B33B62">
      <w:pPr>
        <w:spacing w:line="240" w:lineRule="auto"/>
        <w:ind w:firstLine="0"/>
        <w:rPr>
          <w:szCs w:val="24"/>
        </w:rPr>
      </w:pPr>
    </w:p>
    <w:p w:rsidR="00B33B62" w:rsidRPr="00FE018B" w:rsidRDefault="00B33B62" w:rsidP="00B33B62">
      <w:pPr>
        <w:pStyle w:val="ListParagraph"/>
        <w:numPr>
          <w:ilvl w:val="0"/>
          <w:numId w:val="6"/>
        </w:numPr>
        <w:spacing w:line="240" w:lineRule="auto"/>
        <w:rPr>
          <w:szCs w:val="24"/>
        </w:rPr>
      </w:pPr>
      <w:r w:rsidRPr="00FE018B">
        <w:rPr>
          <w:szCs w:val="24"/>
        </w:rPr>
        <w:t>Use of prescription drugs not prescribed to you (e.g., using a family member or friend’s prescription drug);</w:t>
      </w:r>
    </w:p>
    <w:p w:rsidR="00B33B62" w:rsidRPr="00FE018B" w:rsidRDefault="00B33B62" w:rsidP="00B33B62">
      <w:pPr>
        <w:pStyle w:val="ListParagraph"/>
        <w:numPr>
          <w:ilvl w:val="0"/>
          <w:numId w:val="6"/>
        </w:numPr>
        <w:spacing w:line="240" w:lineRule="auto"/>
        <w:rPr>
          <w:szCs w:val="24"/>
        </w:rPr>
      </w:pPr>
      <w:r w:rsidRPr="00FE018B">
        <w:rPr>
          <w:szCs w:val="24"/>
        </w:rPr>
        <w:t>Use of prescription drugs in a manner not intended by the prescribing clinician (e.g. you take too much or use too often);</w:t>
      </w:r>
    </w:p>
    <w:p w:rsidR="00B33B62" w:rsidRPr="00FE018B" w:rsidRDefault="00B33B62" w:rsidP="00B33B62">
      <w:pPr>
        <w:pStyle w:val="ListParagraph"/>
        <w:numPr>
          <w:ilvl w:val="0"/>
          <w:numId w:val="6"/>
        </w:numPr>
        <w:spacing w:line="240" w:lineRule="auto"/>
        <w:rPr>
          <w:szCs w:val="24"/>
        </w:rPr>
      </w:pPr>
      <w:r w:rsidRPr="00FE018B">
        <w:rPr>
          <w:szCs w:val="24"/>
        </w:rPr>
        <w:t>Use of other drugs such as marijuana, cocaine, LSD, ecstasy, etc.</w:t>
      </w:r>
    </w:p>
    <w:p w:rsidR="006349DF" w:rsidRDefault="006349DF" w:rsidP="00B33B62">
      <w:pPr>
        <w:spacing w:line="240" w:lineRule="auto"/>
        <w:ind w:firstLine="0"/>
        <w:rPr>
          <w:szCs w:val="24"/>
        </w:rPr>
      </w:pPr>
      <w:r>
        <w:rPr>
          <w:szCs w:val="24"/>
        </w:rPr>
        <w:br w:type="page"/>
      </w:r>
    </w:p>
    <w:p w:rsidR="00B33B62" w:rsidRPr="00A660CD" w:rsidRDefault="00B33B62" w:rsidP="00B33B62">
      <w:pPr>
        <w:spacing w:line="240" w:lineRule="auto"/>
        <w:ind w:firstLine="0"/>
        <w:rPr>
          <w:b/>
          <w:szCs w:val="24"/>
        </w:rPr>
      </w:pPr>
      <w:r>
        <w:rPr>
          <w:b/>
          <w:szCs w:val="24"/>
        </w:rPr>
        <w:lastRenderedPageBreak/>
        <w:t xml:space="preserve">Q22. </w:t>
      </w:r>
      <w:r w:rsidRPr="00A660CD">
        <w:rPr>
          <w:b/>
          <w:szCs w:val="24"/>
        </w:rPr>
        <w:t>In the past 12 months…</w:t>
      </w:r>
    </w:p>
    <w:p w:rsidR="00B33B62" w:rsidRPr="00A660CD" w:rsidRDefault="00B33B62" w:rsidP="00B33B62">
      <w:pPr>
        <w:spacing w:line="240" w:lineRule="auto"/>
        <w:ind w:firstLine="0"/>
        <w:rPr>
          <w:b/>
          <w:szCs w:val="24"/>
        </w:rPr>
      </w:pPr>
      <w:r w:rsidRPr="001F110E">
        <w:rPr>
          <w:szCs w:val="24"/>
        </w:rPr>
        <w:t>[</w:t>
      </w:r>
      <w:r>
        <w:rPr>
          <w:szCs w:val="24"/>
        </w:rPr>
        <w:t xml:space="preserve">ONLY SHOW QUESTIONS THAT WERE TRUE FROM 9 – 17] OR </w:t>
      </w:r>
      <w:r w:rsidRPr="001F110E">
        <w:rPr>
          <w:szCs w:val="24"/>
        </w:rPr>
        <w:t>[</w:t>
      </w:r>
      <w:r>
        <w:rPr>
          <w:szCs w:val="24"/>
        </w:rPr>
        <w:t>ONLY SHOW QUESTIONS THAT WERE TRUE FROM 20 – 21]</w:t>
      </w:r>
    </w:p>
    <w:p w:rsidR="00B33B62" w:rsidRPr="00FE018B" w:rsidRDefault="00B33B62" w:rsidP="00B33B62">
      <w:pPr>
        <w:spacing w:line="240" w:lineRule="auto"/>
        <w:ind w:firstLine="0"/>
        <w:rPr>
          <w:szCs w:val="24"/>
        </w:rPr>
      </w:pPr>
    </w:p>
    <w:tbl>
      <w:tblPr>
        <w:tblW w:w="1230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40"/>
        <w:gridCol w:w="1080"/>
        <w:gridCol w:w="1080"/>
      </w:tblGrid>
      <w:tr w:rsidR="00B33B62" w:rsidRPr="00FE018B" w:rsidTr="00B33B62">
        <w:trPr>
          <w:trHeight w:val="300"/>
        </w:trPr>
        <w:tc>
          <w:tcPr>
            <w:tcW w:w="1014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Yes</w:t>
            </w:r>
          </w:p>
        </w:tc>
        <w:tc>
          <w:tcPr>
            <w:tcW w:w="1080" w:type="dxa"/>
            <w:shd w:val="clear" w:color="auto" w:fill="auto"/>
            <w:vAlign w:val="bottom"/>
            <w:hideMark/>
          </w:tcPr>
          <w:p w:rsidR="00B33B62" w:rsidRPr="00FE018B" w:rsidRDefault="00B33B62" w:rsidP="00B33B62">
            <w:pPr>
              <w:spacing w:line="240" w:lineRule="auto"/>
              <w:ind w:firstLine="0"/>
              <w:jc w:val="center"/>
              <w:rPr>
                <w:rFonts w:eastAsia="Times New Roman"/>
                <w:color w:val="000000"/>
                <w:szCs w:val="24"/>
              </w:rPr>
            </w:pPr>
            <w:r w:rsidRPr="00FE018B">
              <w:rPr>
                <w:rFonts w:eastAsia="Times New Roman"/>
                <w:color w:val="000000"/>
                <w:szCs w:val="24"/>
              </w:rPr>
              <w:t>No</w:t>
            </w:r>
          </w:p>
        </w:tc>
      </w:tr>
      <w:tr w:rsidR="00B33B62" w:rsidRPr="00FE018B" w:rsidTr="00B33B62">
        <w:trPr>
          <w:trHeight w:val="300"/>
        </w:trPr>
        <w:tc>
          <w:tcPr>
            <w:tcW w:w="10140" w:type="dxa"/>
            <w:shd w:val="clear" w:color="auto" w:fill="auto"/>
            <w:vAlign w:val="center"/>
            <w:hideMark/>
          </w:tcPr>
          <w:p w:rsidR="00B33B62" w:rsidRPr="00FE018B" w:rsidRDefault="00B33B62" w:rsidP="00B33B62">
            <w:pPr>
              <w:spacing w:line="240" w:lineRule="auto"/>
              <w:ind w:firstLine="0"/>
              <w:rPr>
                <w:rFonts w:eastAsia="Times New Roman"/>
                <w:color w:val="000000"/>
                <w:szCs w:val="24"/>
              </w:rPr>
            </w:pPr>
            <w:r>
              <w:rPr>
                <w:rFonts w:eastAsia="Times New Roman"/>
                <w:color w:val="000000"/>
                <w:szCs w:val="24"/>
              </w:rPr>
              <w:t>h</w:t>
            </w:r>
            <w:r w:rsidRPr="00FE018B">
              <w:rPr>
                <w:rFonts w:eastAsia="Times New Roman"/>
                <w:color w:val="000000"/>
                <w:szCs w:val="24"/>
              </w:rPr>
              <w:t>ave you used drugs other than those required for medical reasons?</w:t>
            </w: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r>
      <w:tr w:rsidR="00B33B62" w:rsidRPr="00FE018B" w:rsidTr="00B33B62">
        <w:trPr>
          <w:trHeight w:val="300"/>
        </w:trPr>
        <w:tc>
          <w:tcPr>
            <w:tcW w:w="10140" w:type="dxa"/>
            <w:shd w:val="clear" w:color="auto" w:fill="auto"/>
            <w:vAlign w:val="center"/>
            <w:hideMark/>
          </w:tcPr>
          <w:p w:rsidR="00B33B62" w:rsidRPr="00FE018B" w:rsidRDefault="00B33B62" w:rsidP="00B33B62">
            <w:pPr>
              <w:spacing w:line="240" w:lineRule="auto"/>
              <w:ind w:firstLine="0"/>
              <w:rPr>
                <w:rFonts w:eastAsia="Times New Roman"/>
                <w:color w:val="000000"/>
                <w:szCs w:val="24"/>
              </w:rPr>
            </w:pPr>
            <w:r>
              <w:rPr>
                <w:rFonts w:eastAsia="Times New Roman"/>
                <w:color w:val="000000"/>
                <w:szCs w:val="24"/>
              </w:rPr>
              <w:t>h</w:t>
            </w:r>
            <w:r w:rsidRPr="00FE018B">
              <w:rPr>
                <w:rFonts w:eastAsia="Times New Roman"/>
                <w:color w:val="000000"/>
                <w:szCs w:val="24"/>
              </w:rPr>
              <w:t>ave you used more than one drug at a time?</w:t>
            </w: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r>
      <w:tr w:rsidR="00B33B62" w:rsidRPr="00FE018B" w:rsidTr="00B33B62">
        <w:trPr>
          <w:trHeight w:val="300"/>
        </w:trPr>
        <w:tc>
          <w:tcPr>
            <w:tcW w:w="10140" w:type="dxa"/>
            <w:shd w:val="clear" w:color="auto" w:fill="auto"/>
            <w:vAlign w:val="center"/>
            <w:hideMark/>
          </w:tcPr>
          <w:p w:rsidR="00B33B62" w:rsidRPr="00FE018B" w:rsidRDefault="00B33B62" w:rsidP="00B33B62">
            <w:pPr>
              <w:spacing w:line="240" w:lineRule="auto"/>
              <w:ind w:firstLine="0"/>
              <w:rPr>
                <w:rFonts w:eastAsia="Times New Roman"/>
                <w:color w:val="000000"/>
                <w:szCs w:val="24"/>
              </w:rPr>
            </w:pPr>
            <w:r>
              <w:rPr>
                <w:rFonts w:eastAsia="Times New Roman"/>
                <w:color w:val="000000"/>
                <w:szCs w:val="24"/>
              </w:rPr>
              <w:t>a</w:t>
            </w:r>
            <w:r w:rsidRPr="00FE018B">
              <w:rPr>
                <w:rFonts w:eastAsia="Times New Roman"/>
                <w:color w:val="000000"/>
                <w:szCs w:val="24"/>
              </w:rPr>
              <w:t>re you always able to stop using drugs when you want to?</w:t>
            </w: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r>
      <w:tr w:rsidR="00B33B62" w:rsidRPr="00FE018B" w:rsidTr="00B33B62">
        <w:trPr>
          <w:trHeight w:val="300"/>
        </w:trPr>
        <w:tc>
          <w:tcPr>
            <w:tcW w:w="10140" w:type="dxa"/>
            <w:shd w:val="clear" w:color="auto" w:fill="auto"/>
            <w:vAlign w:val="center"/>
            <w:hideMark/>
          </w:tcPr>
          <w:p w:rsidR="00B33B62" w:rsidRPr="00FE018B" w:rsidRDefault="00B33B62" w:rsidP="00B33B62">
            <w:pPr>
              <w:spacing w:line="240" w:lineRule="auto"/>
              <w:ind w:firstLine="0"/>
              <w:rPr>
                <w:rFonts w:eastAsia="Times New Roman"/>
                <w:color w:val="000000"/>
                <w:szCs w:val="24"/>
              </w:rPr>
            </w:pPr>
            <w:r>
              <w:rPr>
                <w:rFonts w:eastAsia="Times New Roman"/>
                <w:color w:val="000000"/>
                <w:szCs w:val="24"/>
              </w:rPr>
              <w:t>h</w:t>
            </w:r>
            <w:r w:rsidRPr="00FE018B">
              <w:rPr>
                <w:rFonts w:eastAsia="Times New Roman"/>
                <w:color w:val="000000"/>
                <w:szCs w:val="24"/>
              </w:rPr>
              <w:t>ave you had blackouts or flashbacks as a result of drug use?</w:t>
            </w: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r>
      <w:tr w:rsidR="00B33B62" w:rsidRPr="00FE018B" w:rsidTr="00B33B62">
        <w:trPr>
          <w:trHeight w:val="300"/>
        </w:trPr>
        <w:tc>
          <w:tcPr>
            <w:tcW w:w="10140" w:type="dxa"/>
            <w:shd w:val="clear" w:color="auto" w:fill="auto"/>
            <w:vAlign w:val="center"/>
            <w:hideMark/>
          </w:tcPr>
          <w:p w:rsidR="00B33B62" w:rsidRPr="00FE018B" w:rsidRDefault="00B33B62" w:rsidP="00B33B62">
            <w:pPr>
              <w:spacing w:line="240" w:lineRule="auto"/>
              <w:ind w:firstLine="0"/>
              <w:rPr>
                <w:rFonts w:eastAsia="Times New Roman"/>
                <w:color w:val="000000"/>
                <w:szCs w:val="24"/>
              </w:rPr>
            </w:pPr>
            <w:r>
              <w:rPr>
                <w:rFonts w:eastAsia="Times New Roman"/>
                <w:color w:val="000000"/>
                <w:szCs w:val="24"/>
              </w:rPr>
              <w:t>h</w:t>
            </w:r>
            <w:r w:rsidRPr="00FE018B">
              <w:rPr>
                <w:rFonts w:eastAsia="Times New Roman"/>
                <w:color w:val="000000"/>
                <w:szCs w:val="24"/>
              </w:rPr>
              <w:t>ave you ever felt bad or guilt about your drug use?</w:t>
            </w: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r>
      <w:tr w:rsidR="00B33B62" w:rsidRPr="00FE018B" w:rsidTr="00B33B62">
        <w:trPr>
          <w:trHeight w:val="300"/>
        </w:trPr>
        <w:tc>
          <w:tcPr>
            <w:tcW w:w="10140" w:type="dxa"/>
            <w:shd w:val="clear" w:color="auto" w:fill="auto"/>
            <w:vAlign w:val="center"/>
            <w:hideMark/>
          </w:tcPr>
          <w:p w:rsidR="00B33B62" w:rsidRPr="00FE018B" w:rsidRDefault="00B33B62" w:rsidP="00B33B62">
            <w:pPr>
              <w:spacing w:line="240" w:lineRule="auto"/>
              <w:ind w:firstLine="0"/>
              <w:rPr>
                <w:rFonts w:eastAsia="Times New Roman"/>
                <w:color w:val="000000"/>
                <w:szCs w:val="24"/>
              </w:rPr>
            </w:pPr>
            <w:r>
              <w:rPr>
                <w:rFonts w:eastAsia="Times New Roman"/>
                <w:color w:val="000000"/>
                <w:szCs w:val="24"/>
              </w:rPr>
              <w:t>h</w:t>
            </w:r>
            <w:r w:rsidRPr="00FE018B">
              <w:rPr>
                <w:rFonts w:eastAsia="Times New Roman"/>
                <w:color w:val="000000"/>
                <w:szCs w:val="24"/>
              </w:rPr>
              <w:t>ave family members ever complained about your involvement with drugs?</w:t>
            </w: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r>
      <w:tr w:rsidR="00B33B62" w:rsidRPr="00FE018B" w:rsidTr="00B33B62">
        <w:trPr>
          <w:trHeight w:val="300"/>
        </w:trPr>
        <w:tc>
          <w:tcPr>
            <w:tcW w:w="10140" w:type="dxa"/>
            <w:shd w:val="clear" w:color="auto" w:fill="auto"/>
            <w:vAlign w:val="center"/>
            <w:hideMark/>
          </w:tcPr>
          <w:p w:rsidR="00B33B62" w:rsidRPr="00FE018B" w:rsidRDefault="00B33B62" w:rsidP="00B33B62">
            <w:pPr>
              <w:spacing w:line="240" w:lineRule="auto"/>
              <w:ind w:firstLine="0"/>
              <w:rPr>
                <w:rFonts w:eastAsia="Times New Roman"/>
                <w:color w:val="000000"/>
                <w:szCs w:val="24"/>
              </w:rPr>
            </w:pPr>
            <w:r w:rsidRPr="00FE018B">
              <w:rPr>
                <w:rFonts w:eastAsia="Times New Roman"/>
                <w:color w:val="000000"/>
                <w:szCs w:val="24"/>
              </w:rPr>
              <w:t>have you stayed away from your family because of your use of drugs?</w:t>
            </w: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r>
      <w:tr w:rsidR="00B33B62" w:rsidRPr="00FE018B" w:rsidTr="00B33B62">
        <w:trPr>
          <w:trHeight w:val="300"/>
        </w:trPr>
        <w:tc>
          <w:tcPr>
            <w:tcW w:w="10140" w:type="dxa"/>
            <w:shd w:val="clear" w:color="auto" w:fill="auto"/>
            <w:vAlign w:val="center"/>
            <w:hideMark/>
          </w:tcPr>
          <w:p w:rsidR="00B33B62" w:rsidRPr="00FE018B" w:rsidRDefault="00B33B62" w:rsidP="00B33B62">
            <w:pPr>
              <w:spacing w:line="240" w:lineRule="auto"/>
              <w:ind w:firstLine="0"/>
              <w:rPr>
                <w:rFonts w:eastAsia="Times New Roman"/>
                <w:color w:val="000000"/>
                <w:szCs w:val="24"/>
              </w:rPr>
            </w:pPr>
            <w:r>
              <w:rPr>
                <w:rFonts w:eastAsia="Times New Roman"/>
                <w:color w:val="000000"/>
                <w:szCs w:val="24"/>
              </w:rPr>
              <w:t>h</w:t>
            </w:r>
            <w:r w:rsidRPr="00FE018B">
              <w:rPr>
                <w:rFonts w:eastAsia="Times New Roman"/>
                <w:color w:val="000000"/>
                <w:szCs w:val="24"/>
              </w:rPr>
              <w:t>ave you engaged in illegal activities in order to obtain drugs?</w:t>
            </w: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r>
      <w:tr w:rsidR="00B33B62" w:rsidRPr="00FE018B" w:rsidTr="00B33B62">
        <w:trPr>
          <w:trHeight w:val="300"/>
        </w:trPr>
        <w:tc>
          <w:tcPr>
            <w:tcW w:w="1014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r>
              <w:rPr>
                <w:rFonts w:eastAsia="Times New Roman"/>
                <w:color w:val="000000"/>
                <w:szCs w:val="24"/>
              </w:rPr>
              <w:t>ha</w:t>
            </w:r>
            <w:r w:rsidRPr="00FE018B">
              <w:rPr>
                <w:rFonts w:eastAsia="Times New Roman"/>
                <w:color w:val="000000"/>
                <w:szCs w:val="24"/>
              </w:rPr>
              <w:t>ve you ever experienced withdrawal symptoms (felt sick) when you stopped taking drugs?</w:t>
            </w: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r>
      <w:tr w:rsidR="00B33B62" w:rsidRPr="00FE018B" w:rsidTr="00B33B62">
        <w:trPr>
          <w:trHeight w:val="300"/>
        </w:trPr>
        <w:tc>
          <w:tcPr>
            <w:tcW w:w="1014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r>
              <w:rPr>
                <w:rFonts w:eastAsia="Times New Roman"/>
                <w:color w:val="000000"/>
                <w:szCs w:val="24"/>
              </w:rPr>
              <w:t>h</w:t>
            </w:r>
            <w:r w:rsidRPr="00FE018B">
              <w:rPr>
                <w:rFonts w:eastAsia="Times New Roman"/>
                <w:color w:val="000000"/>
                <w:szCs w:val="24"/>
              </w:rPr>
              <w:t>ave you had medical problems as a result of your drug use (e.g., memory loss, hepatitis, convulsions, bleeding)?</w:t>
            </w: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c>
          <w:tcPr>
            <w:tcW w:w="1080"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p>
        </w:tc>
      </w:tr>
    </w:tbl>
    <w:p w:rsidR="00B33B62" w:rsidRPr="00FE018B" w:rsidRDefault="00B33B62" w:rsidP="00B33B62">
      <w:pPr>
        <w:spacing w:line="240" w:lineRule="auto"/>
        <w:ind w:firstLine="0"/>
        <w:rPr>
          <w:szCs w:val="24"/>
        </w:rPr>
      </w:pPr>
      <w:r w:rsidRPr="00FE018B">
        <w:rPr>
          <w:szCs w:val="24"/>
        </w:rPr>
        <w:br w:type="page"/>
      </w:r>
    </w:p>
    <w:p w:rsidR="00B33B62" w:rsidRPr="00A660CD" w:rsidRDefault="00B33B62" w:rsidP="00B33B62">
      <w:pPr>
        <w:spacing w:line="240" w:lineRule="auto"/>
        <w:ind w:firstLine="0"/>
        <w:rPr>
          <w:b/>
          <w:szCs w:val="24"/>
        </w:rPr>
      </w:pPr>
      <w:r w:rsidRPr="00A660CD">
        <w:rPr>
          <w:b/>
          <w:szCs w:val="24"/>
        </w:rPr>
        <w:lastRenderedPageBreak/>
        <w:t>These next questions are about OTHER people’s use of alcohol and other drugs. Please make your best estimate based on your observations of others.</w:t>
      </w:r>
    </w:p>
    <w:p w:rsidR="00B33B62" w:rsidRDefault="00B33B62" w:rsidP="00B33B62">
      <w:pPr>
        <w:spacing w:line="240" w:lineRule="auto"/>
        <w:ind w:firstLine="0"/>
        <w:rPr>
          <w:szCs w:val="24"/>
        </w:rPr>
      </w:pPr>
    </w:p>
    <w:p w:rsidR="00B33B62" w:rsidRPr="00A660CD" w:rsidRDefault="00B33B62" w:rsidP="00B33B62">
      <w:pPr>
        <w:spacing w:line="240" w:lineRule="auto"/>
        <w:ind w:firstLine="0"/>
        <w:rPr>
          <w:b/>
          <w:szCs w:val="24"/>
        </w:rPr>
      </w:pPr>
      <w:r>
        <w:rPr>
          <w:b/>
          <w:szCs w:val="24"/>
        </w:rPr>
        <w:t xml:space="preserve">Q23. </w:t>
      </w:r>
      <w:r w:rsidRPr="00A660CD">
        <w:rPr>
          <w:b/>
          <w:szCs w:val="24"/>
        </w:rPr>
        <w:t>Please estimate the percentage of graduate students who, in the past 12 months used…</w:t>
      </w:r>
    </w:p>
    <w:p w:rsidR="00B33B62" w:rsidRPr="00FE018B" w:rsidRDefault="00B33B62" w:rsidP="00B33B62">
      <w:pPr>
        <w:spacing w:line="240" w:lineRule="auto"/>
        <w:ind w:firstLine="0"/>
        <w:rPr>
          <w:szCs w:val="24"/>
        </w:rPr>
      </w:pPr>
    </w:p>
    <w:p w:rsidR="00B33B62" w:rsidRPr="00FE018B" w:rsidRDefault="00B33B62" w:rsidP="00B33B62">
      <w:pPr>
        <w:spacing w:line="240" w:lineRule="auto"/>
        <w:ind w:firstLine="0"/>
        <w:rPr>
          <w:b/>
          <w:i/>
          <w:szCs w:val="24"/>
        </w:rPr>
      </w:pPr>
      <w:r w:rsidRPr="00FE018B">
        <w:rPr>
          <w:b/>
          <w:i/>
          <w:szCs w:val="24"/>
        </w:rPr>
        <w:t>(Please enter numeric percentage responses only, do not include symbols such as “%”.)</w:t>
      </w:r>
    </w:p>
    <w:tbl>
      <w:tblPr>
        <w:tblW w:w="1230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64"/>
        <w:gridCol w:w="1136"/>
      </w:tblGrid>
      <w:tr w:rsidR="00B33B62" w:rsidRPr="00FE018B" w:rsidTr="00B33B62">
        <w:trPr>
          <w:trHeight w:val="300"/>
        </w:trPr>
        <w:tc>
          <w:tcPr>
            <w:tcW w:w="11164" w:type="dxa"/>
            <w:shd w:val="clear" w:color="auto" w:fill="auto"/>
            <w:vAlign w:val="center"/>
            <w:hideMark/>
          </w:tcPr>
          <w:p w:rsidR="00B33B62" w:rsidRPr="00FE018B" w:rsidRDefault="00B33B62" w:rsidP="00B33B62">
            <w:pPr>
              <w:spacing w:line="240" w:lineRule="auto"/>
              <w:ind w:firstLine="0"/>
              <w:rPr>
                <w:rFonts w:eastAsia="Times New Roman"/>
                <w:color w:val="000000"/>
                <w:szCs w:val="24"/>
              </w:rPr>
            </w:pPr>
            <w:r w:rsidRPr="00FE018B">
              <w:rPr>
                <w:rFonts w:eastAsia="Times New Roman"/>
                <w:color w:val="000000"/>
                <w:szCs w:val="24"/>
              </w:rPr>
              <w:t>marijuana or hashish</w:t>
            </w:r>
          </w:p>
        </w:tc>
        <w:tc>
          <w:tcPr>
            <w:tcW w:w="1136"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r>
              <w:rPr>
                <w:rFonts w:eastAsia="Times New Roman"/>
                <w:color w:val="000000"/>
                <w:szCs w:val="24"/>
              </w:rPr>
              <w:t>______%</w:t>
            </w:r>
          </w:p>
        </w:tc>
      </w:tr>
      <w:tr w:rsidR="00B33B62" w:rsidRPr="00FE018B" w:rsidTr="00B33B62">
        <w:trPr>
          <w:trHeight w:val="300"/>
        </w:trPr>
        <w:tc>
          <w:tcPr>
            <w:tcW w:w="11164" w:type="dxa"/>
            <w:shd w:val="clear" w:color="auto" w:fill="auto"/>
            <w:vAlign w:val="center"/>
            <w:hideMark/>
          </w:tcPr>
          <w:p w:rsidR="00B33B62" w:rsidRPr="00FE018B" w:rsidRDefault="00B33B62" w:rsidP="00B33B62">
            <w:pPr>
              <w:spacing w:line="240" w:lineRule="auto"/>
              <w:ind w:firstLine="0"/>
              <w:rPr>
                <w:rFonts w:eastAsia="Times New Roman"/>
                <w:color w:val="000000"/>
                <w:szCs w:val="24"/>
              </w:rPr>
            </w:pPr>
            <w:r w:rsidRPr="00FE018B">
              <w:rPr>
                <w:rFonts w:eastAsia="Times New Roman"/>
                <w:color w:val="000000"/>
                <w:szCs w:val="24"/>
              </w:rPr>
              <w:t>pain medication (i.e. opioids such as Vicodin, OxyContin, Tylenol 3 with codeine, Percocet, Darvocet, morphine, hydrocodone, oxycodone) that was not prescribed to them.</w:t>
            </w:r>
          </w:p>
        </w:tc>
        <w:tc>
          <w:tcPr>
            <w:tcW w:w="1136"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r>
              <w:rPr>
                <w:rFonts w:eastAsia="Times New Roman"/>
                <w:color w:val="000000"/>
                <w:szCs w:val="24"/>
              </w:rPr>
              <w:t>______%</w:t>
            </w:r>
          </w:p>
        </w:tc>
      </w:tr>
      <w:tr w:rsidR="00B33B62" w:rsidRPr="00FE018B" w:rsidTr="00B33B62">
        <w:trPr>
          <w:trHeight w:val="300"/>
        </w:trPr>
        <w:tc>
          <w:tcPr>
            <w:tcW w:w="11164" w:type="dxa"/>
            <w:shd w:val="clear" w:color="auto" w:fill="auto"/>
            <w:vAlign w:val="center"/>
            <w:hideMark/>
          </w:tcPr>
          <w:p w:rsidR="00B33B62" w:rsidRPr="00FE018B" w:rsidRDefault="00B33B62" w:rsidP="00B33B62">
            <w:pPr>
              <w:spacing w:line="240" w:lineRule="auto"/>
              <w:ind w:firstLine="0"/>
              <w:rPr>
                <w:rFonts w:eastAsia="Times New Roman"/>
                <w:color w:val="000000"/>
                <w:szCs w:val="24"/>
              </w:rPr>
            </w:pPr>
            <w:r w:rsidRPr="00FE018B">
              <w:rPr>
                <w:rFonts w:eastAsia="Times New Roman"/>
                <w:color w:val="000000"/>
                <w:szCs w:val="24"/>
              </w:rPr>
              <w:t>stimulant medication (e.g., Ritalin, Dexedrine, Adderall, Concerta, methylphenidate) that was not prescribed to them</w:t>
            </w:r>
            <w:r>
              <w:rPr>
                <w:rFonts w:eastAsia="Times New Roman"/>
                <w:color w:val="000000"/>
                <w:szCs w:val="24"/>
              </w:rPr>
              <w:t>.</w:t>
            </w:r>
          </w:p>
        </w:tc>
        <w:tc>
          <w:tcPr>
            <w:tcW w:w="1136" w:type="dxa"/>
            <w:shd w:val="clear" w:color="auto" w:fill="auto"/>
            <w:vAlign w:val="bottom"/>
            <w:hideMark/>
          </w:tcPr>
          <w:p w:rsidR="00B33B62" w:rsidRPr="00FE018B" w:rsidRDefault="00B33B62" w:rsidP="00B33B62">
            <w:pPr>
              <w:spacing w:line="240" w:lineRule="auto"/>
              <w:ind w:firstLine="0"/>
              <w:rPr>
                <w:rFonts w:eastAsia="Times New Roman"/>
                <w:color w:val="000000"/>
                <w:szCs w:val="24"/>
              </w:rPr>
            </w:pPr>
            <w:r>
              <w:rPr>
                <w:rFonts w:eastAsia="Times New Roman"/>
                <w:color w:val="000000"/>
                <w:szCs w:val="24"/>
              </w:rPr>
              <w:t>______%</w:t>
            </w:r>
          </w:p>
        </w:tc>
      </w:tr>
    </w:tbl>
    <w:p w:rsidR="00B33B62" w:rsidRDefault="00B33B62" w:rsidP="00B33B62">
      <w:pPr>
        <w:spacing w:line="240" w:lineRule="auto"/>
        <w:ind w:firstLine="0"/>
        <w:rPr>
          <w:b/>
          <w:i/>
          <w:szCs w:val="24"/>
        </w:rPr>
      </w:pPr>
    </w:p>
    <w:p w:rsidR="00B33B62" w:rsidRDefault="00B33B62" w:rsidP="00B33B62">
      <w:pPr>
        <w:spacing w:line="240" w:lineRule="auto"/>
        <w:ind w:firstLine="0"/>
        <w:rPr>
          <w:b/>
          <w:szCs w:val="24"/>
        </w:rPr>
      </w:pPr>
      <w:r>
        <w:rPr>
          <w:b/>
          <w:szCs w:val="24"/>
        </w:rPr>
        <w:t>Now, we’d like to learn a little about you…</w:t>
      </w:r>
    </w:p>
    <w:p w:rsidR="00B33B62" w:rsidRDefault="00B33B62" w:rsidP="00B33B62">
      <w:pPr>
        <w:spacing w:line="240" w:lineRule="auto"/>
        <w:ind w:firstLine="0"/>
        <w:rPr>
          <w:b/>
          <w:szCs w:val="24"/>
        </w:rPr>
      </w:pPr>
    </w:p>
    <w:p w:rsidR="00B33B62" w:rsidRDefault="00B33B62" w:rsidP="00B33B62">
      <w:pPr>
        <w:spacing w:line="240" w:lineRule="auto"/>
        <w:ind w:firstLine="0"/>
        <w:rPr>
          <w:b/>
          <w:szCs w:val="24"/>
        </w:rPr>
      </w:pPr>
      <w:r>
        <w:rPr>
          <w:b/>
          <w:szCs w:val="24"/>
        </w:rPr>
        <w:t>Q24. Please indicate your position at the university:</w:t>
      </w:r>
    </w:p>
    <w:p w:rsidR="00B33B62" w:rsidRDefault="00B33B62" w:rsidP="00B33B62">
      <w:pPr>
        <w:pStyle w:val="ListParagraph"/>
        <w:numPr>
          <w:ilvl w:val="0"/>
          <w:numId w:val="4"/>
        </w:numPr>
        <w:spacing w:line="240" w:lineRule="auto"/>
        <w:rPr>
          <w:szCs w:val="24"/>
        </w:rPr>
        <w:sectPr w:rsidR="00B33B62" w:rsidSect="00FE256D">
          <w:type w:val="continuous"/>
          <w:pgSz w:w="15840" w:h="12240" w:orient="landscape"/>
          <w:pgMar w:top="1440" w:right="1440" w:bottom="1440" w:left="1440" w:header="1440" w:footer="720" w:gutter="0"/>
          <w:cols w:space="720"/>
          <w:docGrid w:linePitch="360"/>
        </w:sectPr>
      </w:pPr>
    </w:p>
    <w:p w:rsidR="00B33B62" w:rsidRPr="00FE018B" w:rsidRDefault="00B33B62" w:rsidP="00B33B62">
      <w:pPr>
        <w:pStyle w:val="ListParagraph"/>
        <w:numPr>
          <w:ilvl w:val="0"/>
          <w:numId w:val="4"/>
        </w:numPr>
        <w:spacing w:line="240" w:lineRule="auto"/>
        <w:rPr>
          <w:szCs w:val="24"/>
        </w:rPr>
      </w:pPr>
      <w:r>
        <w:rPr>
          <w:szCs w:val="24"/>
        </w:rPr>
        <w:lastRenderedPageBreak/>
        <w:t>Fulltime Masters Graduate Student</w:t>
      </w:r>
    </w:p>
    <w:p w:rsidR="00B33B62" w:rsidRDefault="00B33B62" w:rsidP="00B33B62">
      <w:pPr>
        <w:pStyle w:val="ListParagraph"/>
        <w:numPr>
          <w:ilvl w:val="0"/>
          <w:numId w:val="4"/>
        </w:numPr>
        <w:spacing w:line="240" w:lineRule="auto"/>
        <w:rPr>
          <w:szCs w:val="24"/>
        </w:rPr>
      </w:pPr>
      <w:r>
        <w:rPr>
          <w:szCs w:val="24"/>
        </w:rPr>
        <w:t>Part time Masters Graduate Student</w:t>
      </w:r>
    </w:p>
    <w:p w:rsidR="00B33B62" w:rsidRPr="00FE018B" w:rsidRDefault="00B33B62" w:rsidP="00B33B62">
      <w:pPr>
        <w:pStyle w:val="ListParagraph"/>
        <w:numPr>
          <w:ilvl w:val="0"/>
          <w:numId w:val="4"/>
        </w:numPr>
        <w:spacing w:line="240" w:lineRule="auto"/>
        <w:rPr>
          <w:szCs w:val="24"/>
        </w:rPr>
      </w:pPr>
      <w:r>
        <w:rPr>
          <w:szCs w:val="24"/>
        </w:rPr>
        <w:t>Fulltime Doctoral Graduate Student</w:t>
      </w:r>
    </w:p>
    <w:p w:rsidR="00B33B62" w:rsidRDefault="00B33B62" w:rsidP="00B33B62">
      <w:pPr>
        <w:pStyle w:val="ListParagraph"/>
        <w:numPr>
          <w:ilvl w:val="0"/>
          <w:numId w:val="4"/>
        </w:numPr>
        <w:spacing w:line="240" w:lineRule="auto"/>
        <w:rPr>
          <w:szCs w:val="24"/>
        </w:rPr>
      </w:pPr>
      <w:r>
        <w:rPr>
          <w:szCs w:val="24"/>
        </w:rPr>
        <w:t>Part time Doctoral Graduate Student</w:t>
      </w:r>
    </w:p>
    <w:p w:rsidR="00B33B62" w:rsidRDefault="00B33B62" w:rsidP="00B33B62">
      <w:pPr>
        <w:pStyle w:val="ListParagraph"/>
        <w:numPr>
          <w:ilvl w:val="0"/>
          <w:numId w:val="4"/>
        </w:numPr>
        <w:spacing w:line="240" w:lineRule="auto"/>
        <w:rPr>
          <w:szCs w:val="24"/>
        </w:rPr>
      </w:pPr>
      <w:r>
        <w:rPr>
          <w:szCs w:val="24"/>
        </w:rPr>
        <w:t>Post-graduate training</w:t>
      </w:r>
    </w:p>
    <w:p w:rsidR="00B33B62" w:rsidRDefault="00B33B62" w:rsidP="00B33B62">
      <w:pPr>
        <w:pStyle w:val="ListParagraph"/>
        <w:numPr>
          <w:ilvl w:val="0"/>
          <w:numId w:val="4"/>
        </w:numPr>
        <w:spacing w:line="240" w:lineRule="auto"/>
        <w:rPr>
          <w:szCs w:val="24"/>
        </w:rPr>
      </w:pPr>
      <w:r>
        <w:rPr>
          <w:szCs w:val="24"/>
        </w:rPr>
        <w:lastRenderedPageBreak/>
        <w:t>Not seeking a degree</w:t>
      </w:r>
    </w:p>
    <w:p w:rsidR="00B33B62" w:rsidRPr="00FE018B" w:rsidRDefault="00B33B62" w:rsidP="00B33B62">
      <w:pPr>
        <w:pStyle w:val="ListParagraph"/>
        <w:numPr>
          <w:ilvl w:val="0"/>
          <w:numId w:val="4"/>
        </w:numPr>
        <w:spacing w:line="240" w:lineRule="auto"/>
        <w:rPr>
          <w:szCs w:val="24"/>
        </w:rPr>
      </w:pPr>
      <w:r>
        <w:rPr>
          <w:szCs w:val="24"/>
        </w:rPr>
        <w:t>Other (Specify) _______________________</w:t>
      </w:r>
    </w:p>
    <w:p w:rsidR="00B33B62" w:rsidRDefault="00B33B62" w:rsidP="00B33B62">
      <w:pPr>
        <w:pStyle w:val="ListParagraph"/>
        <w:numPr>
          <w:ilvl w:val="0"/>
          <w:numId w:val="4"/>
        </w:numPr>
        <w:spacing w:line="240" w:lineRule="auto"/>
        <w:rPr>
          <w:szCs w:val="24"/>
        </w:rPr>
      </w:pPr>
      <w:r>
        <w:rPr>
          <w:szCs w:val="24"/>
        </w:rPr>
        <w:t>Don’t know</w:t>
      </w:r>
    </w:p>
    <w:p w:rsidR="00B33B62" w:rsidRPr="00FE018B" w:rsidRDefault="00B33B62" w:rsidP="00B33B62">
      <w:pPr>
        <w:pStyle w:val="ListParagraph"/>
        <w:numPr>
          <w:ilvl w:val="0"/>
          <w:numId w:val="4"/>
        </w:numPr>
        <w:spacing w:line="240" w:lineRule="auto"/>
        <w:rPr>
          <w:szCs w:val="24"/>
        </w:rPr>
      </w:pPr>
      <w:r w:rsidRPr="00FE018B">
        <w:rPr>
          <w:szCs w:val="24"/>
        </w:rPr>
        <w:t>Rather Not Say</w:t>
      </w:r>
    </w:p>
    <w:p w:rsidR="00B33B62" w:rsidRDefault="00B33B62" w:rsidP="00B33B62">
      <w:pPr>
        <w:spacing w:line="240" w:lineRule="auto"/>
        <w:ind w:firstLine="0"/>
        <w:rPr>
          <w:b/>
          <w:szCs w:val="24"/>
        </w:rPr>
        <w:sectPr w:rsidR="00B33B62" w:rsidSect="00301790">
          <w:type w:val="continuous"/>
          <w:pgSz w:w="15840" w:h="12240" w:orient="landscape"/>
          <w:pgMar w:top="1440" w:right="1440" w:bottom="1440" w:left="1440" w:header="720" w:footer="720" w:gutter="0"/>
          <w:cols w:num="2" w:space="720"/>
          <w:docGrid w:linePitch="360"/>
        </w:sectPr>
      </w:pPr>
    </w:p>
    <w:p w:rsidR="00B33B62" w:rsidRDefault="00B33B62" w:rsidP="00B33B62">
      <w:pPr>
        <w:spacing w:line="240" w:lineRule="auto"/>
        <w:ind w:firstLine="0"/>
        <w:rPr>
          <w:b/>
          <w:szCs w:val="24"/>
        </w:rPr>
      </w:pPr>
    </w:p>
    <w:p w:rsidR="00B33B62" w:rsidRDefault="00B33B62" w:rsidP="00B33B62">
      <w:pPr>
        <w:spacing w:line="240" w:lineRule="auto"/>
        <w:ind w:firstLine="0"/>
        <w:rPr>
          <w:b/>
          <w:szCs w:val="24"/>
        </w:rPr>
      </w:pPr>
      <w:r>
        <w:rPr>
          <w:b/>
          <w:szCs w:val="24"/>
        </w:rPr>
        <w:t>Q2</w:t>
      </w:r>
      <w:r w:rsidR="00D822BC">
        <w:rPr>
          <w:b/>
          <w:szCs w:val="24"/>
        </w:rPr>
        <w:t>5</w:t>
      </w:r>
      <w:r>
        <w:rPr>
          <w:b/>
          <w:szCs w:val="24"/>
        </w:rPr>
        <w:t>. Are you:</w:t>
      </w:r>
    </w:p>
    <w:p w:rsidR="00B33B62" w:rsidRPr="00FE018B" w:rsidRDefault="00B33B62" w:rsidP="00B33B62">
      <w:pPr>
        <w:pStyle w:val="ListParagraph"/>
        <w:numPr>
          <w:ilvl w:val="0"/>
          <w:numId w:val="4"/>
        </w:numPr>
        <w:spacing w:line="240" w:lineRule="auto"/>
        <w:rPr>
          <w:szCs w:val="24"/>
        </w:rPr>
      </w:pPr>
      <w:r>
        <w:rPr>
          <w:szCs w:val="24"/>
        </w:rPr>
        <w:t>Male</w:t>
      </w:r>
    </w:p>
    <w:p w:rsidR="00B33B62" w:rsidRPr="00FE018B" w:rsidRDefault="00B33B62" w:rsidP="00B33B62">
      <w:pPr>
        <w:pStyle w:val="ListParagraph"/>
        <w:numPr>
          <w:ilvl w:val="0"/>
          <w:numId w:val="4"/>
        </w:numPr>
        <w:spacing w:line="240" w:lineRule="auto"/>
        <w:rPr>
          <w:szCs w:val="24"/>
        </w:rPr>
      </w:pPr>
      <w:r>
        <w:rPr>
          <w:szCs w:val="24"/>
        </w:rPr>
        <w:t>Female</w:t>
      </w:r>
    </w:p>
    <w:p w:rsidR="00B33B62" w:rsidRDefault="00B33B62" w:rsidP="00B33B62">
      <w:pPr>
        <w:pStyle w:val="ListParagraph"/>
        <w:numPr>
          <w:ilvl w:val="0"/>
          <w:numId w:val="4"/>
        </w:numPr>
        <w:spacing w:line="240" w:lineRule="auto"/>
        <w:rPr>
          <w:szCs w:val="24"/>
        </w:rPr>
      </w:pPr>
      <w:r w:rsidRPr="00FE018B">
        <w:rPr>
          <w:szCs w:val="24"/>
        </w:rPr>
        <w:t>Rather Not Say</w:t>
      </w:r>
    </w:p>
    <w:p w:rsidR="00B33B62" w:rsidRDefault="00B33B62" w:rsidP="00B33B62">
      <w:pPr>
        <w:spacing w:line="240" w:lineRule="auto"/>
        <w:ind w:firstLine="0"/>
        <w:rPr>
          <w:szCs w:val="24"/>
        </w:rPr>
      </w:pPr>
    </w:p>
    <w:p w:rsidR="00B33B62" w:rsidRDefault="00B33B62" w:rsidP="00B33B62">
      <w:pPr>
        <w:spacing w:line="240" w:lineRule="auto"/>
        <w:ind w:firstLine="0"/>
        <w:rPr>
          <w:b/>
          <w:szCs w:val="24"/>
        </w:rPr>
      </w:pPr>
      <w:r>
        <w:rPr>
          <w:b/>
          <w:szCs w:val="24"/>
        </w:rPr>
        <w:t>Q2</w:t>
      </w:r>
      <w:r w:rsidR="00D822BC">
        <w:rPr>
          <w:b/>
          <w:szCs w:val="24"/>
        </w:rPr>
        <w:t>6</w:t>
      </w:r>
      <w:r>
        <w:rPr>
          <w:b/>
          <w:szCs w:val="24"/>
        </w:rPr>
        <w:t>. What is your race? Check all that apply.</w:t>
      </w:r>
    </w:p>
    <w:p w:rsidR="00B33B62" w:rsidRDefault="00B33B62" w:rsidP="00B33B62">
      <w:pPr>
        <w:pStyle w:val="ListParagraph"/>
        <w:numPr>
          <w:ilvl w:val="0"/>
          <w:numId w:val="5"/>
        </w:numPr>
        <w:spacing w:line="240" w:lineRule="auto"/>
        <w:rPr>
          <w:szCs w:val="24"/>
        </w:rPr>
        <w:sectPr w:rsidR="00B33B62" w:rsidSect="0001679B">
          <w:type w:val="continuous"/>
          <w:pgSz w:w="15840" w:h="12240" w:orient="landscape"/>
          <w:pgMar w:top="1440" w:right="1440" w:bottom="1440" w:left="1440" w:header="720" w:footer="720" w:gutter="0"/>
          <w:cols w:space="720"/>
          <w:docGrid w:linePitch="360"/>
        </w:sectPr>
      </w:pPr>
    </w:p>
    <w:p w:rsidR="00B33B62" w:rsidRPr="00FE018B" w:rsidRDefault="00B33B62" w:rsidP="00B33B62">
      <w:pPr>
        <w:pStyle w:val="ListParagraph"/>
        <w:numPr>
          <w:ilvl w:val="0"/>
          <w:numId w:val="5"/>
        </w:numPr>
        <w:spacing w:line="240" w:lineRule="auto"/>
        <w:rPr>
          <w:szCs w:val="24"/>
        </w:rPr>
      </w:pPr>
      <w:r>
        <w:rPr>
          <w:szCs w:val="24"/>
        </w:rPr>
        <w:lastRenderedPageBreak/>
        <w:t>American Indian or Alaska Native</w:t>
      </w:r>
    </w:p>
    <w:p w:rsidR="00B33B62" w:rsidRDefault="00B33B62" w:rsidP="00B33B62">
      <w:pPr>
        <w:pStyle w:val="ListParagraph"/>
        <w:numPr>
          <w:ilvl w:val="0"/>
          <w:numId w:val="5"/>
        </w:numPr>
        <w:spacing w:line="240" w:lineRule="auto"/>
        <w:rPr>
          <w:szCs w:val="24"/>
        </w:rPr>
      </w:pPr>
      <w:r>
        <w:rPr>
          <w:szCs w:val="24"/>
        </w:rPr>
        <w:t>Asian</w:t>
      </w:r>
    </w:p>
    <w:p w:rsidR="00B33B62" w:rsidRDefault="00B33B62" w:rsidP="00B33B62">
      <w:pPr>
        <w:pStyle w:val="ListParagraph"/>
        <w:numPr>
          <w:ilvl w:val="0"/>
          <w:numId w:val="5"/>
        </w:numPr>
        <w:spacing w:line="240" w:lineRule="auto"/>
        <w:rPr>
          <w:szCs w:val="24"/>
        </w:rPr>
      </w:pPr>
      <w:r>
        <w:rPr>
          <w:szCs w:val="24"/>
        </w:rPr>
        <w:lastRenderedPageBreak/>
        <w:t>Asian American</w:t>
      </w:r>
    </w:p>
    <w:p w:rsidR="00B33B62" w:rsidRPr="00FE018B" w:rsidRDefault="00B33B62" w:rsidP="00B33B62">
      <w:pPr>
        <w:pStyle w:val="ListParagraph"/>
        <w:numPr>
          <w:ilvl w:val="0"/>
          <w:numId w:val="5"/>
        </w:numPr>
        <w:spacing w:line="240" w:lineRule="auto"/>
        <w:rPr>
          <w:szCs w:val="24"/>
        </w:rPr>
      </w:pPr>
      <w:r>
        <w:rPr>
          <w:szCs w:val="24"/>
        </w:rPr>
        <w:t>Black or African American</w:t>
      </w:r>
    </w:p>
    <w:p w:rsidR="00B33B62" w:rsidRPr="00FE018B" w:rsidRDefault="00B33B62" w:rsidP="00B33B62">
      <w:pPr>
        <w:pStyle w:val="ListParagraph"/>
        <w:numPr>
          <w:ilvl w:val="0"/>
          <w:numId w:val="5"/>
        </w:numPr>
        <w:spacing w:line="240" w:lineRule="auto"/>
        <w:rPr>
          <w:szCs w:val="24"/>
        </w:rPr>
      </w:pPr>
      <w:r>
        <w:rPr>
          <w:szCs w:val="24"/>
        </w:rPr>
        <w:lastRenderedPageBreak/>
        <w:t>Native Hawaiian or other pacific islander</w:t>
      </w:r>
    </w:p>
    <w:p w:rsidR="00B33B62" w:rsidRDefault="00B33B62" w:rsidP="00B33B62">
      <w:pPr>
        <w:pStyle w:val="ListParagraph"/>
        <w:numPr>
          <w:ilvl w:val="0"/>
          <w:numId w:val="5"/>
        </w:numPr>
        <w:spacing w:line="240" w:lineRule="auto"/>
        <w:rPr>
          <w:szCs w:val="24"/>
        </w:rPr>
      </w:pPr>
      <w:r w:rsidRPr="0034214F">
        <w:rPr>
          <w:szCs w:val="24"/>
        </w:rPr>
        <w:t>White</w:t>
      </w:r>
    </w:p>
    <w:p w:rsidR="00B33B62" w:rsidRPr="0034214F" w:rsidRDefault="00B33B62" w:rsidP="00B33B62">
      <w:pPr>
        <w:pStyle w:val="ListParagraph"/>
        <w:numPr>
          <w:ilvl w:val="0"/>
          <w:numId w:val="5"/>
        </w:numPr>
        <w:spacing w:line="240" w:lineRule="auto"/>
        <w:rPr>
          <w:szCs w:val="24"/>
        </w:rPr>
      </w:pPr>
      <w:r>
        <w:rPr>
          <w:szCs w:val="24"/>
        </w:rPr>
        <w:lastRenderedPageBreak/>
        <w:t>Other ________________</w:t>
      </w:r>
    </w:p>
    <w:p w:rsidR="00B33B62" w:rsidRPr="0001679B" w:rsidRDefault="00B33B62" w:rsidP="00B33B62">
      <w:pPr>
        <w:pStyle w:val="ListParagraph"/>
        <w:numPr>
          <w:ilvl w:val="0"/>
          <w:numId w:val="5"/>
        </w:numPr>
        <w:spacing w:line="240" w:lineRule="auto"/>
        <w:rPr>
          <w:b/>
          <w:szCs w:val="24"/>
        </w:rPr>
      </w:pPr>
      <w:r w:rsidRPr="0001679B">
        <w:rPr>
          <w:szCs w:val="24"/>
        </w:rPr>
        <w:t>Rather not say</w:t>
      </w:r>
    </w:p>
    <w:p w:rsidR="00B33B62" w:rsidRDefault="00B33B62" w:rsidP="00B33B62">
      <w:pPr>
        <w:spacing w:line="240" w:lineRule="auto"/>
        <w:ind w:firstLine="0"/>
        <w:rPr>
          <w:b/>
          <w:szCs w:val="24"/>
        </w:rPr>
        <w:sectPr w:rsidR="00B33B62" w:rsidSect="00FE256D">
          <w:type w:val="continuous"/>
          <w:pgSz w:w="15840" w:h="12240" w:orient="landscape"/>
          <w:pgMar w:top="1440" w:right="1440" w:bottom="1440" w:left="1440" w:header="1440" w:footer="720" w:gutter="0"/>
          <w:cols w:num="2" w:space="720"/>
          <w:docGrid w:linePitch="360"/>
        </w:sectPr>
      </w:pPr>
    </w:p>
    <w:p w:rsidR="00B33B62" w:rsidRPr="0001679B" w:rsidRDefault="00B33B62" w:rsidP="00B33B62">
      <w:pPr>
        <w:spacing w:line="240" w:lineRule="auto"/>
        <w:ind w:firstLine="0"/>
        <w:rPr>
          <w:b/>
          <w:szCs w:val="24"/>
        </w:rPr>
      </w:pPr>
    </w:p>
    <w:p w:rsidR="00B33B62" w:rsidRPr="0001679B" w:rsidRDefault="00B33B62" w:rsidP="00B33B62">
      <w:pPr>
        <w:spacing w:line="240" w:lineRule="auto"/>
        <w:ind w:firstLine="0"/>
        <w:rPr>
          <w:b/>
          <w:szCs w:val="24"/>
        </w:rPr>
      </w:pPr>
      <w:r>
        <w:rPr>
          <w:b/>
          <w:szCs w:val="24"/>
        </w:rPr>
        <w:t>Q2</w:t>
      </w:r>
      <w:r w:rsidR="00D822BC">
        <w:rPr>
          <w:b/>
          <w:szCs w:val="24"/>
        </w:rPr>
        <w:t>7</w:t>
      </w:r>
      <w:r w:rsidRPr="0001679B">
        <w:rPr>
          <w:b/>
          <w:szCs w:val="24"/>
        </w:rPr>
        <w:t>. Are you:</w:t>
      </w:r>
    </w:p>
    <w:p w:rsidR="00B33B62" w:rsidRPr="00FE018B" w:rsidRDefault="00B33B62" w:rsidP="00B33B62">
      <w:pPr>
        <w:pStyle w:val="ListParagraph"/>
        <w:numPr>
          <w:ilvl w:val="0"/>
          <w:numId w:val="4"/>
        </w:numPr>
        <w:spacing w:line="240" w:lineRule="auto"/>
        <w:rPr>
          <w:szCs w:val="24"/>
        </w:rPr>
      </w:pPr>
      <w:r>
        <w:rPr>
          <w:szCs w:val="24"/>
        </w:rPr>
        <w:t>Married</w:t>
      </w:r>
    </w:p>
    <w:p w:rsidR="00B33B62" w:rsidRDefault="00B33B62" w:rsidP="00B33B62">
      <w:pPr>
        <w:pStyle w:val="ListParagraph"/>
        <w:numPr>
          <w:ilvl w:val="0"/>
          <w:numId w:val="4"/>
        </w:numPr>
        <w:spacing w:line="240" w:lineRule="auto"/>
        <w:rPr>
          <w:szCs w:val="24"/>
        </w:rPr>
      </w:pPr>
      <w:r>
        <w:rPr>
          <w:szCs w:val="24"/>
        </w:rPr>
        <w:t>Divorced/Separated</w:t>
      </w:r>
    </w:p>
    <w:p w:rsidR="00B33B62" w:rsidRPr="00FE018B" w:rsidRDefault="00B33B62" w:rsidP="00B33B62">
      <w:pPr>
        <w:pStyle w:val="ListParagraph"/>
        <w:numPr>
          <w:ilvl w:val="0"/>
          <w:numId w:val="4"/>
        </w:numPr>
        <w:spacing w:line="240" w:lineRule="auto"/>
        <w:rPr>
          <w:szCs w:val="24"/>
        </w:rPr>
      </w:pPr>
      <w:r>
        <w:rPr>
          <w:szCs w:val="24"/>
        </w:rPr>
        <w:t>Single</w:t>
      </w:r>
    </w:p>
    <w:p w:rsidR="00B33B62" w:rsidRPr="00FE018B" w:rsidRDefault="00B33B62" w:rsidP="00B33B62">
      <w:pPr>
        <w:pStyle w:val="ListParagraph"/>
        <w:numPr>
          <w:ilvl w:val="0"/>
          <w:numId w:val="4"/>
        </w:numPr>
        <w:spacing w:line="240" w:lineRule="auto"/>
        <w:rPr>
          <w:szCs w:val="24"/>
        </w:rPr>
      </w:pPr>
      <w:r w:rsidRPr="00FE018B">
        <w:rPr>
          <w:szCs w:val="24"/>
        </w:rPr>
        <w:t>Rather Not Say</w:t>
      </w:r>
    </w:p>
    <w:p w:rsidR="00B33B62" w:rsidRPr="00CE6CA1" w:rsidRDefault="00B33B62" w:rsidP="00B33B62">
      <w:pPr>
        <w:spacing w:line="240" w:lineRule="auto"/>
        <w:ind w:firstLine="0"/>
        <w:rPr>
          <w:szCs w:val="24"/>
        </w:rPr>
      </w:pPr>
    </w:p>
    <w:p w:rsidR="00B33B62" w:rsidRDefault="00B33B62" w:rsidP="00B33B62">
      <w:pPr>
        <w:spacing w:line="240" w:lineRule="auto"/>
        <w:ind w:firstLine="0"/>
        <w:rPr>
          <w:b/>
          <w:szCs w:val="24"/>
        </w:rPr>
      </w:pPr>
      <w:r>
        <w:rPr>
          <w:b/>
          <w:szCs w:val="24"/>
        </w:rPr>
        <w:t>Q2</w:t>
      </w:r>
      <w:r w:rsidR="00D822BC">
        <w:rPr>
          <w:b/>
          <w:szCs w:val="24"/>
        </w:rPr>
        <w:t>8</w:t>
      </w:r>
      <w:r>
        <w:rPr>
          <w:b/>
          <w:szCs w:val="24"/>
        </w:rPr>
        <w:t>. Please enter your age:</w:t>
      </w:r>
    </w:p>
    <w:p w:rsidR="00B33B62" w:rsidRDefault="00B33B62" w:rsidP="00B33B62">
      <w:pPr>
        <w:spacing w:line="240" w:lineRule="auto"/>
        <w:ind w:left="360" w:firstLine="0"/>
        <w:rPr>
          <w:b/>
          <w:szCs w:val="24"/>
        </w:rPr>
      </w:pPr>
      <w:r>
        <w:rPr>
          <w:b/>
          <w:szCs w:val="24"/>
        </w:rPr>
        <w:t xml:space="preserve">_______ </w:t>
      </w:r>
      <w:r w:rsidRPr="00454EE0">
        <w:rPr>
          <w:szCs w:val="24"/>
        </w:rPr>
        <w:t>Years</w:t>
      </w:r>
    </w:p>
    <w:p w:rsidR="00B33B62" w:rsidRDefault="00B33B62" w:rsidP="00B33B62">
      <w:pPr>
        <w:spacing w:line="240" w:lineRule="auto"/>
        <w:ind w:firstLine="0"/>
        <w:rPr>
          <w:b/>
          <w:szCs w:val="24"/>
        </w:rPr>
      </w:pPr>
    </w:p>
    <w:p w:rsidR="00B33B62" w:rsidRDefault="00D822BC" w:rsidP="00B33B62">
      <w:pPr>
        <w:spacing w:line="240" w:lineRule="auto"/>
        <w:ind w:firstLine="0"/>
        <w:rPr>
          <w:b/>
          <w:szCs w:val="24"/>
        </w:rPr>
      </w:pPr>
      <w:r>
        <w:rPr>
          <w:b/>
          <w:szCs w:val="24"/>
        </w:rPr>
        <w:t>Q29</w:t>
      </w:r>
      <w:r w:rsidR="00B33B62">
        <w:rPr>
          <w:b/>
          <w:szCs w:val="24"/>
        </w:rPr>
        <w:t>. What is your average annual income?</w:t>
      </w:r>
    </w:p>
    <w:p w:rsidR="00B33B62" w:rsidRDefault="00B33B62" w:rsidP="00B33B62">
      <w:pPr>
        <w:pStyle w:val="ListParagraph"/>
        <w:numPr>
          <w:ilvl w:val="0"/>
          <w:numId w:val="4"/>
        </w:numPr>
        <w:spacing w:line="240" w:lineRule="auto"/>
        <w:rPr>
          <w:szCs w:val="24"/>
        </w:rPr>
        <w:sectPr w:rsidR="00B33B62" w:rsidSect="0001679B">
          <w:type w:val="continuous"/>
          <w:pgSz w:w="15840" w:h="12240" w:orient="landscape"/>
          <w:pgMar w:top="1440" w:right="1440" w:bottom="1440" w:left="1440" w:header="720" w:footer="720" w:gutter="0"/>
          <w:cols w:space="720"/>
          <w:docGrid w:linePitch="360"/>
        </w:sectPr>
      </w:pPr>
    </w:p>
    <w:p w:rsidR="00B33B62" w:rsidRDefault="00B33B62" w:rsidP="00B33B62">
      <w:pPr>
        <w:pStyle w:val="ListParagraph"/>
        <w:numPr>
          <w:ilvl w:val="0"/>
          <w:numId w:val="4"/>
        </w:numPr>
        <w:spacing w:line="240" w:lineRule="auto"/>
        <w:rPr>
          <w:szCs w:val="24"/>
        </w:rPr>
      </w:pPr>
      <w:r>
        <w:rPr>
          <w:szCs w:val="24"/>
        </w:rPr>
        <w:lastRenderedPageBreak/>
        <w:t>Less than $30,000</w:t>
      </w:r>
    </w:p>
    <w:p w:rsidR="00B33B62" w:rsidRDefault="00B33B62" w:rsidP="00B33B62">
      <w:pPr>
        <w:pStyle w:val="ListParagraph"/>
        <w:numPr>
          <w:ilvl w:val="0"/>
          <w:numId w:val="4"/>
        </w:numPr>
        <w:spacing w:line="240" w:lineRule="auto"/>
        <w:rPr>
          <w:szCs w:val="24"/>
        </w:rPr>
      </w:pPr>
      <w:r>
        <w:rPr>
          <w:szCs w:val="24"/>
        </w:rPr>
        <w:t>$30,000 – $49,999</w:t>
      </w:r>
    </w:p>
    <w:p w:rsidR="00B33B62" w:rsidRDefault="00B33B62" w:rsidP="00B33B62">
      <w:pPr>
        <w:pStyle w:val="ListParagraph"/>
        <w:numPr>
          <w:ilvl w:val="0"/>
          <w:numId w:val="4"/>
        </w:numPr>
        <w:spacing w:line="240" w:lineRule="auto"/>
        <w:rPr>
          <w:szCs w:val="24"/>
        </w:rPr>
      </w:pPr>
      <w:r>
        <w:rPr>
          <w:szCs w:val="24"/>
        </w:rPr>
        <w:t>$50,000 - $99,999</w:t>
      </w:r>
    </w:p>
    <w:p w:rsidR="00B33B62" w:rsidRDefault="00B33B62" w:rsidP="00B33B62">
      <w:pPr>
        <w:pStyle w:val="ListParagraph"/>
        <w:numPr>
          <w:ilvl w:val="0"/>
          <w:numId w:val="4"/>
        </w:numPr>
        <w:spacing w:line="240" w:lineRule="auto"/>
        <w:rPr>
          <w:szCs w:val="24"/>
        </w:rPr>
      </w:pPr>
      <w:r>
        <w:rPr>
          <w:szCs w:val="24"/>
        </w:rPr>
        <w:t>$100,000 - $149,999</w:t>
      </w:r>
    </w:p>
    <w:p w:rsidR="00B33B62" w:rsidRDefault="00B33B62" w:rsidP="00B33B62">
      <w:pPr>
        <w:pStyle w:val="ListParagraph"/>
        <w:numPr>
          <w:ilvl w:val="0"/>
          <w:numId w:val="4"/>
        </w:numPr>
        <w:spacing w:line="240" w:lineRule="auto"/>
        <w:rPr>
          <w:szCs w:val="24"/>
        </w:rPr>
      </w:pPr>
      <w:r>
        <w:rPr>
          <w:szCs w:val="24"/>
        </w:rPr>
        <w:t>$150,000 - $199,999</w:t>
      </w:r>
    </w:p>
    <w:p w:rsidR="00B33B62" w:rsidRDefault="00B33B62" w:rsidP="00B33B62">
      <w:pPr>
        <w:pStyle w:val="ListParagraph"/>
        <w:numPr>
          <w:ilvl w:val="0"/>
          <w:numId w:val="4"/>
        </w:numPr>
        <w:spacing w:line="240" w:lineRule="auto"/>
        <w:rPr>
          <w:szCs w:val="24"/>
        </w:rPr>
      </w:pPr>
      <w:r>
        <w:rPr>
          <w:szCs w:val="24"/>
        </w:rPr>
        <w:t>$200,000 - $249,999</w:t>
      </w:r>
    </w:p>
    <w:p w:rsidR="00B33B62" w:rsidRDefault="00B33B62" w:rsidP="00B33B62">
      <w:pPr>
        <w:pStyle w:val="ListParagraph"/>
        <w:numPr>
          <w:ilvl w:val="0"/>
          <w:numId w:val="4"/>
        </w:numPr>
        <w:spacing w:line="240" w:lineRule="auto"/>
        <w:rPr>
          <w:szCs w:val="24"/>
        </w:rPr>
      </w:pPr>
      <w:r>
        <w:rPr>
          <w:szCs w:val="24"/>
        </w:rPr>
        <w:t>$250,000 or more</w:t>
      </w:r>
    </w:p>
    <w:p w:rsidR="00B33B62" w:rsidRPr="00FE018B" w:rsidRDefault="00B33B62" w:rsidP="00B33B62">
      <w:pPr>
        <w:pStyle w:val="ListParagraph"/>
        <w:numPr>
          <w:ilvl w:val="0"/>
          <w:numId w:val="4"/>
        </w:numPr>
        <w:spacing w:line="240" w:lineRule="auto"/>
        <w:rPr>
          <w:szCs w:val="24"/>
        </w:rPr>
      </w:pPr>
      <w:r>
        <w:rPr>
          <w:szCs w:val="24"/>
        </w:rPr>
        <w:t>Don’t know</w:t>
      </w:r>
    </w:p>
    <w:p w:rsidR="00B33B62" w:rsidRDefault="00B33B62" w:rsidP="00B33B62">
      <w:pPr>
        <w:pStyle w:val="ListParagraph"/>
        <w:numPr>
          <w:ilvl w:val="0"/>
          <w:numId w:val="4"/>
        </w:numPr>
        <w:spacing w:line="240" w:lineRule="auto"/>
        <w:rPr>
          <w:szCs w:val="24"/>
        </w:rPr>
      </w:pPr>
      <w:r>
        <w:rPr>
          <w:szCs w:val="24"/>
        </w:rPr>
        <w:t>Rather not say</w:t>
      </w:r>
    </w:p>
    <w:p w:rsidR="00B33B62" w:rsidRDefault="00B33B62" w:rsidP="00B33B62">
      <w:pPr>
        <w:spacing w:line="240" w:lineRule="auto"/>
        <w:ind w:firstLine="0"/>
        <w:rPr>
          <w:b/>
          <w:szCs w:val="24"/>
        </w:rPr>
        <w:sectPr w:rsidR="00B33B62" w:rsidSect="0001679B">
          <w:type w:val="continuous"/>
          <w:pgSz w:w="15840" w:h="12240" w:orient="landscape"/>
          <w:pgMar w:top="1440" w:right="1440" w:bottom="1440" w:left="1440" w:header="720" w:footer="720" w:gutter="0"/>
          <w:cols w:num="2" w:space="720"/>
          <w:docGrid w:linePitch="360"/>
        </w:sectPr>
      </w:pPr>
    </w:p>
    <w:p w:rsidR="00B33B62" w:rsidRDefault="00B33B62" w:rsidP="00B33B62">
      <w:pPr>
        <w:spacing w:line="240" w:lineRule="auto"/>
        <w:ind w:firstLine="0"/>
        <w:rPr>
          <w:b/>
          <w:szCs w:val="24"/>
        </w:rPr>
      </w:pPr>
      <w:r>
        <w:rPr>
          <w:b/>
          <w:szCs w:val="24"/>
        </w:rPr>
        <w:lastRenderedPageBreak/>
        <w:t>Q3</w:t>
      </w:r>
      <w:r w:rsidR="00D822BC">
        <w:rPr>
          <w:b/>
          <w:szCs w:val="24"/>
        </w:rPr>
        <w:t>0</w:t>
      </w:r>
      <w:r>
        <w:rPr>
          <w:b/>
          <w:szCs w:val="24"/>
        </w:rPr>
        <w:t>. Is English your first language?</w:t>
      </w:r>
    </w:p>
    <w:p w:rsidR="00B33B62" w:rsidRPr="00FE018B" w:rsidRDefault="00B33B62" w:rsidP="00B33B62">
      <w:pPr>
        <w:pStyle w:val="ListParagraph"/>
        <w:numPr>
          <w:ilvl w:val="0"/>
          <w:numId w:val="4"/>
        </w:numPr>
        <w:spacing w:line="240" w:lineRule="auto"/>
        <w:rPr>
          <w:szCs w:val="24"/>
        </w:rPr>
      </w:pPr>
      <w:r>
        <w:rPr>
          <w:szCs w:val="24"/>
        </w:rPr>
        <w:t>Yes</w:t>
      </w:r>
    </w:p>
    <w:p w:rsidR="00B33B62" w:rsidRDefault="00B33B62" w:rsidP="00B33B62">
      <w:pPr>
        <w:pStyle w:val="ListParagraph"/>
        <w:numPr>
          <w:ilvl w:val="0"/>
          <w:numId w:val="4"/>
        </w:numPr>
        <w:spacing w:line="240" w:lineRule="auto"/>
        <w:rPr>
          <w:szCs w:val="24"/>
        </w:rPr>
      </w:pPr>
      <w:r>
        <w:rPr>
          <w:szCs w:val="24"/>
        </w:rPr>
        <w:t>No</w:t>
      </w:r>
    </w:p>
    <w:p w:rsidR="00B33B62" w:rsidRDefault="00B33B62" w:rsidP="00B33B62">
      <w:pPr>
        <w:pStyle w:val="ListParagraph"/>
        <w:numPr>
          <w:ilvl w:val="0"/>
          <w:numId w:val="4"/>
        </w:numPr>
        <w:spacing w:line="240" w:lineRule="auto"/>
        <w:rPr>
          <w:szCs w:val="24"/>
        </w:rPr>
      </w:pPr>
      <w:r w:rsidRPr="0001679B">
        <w:rPr>
          <w:szCs w:val="24"/>
        </w:rPr>
        <w:t>Rather Not Say</w:t>
      </w:r>
    </w:p>
    <w:p w:rsidR="00B33B62" w:rsidRPr="00301790" w:rsidRDefault="00B33B62" w:rsidP="00B33B62">
      <w:pPr>
        <w:spacing w:line="240" w:lineRule="auto"/>
        <w:ind w:firstLine="0"/>
        <w:rPr>
          <w:szCs w:val="24"/>
        </w:rPr>
      </w:pPr>
    </w:p>
    <w:p w:rsidR="00B33B62" w:rsidRPr="00301790" w:rsidRDefault="00B33B62" w:rsidP="00B33B62">
      <w:pPr>
        <w:spacing w:line="240" w:lineRule="auto"/>
        <w:ind w:firstLine="0"/>
        <w:rPr>
          <w:b/>
          <w:szCs w:val="24"/>
        </w:rPr>
      </w:pPr>
      <w:r>
        <w:rPr>
          <w:b/>
          <w:szCs w:val="24"/>
        </w:rPr>
        <w:t>Q3</w:t>
      </w:r>
      <w:r w:rsidR="00D822BC">
        <w:rPr>
          <w:b/>
          <w:szCs w:val="24"/>
        </w:rPr>
        <w:t>1</w:t>
      </w:r>
      <w:r w:rsidRPr="00301790">
        <w:rPr>
          <w:b/>
          <w:szCs w:val="24"/>
        </w:rPr>
        <w:t>. Is the United States your native country?</w:t>
      </w:r>
    </w:p>
    <w:p w:rsidR="00B33B62" w:rsidRPr="00FE018B" w:rsidRDefault="00B33B62" w:rsidP="00B33B62">
      <w:pPr>
        <w:pStyle w:val="ListParagraph"/>
        <w:numPr>
          <w:ilvl w:val="0"/>
          <w:numId w:val="4"/>
        </w:numPr>
        <w:spacing w:line="240" w:lineRule="auto"/>
        <w:rPr>
          <w:szCs w:val="24"/>
        </w:rPr>
      </w:pPr>
      <w:r>
        <w:rPr>
          <w:szCs w:val="24"/>
        </w:rPr>
        <w:t>Yes</w:t>
      </w:r>
    </w:p>
    <w:p w:rsidR="00B33B62" w:rsidRDefault="00B33B62" w:rsidP="00B33B62">
      <w:pPr>
        <w:pStyle w:val="ListParagraph"/>
        <w:numPr>
          <w:ilvl w:val="0"/>
          <w:numId w:val="4"/>
        </w:numPr>
        <w:spacing w:line="240" w:lineRule="auto"/>
        <w:rPr>
          <w:szCs w:val="24"/>
        </w:rPr>
      </w:pPr>
      <w:r>
        <w:rPr>
          <w:szCs w:val="24"/>
        </w:rPr>
        <w:t>No</w:t>
      </w:r>
    </w:p>
    <w:p w:rsidR="00B33B62" w:rsidRDefault="00B33B62" w:rsidP="00B33B62">
      <w:pPr>
        <w:pStyle w:val="ListParagraph"/>
        <w:numPr>
          <w:ilvl w:val="0"/>
          <w:numId w:val="4"/>
        </w:numPr>
        <w:spacing w:line="240" w:lineRule="auto"/>
        <w:rPr>
          <w:szCs w:val="24"/>
        </w:rPr>
      </w:pPr>
      <w:r w:rsidRPr="0001679B">
        <w:rPr>
          <w:szCs w:val="24"/>
        </w:rPr>
        <w:t>Rather Not Say</w:t>
      </w:r>
    </w:p>
    <w:p w:rsidR="00B33B62" w:rsidRDefault="00B33B62" w:rsidP="00B33B62">
      <w:pPr>
        <w:spacing w:line="240" w:lineRule="auto"/>
        <w:ind w:firstLine="0"/>
        <w:rPr>
          <w:szCs w:val="24"/>
        </w:rPr>
      </w:pPr>
    </w:p>
    <w:p w:rsidR="00B33B62" w:rsidRPr="00301790" w:rsidRDefault="00B33B62" w:rsidP="00B33B62">
      <w:pPr>
        <w:spacing w:line="240" w:lineRule="auto"/>
        <w:ind w:firstLine="0"/>
        <w:rPr>
          <w:szCs w:val="24"/>
        </w:rPr>
      </w:pPr>
    </w:p>
    <w:p w:rsidR="00B33B62" w:rsidRDefault="009D10B2" w:rsidP="00B33B62">
      <w:pPr>
        <w:ind w:firstLine="0"/>
      </w:pPr>
      <w:r>
        <w:pict>
          <v:rect id="_x0000_i1026" style="width:468pt;height:1.5pt" o:hralign="center" o:hrstd="t" o:hrnoshade="t" o:hr="t" fillcolor="black" stroked="f"/>
        </w:pict>
      </w:r>
    </w:p>
    <w:p w:rsidR="00B33B62" w:rsidRPr="008D4C62" w:rsidRDefault="00B33B62" w:rsidP="00B33B62">
      <w:pPr>
        <w:tabs>
          <w:tab w:val="left" w:pos="5760"/>
        </w:tabs>
        <w:spacing w:line="240" w:lineRule="auto"/>
        <w:ind w:firstLine="0"/>
      </w:pPr>
      <w:r w:rsidRPr="008D4C62">
        <w:t>If at any time during the survey you felt uncomfortable or believe you</w:t>
      </w:r>
      <w:r w:rsidR="00B30629">
        <w:t>, or someone you know,</w:t>
      </w:r>
      <w:r w:rsidRPr="008D4C62">
        <w:t xml:space="preserve"> may have a </w:t>
      </w:r>
      <w:r>
        <w:t xml:space="preserve">problem with substances </w:t>
      </w:r>
      <w:r w:rsidRPr="008D4C62">
        <w:t>please contact any of the resources below</w:t>
      </w:r>
      <w:r>
        <w:t>:</w:t>
      </w:r>
    </w:p>
    <w:p w:rsidR="00B33B62" w:rsidRPr="008D4C62" w:rsidRDefault="00B33B62" w:rsidP="00B33B62">
      <w:pPr>
        <w:tabs>
          <w:tab w:val="left" w:pos="5760"/>
        </w:tabs>
        <w:spacing w:line="240" w:lineRule="auto"/>
        <w:ind w:firstLine="0"/>
      </w:pPr>
    </w:p>
    <w:p w:rsidR="00B33B62" w:rsidRPr="008D4C62" w:rsidRDefault="00B33B62" w:rsidP="00B33B62">
      <w:pPr>
        <w:tabs>
          <w:tab w:val="left" w:pos="720"/>
          <w:tab w:val="left" w:pos="4320"/>
          <w:tab w:val="left" w:pos="8640"/>
        </w:tabs>
        <w:spacing w:line="240" w:lineRule="auto"/>
        <w:ind w:firstLine="0"/>
      </w:pPr>
      <w:r>
        <w:t>Off campus Resource</w:t>
      </w:r>
      <w:r>
        <w:tab/>
      </w:r>
      <w:r w:rsidRPr="008D4C62">
        <w:t>Counseling Center</w:t>
      </w:r>
      <w:r w:rsidRPr="008D4C62">
        <w:tab/>
      </w:r>
    </w:p>
    <w:p w:rsidR="00B33B62" w:rsidRPr="008D4C62" w:rsidRDefault="00B33B62" w:rsidP="00B33B62">
      <w:pPr>
        <w:tabs>
          <w:tab w:val="left" w:pos="720"/>
          <w:tab w:val="left" w:pos="4320"/>
          <w:tab w:val="left" w:pos="8640"/>
        </w:tabs>
        <w:spacing w:line="240" w:lineRule="auto"/>
        <w:ind w:firstLine="0"/>
      </w:pPr>
      <w:r>
        <w:t>Bradford Health Services</w:t>
      </w:r>
      <w:r>
        <w:tab/>
      </w:r>
      <w:r w:rsidRPr="008D4C62">
        <w:t>University of Tennessee</w:t>
      </w:r>
      <w:r w:rsidRPr="008D4C62">
        <w:tab/>
      </w:r>
    </w:p>
    <w:p w:rsidR="00B33B62" w:rsidRPr="008D4C62" w:rsidRDefault="00B33B62" w:rsidP="00B33B62">
      <w:pPr>
        <w:tabs>
          <w:tab w:val="left" w:pos="720"/>
          <w:tab w:val="left" w:pos="4320"/>
          <w:tab w:val="left" w:pos="8640"/>
        </w:tabs>
        <w:spacing w:line="240" w:lineRule="auto"/>
        <w:ind w:firstLine="0"/>
      </w:pPr>
      <w:r>
        <w:t>301 S. Gallaher View RD</w:t>
      </w:r>
      <w:r>
        <w:tab/>
      </w:r>
      <w:r w:rsidRPr="008D4C62">
        <w:t>900 Volunteer Blvd.</w:t>
      </w:r>
      <w:r w:rsidRPr="008D4C62">
        <w:tab/>
      </w:r>
    </w:p>
    <w:p w:rsidR="00B33B62" w:rsidRPr="008D4C62" w:rsidRDefault="00B33B62" w:rsidP="00B33B62">
      <w:pPr>
        <w:tabs>
          <w:tab w:val="left" w:pos="720"/>
          <w:tab w:val="left" w:pos="4320"/>
          <w:tab w:val="left" w:pos="8640"/>
        </w:tabs>
        <w:spacing w:line="240" w:lineRule="auto"/>
        <w:ind w:firstLine="0"/>
      </w:pPr>
      <w:r>
        <w:t>Suite 300</w:t>
      </w:r>
      <w:r>
        <w:tab/>
      </w:r>
      <w:r w:rsidRPr="008D4C62">
        <w:t>Knoxville, TN 37996-4250</w:t>
      </w:r>
      <w:r w:rsidRPr="008D4C62">
        <w:tab/>
      </w:r>
    </w:p>
    <w:p w:rsidR="00B33B62" w:rsidRPr="008D4C62" w:rsidRDefault="00B33B62" w:rsidP="00B33B62">
      <w:pPr>
        <w:pStyle w:val="ListParagraph"/>
        <w:tabs>
          <w:tab w:val="left" w:pos="720"/>
          <w:tab w:val="left" w:pos="4320"/>
          <w:tab w:val="left" w:pos="8640"/>
        </w:tabs>
        <w:spacing w:line="240" w:lineRule="auto"/>
        <w:ind w:left="0" w:firstLine="0"/>
      </w:pPr>
      <w:r>
        <w:t>Knoxville, TN 37919</w:t>
      </w:r>
      <w:r>
        <w:tab/>
      </w:r>
      <w:r w:rsidRPr="008D4C62">
        <w:t>Phone: (865) 974-2196</w:t>
      </w:r>
      <w:r w:rsidRPr="008D4C62">
        <w:tab/>
      </w:r>
    </w:p>
    <w:p w:rsidR="00B33B62" w:rsidRPr="008D4C62" w:rsidRDefault="00B33B62" w:rsidP="00B33B62">
      <w:pPr>
        <w:pStyle w:val="ListParagraph"/>
        <w:tabs>
          <w:tab w:val="left" w:pos="720"/>
          <w:tab w:val="left" w:pos="4320"/>
          <w:tab w:val="left" w:pos="8640"/>
        </w:tabs>
        <w:spacing w:line="240" w:lineRule="auto"/>
        <w:ind w:left="0" w:firstLine="0"/>
      </w:pPr>
      <w:r>
        <w:t>Phone: (865) 693-9326</w:t>
      </w:r>
      <w:r>
        <w:tab/>
      </w:r>
      <w:r w:rsidRPr="008D4C62">
        <w:t xml:space="preserve">Email: </w:t>
      </w:r>
      <w:hyperlink r:id="rId15" w:history="1">
        <w:r w:rsidRPr="008D4C62">
          <w:rPr>
            <w:rStyle w:val="Hyperlink"/>
          </w:rPr>
          <w:t>counselingcenter@utk.edu</w:t>
        </w:r>
      </w:hyperlink>
      <w:r w:rsidRPr="008D4C62">
        <w:tab/>
      </w:r>
    </w:p>
    <w:p w:rsidR="00B33B62" w:rsidRDefault="00B33B62" w:rsidP="00B33B62">
      <w:pPr>
        <w:pStyle w:val="ListParagraph"/>
        <w:spacing w:line="240" w:lineRule="auto"/>
        <w:ind w:left="0" w:firstLine="0"/>
      </w:pPr>
    </w:p>
    <w:p w:rsidR="00B33B62" w:rsidRPr="00301790" w:rsidRDefault="009D10B2" w:rsidP="00B33B62">
      <w:pPr>
        <w:pStyle w:val="ListParagraph"/>
        <w:spacing w:line="240" w:lineRule="auto"/>
        <w:ind w:left="0" w:firstLine="0"/>
      </w:pPr>
      <w:r>
        <w:pict>
          <v:rect id="_x0000_i1027" style="width:468pt;height:1.5pt" o:hralign="center" o:hrstd="t" o:hrnoshade="t" o:hr="t" fillcolor="black" stroked="f"/>
        </w:pict>
      </w:r>
    </w:p>
    <w:p w:rsidR="00B33B62" w:rsidRDefault="00B33B62" w:rsidP="00B33B62">
      <w:pPr>
        <w:pStyle w:val="NormalWeb"/>
        <w:spacing w:before="0" w:beforeAutospacing="0" w:after="0" w:afterAutospacing="0"/>
        <w:jc w:val="center"/>
        <w:rPr>
          <w:rFonts w:ascii="Arial" w:hAnsi="Arial"/>
        </w:rPr>
      </w:pPr>
    </w:p>
    <w:p w:rsidR="00B33B62" w:rsidRPr="00E27596" w:rsidRDefault="00B33B62" w:rsidP="00B33B62">
      <w:pPr>
        <w:pStyle w:val="NormalWeb"/>
        <w:spacing w:before="0" w:beforeAutospacing="0" w:after="0" w:afterAutospacing="0"/>
        <w:jc w:val="center"/>
        <w:rPr>
          <w:rFonts w:ascii="Arial" w:hAnsi="Arial"/>
        </w:rPr>
      </w:pPr>
      <w:r w:rsidRPr="00E27596">
        <w:rPr>
          <w:rFonts w:ascii="Arial" w:hAnsi="Arial"/>
        </w:rPr>
        <w:t xml:space="preserve">Thank you for completing the survey. If you would like to participate in the drawing for </w:t>
      </w:r>
      <w:r w:rsidR="00C949A2">
        <w:rPr>
          <w:rFonts w:ascii="Arial" w:hAnsi="Arial"/>
        </w:rPr>
        <w:t>one of 10</w:t>
      </w:r>
      <w:r w:rsidRPr="00E27596">
        <w:rPr>
          <w:rFonts w:ascii="Arial" w:hAnsi="Arial"/>
        </w:rPr>
        <w:t xml:space="preserve"> $</w:t>
      </w:r>
      <w:r w:rsidR="00C949A2">
        <w:rPr>
          <w:rFonts w:ascii="Arial" w:hAnsi="Arial"/>
        </w:rPr>
        <w:t>25</w:t>
      </w:r>
      <w:r w:rsidRPr="00E27596">
        <w:rPr>
          <w:rFonts w:ascii="Arial" w:hAnsi="Arial"/>
        </w:rPr>
        <w:t xml:space="preserve"> </w:t>
      </w:r>
      <w:r w:rsidR="00B30629">
        <w:rPr>
          <w:rFonts w:ascii="Arial" w:hAnsi="Arial"/>
        </w:rPr>
        <w:t xml:space="preserve">Amazon.com </w:t>
      </w:r>
      <w:r w:rsidRPr="00E27596">
        <w:rPr>
          <w:rFonts w:ascii="Arial" w:hAnsi="Arial"/>
        </w:rPr>
        <w:t>gift certificate</w:t>
      </w:r>
      <w:r w:rsidR="00C949A2">
        <w:rPr>
          <w:rFonts w:ascii="Arial" w:hAnsi="Arial"/>
        </w:rPr>
        <w:t>s</w:t>
      </w:r>
      <w:r w:rsidRPr="00E27596">
        <w:rPr>
          <w:rFonts w:ascii="Arial" w:hAnsi="Arial"/>
        </w:rPr>
        <w:t>, please go to this link.</w:t>
      </w:r>
    </w:p>
    <w:p w:rsidR="00B33B62" w:rsidRDefault="00B33B62" w:rsidP="009C5658">
      <w:pPr>
        <w:pStyle w:val="Heading1"/>
        <w:sectPr w:rsidR="00B33B62" w:rsidSect="00FE256D">
          <w:pgSz w:w="15840" w:h="12240" w:orient="landscape"/>
          <w:pgMar w:top="1440" w:right="1440" w:bottom="1440" w:left="1440" w:header="1440" w:footer="720" w:gutter="0"/>
          <w:cols w:space="720"/>
          <w:docGrid w:linePitch="360"/>
        </w:sectPr>
      </w:pPr>
    </w:p>
    <w:p w:rsidR="003F6BB5" w:rsidRDefault="0001679B" w:rsidP="009C5658">
      <w:pPr>
        <w:pStyle w:val="Heading1"/>
      </w:pPr>
      <w:bookmarkStart w:id="97" w:name="_Toc315010481"/>
      <w:r>
        <w:lastRenderedPageBreak/>
        <w:t xml:space="preserve">APPENDIX </w:t>
      </w:r>
      <w:r w:rsidR="00B33B62">
        <w:t>B</w:t>
      </w:r>
      <w:bookmarkEnd w:id="97"/>
    </w:p>
    <w:p w:rsidR="004D0691" w:rsidRPr="004D0691" w:rsidRDefault="004D0691" w:rsidP="00CB11D5">
      <w:pPr>
        <w:spacing w:line="240" w:lineRule="auto"/>
        <w:ind w:firstLine="0"/>
      </w:pPr>
      <w:r w:rsidRPr="004D0691">
        <w:t>Dear Graduate Student,</w:t>
      </w:r>
    </w:p>
    <w:p w:rsidR="004D0691" w:rsidRPr="004D0691" w:rsidRDefault="004D0691" w:rsidP="00CB11D5">
      <w:pPr>
        <w:spacing w:line="240" w:lineRule="auto"/>
        <w:ind w:firstLine="0"/>
      </w:pPr>
    </w:p>
    <w:p w:rsidR="004D0691" w:rsidRPr="004D0691" w:rsidRDefault="004D0691" w:rsidP="00CB11D5">
      <w:pPr>
        <w:spacing w:line="240" w:lineRule="auto"/>
        <w:ind w:firstLine="0"/>
      </w:pPr>
      <w:r w:rsidRPr="004D0691">
        <w:t xml:space="preserve">My name is Matt Varga and I am a doctoral candidate in the Department of Educational Leadership and Policy Studies at The University of Tennessee, Knoxville. For my dissertation, I am conducting a survey of graduate students’ use of prescription stimulants and request your participation in this study. </w:t>
      </w:r>
    </w:p>
    <w:p w:rsidR="004D0691" w:rsidRPr="004D0691" w:rsidRDefault="004D0691" w:rsidP="00CB11D5">
      <w:pPr>
        <w:spacing w:line="240" w:lineRule="auto"/>
        <w:ind w:firstLine="0"/>
      </w:pPr>
    </w:p>
    <w:p w:rsidR="004D0691" w:rsidRPr="004D0691" w:rsidRDefault="004D0691" w:rsidP="00CB11D5">
      <w:pPr>
        <w:spacing w:line="240" w:lineRule="auto"/>
        <w:ind w:firstLine="0"/>
      </w:pPr>
      <w:r w:rsidRPr="004D0691">
        <w:t>The purpose of this study is to understand prescription stimulant use among graduate students. The survey is currently used each year to assess undergraduate students’ use of prescription stimulants at the University of Michigan. This is the survey’s first use with graduate students, although they are identified as a population similarly at risk for prescription stimulant use. The survey asks sensitive information about the use of prescription and illicit drugs; however, the survey is to be completed anonymously, no individuals will be identifiable, and all data will be aggregated for reporting purposes. Further, participation is voluntary.</w:t>
      </w:r>
    </w:p>
    <w:p w:rsidR="004D0691" w:rsidRPr="004D0691" w:rsidRDefault="004D0691" w:rsidP="00CB11D5">
      <w:pPr>
        <w:spacing w:line="240" w:lineRule="auto"/>
        <w:ind w:firstLine="0"/>
      </w:pPr>
    </w:p>
    <w:p w:rsidR="004D0691" w:rsidRPr="004D0691" w:rsidRDefault="004D0691" w:rsidP="00CB11D5">
      <w:pPr>
        <w:spacing w:line="240" w:lineRule="auto"/>
        <w:ind w:firstLine="0"/>
      </w:pPr>
      <w:r w:rsidRPr="004D0691">
        <w:t xml:space="preserve">The survey should take approximately 15 to 20 minutes. The survey does not ask any identifiable information, record IP addresses, or record who participated. At the conclusion of the survey, you will have an opportunity to participate in a drawing for one of 10 $25 gift certificates to Amazon.com until the last week of January. The drawing for the incentive will take place the first week of February and winners will be notified via email. The information solicited for the gift certificate is not linked to the research study; thus, protecting your identity. It is important you read the Informed Consent. </w:t>
      </w:r>
    </w:p>
    <w:p w:rsidR="004D0691" w:rsidRPr="004D0691" w:rsidRDefault="004D0691" w:rsidP="00CB11D5">
      <w:pPr>
        <w:spacing w:line="240" w:lineRule="auto"/>
        <w:ind w:firstLine="0"/>
      </w:pPr>
    </w:p>
    <w:p w:rsidR="004D0691" w:rsidRPr="004D0691" w:rsidRDefault="004D0691" w:rsidP="00CB11D5">
      <w:pPr>
        <w:spacing w:line="240" w:lineRule="auto"/>
        <w:ind w:firstLine="0"/>
      </w:pPr>
      <w:r w:rsidRPr="004D0691">
        <w:t xml:space="preserve">If you wish to participate in the study, please click here. This will direct you to the Informed Consent. Please read the Informed Consent carefully. At the conclusion of the Informed Consent is a link to the survey. Proceeding to the survey implies informed consent. It is strongly suggested you print a copy for your records. </w:t>
      </w:r>
    </w:p>
    <w:p w:rsidR="004D0691" w:rsidRPr="004D0691" w:rsidRDefault="004D0691" w:rsidP="00CB11D5">
      <w:pPr>
        <w:spacing w:line="240" w:lineRule="auto"/>
        <w:ind w:firstLine="0"/>
      </w:pPr>
    </w:p>
    <w:p w:rsidR="004D0691" w:rsidRPr="004D0691" w:rsidRDefault="004D0691" w:rsidP="00CB11D5">
      <w:pPr>
        <w:spacing w:line="240" w:lineRule="auto"/>
        <w:ind w:firstLine="0"/>
      </w:pPr>
      <w:r w:rsidRPr="004D0691">
        <w:t xml:space="preserve">I thank you for your participation in this doctoral dissertation study. If any point during or after the survey you need to contact the principal investigator, please feel free to do so either via email </w:t>
      </w:r>
      <w:r w:rsidR="00203FEE">
        <w:t>or by phone</w:t>
      </w:r>
      <w:r w:rsidRPr="004D0691">
        <w:t>. If you choose not to participate in the survey, you can access the incentive form here: Incentive. However, your participation would be valued greatly! You can access the survey by clicking here: Survey.</w:t>
      </w:r>
    </w:p>
    <w:p w:rsidR="004D0691" w:rsidRPr="004D0691" w:rsidRDefault="004D0691" w:rsidP="00CB11D5">
      <w:pPr>
        <w:spacing w:line="240" w:lineRule="auto"/>
        <w:ind w:firstLine="0"/>
      </w:pPr>
    </w:p>
    <w:p w:rsidR="004D0691" w:rsidRPr="004D0691" w:rsidRDefault="004D0691" w:rsidP="00CB11D5">
      <w:pPr>
        <w:spacing w:line="240" w:lineRule="auto"/>
        <w:ind w:firstLine="0"/>
      </w:pPr>
      <w:r w:rsidRPr="004D0691">
        <w:t>Sincerely,</w:t>
      </w:r>
    </w:p>
    <w:p w:rsidR="004D0691" w:rsidRPr="004D0691" w:rsidRDefault="004D0691" w:rsidP="00CB11D5">
      <w:pPr>
        <w:spacing w:line="240" w:lineRule="auto"/>
        <w:ind w:firstLine="0"/>
      </w:pPr>
    </w:p>
    <w:p w:rsidR="004D0691" w:rsidRPr="004D0691" w:rsidRDefault="004D0691" w:rsidP="00CB11D5">
      <w:pPr>
        <w:spacing w:line="240" w:lineRule="auto"/>
        <w:ind w:firstLine="0"/>
      </w:pPr>
      <w:r w:rsidRPr="004D0691">
        <w:t>Matt Varga</w:t>
      </w:r>
    </w:p>
    <w:p w:rsidR="004D0691" w:rsidRPr="004D0691" w:rsidRDefault="004D0691" w:rsidP="00CB11D5">
      <w:pPr>
        <w:spacing w:line="240" w:lineRule="auto"/>
        <w:ind w:firstLine="0"/>
      </w:pPr>
      <w:r w:rsidRPr="004D0691">
        <w:t>Doctoral Candidate</w:t>
      </w:r>
    </w:p>
    <w:p w:rsidR="004D0691" w:rsidRPr="004D0691" w:rsidRDefault="004D0691" w:rsidP="00CB11D5">
      <w:pPr>
        <w:spacing w:line="240" w:lineRule="auto"/>
        <w:ind w:firstLine="0"/>
      </w:pPr>
      <w:r w:rsidRPr="004D0691">
        <w:t>Higher Education Administration</w:t>
      </w:r>
    </w:p>
    <w:p w:rsidR="004D0691" w:rsidRPr="004D0691" w:rsidRDefault="004D0691" w:rsidP="00CB11D5">
      <w:pPr>
        <w:spacing w:line="240" w:lineRule="auto"/>
        <w:ind w:firstLine="0"/>
      </w:pPr>
      <w:r w:rsidRPr="004D0691">
        <w:t>Department of Educational Leadership and Policy Studies</w:t>
      </w:r>
    </w:p>
    <w:p w:rsidR="00AD1B83" w:rsidRDefault="004D0691" w:rsidP="00CB11D5">
      <w:pPr>
        <w:spacing w:line="240" w:lineRule="auto"/>
        <w:ind w:firstLine="0"/>
        <w:sectPr w:rsidR="00AD1B83" w:rsidSect="00FE256D">
          <w:headerReference w:type="default" r:id="rId16"/>
          <w:pgSz w:w="12240" w:h="15840"/>
          <w:pgMar w:top="1440" w:right="1440" w:bottom="1440" w:left="1440" w:header="1440" w:footer="720" w:gutter="0"/>
          <w:cols w:space="720"/>
          <w:docGrid w:linePitch="360"/>
        </w:sectPr>
      </w:pPr>
      <w:r w:rsidRPr="004D0691">
        <w:t>University of Tennessee</w:t>
      </w:r>
    </w:p>
    <w:p w:rsidR="0037016E" w:rsidRPr="00C55829" w:rsidRDefault="0037016E" w:rsidP="00AD1B83">
      <w:pPr>
        <w:pStyle w:val="Heading1"/>
        <w:spacing w:line="240" w:lineRule="auto"/>
      </w:pPr>
      <w:bookmarkStart w:id="98" w:name="_Toc315010482"/>
      <w:r>
        <w:lastRenderedPageBreak/>
        <w:t xml:space="preserve">APPENDIX </w:t>
      </w:r>
      <w:r w:rsidR="00B33B62">
        <w:t>C</w:t>
      </w:r>
      <w:bookmarkEnd w:id="98"/>
    </w:p>
    <w:p w:rsidR="00D822BC" w:rsidRPr="007339B5" w:rsidRDefault="00D822BC" w:rsidP="00D822BC">
      <w:pPr>
        <w:spacing w:line="240" w:lineRule="auto"/>
        <w:ind w:firstLine="0"/>
        <w:jc w:val="center"/>
        <w:rPr>
          <w:rFonts w:eastAsia="Times New Roman"/>
          <w:b/>
          <w:szCs w:val="24"/>
        </w:rPr>
      </w:pPr>
      <w:r w:rsidRPr="007339B5">
        <w:rPr>
          <w:rFonts w:eastAsia="Times New Roman"/>
          <w:b/>
          <w:szCs w:val="24"/>
        </w:rPr>
        <w:t>Study Information Sheet</w:t>
      </w:r>
    </w:p>
    <w:p w:rsidR="00D822BC" w:rsidRPr="00D822BC" w:rsidRDefault="00D822BC" w:rsidP="00D822BC">
      <w:pPr>
        <w:spacing w:line="240" w:lineRule="auto"/>
        <w:ind w:firstLine="0"/>
        <w:jc w:val="center"/>
        <w:rPr>
          <w:rFonts w:eastAsia="Times New Roman"/>
          <w:szCs w:val="24"/>
        </w:rPr>
      </w:pPr>
    </w:p>
    <w:p w:rsidR="00D822BC" w:rsidRPr="00D822BC" w:rsidRDefault="00D822BC" w:rsidP="00D822BC">
      <w:pPr>
        <w:spacing w:line="240" w:lineRule="auto"/>
        <w:ind w:firstLine="0"/>
        <w:rPr>
          <w:rFonts w:eastAsia="Times New Roman"/>
          <w:szCs w:val="24"/>
        </w:rPr>
      </w:pPr>
      <w:r w:rsidRPr="00D822BC">
        <w:rPr>
          <w:rFonts w:eastAsia="Times New Roman"/>
          <w:szCs w:val="24"/>
        </w:rPr>
        <w:t xml:space="preserve">This research study is being conducted by Matt Varga, a Ph.D. candidate in the Higher Education Administration program in the Department of Educational Leadership and Policy Studies at The University of Tennessee, Knoxville. This is a doctoral dissertation on graduate students’ and prescription stimulant use. </w:t>
      </w:r>
    </w:p>
    <w:p w:rsidR="00D822BC" w:rsidRPr="00D822BC" w:rsidRDefault="00D822BC" w:rsidP="00D822BC">
      <w:pPr>
        <w:spacing w:line="240" w:lineRule="auto"/>
        <w:ind w:firstLine="0"/>
        <w:rPr>
          <w:rFonts w:eastAsia="Times New Roman"/>
          <w:szCs w:val="24"/>
        </w:rPr>
      </w:pPr>
    </w:p>
    <w:p w:rsidR="00D822BC" w:rsidRPr="00D822BC" w:rsidRDefault="00D822BC" w:rsidP="00D822BC">
      <w:pPr>
        <w:spacing w:line="240" w:lineRule="auto"/>
        <w:ind w:firstLine="0"/>
        <w:rPr>
          <w:rFonts w:eastAsia="Times New Roman"/>
          <w:szCs w:val="24"/>
        </w:rPr>
      </w:pPr>
      <w:r w:rsidRPr="00D822BC">
        <w:rPr>
          <w:rFonts w:eastAsia="Times New Roman"/>
          <w:szCs w:val="24"/>
        </w:rPr>
        <w:t xml:space="preserve">Your help would be greatly appreciated in completing the survey. The survey is currently used each year to assess undergraduate students’ use of prescription stimulants at the University of Michigan. This is the survey’s first use with graduate students, although they are identified as a population similarly at risk for prescription stimulant use. This research will aid faculty, student affairs practitioners, health care providers, and others about prescription stimulant use among graduate students. </w:t>
      </w:r>
    </w:p>
    <w:p w:rsidR="00D822BC" w:rsidRPr="00D822BC" w:rsidRDefault="00D822BC" w:rsidP="00D822BC">
      <w:pPr>
        <w:spacing w:line="240" w:lineRule="auto"/>
        <w:ind w:firstLine="0"/>
        <w:rPr>
          <w:rFonts w:eastAsia="Times New Roman"/>
          <w:szCs w:val="24"/>
        </w:rPr>
      </w:pPr>
    </w:p>
    <w:p w:rsidR="00D822BC" w:rsidRPr="00D822BC" w:rsidRDefault="00D822BC" w:rsidP="00D822BC">
      <w:pPr>
        <w:spacing w:line="240" w:lineRule="auto"/>
        <w:ind w:firstLine="0"/>
        <w:rPr>
          <w:rFonts w:eastAsia="Times New Roman"/>
          <w:b/>
          <w:szCs w:val="24"/>
          <w:u w:val="single"/>
        </w:rPr>
      </w:pPr>
      <w:r w:rsidRPr="00D822BC">
        <w:rPr>
          <w:rFonts w:eastAsia="Times New Roman"/>
          <w:b/>
          <w:szCs w:val="24"/>
          <w:u w:val="single"/>
        </w:rPr>
        <w:t>PROTECTION MEASURES</w:t>
      </w:r>
    </w:p>
    <w:p w:rsidR="00D822BC" w:rsidRPr="00D822BC" w:rsidRDefault="00D822BC" w:rsidP="00D822BC">
      <w:pPr>
        <w:spacing w:line="240" w:lineRule="auto"/>
        <w:ind w:firstLine="0"/>
        <w:rPr>
          <w:rFonts w:eastAsia="Times New Roman"/>
          <w:szCs w:val="24"/>
        </w:rPr>
      </w:pPr>
      <w:r w:rsidRPr="00D822BC">
        <w:rPr>
          <w:rFonts w:eastAsia="Times New Roman"/>
          <w:szCs w:val="24"/>
        </w:rPr>
        <w:t>The survey, which is available by means of an electronic link, does include information that is considered personal and sensitive in nature. Your answers will not be connected to any identifiable information since the survey does not request any names.</w:t>
      </w:r>
      <w:r w:rsidR="00F87F24">
        <w:rPr>
          <w:rFonts w:eastAsia="Times New Roman"/>
          <w:szCs w:val="24"/>
        </w:rPr>
        <w:t xml:space="preserve"> </w:t>
      </w:r>
      <w:r w:rsidRPr="00D822BC">
        <w:rPr>
          <w:rFonts w:eastAsia="Times New Roman"/>
          <w:szCs w:val="24"/>
        </w:rPr>
        <w:t xml:space="preserve">Your email address or IP address will not be recorded during the research survey, since the research survey does not record any IP addresses or request your email address. Your email address will be deleted from the principal investigators computer after the third correspondence is sent requesting participation, as well as from the mailbox from which the email was sent. All forms of contact with participants will be deleted; this includes any email correspondence that may occur before or after your participation in the survey. </w:t>
      </w:r>
    </w:p>
    <w:p w:rsidR="00D822BC" w:rsidRPr="00D822BC" w:rsidRDefault="00D822BC" w:rsidP="00D822BC">
      <w:pPr>
        <w:spacing w:line="240" w:lineRule="auto"/>
        <w:ind w:firstLine="0"/>
        <w:rPr>
          <w:rFonts w:eastAsia="Times New Roman"/>
          <w:szCs w:val="24"/>
        </w:rPr>
      </w:pPr>
    </w:p>
    <w:p w:rsidR="00D822BC" w:rsidRPr="00D822BC" w:rsidRDefault="00D822BC" w:rsidP="00D822BC">
      <w:pPr>
        <w:spacing w:line="240" w:lineRule="auto"/>
        <w:ind w:firstLine="0"/>
        <w:rPr>
          <w:rFonts w:eastAsia="Times New Roman"/>
          <w:szCs w:val="24"/>
        </w:rPr>
      </w:pPr>
      <w:r w:rsidRPr="00D822BC">
        <w:rPr>
          <w:rFonts w:eastAsia="Times New Roman"/>
          <w:szCs w:val="24"/>
        </w:rPr>
        <w:t>After data collection, all data will be deleted from the survey database and stored on an external hard drive that is double password protected and locked in a drawer accessible only to the principal investigator. The data will remain on the hard drive for a maximum of five years. At the conclusion of those five years, the principal investigator will delete the data in accordance with the Department of Defense 5220.20 deletion standards. During the reporting of the data, no identifiable information of participants will be revealed. All data will be aggregated for reporting purposes and neither individuals nor institution will be reported. Participation is strictly voluntary without penalty, and you may withdraw from participation at any point without penalty. Any answers you provided prior to your withdrawal will be destroyed since the survey records answers as you progress through the survey.</w:t>
      </w:r>
    </w:p>
    <w:p w:rsidR="00D822BC" w:rsidRPr="00D822BC" w:rsidRDefault="00D822BC" w:rsidP="00D822BC">
      <w:pPr>
        <w:spacing w:line="240" w:lineRule="auto"/>
        <w:ind w:firstLine="0"/>
        <w:rPr>
          <w:rFonts w:eastAsia="Times New Roman"/>
          <w:szCs w:val="24"/>
        </w:rPr>
      </w:pPr>
    </w:p>
    <w:p w:rsidR="00D822BC" w:rsidRPr="00D822BC" w:rsidRDefault="00D822BC" w:rsidP="00D822BC">
      <w:pPr>
        <w:spacing w:line="240" w:lineRule="auto"/>
        <w:ind w:firstLine="0"/>
        <w:rPr>
          <w:rFonts w:eastAsia="Times New Roman"/>
          <w:b/>
          <w:szCs w:val="24"/>
          <w:u w:val="single"/>
        </w:rPr>
      </w:pPr>
      <w:r w:rsidRPr="00D822BC">
        <w:rPr>
          <w:rFonts w:eastAsia="Times New Roman"/>
          <w:b/>
          <w:szCs w:val="24"/>
          <w:u w:val="single"/>
        </w:rPr>
        <w:t>CONTACT INFORMATION</w:t>
      </w:r>
    </w:p>
    <w:p w:rsidR="00D822BC" w:rsidRPr="00D822BC" w:rsidRDefault="00D822BC" w:rsidP="00D822BC">
      <w:pPr>
        <w:spacing w:line="240" w:lineRule="auto"/>
        <w:ind w:firstLine="0"/>
        <w:rPr>
          <w:rFonts w:eastAsia="Times New Roman"/>
          <w:szCs w:val="24"/>
        </w:rPr>
      </w:pPr>
      <w:r w:rsidRPr="00D822BC">
        <w:rPr>
          <w:rFonts w:eastAsia="Times New Roman"/>
          <w:szCs w:val="24"/>
        </w:rPr>
        <w:t>If, at any time, you have any questions or concerns prior to, or during, the study, you can contact either the principal investigator or his advisor for information about the study, and Brenda Lawson for questions or concerns about the conduct of the study:</w:t>
      </w:r>
    </w:p>
    <w:p w:rsidR="00D822BC" w:rsidRPr="00D822BC" w:rsidRDefault="00D822BC" w:rsidP="00D822BC">
      <w:pPr>
        <w:spacing w:line="240" w:lineRule="auto"/>
        <w:ind w:firstLine="0"/>
        <w:rPr>
          <w:rFonts w:eastAsia="Times New Roman"/>
          <w:szCs w:val="24"/>
        </w:rPr>
      </w:pPr>
    </w:p>
    <w:p w:rsidR="00D822BC" w:rsidRPr="00D822BC" w:rsidRDefault="00D822BC" w:rsidP="007339B5">
      <w:pPr>
        <w:tabs>
          <w:tab w:val="left" w:pos="5040"/>
        </w:tabs>
        <w:spacing w:line="240" w:lineRule="auto"/>
        <w:ind w:firstLine="0"/>
        <w:rPr>
          <w:rFonts w:eastAsia="Times New Roman"/>
          <w:szCs w:val="24"/>
        </w:rPr>
      </w:pPr>
      <w:r w:rsidRPr="00D822BC">
        <w:rPr>
          <w:rFonts w:eastAsia="Times New Roman"/>
          <w:szCs w:val="24"/>
        </w:rPr>
        <w:t>Investigator</w:t>
      </w:r>
      <w:r w:rsidRPr="00D822BC">
        <w:rPr>
          <w:rFonts w:eastAsia="Times New Roman"/>
          <w:szCs w:val="24"/>
        </w:rPr>
        <w:tab/>
        <w:t>Advisor</w:t>
      </w:r>
    </w:p>
    <w:p w:rsidR="00D822BC" w:rsidRPr="00D822BC" w:rsidRDefault="00D822BC" w:rsidP="007339B5">
      <w:pPr>
        <w:tabs>
          <w:tab w:val="left" w:pos="5040"/>
        </w:tabs>
        <w:spacing w:line="240" w:lineRule="auto"/>
        <w:ind w:firstLine="0"/>
        <w:rPr>
          <w:rFonts w:eastAsia="Times New Roman"/>
          <w:szCs w:val="24"/>
        </w:rPr>
      </w:pPr>
      <w:r w:rsidRPr="00D822BC">
        <w:rPr>
          <w:rFonts w:eastAsia="Times New Roman"/>
          <w:szCs w:val="24"/>
        </w:rPr>
        <w:t>Matt Varga M.S.,</w:t>
      </w:r>
      <w:r w:rsidRPr="00D822BC">
        <w:rPr>
          <w:rFonts w:eastAsia="Times New Roman"/>
          <w:szCs w:val="24"/>
        </w:rPr>
        <w:tab/>
        <w:t>Dr. Norma Mertz</w:t>
      </w:r>
    </w:p>
    <w:p w:rsidR="00D822BC" w:rsidRPr="00D822BC" w:rsidRDefault="00D822BC" w:rsidP="007339B5">
      <w:pPr>
        <w:tabs>
          <w:tab w:val="left" w:pos="5040"/>
        </w:tabs>
        <w:spacing w:line="240" w:lineRule="auto"/>
        <w:ind w:firstLine="0"/>
        <w:rPr>
          <w:rFonts w:eastAsia="Times New Roman"/>
          <w:szCs w:val="24"/>
        </w:rPr>
      </w:pPr>
      <w:r w:rsidRPr="00D822BC">
        <w:rPr>
          <w:rFonts w:eastAsia="Times New Roman"/>
          <w:szCs w:val="24"/>
        </w:rPr>
        <w:t>Educational Leadership and Policy Studies</w:t>
      </w:r>
      <w:r w:rsidRPr="00D822BC">
        <w:rPr>
          <w:rFonts w:eastAsia="Times New Roman"/>
          <w:szCs w:val="24"/>
        </w:rPr>
        <w:tab/>
        <w:t>Educational Leadership and Policy Studies</w:t>
      </w:r>
    </w:p>
    <w:p w:rsidR="00D822BC" w:rsidRPr="00D822BC" w:rsidRDefault="00D822BC" w:rsidP="007339B5">
      <w:pPr>
        <w:tabs>
          <w:tab w:val="left" w:pos="5040"/>
        </w:tabs>
        <w:spacing w:line="240" w:lineRule="auto"/>
        <w:ind w:firstLine="0"/>
        <w:rPr>
          <w:rFonts w:eastAsia="Times New Roman"/>
          <w:szCs w:val="24"/>
        </w:rPr>
      </w:pPr>
      <w:r w:rsidRPr="00D822BC">
        <w:rPr>
          <w:rFonts w:eastAsia="Times New Roman"/>
          <w:szCs w:val="24"/>
        </w:rPr>
        <w:lastRenderedPageBreak/>
        <w:t>1021 Francis St</w:t>
      </w:r>
      <w:r w:rsidRPr="00D822BC">
        <w:rPr>
          <w:rFonts w:eastAsia="Times New Roman"/>
          <w:szCs w:val="24"/>
        </w:rPr>
        <w:tab/>
        <w:t>1122 Volunteer Boulevard</w:t>
      </w:r>
    </w:p>
    <w:p w:rsidR="00D822BC" w:rsidRPr="00D822BC" w:rsidRDefault="00D822BC" w:rsidP="007339B5">
      <w:pPr>
        <w:tabs>
          <w:tab w:val="left" w:pos="5040"/>
        </w:tabs>
        <w:spacing w:line="240" w:lineRule="auto"/>
        <w:ind w:firstLine="0"/>
        <w:rPr>
          <w:rFonts w:eastAsia="Times New Roman"/>
          <w:szCs w:val="24"/>
        </w:rPr>
      </w:pPr>
      <w:r w:rsidRPr="00D822BC">
        <w:rPr>
          <w:rFonts w:eastAsia="Times New Roman"/>
          <w:szCs w:val="24"/>
        </w:rPr>
        <w:t>Knoxville, TN 37916</w:t>
      </w:r>
      <w:r w:rsidRPr="00D822BC">
        <w:rPr>
          <w:rFonts w:eastAsia="Times New Roman"/>
          <w:szCs w:val="24"/>
        </w:rPr>
        <w:tab/>
        <w:t>315 Bailey Education Complex</w:t>
      </w:r>
    </w:p>
    <w:p w:rsidR="00D822BC" w:rsidRPr="00D822BC" w:rsidRDefault="00D822BC" w:rsidP="007339B5">
      <w:pPr>
        <w:tabs>
          <w:tab w:val="left" w:pos="5040"/>
        </w:tabs>
        <w:spacing w:line="240" w:lineRule="auto"/>
        <w:ind w:firstLine="0"/>
        <w:rPr>
          <w:rFonts w:eastAsia="Times New Roman"/>
          <w:szCs w:val="24"/>
        </w:rPr>
      </w:pPr>
      <w:r w:rsidRPr="00D822BC">
        <w:rPr>
          <w:rFonts w:eastAsia="Times New Roman"/>
          <w:szCs w:val="24"/>
        </w:rPr>
        <w:tab/>
        <w:t>Knoxville, TN 37996</w:t>
      </w:r>
    </w:p>
    <w:p w:rsidR="00D822BC" w:rsidRPr="00D822BC" w:rsidRDefault="00D822BC" w:rsidP="00303EAD">
      <w:pPr>
        <w:tabs>
          <w:tab w:val="left" w:pos="5040"/>
        </w:tabs>
        <w:spacing w:line="240" w:lineRule="auto"/>
        <w:ind w:firstLine="0"/>
        <w:rPr>
          <w:rFonts w:eastAsia="Times New Roman"/>
          <w:szCs w:val="24"/>
        </w:rPr>
      </w:pPr>
      <w:r w:rsidRPr="00D822BC">
        <w:rPr>
          <w:rFonts w:eastAsia="Times New Roman"/>
          <w:szCs w:val="24"/>
        </w:rPr>
        <w:tab/>
      </w:r>
    </w:p>
    <w:p w:rsidR="00D822BC" w:rsidRPr="00D822BC" w:rsidRDefault="00D822BC" w:rsidP="00D822BC">
      <w:pPr>
        <w:spacing w:line="240" w:lineRule="auto"/>
        <w:ind w:firstLine="0"/>
        <w:rPr>
          <w:rFonts w:eastAsia="Times New Roman"/>
          <w:szCs w:val="24"/>
        </w:rPr>
      </w:pPr>
      <w:r w:rsidRPr="00D822BC">
        <w:rPr>
          <w:rFonts w:eastAsia="Times New Roman"/>
          <w:szCs w:val="24"/>
        </w:rPr>
        <w:t>Compliance Officer</w:t>
      </w:r>
    </w:p>
    <w:p w:rsidR="00D822BC" w:rsidRPr="00D822BC" w:rsidRDefault="00D822BC" w:rsidP="00D822BC">
      <w:pPr>
        <w:spacing w:line="240" w:lineRule="auto"/>
        <w:ind w:firstLine="0"/>
        <w:rPr>
          <w:rFonts w:eastAsia="Times New Roman"/>
          <w:szCs w:val="24"/>
        </w:rPr>
      </w:pPr>
      <w:r w:rsidRPr="00D822BC">
        <w:rPr>
          <w:rFonts w:eastAsia="Times New Roman"/>
          <w:szCs w:val="24"/>
        </w:rPr>
        <w:t>Brenda Lawson</w:t>
      </w:r>
    </w:p>
    <w:p w:rsidR="00D822BC" w:rsidRPr="00D822BC" w:rsidRDefault="00D822BC" w:rsidP="00D822BC">
      <w:pPr>
        <w:spacing w:line="240" w:lineRule="auto"/>
        <w:ind w:firstLine="0"/>
        <w:rPr>
          <w:rFonts w:eastAsia="Times New Roman"/>
          <w:szCs w:val="24"/>
        </w:rPr>
      </w:pPr>
      <w:r w:rsidRPr="00D822BC">
        <w:rPr>
          <w:rFonts w:eastAsia="Times New Roman"/>
          <w:szCs w:val="24"/>
        </w:rPr>
        <w:t>Office of Research</w:t>
      </w:r>
    </w:p>
    <w:p w:rsidR="00D822BC" w:rsidRPr="00D822BC" w:rsidRDefault="00D822BC" w:rsidP="00D822BC">
      <w:pPr>
        <w:spacing w:line="240" w:lineRule="auto"/>
        <w:ind w:firstLine="0"/>
        <w:rPr>
          <w:rFonts w:eastAsia="Times New Roman"/>
          <w:szCs w:val="24"/>
        </w:rPr>
      </w:pPr>
      <w:r w:rsidRPr="00D822BC">
        <w:rPr>
          <w:rFonts w:eastAsia="Times New Roman"/>
          <w:szCs w:val="24"/>
        </w:rPr>
        <w:t>1534 White Avenue</w:t>
      </w:r>
    </w:p>
    <w:p w:rsidR="00D822BC" w:rsidRPr="00D822BC" w:rsidRDefault="00D822BC" w:rsidP="00D822BC">
      <w:pPr>
        <w:spacing w:line="240" w:lineRule="auto"/>
        <w:ind w:firstLine="0"/>
        <w:rPr>
          <w:rFonts w:eastAsia="Times New Roman"/>
          <w:szCs w:val="24"/>
        </w:rPr>
      </w:pPr>
      <w:r w:rsidRPr="00D822BC">
        <w:rPr>
          <w:rFonts w:eastAsia="Times New Roman"/>
          <w:szCs w:val="24"/>
        </w:rPr>
        <w:t>A102 White Avenue Building</w:t>
      </w:r>
    </w:p>
    <w:p w:rsidR="00D822BC" w:rsidRPr="00D822BC" w:rsidRDefault="00D822BC" w:rsidP="00D822BC">
      <w:pPr>
        <w:spacing w:line="240" w:lineRule="auto"/>
        <w:ind w:firstLine="0"/>
        <w:rPr>
          <w:rFonts w:eastAsia="Times New Roman"/>
          <w:szCs w:val="24"/>
        </w:rPr>
      </w:pPr>
      <w:r w:rsidRPr="00D822BC">
        <w:rPr>
          <w:rFonts w:eastAsia="Times New Roman"/>
          <w:szCs w:val="24"/>
        </w:rPr>
        <w:t>Knoxville, TN 37996</w:t>
      </w:r>
    </w:p>
    <w:p w:rsidR="00D822BC" w:rsidRPr="00D822BC" w:rsidRDefault="00D822BC" w:rsidP="00D822BC">
      <w:pPr>
        <w:spacing w:line="240" w:lineRule="auto"/>
        <w:ind w:firstLine="0"/>
        <w:rPr>
          <w:rFonts w:eastAsia="Times New Roman"/>
          <w:szCs w:val="24"/>
        </w:rPr>
      </w:pPr>
      <w:r w:rsidRPr="00D822BC">
        <w:rPr>
          <w:rFonts w:eastAsia="Times New Roman"/>
          <w:szCs w:val="24"/>
        </w:rPr>
        <w:t xml:space="preserve">blawson@utk.edu </w:t>
      </w:r>
    </w:p>
    <w:p w:rsidR="00D822BC" w:rsidRPr="00D822BC" w:rsidRDefault="00D822BC" w:rsidP="00D822BC">
      <w:pPr>
        <w:spacing w:line="240" w:lineRule="auto"/>
        <w:ind w:firstLine="0"/>
        <w:rPr>
          <w:rFonts w:eastAsia="Times New Roman"/>
          <w:szCs w:val="24"/>
        </w:rPr>
      </w:pPr>
    </w:p>
    <w:p w:rsidR="00D822BC" w:rsidRPr="007339B5" w:rsidRDefault="00D822BC" w:rsidP="00D822BC">
      <w:pPr>
        <w:spacing w:line="240" w:lineRule="auto"/>
        <w:ind w:firstLine="0"/>
        <w:rPr>
          <w:rFonts w:eastAsia="Times New Roman"/>
          <w:b/>
          <w:szCs w:val="24"/>
          <w:u w:val="single"/>
        </w:rPr>
      </w:pPr>
      <w:r w:rsidRPr="007339B5">
        <w:rPr>
          <w:rFonts w:eastAsia="Times New Roman"/>
          <w:b/>
          <w:szCs w:val="24"/>
          <w:u w:val="single"/>
        </w:rPr>
        <w:t>RESOURCES</w:t>
      </w:r>
    </w:p>
    <w:p w:rsidR="00D822BC" w:rsidRPr="00D822BC" w:rsidRDefault="00D822BC" w:rsidP="00D822BC">
      <w:pPr>
        <w:spacing w:line="240" w:lineRule="auto"/>
        <w:ind w:firstLine="0"/>
        <w:rPr>
          <w:rFonts w:eastAsia="Times New Roman"/>
          <w:szCs w:val="24"/>
        </w:rPr>
      </w:pPr>
      <w:r w:rsidRPr="00D822BC">
        <w:rPr>
          <w:rFonts w:eastAsia="Times New Roman"/>
          <w:szCs w:val="24"/>
        </w:rPr>
        <w:t xml:space="preserve">The survey should take approximately 15 – 20 minutes to complete. Should you become uncomfortable at any time, you may stop the survey and skip to the end of the survey to enter into the drawing. There will be no penalty for non-participation or for withdrawing from the survey. </w:t>
      </w:r>
    </w:p>
    <w:p w:rsidR="00D822BC" w:rsidRPr="00D822BC" w:rsidRDefault="00D822BC" w:rsidP="00D822BC">
      <w:pPr>
        <w:spacing w:line="240" w:lineRule="auto"/>
        <w:ind w:firstLine="0"/>
        <w:rPr>
          <w:rFonts w:eastAsia="Times New Roman"/>
          <w:szCs w:val="24"/>
        </w:rPr>
      </w:pPr>
    </w:p>
    <w:p w:rsidR="00D822BC" w:rsidRPr="00D822BC" w:rsidRDefault="00D822BC" w:rsidP="00D822BC">
      <w:pPr>
        <w:spacing w:line="240" w:lineRule="auto"/>
        <w:ind w:firstLine="0"/>
        <w:rPr>
          <w:rFonts w:eastAsia="Times New Roman"/>
          <w:szCs w:val="24"/>
        </w:rPr>
      </w:pPr>
      <w:r w:rsidRPr="00D822BC">
        <w:rPr>
          <w:rFonts w:eastAsia="Times New Roman"/>
          <w:szCs w:val="24"/>
        </w:rPr>
        <w:t xml:space="preserve">Below, and at the conclusion of the survey, are external and institutional resources for you to speak with in the event you feel you may want to speak with someone regarding a substance problem. </w:t>
      </w:r>
    </w:p>
    <w:p w:rsidR="00D822BC" w:rsidRPr="00D822BC" w:rsidRDefault="00D822BC" w:rsidP="00D822BC">
      <w:pPr>
        <w:spacing w:line="240" w:lineRule="auto"/>
        <w:ind w:firstLine="0"/>
        <w:rPr>
          <w:rFonts w:eastAsia="Times New Roman"/>
          <w:szCs w:val="24"/>
        </w:rPr>
      </w:pPr>
    </w:p>
    <w:p w:rsidR="00D822BC" w:rsidRPr="00D822BC" w:rsidRDefault="00D822BC" w:rsidP="007339B5">
      <w:pPr>
        <w:tabs>
          <w:tab w:val="left" w:pos="5040"/>
        </w:tabs>
        <w:spacing w:line="240" w:lineRule="auto"/>
        <w:ind w:firstLine="0"/>
        <w:rPr>
          <w:rFonts w:eastAsia="Times New Roman"/>
          <w:szCs w:val="24"/>
        </w:rPr>
      </w:pPr>
      <w:r w:rsidRPr="00D822BC">
        <w:rPr>
          <w:rFonts w:eastAsia="Times New Roman"/>
          <w:szCs w:val="24"/>
        </w:rPr>
        <w:t>Off Campus Resource</w:t>
      </w:r>
      <w:r w:rsidRPr="00D822BC">
        <w:rPr>
          <w:rFonts w:eastAsia="Times New Roman"/>
          <w:szCs w:val="24"/>
        </w:rPr>
        <w:tab/>
        <w:t>Counseling Center</w:t>
      </w:r>
      <w:r w:rsidRPr="00D822BC">
        <w:rPr>
          <w:rFonts w:eastAsia="Times New Roman"/>
          <w:szCs w:val="24"/>
        </w:rPr>
        <w:tab/>
      </w:r>
    </w:p>
    <w:p w:rsidR="00D822BC" w:rsidRPr="00D822BC" w:rsidRDefault="00D822BC" w:rsidP="007339B5">
      <w:pPr>
        <w:tabs>
          <w:tab w:val="left" w:pos="5040"/>
        </w:tabs>
        <w:spacing w:line="240" w:lineRule="auto"/>
        <w:ind w:firstLine="0"/>
        <w:rPr>
          <w:rFonts w:eastAsia="Times New Roman"/>
          <w:szCs w:val="24"/>
        </w:rPr>
      </w:pPr>
      <w:r w:rsidRPr="00D822BC">
        <w:rPr>
          <w:rFonts w:eastAsia="Times New Roman"/>
          <w:szCs w:val="24"/>
        </w:rPr>
        <w:t>Bradford Health Services</w:t>
      </w:r>
      <w:r w:rsidRPr="00D822BC">
        <w:rPr>
          <w:rFonts w:eastAsia="Times New Roman"/>
          <w:szCs w:val="24"/>
        </w:rPr>
        <w:tab/>
        <w:t>University of Tennessee</w:t>
      </w:r>
      <w:r w:rsidRPr="00D822BC">
        <w:rPr>
          <w:rFonts w:eastAsia="Times New Roman"/>
          <w:szCs w:val="24"/>
        </w:rPr>
        <w:tab/>
      </w:r>
    </w:p>
    <w:p w:rsidR="00D822BC" w:rsidRPr="00D822BC" w:rsidRDefault="00D822BC" w:rsidP="007339B5">
      <w:pPr>
        <w:tabs>
          <w:tab w:val="left" w:pos="5040"/>
        </w:tabs>
        <w:spacing w:line="240" w:lineRule="auto"/>
        <w:ind w:firstLine="0"/>
        <w:rPr>
          <w:rFonts w:eastAsia="Times New Roman"/>
          <w:szCs w:val="24"/>
        </w:rPr>
      </w:pPr>
      <w:r w:rsidRPr="00D822BC">
        <w:rPr>
          <w:rFonts w:eastAsia="Times New Roman"/>
          <w:szCs w:val="24"/>
        </w:rPr>
        <w:t>301 S. Gallaher View RD</w:t>
      </w:r>
      <w:r w:rsidRPr="00D822BC">
        <w:rPr>
          <w:rFonts w:eastAsia="Times New Roman"/>
          <w:szCs w:val="24"/>
        </w:rPr>
        <w:tab/>
        <w:t>900 Volunteer Blvd.</w:t>
      </w:r>
      <w:r w:rsidRPr="00D822BC">
        <w:rPr>
          <w:rFonts w:eastAsia="Times New Roman"/>
          <w:szCs w:val="24"/>
        </w:rPr>
        <w:tab/>
      </w:r>
    </w:p>
    <w:p w:rsidR="00D822BC" w:rsidRPr="00D822BC" w:rsidRDefault="00D822BC" w:rsidP="007339B5">
      <w:pPr>
        <w:tabs>
          <w:tab w:val="left" w:pos="5040"/>
        </w:tabs>
        <w:spacing w:line="240" w:lineRule="auto"/>
        <w:ind w:firstLine="0"/>
        <w:rPr>
          <w:rFonts w:eastAsia="Times New Roman"/>
          <w:szCs w:val="24"/>
        </w:rPr>
      </w:pPr>
      <w:r w:rsidRPr="00D822BC">
        <w:rPr>
          <w:rFonts w:eastAsia="Times New Roman"/>
          <w:szCs w:val="24"/>
        </w:rPr>
        <w:t>Suite 300</w:t>
      </w:r>
      <w:r w:rsidRPr="00D822BC">
        <w:rPr>
          <w:rFonts w:eastAsia="Times New Roman"/>
          <w:szCs w:val="24"/>
        </w:rPr>
        <w:tab/>
        <w:t>Knoxville, TN 37996-4250</w:t>
      </w:r>
      <w:r w:rsidRPr="00D822BC">
        <w:rPr>
          <w:rFonts w:eastAsia="Times New Roman"/>
          <w:szCs w:val="24"/>
        </w:rPr>
        <w:tab/>
      </w:r>
    </w:p>
    <w:p w:rsidR="00D822BC" w:rsidRPr="00D822BC" w:rsidRDefault="00D822BC" w:rsidP="007339B5">
      <w:pPr>
        <w:tabs>
          <w:tab w:val="left" w:pos="5040"/>
        </w:tabs>
        <w:spacing w:line="240" w:lineRule="auto"/>
        <w:ind w:firstLine="0"/>
        <w:rPr>
          <w:rFonts w:eastAsia="Times New Roman"/>
          <w:szCs w:val="24"/>
        </w:rPr>
      </w:pPr>
      <w:r w:rsidRPr="00D822BC">
        <w:rPr>
          <w:rFonts w:eastAsia="Times New Roman"/>
          <w:szCs w:val="24"/>
        </w:rPr>
        <w:t>Knoxville, TN 37919</w:t>
      </w:r>
      <w:r w:rsidRPr="00D822BC">
        <w:rPr>
          <w:rFonts w:eastAsia="Times New Roman"/>
          <w:szCs w:val="24"/>
        </w:rPr>
        <w:tab/>
        <w:t>Phone: (865) 974-2196</w:t>
      </w:r>
    </w:p>
    <w:p w:rsidR="00D822BC" w:rsidRPr="00D822BC" w:rsidRDefault="00D822BC" w:rsidP="007339B5">
      <w:pPr>
        <w:tabs>
          <w:tab w:val="left" w:pos="5040"/>
        </w:tabs>
        <w:spacing w:line="240" w:lineRule="auto"/>
        <w:ind w:firstLine="0"/>
        <w:rPr>
          <w:rFonts w:eastAsia="Times New Roman"/>
          <w:szCs w:val="24"/>
        </w:rPr>
      </w:pPr>
      <w:r w:rsidRPr="00D822BC">
        <w:rPr>
          <w:rFonts w:eastAsia="Times New Roman"/>
          <w:szCs w:val="24"/>
        </w:rPr>
        <w:t>Phone: (865) 693-9326</w:t>
      </w:r>
      <w:r w:rsidRPr="00D822BC">
        <w:rPr>
          <w:rFonts w:eastAsia="Times New Roman"/>
          <w:szCs w:val="24"/>
        </w:rPr>
        <w:tab/>
        <w:t>Email: counselingcenter@utk.edu</w:t>
      </w:r>
      <w:r w:rsidRPr="00D822BC">
        <w:rPr>
          <w:rFonts w:eastAsia="Times New Roman"/>
          <w:szCs w:val="24"/>
        </w:rPr>
        <w:tab/>
      </w:r>
    </w:p>
    <w:p w:rsidR="00D822BC" w:rsidRPr="00D822BC" w:rsidRDefault="00D822BC" w:rsidP="00D822BC">
      <w:pPr>
        <w:spacing w:line="240" w:lineRule="auto"/>
        <w:ind w:firstLine="0"/>
        <w:rPr>
          <w:rFonts w:eastAsia="Times New Roman"/>
          <w:szCs w:val="24"/>
        </w:rPr>
      </w:pPr>
    </w:p>
    <w:p w:rsidR="00D822BC" w:rsidRPr="007339B5" w:rsidRDefault="00D822BC" w:rsidP="00D822BC">
      <w:pPr>
        <w:spacing w:line="240" w:lineRule="auto"/>
        <w:ind w:firstLine="0"/>
        <w:rPr>
          <w:rFonts w:eastAsia="Times New Roman"/>
          <w:b/>
          <w:szCs w:val="24"/>
          <w:u w:val="single"/>
        </w:rPr>
      </w:pPr>
      <w:r w:rsidRPr="007339B5">
        <w:rPr>
          <w:rFonts w:eastAsia="Times New Roman"/>
          <w:b/>
          <w:szCs w:val="24"/>
          <w:u w:val="single"/>
        </w:rPr>
        <w:t>INCENTIVES</w:t>
      </w:r>
    </w:p>
    <w:p w:rsidR="00D822BC" w:rsidRPr="00D822BC" w:rsidRDefault="00D822BC" w:rsidP="00D822BC">
      <w:pPr>
        <w:spacing w:line="240" w:lineRule="auto"/>
        <w:ind w:firstLine="0"/>
        <w:rPr>
          <w:rFonts w:eastAsia="Times New Roman"/>
          <w:szCs w:val="24"/>
        </w:rPr>
      </w:pPr>
      <w:r w:rsidRPr="00D822BC">
        <w:rPr>
          <w:rFonts w:eastAsia="Times New Roman"/>
          <w:szCs w:val="24"/>
        </w:rPr>
        <w:t>Additionally, you will have an opportunity to be directed to a form, separate from this survey, to be entered into a drawing for one of 10 $25 Amazon gift certificates. The incentive information will not be linked to this research study in any way; thus, protecting your identity. Ten people will be selected and notified via email. The drawing will take place the first week of February 2012. The winners will be notified via email and sent an electronic Amazon gift card. The electronic communication further protects your identity. At the conclusion of the drawing, all names and email addresses associated with the incentive will be destroyed.</w:t>
      </w:r>
    </w:p>
    <w:p w:rsidR="00D822BC" w:rsidRPr="00D822BC" w:rsidRDefault="00D822BC" w:rsidP="00D822BC">
      <w:pPr>
        <w:spacing w:line="240" w:lineRule="auto"/>
        <w:ind w:firstLine="0"/>
        <w:rPr>
          <w:rFonts w:eastAsia="Times New Roman"/>
          <w:szCs w:val="24"/>
        </w:rPr>
      </w:pPr>
    </w:p>
    <w:p w:rsidR="00D822BC" w:rsidRPr="007339B5" w:rsidRDefault="00D822BC" w:rsidP="00D822BC">
      <w:pPr>
        <w:spacing w:line="240" w:lineRule="auto"/>
        <w:ind w:firstLine="0"/>
        <w:rPr>
          <w:rFonts w:eastAsia="Times New Roman"/>
          <w:b/>
          <w:szCs w:val="24"/>
          <w:u w:val="single"/>
        </w:rPr>
      </w:pPr>
      <w:r w:rsidRPr="007339B5">
        <w:rPr>
          <w:rFonts w:eastAsia="Times New Roman"/>
          <w:b/>
          <w:szCs w:val="24"/>
          <w:u w:val="single"/>
        </w:rPr>
        <w:t>PARTICIPATION</w:t>
      </w:r>
    </w:p>
    <w:p w:rsidR="00D822BC" w:rsidRPr="00D822BC" w:rsidRDefault="00D822BC" w:rsidP="00D822BC">
      <w:pPr>
        <w:spacing w:line="240" w:lineRule="auto"/>
        <w:ind w:firstLine="0"/>
        <w:rPr>
          <w:rFonts w:eastAsia="Times New Roman"/>
          <w:szCs w:val="24"/>
        </w:rPr>
      </w:pPr>
      <w:r w:rsidRPr="00D822BC">
        <w:rPr>
          <w:rFonts w:eastAsia="Times New Roman"/>
          <w:szCs w:val="24"/>
        </w:rPr>
        <w:t>You must be at least 18 years of age to participate in this research study. There are no direct benefits from participating in this study. It is important to note that despite all the protections taken to protect your identity, anonymity cannot be guaranteed. Should you have concerns with the nature and/or conduct of this study, please feel free to contact the principal investigator, advisor, or institutional compliance officer.</w:t>
      </w:r>
    </w:p>
    <w:p w:rsidR="007339B5" w:rsidRDefault="00D822BC" w:rsidP="00D822BC">
      <w:pPr>
        <w:spacing w:line="240" w:lineRule="auto"/>
        <w:ind w:firstLine="0"/>
        <w:rPr>
          <w:rFonts w:eastAsia="Times New Roman"/>
          <w:szCs w:val="24"/>
        </w:rPr>
        <w:sectPr w:rsidR="007339B5" w:rsidSect="00FE256D">
          <w:pgSz w:w="12240" w:h="15840"/>
          <w:pgMar w:top="1440" w:right="1440" w:bottom="1350" w:left="1440" w:header="1440" w:footer="720" w:gutter="0"/>
          <w:cols w:space="720"/>
          <w:docGrid w:linePitch="360"/>
        </w:sectPr>
      </w:pPr>
      <w:r w:rsidRPr="00D822BC">
        <w:rPr>
          <w:rFonts w:eastAsia="Times New Roman"/>
          <w:szCs w:val="24"/>
        </w:rPr>
        <w:lastRenderedPageBreak/>
        <w:t>If you choose to participate in the study, please click here. Remember, proceeding to the survey implies your acceptance of informed consent, that you are over the age of 18 and have read the informed consent. It is strongly suggested you print the informed consent for your records. If you do not agree to participate in this research study, you may still enter for the incentives by accessing this link: LINK</w:t>
      </w:r>
    </w:p>
    <w:p w:rsidR="007339B5" w:rsidRPr="00C55829" w:rsidRDefault="007339B5" w:rsidP="007339B5">
      <w:pPr>
        <w:pStyle w:val="Heading1"/>
        <w:spacing w:line="240" w:lineRule="auto"/>
      </w:pPr>
      <w:bookmarkStart w:id="99" w:name="_Toc315010483"/>
      <w:r>
        <w:lastRenderedPageBreak/>
        <w:t xml:space="preserve">APPENDIX </w:t>
      </w:r>
      <w:r w:rsidR="00BD2307">
        <w:t>D</w:t>
      </w:r>
      <w:bookmarkEnd w:id="99"/>
    </w:p>
    <w:p w:rsidR="007339B5" w:rsidRDefault="007339B5" w:rsidP="007339B5">
      <w:pPr>
        <w:spacing w:line="240" w:lineRule="auto"/>
        <w:ind w:firstLine="0"/>
        <w:rPr>
          <w:szCs w:val="24"/>
        </w:rPr>
      </w:pPr>
    </w:p>
    <w:p w:rsidR="004D0691" w:rsidRPr="004D0691" w:rsidRDefault="004D0691" w:rsidP="004D0691">
      <w:pPr>
        <w:spacing w:line="240" w:lineRule="auto"/>
        <w:ind w:firstLine="0"/>
        <w:rPr>
          <w:szCs w:val="24"/>
        </w:rPr>
      </w:pPr>
      <w:r w:rsidRPr="004D0691">
        <w:rPr>
          <w:szCs w:val="24"/>
        </w:rPr>
        <w:t>Dear Graduate Student,</w:t>
      </w:r>
    </w:p>
    <w:p w:rsidR="004D0691" w:rsidRPr="004D0691" w:rsidRDefault="004D0691" w:rsidP="004D0691">
      <w:pPr>
        <w:spacing w:line="240" w:lineRule="auto"/>
        <w:ind w:firstLine="0"/>
        <w:rPr>
          <w:szCs w:val="24"/>
        </w:rPr>
      </w:pPr>
    </w:p>
    <w:p w:rsidR="004D0691" w:rsidRPr="004D0691" w:rsidRDefault="004D0691" w:rsidP="004D0691">
      <w:pPr>
        <w:spacing w:line="240" w:lineRule="auto"/>
        <w:ind w:firstLine="0"/>
        <w:rPr>
          <w:b/>
          <w:szCs w:val="24"/>
        </w:rPr>
      </w:pPr>
      <w:r w:rsidRPr="004D0691">
        <w:rPr>
          <w:b/>
          <w:szCs w:val="24"/>
        </w:rPr>
        <w:t xml:space="preserve">This is a reminder email. If you have already participated in the Graduate Student Prescription Stimulant Survey, thank you. </w:t>
      </w:r>
    </w:p>
    <w:p w:rsidR="004D0691" w:rsidRPr="004D0691" w:rsidRDefault="004D0691" w:rsidP="004D0691">
      <w:pPr>
        <w:spacing w:line="240" w:lineRule="auto"/>
        <w:ind w:firstLine="0"/>
        <w:rPr>
          <w:b/>
          <w:szCs w:val="24"/>
        </w:rPr>
      </w:pPr>
    </w:p>
    <w:p w:rsidR="004D0691" w:rsidRPr="004D0691" w:rsidRDefault="004D0691" w:rsidP="004D0691">
      <w:pPr>
        <w:spacing w:line="240" w:lineRule="auto"/>
        <w:ind w:firstLine="0"/>
        <w:rPr>
          <w:b/>
          <w:szCs w:val="24"/>
        </w:rPr>
      </w:pPr>
      <w:r w:rsidRPr="004D0691">
        <w:rPr>
          <w:b/>
          <w:szCs w:val="24"/>
        </w:rPr>
        <w:t>Please note: you do not need to take prescription stimulants in order to participate in this study.</w:t>
      </w:r>
    </w:p>
    <w:p w:rsidR="004D0691" w:rsidRPr="004D0691" w:rsidRDefault="004D0691" w:rsidP="004D0691">
      <w:pPr>
        <w:spacing w:line="240" w:lineRule="auto"/>
        <w:ind w:firstLine="0"/>
        <w:rPr>
          <w:szCs w:val="24"/>
        </w:rPr>
      </w:pPr>
    </w:p>
    <w:p w:rsidR="004D0691" w:rsidRPr="004D0691" w:rsidRDefault="004D0691" w:rsidP="004D0691">
      <w:pPr>
        <w:spacing w:line="240" w:lineRule="auto"/>
        <w:ind w:firstLine="0"/>
        <w:rPr>
          <w:szCs w:val="24"/>
        </w:rPr>
      </w:pPr>
      <w:r w:rsidRPr="004D0691">
        <w:rPr>
          <w:szCs w:val="24"/>
        </w:rPr>
        <w:t xml:space="preserve">My name is Matt Varga and I am a doctoral candidate in the Department of Educational Leadership and Policy Studies at The University of Tennessee, Knoxville. For my dissertation, I am conducting a survey of graduate students’ use of prescription stimulants and request your participation in this study. </w:t>
      </w:r>
    </w:p>
    <w:p w:rsidR="004D0691" w:rsidRPr="004D0691" w:rsidRDefault="004D0691" w:rsidP="004D0691">
      <w:pPr>
        <w:spacing w:line="240" w:lineRule="auto"/>
        <w:ind w:firstLine="0"/>
        <w:rPr>
          <w:szCs w:val="24"/>
        </w:rPr>
      </w:pPr>
    </w:p>
    <w:p w:rsidR="004D0691" w:rsidRPr="004D0691" w:rsidRDefault="004D0691" w:rsidP="004D0691">
      <w:pPr>
        <w:spacing w:line="240" w:lineRule="auto"/>
        <w:ind w:firstLine="0"/>
        <w:rPr>
          <w:szCs w:val="24"/>
        </w:rPr>
      </w:pPr>
      <w:r w:rsidRPr="004D0691">
        <w:rPr>
          <w:szCs w:val="24"/>
        </w:rPr>
        <w:t>The purpose of this study is to understand prescription stimulant use among graduate students. The survey is currently used each year to assess undergraduate students’ use of prescription stimulants at the University of Michigan. This is the survey’s first use with graduate students, although they are identified as a population similarly at risk for prescription stimulant use. The survey asks sensitive information about the use of prescription and illicit drugs; however, the survey is to be completed anonymously, no individuals will be identifiable, and all data will be aggregated for reporting purposes. Further, participation is voluntary.</w:t>
      </w:r>
    </w:p>
    <w:p w:rsidR="004D0691" w:rsidRPr="004D0691" w:rsidRDefault="004D0691" w:rsidP="004D0691">
      <w:pPr>
        <w:spacing w:line="240" w:lineRule="auto"/>
        <w:ind w:firstLine="0"/>
        <w:rPr>
          <w:szCs w:val="24"/>
        </w:rPr>
      </w:pPr>
    </w:p>
    <w:p w:rsidR="004D0691" w:rsidRPr="004D0691" w:rsidRDefault="004D0691" w:rsidP="004D0691">
      <w:pPr>
        <w:spacing w:line="240" w:lineRule="auto"/>
        <w:ind w:firstLine="0"/>
        <w:rPr>
          <w:szCs w:val="24"/>
        </w:rPr>
      </w:pPr>
      <w:r w:rsidRPr="004D0691">
        <w:rPr>
          <w:szCs w:val="24"/>
        </w:rPr>
        <w:t xml:space="preserve">The survey should take approximately 15 to 20 minutes. The survey does not ask any identifiable information, record IP addresses, or record who participated. At the conclusion of the survey, you will have an opportunity to participate in a drawing for one of 10 $25 gift certificates to Amazon.com until the last week of January. The drawing for the incentive will take place the first week of February and winners will be notified via email. The information solicited for the gift certificate is not linked to the research study; thus, protecting your identity. It is important you read the Informed Consent. </w:t>
      </w:r>
    </w:p>
    <w:p w:rsidR="004D0691" w:rsidRPr="004D0691" w:rsidRDefault="004D0691" w:rsidP="004D0691">
      <w:pPr>
        <w:spacing w:line="240" w:lineRule="auto"/>
        <w:ind w:firstLine="0"/>
        <w:rPr>
          <w:szCs w:val="24"/>
        </w:rPr>
      </w:pPr>
    </w:p>
    <w:p w:rsidR="004D0691" w:rsidRPr="004D0691" w:rsidRDefault="004D0691" w:rsidP="004D0691">
      <w:pPr>
        <w:spacing w:line="240" w:lineRule="auto"/>
        <w:ind w:firstLine="0"/>
        <w:rPr>
          <w:szCs w:val="24"/>
        </w:rPr>
      </w:pPr>
      <w:r w:rsidRPr="004D0691">
        <w:rPr>
          <w:szCs w:val="24"/>
        </w:rPr>
        <w:t xml:space="preserve">If you wish to participate in the study, please click here. This will direct you to the Informed Consent. Please read the Informed Consent carefully. At the conclusion of the Informed Consent is a link to the survey. Proceeding to the survey implies informed consent. It is strongly suggested you print a copy for your records. </w:t>
      </w:r>
    </w:p>
    <w:p w:rsidR="004D0691" w:rsidRPr="004D0691" w:rsidRDefault="004D0691" w:rsidP="004D0691">
      <w:pPr>
        <w:spacing w:line="240" w:lineRule="auto"/>
        <w:ind w:firstLine="0"/>
        <w:rPr>
          <w:szCs w:val="24"/>
        </w:rPr>
      </w:pPr>
    </w:p>
    <w:p w:rsidR="004D0691" w:rsidRPr="004D0691" w:rsidRDefault="004D0691" w:rsidP="004D0691">
      <w:pPr>
        <w:spacing w:line="240" w:lineRule="auto"/>
        <w:ind w:firstLine="0"/>
        <w:rPr>
          <w:szCs w:val="24"/>
        </w:rPr>
      </w:pPr>
      <w:r w:rsidRPr="004D0691">
        <w:rPr>
          <w:szCs w:val="24"/>
        </w:rPr>
        <w:t>I thank you for your participation in this doctoral dissertation study. If any point during or after the survey you need to contact the principal investigator, please feel free to do so either via email or by phone. If you choose not to participate in the survey, you can access the incentive form here: Incentive. However, your participation would be valued greatly! You can access the survey by clicking here: Survey.</w:t>
      </w:r>
    </w:p>
    <w:p w:rsidR="00E20193" w:rsidRDefault="00E20193" w:rsidP="004D0691">
      <w:pPr>
        <w:spacing w:line="240" w:lineRule="auto"/>
        <w:ind w:firstLine="0"/>
        <w:rPr>
          <w:szCs w:val="24"/>
        </w:rPr>
      </w:pPr>
      <w:r>
        <w:rPr>
          <w:szCs w:val="24"/>
        </w:rPr>
        <w:br w:type="page"/>
      </w:r>
    </w:p>
    <w:p w:rsidR="004D0691" w:rsidRPr="004D0691" w:rsidRDefault="004D0691" w:rsidP="004D0691">
      <w:pPr>
        <w:spacing w:line="240" w:lineRule="auto"/>
        <w:ind w:firstLine="0"/>
        <w:rPr>
          <w:szCs w:val="24"/>
        </w:rPr>
      </w:pPr>
    </w:p>
    <w:p w:rsidR="004D0691" w:rsidRPr="004D0691" w:rsidRDefault="004D0691" w:rsidP="004D0691">
      <w:pPr>
        <w:spacing w:line="240" w:lineRule="auto"/>
        <w:ind w:firstLine="0"/>
        <w:rPr>
          <w:szCs w:val="24"/>
        </w:rPr>
      </w:pPr>
      <w:r w:rsidRPr="004D0691">
        <w:rPr>
          <w:szCs w:val="24"/>
        </w:rPr>
        <w:t>Sincerely,</w:t>
      </w:r>
    </w:p>
    <w:p w:rsidR="004D0691" w:rsidRPr="004D0691" w:rsidRDefault="004D0691" w:rsidP="004D0691">
      <w:pPr>
        <w:spacing w:line="240" w:lineRule="auto"/>
        <w:ind w:firstLine="0"/>
        <w:rPr>
          <w:szCs w:val="24"/>
        </w:rPr>
      </w:pPr>
    </w:p>
    <w:p w:rsidR="004D0691" w:rsidRPr="004D0691" w:rsidRDefault="004D0691" w:rsidP="004D0691">
      <w:pPr>
        <w:spacing w:line="240" w:lineRule="auto"/>
        <w:ind w:firstLine="0"/>
        <w:rPr>
          <w:szCs w:val="24"/>
        </w:rPr>
      </w:pPr>
      <w:r w:rsidRPr="004D0691">
        <w:rPr>
          <w:szCs w:val="24"/>
        </w:rPr>
        <w:t>Matt Varga</w:t>
      </w:r>
    </w:p>
    <w:p w:rsidR="004D0691" w:rsidRPr="004D0691" w:rsidRDefault="004D0691" w:rsidP="004D0691">
      <w:pPr>
        <w:spacing w:line="240" w:lineRule="auto"/>
        <w:ind w:firstLine="0"/>
        <w:rPr>
          <w:szCs w:val="24"/>
        </w:rPr>
      </w:pPr>
      <w:r w:rsidRPr="004D0691">
        <w:rPr>
          <w:szCs w:val="24"/>
        </w:rPr>
        <w:t>Doctoral Candidate</w:t>
      </w:r>
    </w:p>
    <w:p w:rsidR="004D0691" w:rsidRPr="004D0691" w:rsidRDefault="004D0691" w:rsidP="004D0691">
      <w:pPr>
        <w:spacing w:line="240" w:lineRule="auto"/>
        <w:ind w:firstLine="0"/>
        <w:rPr>
          <w:szCs w:val="24"/>
        </w:rPr>
      </w:pPr>
      <w:r w:rsidRPr="004D0691">
        <w:rPr>
          <w:szCs w:val="24"/>
        </w:rPr>
        <w:t>Higher Education Administration</w:t>
      </w:r>
    </w:p>
    <w:p w:rsidR="004D0691" w:rsidRPr="004D0691" w:rsidRDefault="004D0691" w:rsidP="004D0691">
      <w:pPr>
        <w:spacing w:line="240" w:lineRule="auto"/>
        <w:ind w:firstLine="0"/>
        <w:rPr>
          <w:szCs w:val="24"/>
        </w:rPr>
      </w:pPr>
      <w:r w:rsidRPr="004D0691">
        <w:rPr>
          <w:szCs w:val="24"/>
        </w:rPr>
        <w:t>Department of Educational Leadership and Policy Studies</w:t>
      </w:r>
    </w:p>
    <w:p w:rsidR="004D0691" w:rsidRDefault="004D0691" w:rsidP="004D0691">
      <w:pPr>
        <w:spacing w:line="240" w:lineRule="auto"/>
        <w:ind w:firstLine="0"/>
        <w:rPr>
          <w:szCs w:val="24"/>
        </w:rPr>
        <w:sectPr w:rsidR="004D0691" w:rsidSect="00E20193">
          <w:pgSz w:w="12240" w:h="15840"/>
          <w:pgMar w:top="1440" w:right="1440" w:bottom="1440" w:left="1440" w:header="1440" w:footer="450" w:gutter="0"/>
          <w:cols w:space="720"/>
          <w:docGrid w:linePitch="360"/>
        </w:sectPr>
      </w:pPr>
      <w:r w:rsidRPr="004D0691">
        <w:rPr>
          <w:szCs w:val="24"/>
        </w:rPr>
        <w:t>University of Tennessee</w:t>
      </w:r>
    </w:p>
    <w:p w:rsidR="004D0691" w:rsidRPr="00C55829" w:rsidRDefault="00CB11D5" w:rsidP="004D0691">
      <w:pPr>
        <w:pStyle w:val="Heading1"/>
        <w:spacing w:line="240" w:lineRule="auto"/>
      </w:pPr>
      <w:bookmarkStart w:id="100" w:name="_Toc315010484"/>
      <w:r>
        <w:lastRenderedPageBreak/>
        <w:t>APPENDIX E</w:t>
      </w:r>
      <w:bookmarkEnd w:id="100"/>
    </w:p>
    <w:p w:rsidR="004D0691" w:rsidRDefault="004D0691" w:rsidP="004D0691">
      <w:pPr>
        <w:spacing w:line="240" w:lineRule="auto"/>
        <w:ind w:firstLine="0"/>
        <w:jc w:val="center"/>
        <w:rPr>
          <w:szCs w:val="24"/>
        </w:rPr>
      </w:pPr>
    </w:p>
    <w:p w:rsidR="004D0691" w:rsidRDefault="004D0691" w:rsidP="004D0691">
      <w:pPr>
        <w:spacing w:line="240" w:lineRule="auto"/>
        <w:ind w:firstLine="0"/>
        <w:jc w:val="center"/>
        <w:rPr>
          <w:szCs w:val="24"/>
        </w:rPr>
        <w:sectPr w:rsidR="004D0691" w:rsidSect="00FE256D">
          <w:pgSz w:w="12240" w:h="15840"/>
          <w:pgMar w:top="1440" w:right="1440" w:bottom="540" w:left="1440" w:header="1440" w:footer="450" w:gutter="0"/>
          <w:cols w:space="720"/>
          <w:docGrid w:linePitch="360"/>
        </w:sectPr>
      </w:pPr>
      <w:r>
        <w:rPr>
          <w:szCs w:val="24"/>
        </w:rPr>
        <w:t>IRB Approval</w:t>
      </w:r>
    </w:p>
    <w:p w:rsidR="00301790" w:rsidRDefault="004D0691" w:rsidP="004D0691">
      <w:pPr>
        <w:pStyle w:val="Heading1"/>
      </w:pPr>
      <w:bookmarkStart w:id="101" w:name="_Toc315010485"/>
      <w:r>
        <w:lastRenderedPageBreak/>
        <w:t>VITA</w:t>
      </w:r>
      <w:bookmarkEnd w:id="101"/>
    </w:p>
    <w:p w:rsidR="00A85CB8" w:rsidRDefault="00A85CB8" w:rsidP="00A85CB8">
      <w:r>
        <w:t>Matthew Donald Varga was born in Akron, Ohio to the parents of Dave and Meg Varga. He was the first of two children in the Varga family, which consists of one boy and one girl.</w:t>
      </w:r>
    </w:p>
    <w:p w:rsidR="00A85CB8" w:rsidRDefault="00A85CB8" w:rsidP="00A85CB8">
      <w:r>
        <w:t xml:space="preserve">His formative education began at </w:t>
      </w:r>
      <w:proofErr w:type="spellStart"/>
      <w:r>
        <w:t>Norge</w:t>
      </w:r>
      <w:proofErr w:type="spellEnd"/>
      <w:r>
        <w:t xml:space="preserve"> Elementary School followed by </w:t>
      </w:r>
      <w:proofErr w:type="spellStart"/>
      <w:r>
        <w:t>Toano</w:t>
      </w:r>
      <w:proofErr w:type="spellEnd"/>
      <w:r>
        <w:t xml:space="preserve"> Middle School</w:t>
      </w:r>
      <w:r w:rsidR="00066BDB" w:rsidRPr="00066BDB">
        <w:t xml:space="preserve"> </w:t>
      </w:r>
      <w:r w:rsidR="00066BDB">
        <w:t>in Williamsburg, Virginia</w:t>
      </w:r>
      <w:r>
        <w:t xml:space="preserve">. His secondary </w:t>
      </w:r>
      <w:r w:rsidR="005900DC">
        <w:t>education was at Lafayette High S</w:t>
      </w:r>
      <w:r>
        <w:t>chool. After his high school graduation, he entered Christopher Newport University where he would go to school to major in Philosophy and Religious Studies. In December, 2004, he would receive his undergraduate degree from Christopher Newport University</w:t>
      </w:r>
      <w:r w:rsidR="004F3FF1">
        <w:t xml:space="preserve"> graduating with honors</w:t>
      </w:r>
      <w:r>
        <w:t>.</w:t>
      </w:r>
    </w:p>
    <w:p w:rsidR="00A85CB8" w:rsidRDefault="00A85CB8" w:rsidP="00A85CB8">
      <w:r>
        <w:t>Upon graduating from Christopher Newport University, he went to work at Shenandoah University as the Housing Coordinator. After spending time at Shenandoah University, he went on to graduate school at The University of Tennessee, Knoxville. While at The University of Tennessee, Knoxville, he would serve as a graduate assistant and receive his graduate degree in May, 2007. After obtaining his master’s degree, he transitioned into the position of Hall Director at The University of Tennessee, Knoxville</w:t>
      </w:r>
      <w:r w:rsidR="00066BDB">
        <w:t xml:space="preserve"> in June, 2007</w:t>
      </w:r>
      <w:r>
        <w:t>.</w:t>
      </w:r>
      <w:r w:rsidR="00066BDB">
        <w:t xml:space="preserve"> </w:t>
      </w:r>
      <w:r>
        <w:t xml:space="preserve">At that time, he </w:t>
      </w:r>
      <w:r w:rsidR="00066BDB">
        <w:t xml:space="preserve">entered into the doctoral program at The University of Tennessee, Knoxville. </w:t>
      </w:r>
    </w:p>
    <w:p w:rsidR="00066BDB" w:rsidRPr="00A85CB8" w:rsidRDefault="00066BDB" w:rsidP="00A85CB8">
      <w:r>
        <w:t>He expects to receive his Ph.D. from The University of Tennessee, Knoxville in May, 2012. Presently, he and his wife, Mary Alice, reside in Knoxville, Tennessee. Mary Alice has earned her undergraduate degree from Shenandoah University and her graduate degree from Western Carolina University. She is currently working on her doctoral degree</w:t>
      </w:r>
      <w:r w:rsidR="004F3FF1">
        <w:t xml:space="preserve"> at The University of Tennessee, Knoxville</w:t>
      </w:r>
      <w:r>
        <w:t>.</w:t>
      </w:r>
    </w:p>
    <w:sectPr w:rsidR="00066BDB" w:rsidRPr="00A85CB8" w:rsidSect="00FE256D">
      <w:pgSz w:w="12240" w:h="15840"/>
      <w:pgMar w:top="1440" w:right="1440" w:bottom="540" w:left="1440" w:header="144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10B2" w:rsidRDefault="009D10B2" w:rsidP="003F6BB5">
      <w:pPr>
        <w:spacing w:line="240" w:lineRule="auto"/>
      </w:pPr>
      <w:r>
        <w:separator/>
      </w:r>
    </w:p>
  </w:endnote>
  <w:endnote w:type="continuationSeparator" w:id="0">
    <w:p w:rsidR="009D10B2" w:rsidRDefault="009D10B2" w:rsidP="003F6BB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10B2" w:rsidRDefault="009D10B2" w:rsidP="003F6BB5">
      <w:pPr>
        <w:spacing w:line="240" w:lineRule="auto"/>
      </w:pPr>
      <w:r>
        <w:separator/>
      </w:r>
    </w:p>
  </w:footnote>
  <w:footnote w:type="continuationSeparator" w:id="0">
    <w:p w:rsidR="009D10B2" w:rsidRDefault="009D10B2" w:rsidP="003F6BB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4731" w:rsidRDefault="009C4731" w:rsidP="001275D9">
    <w:pPr>
      <w:pStyle w:val="Header"/>
      <w:ind w:firstLine="0"/>
    </w:pPr>
    <w:r>
      <w:tab/>
    </w: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02044050"/>
      <w:docPartObj>
        <w:docPartGallery w:val="Page Numbers (Top of Page)"/>
        <w:docPartUnique/>
      </w:docPartObj>
    </w:sdtPr>
    <w:sdtEndPr>
      <w:rPr>
        <w:noProof/>
      </w:rPr>
    </w:sdtEndPr>
    <w:sdtContent>
      <w:p w:rsidR="009C4731" w:rsidRDefault="009C4731">
        <w:pPr>
          <w:pStyle w:val="Header"/>
          <w:jc w:val="right"/>
          <w:rPr>
            <w:noProof/>
          </w:rPr>
        </w:pPr>
        <w:r>
          <w:fldChar w:fldCharType="begin"/>
        </w:r>
        <w:r>
          <w:instrText xml:space="preserve"> PAGE   \* MERGEFORMAT </w:instrText>
        </w:r>
        <w:r>
          <w:fldChar w:fldCharType="separate"/>
        </w:r>
        <w:r w:rsidR="00B75497">
          <w:rPr>
            <w:noProof/>
          </w:rPr>
          <w:t>iii</w:t>
        </w:r>
        <w:r>
          <w:rPr>
            <w:noProof/>
          </w:rPr>
          <w:fldChar w:fldCharType="end"/>
        </w:r>
      </w:p>
      <w:p w:rsidR="009C4731" w:rsidRDefault="009D10B2">
        <w:pPr>
          <w:pStyle w:val="Header"/>
          <w:jc w:val="right"/>
        </w:pP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4731" w:rsidRDefault="009C4731" w:rsidP="001275D9">
    <w:pPr>
      <w:pStyle w:val="Header"/>
      <w:ind w:firstLine="0"/>
      <w:rPr>
        <w:noProof/>
      </w:rPr>
    </w:pPr>
    <w:r>
      <w:tab/>
    </w:r>
    <w:r>
      <w:tab/>
    </w:r>
    <w:r>
      <w:fldChar w:fldCharType="begin"/>
    </w:r>
    <w:r>
      <w:instrText xml:space="preserve"> PAGE   \* MERGEFORMAT </w:instrText>
    </w:r>
    <w:r>
      <w:fldChar w:fldCharType="separate"/>
    </w:r>
    <w:r w:rsidR="00B75497">
      <w:rPr>
        <w:noProof/>
      </w:rPr>
      <w:t>13</w:t>
    </w:r>
    <w:r>
      <w:rPr>
        <w:noProof/>
      </w:rPr>
      <w:fldChar w:fldCharType="end"/>
    </w:r>
  </w:p>
  <w:p w:rsidR="009C4731" w:rsidRDefault="009C4731" w:rsidP="001275D9">
    <w:pPr>
      <w:pStyle w:val="Header"/>
      <w:ind w:firstLine="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4731" w:rsidRDefault="009C4731" w:rsidP="0001679B">
    <w:pPr>
      <w:pStyle w:val="Header"/>
      <w:ind w:firstLine="0"/>
      <w:rPr>
        <w:noProof/>
      </w:rPr>
    </w:pPr>
    <w:r>
      <w:tab/>
    </w:r>
    <w:r>
      <w:tab/>
    </w:r>
    <w:r>
      <w:fldChar w:fldCharType="begin"/>
    </w:r>
    <w:r>
      <w:instrText xml:space="preserve"> PAGE   \* MERGEFORMAT </w:instrText>
    </w:r>
    <w:r>
      <w:fldChar w:fldCharType="separate"/>
    </w:r>
    <w:r w:rsidR="00B75497">
      <w:rPr>
        <w:noProof/>
      </w:rPr>
      <w:t>14</w:t>
    </w:r>
    <w:r>
      <w:rPr>
        <w:noProof/>
      </w:rPr>
      <w:fldChar w:fldCharType="end"/>
    </w:r>
  </w:p>
  <w:p w:rsidR="009C4731" w:rsidRDefault="009C4731" w:rsidP="0001679B">
    <w:pPr>
      <w:pStyle w:val="Header"/>
      <w:ind w:firstLin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4731" w:rsidRDefault="009C4731" w:rsidP="001275D9">
    <w:pPr>
      <w:pStyle w:val="Header"/>
      <w:ind w:firstLine="0"/>
      <w:rPr>
        <w:noProof/>
      </w:rPr>
    </w:pPr>
    <w:r>
      <w:tab/>
    </w:r>
    <w:r>
      <w:tab/>
    </w:r>
    <w:r>
      <w:fldChar w:fldCharType="begin"/>
    </w:r>
    <w:r>
      <w:instrText xml:space="preserve"> PAGE   \* MERGEFORMAT </w:instrText>
    </w:r>
    <w:r>
      <w:fldChar w:fldCharType="separate"/>
    </w:r>
    <w:r w:rsidR="00B75497">
      <w:rPr>
        <w:noProof/>
      </w:rPr>
      <w:t>61</w:t>
    </w:r>
    <w:r>
      <w:rPr>
        <w:noProof/>
      </w:rPr>
      <w:fldChar w:fldCharType="end"/>
    </w:r>
  </w:p>
  <w:p w:rsidR="009C4731" w:rsidRDefault="009C4731" w:rsidP="001275D9">
    <w:pPr>
      <w:pStyle w:val="Header"/>
      <w:ind w:firstLine="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4731" w:rsidRDefault="009C4731" w:rsidP="001275D9">
    <w:pPr>
      <w:pStyle w:val="Header"/>
      <w:ind w:firstLine="0"/>
      <w:rPr>
        <w:noProof/>
      </w:rPr>
    </w:pPr>
    <w:r>
      <w:tab/>
    </w:r>
    <w:r>
      <w:tab/>
    </w:r>
    <w:r>
      <w:fldChar w:fldCharType="begin"/>
    </w:r>
    <w:r>
      <w:instrText xml:space="preserve"> PAGE   \* MERGEFORMAT </w:instrText>
    </w:r>
    <w:r>
      <w:fldChar w:fldCharType="separate"/>
    </w:r>
    <w:r w:rsidR="00B75497">
      <w:rPr>
        <w:noProof/>
      </w:rPr>
      <w:t>84</w:t>
    </w:r>
    <w:r>
      <w:rPr>
        <w:noProof/>
      </w:rPr>
      <w:fldChar w:fldCharType="end"/>
    </w:r>
  </w:p>
  <w:p w:rsidR="009C4731" w:rsidRDefault="009C4731" w:rsidP="001275D9">
    <w:pPr>
      <w:pStyle w:val="Header"/>
      <w:ind w:firstLine="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4731" w:rsidRDefault="009C4731" w:rsidP="00203FEE">
    <w:pPr>
      <w:pStyle w:val="Header"/>
      <w:tabs>
        <w:tab w:val="clear" w:pos="9360"/>
        <w:tab w:val="right" w:pos="12960"/>
      </w:tabs>
      <w:ind w:firstLine="0"/>
      <w:rPr>
        <w:noProof/>
      </w:rPr>
    </w:pPr>
    <w:r>
      <w:tab/>
    </w:r>
    <w:r>
      <w:tab/>
    </w:r>
    <w:r>
      <w:fldChar w:fldCharType="begin"/>
    </w:r>
    <w:r>
      <w:instrText xml:space="preserve"> PAGE   \* MERGEFORMAT </w:instrText>
    </w:r>
    <w:r>
      <w:fldChar w:fldCharType="separate"/>
    </w:r>
    <w:r w:rsidR="00B75497">
      <w:rPr>
        <w:noProof/>
      </w:rPr>
      <w:t>106</w:t>
    </w:r>
    <w:r>
      <w:rPr>
        <w:noProof/>
      </w:rPr>
      <w:fldChar w:fldCharType="end"/>
    </w:r>
  </w:p>
  <w:p w:rsidR="009C4731" w:rsidRDefault="009C4731" w:rsidP="00203FEE">
    <w:pPr>
      <w:pStyle w:val="Header"/>
      <w:tabs>
        <w:tab w:val="clear" w:pos="9360"/>
        <w:tab w:val="right" w:pos="12960"/>
      </w:tabs>
      <w:ind w:firstLin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4731" w:rsidRDefault="009C4731" w:rsidP="004817E9">
    <w:pPr>
      <w:pStyle w:val="Header"/>
      <w:tabs>
        <w:tab w:val="left" w:pos="9360"/>
        <w:tab w:val="right" w:pos="12960"/>
      </w:tabs>
      <w:ind w:firstLine="0"/>
      <w:rPr>
        <w:noProof/>
      </w:rPr>
    </w:pPr>
    <w:r>
      <w:tab/>
    </w:r>
    <w:r>
      <w:tab/>
    </w:r>
    <w:r>
      <w:fldChar w:fldCharType="begin"/>
    </w:r>
    <w:r>
      <w:instrText xml:space="preserve"> PAGE   \* MERGEFORMAT </w:instrText>
    </w:r>
    <w:r>
      <w:fldChar w:fldCharType="separate"/>
    </w:r>
    <w:r w:rsidR="00B75497">
      <w:rPr>
        <w:noProof/>
      </w:rPr>
      <w:t>114</w:t>
    </w:r>
    <w:r>
      <w:rPr>
        <w:noProof/>
      </w:rPr>
      <w:fldChar w:fldCharType="end"/>
    </w:r>
  </w:p>
  <w:p w:rsidR="009C4731" w:rsidRDefault="009C4731" w:rsidP="004817E9">
    <w:pPr>
      <w:pStyle w:val="Header"/>
      <w:tabs>
        <w:tab w:val="left" w:pos="9360"/>
        <w:tab w:val="right" w:pos="12960"/>
      </w:tabs>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28464F"/>
    <w:multiLevelType w:val="hybridMultilevel"/>
    <w:tmpl w:val="CCCAFDEC"/>
    <w:lvl w:ilvl="0" w:tplc="CA4C818E">
      <w:start w:val="1"/>
      <w:numFmt w:val="bullet"/>
      <w:lvlText w:val="o"/>
      <w:lvlJc w:val="left"/>
      <w:pPr>
        <w:ind w:left="720" w:hanging="360"/>
      </w:pPr>
      <w:rPr>
        <w:rFonts w:ascii="Courier New" w:hAnsi="Courier New" w:cs="Courier New" w:hint="default"/>
        <w:sz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DD85CA2"/>
    <w:multiLevelType w:val="hybridMultilevel"/>
    <w:tmpl w:val="FB4EA37C"/>
    <w:lvl w:ilvl="0" w:tplc="2A4053EC">
      <w:start w:val="1"/>
      <w:numFmt w:val="bullet"/>
      <w:lvlText w:val=""/>
      <w:lvlJc w:val="left"/>
      <w:pPr>
        <w:ind w:left="720" w:hanging="360"/>
      </w:pPr>
      <w:rPr>
        <w:rFonts w:ascii="Wingdings" w:hAnsi="Wingdings" w:hint="default"/>
        <w:sz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65F6C23"/>
    <w:multiLevelType w:val="hybridMultilevel"/>
    <w:tmpl w:val="96D61C58"/>
    <w:lvl w:ilvl="0" w:tplc="03B2068C">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8290891"/>
    <w:multiLevelType w:val="hybridMultilevel"/>
    <w:tmpl w:val="B1CC51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9C605ED"/>
    <w:multiLevelType w:val="hybridMultilevel"/>
    <w:tmpl w:val="996670FA"/>
    <w:lvl w:ilvl="0" w:tplc="B66247F8">
      <w:start w:val="1"/>
      <w:numFmt w:val="decimal"/>
      <w:lvlText w:val="%1."/>
      <w:lvlJc w:val="left"/>
      <w:pPr>
        <w:ind w:left="720" w:hanging="360"/>
      </w:pPr>
      <w:rPr>
        <w:rFonts w:asciiTheme="minorHAnsi" w:hAnsiTheme="minorHAnsi" w:cstheme="minorHAnsi" w:hint="default"/>
        <w:b/>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C33009B"/>
    <w:multiLevelType w:val="hybridMultilevel"/>
    <w:tmpl w:val="D166EF52"/>
    <w:lvl w:ilvl="0" w:tplc="CA4C818E">
      <w:start w:val="1"/>
      <w:numFmt w:val="bullet"/>
      <w:lvlText w:val="o"/>
      <w:lvlJc w:val="left"/>
      <w:pPr>
        <w:ind w:left="720" w:hanging="360"/>
      </w:pPr>
      <w:rPr>
        <w:rFonts w:ascii="Courier New" w:hAnsi="Courier New" w:cs="Courier New" w:hint="default"/>
        <w:sz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D9A53D6"/>
    <w:multiLevelType w:val="hybridMultilevel"/>
    <w:tmpl w:val="F8A094A6"/>
    <w:lvl w:ilvl="0" w:tplc="E69CB152">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47D0BD9"/>
    <w:multiLevelType w:val="hybridMultilevel"/>
    <w:tmpl w:val="273EEE30"/>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305D1E4C"/>
    <w:multiLevelType w:val="hybridMultilevel"/>
    <w:tmpl w:val="273EEE30"/>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3D7C0A6C"/>
    <w:multiLevelType w:val="hybridMultilevel"/>
    <w:tmpl w:val="870A236E"/>
    <w:lvl w:ilvl="0" w:tplc="597A253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5F63345"/>
    <w:multiLevelType w:val="hybridMultilevel"/>
    <w:tmpl w:val="273EEE30"/>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49992A12"/>
    <w:multiLevelType w:val="hybridMultilevel"/>
    <w:tmpl w:val="273EEE30"/>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4FF76C07"/>
    <w:multiLevelType w:val="hybridMultilevel"/>
    <w:tmpl w:val="273EEE30"/>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521C3B2F"/>
    <w:multiLevelType w:val="hybridMultilevel"/>
    <w:tmpl w:val="C974F0C4"/>
    <w:lvl w:ilvl="0" w:tplc="4432B1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6E7E149E"/>
    <w:multiLevelType w:val="hybridMultilevel"/>
    <w:tmpl w:val="D3E8FAA4"/>
    <w:lvl w:ilvl="0" w:tplc="DE5AE4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6FAA23FF"/>
    <w:multiLevelType w:val="hybridMultilevel"/>
    <w:tmpl w:val="273EEE30"/>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7BA834BD"/>
    <w:multiLevelType w:val="hybridMultilevel"/>
    <w:tmpl w:val="273EEE30"/>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6"/>
  </w:num>
  <w:num w:numId="2">
    <w:abstractNumId w:val="2"/>
  </w:num>
  <w:num w:numId="3">
    <w:abstractNumId w:val="4"/>
  </w:num>
  <w:num w:numId="4">
    <w:abstractNumId w:val="0"/>
  </w:num>
  <w:num w:numId="5">
    <w:abstractNumId w:val="1"/>
  </w:num>
  <w:num w:numId="6">
    <w:abstractNumId w:val="9"/>
  </w:num>
  <w:num w:numId="7">
    <w:abstractNumId w:val="3"/>
  </w:num>
  <w:num w:numId="8">
    <w:abstractNumId w:val="5"/>
  </w:num>
  <w:num w:numId="9">
    <w:abstractNumId w:val="6"/>
  </w:num>
  <w:num w:numId="10">
    <w:abstractNumId w:val="14"/>
  </w:num>
  <w:num w:numId="11">
    <w:abstractNumId w:val="13"/>
  </w:num>
  <w:num w:numId="12">
    <w:abstractNumId w:val="10"/>
  </w:num>
  <w:num w:numId="13">
    <w:abstractNumId w:val="11"/>
  </w:num>
  <w:num w:numId="14">
    <w:abstractNumId w:val="7"/>
  </w:num>
  <w:num w:numId="15">
    <w:abstractNumId w:val="15"/>
  </w:num>
  <w:num w:numId="16">
    <w:abstractNumId w:val="8"/>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0&lt;/Enabled&gt;&lt;ScanUnformatted&gt;1&lt;/ScanUnformatted&gt;&lt;ScanChanges&gt;1&lt;/ScanChanges&gt;&lt;/ENInstantFormat&gt;"/>
    <w:docVar w:name="EN.Layout" w:val="&lt;ENLayout&gt;&lt;Style&gt;APA 6th&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2&lt;/LineSpacing&gt;&lt;SpaceAfter&gt;0&lt;/SpaceAfter&gt;&lt;HyperlinksEnabled&gt;1&lt;/HyperlinksEnabled&gt;&lt;HyperlinksVisible&gt;0&lt;/HyperlinksVisible&gt;&lt;/ENLayout&gt;"/>
    <w:docVar w:name="EN.Libraries" w:val="&lt;Libraries&gt;&lt;item db-id=&quot;02dwfapew02tdked2f4p0xerwdapvw5vztpp&quot;&gt;Adderall Abuse Dissertation&lt;record-ids&gt;&lt;item&gt;1&lt;/item&gt;&lt;item&gt;21&lt;/item&gt;&lt;item&gt;51&lt;/item&gt;&lt;item&gt;56&lt;/item&gt;&lt;item&gt;71&lt;/item&gt;&lt;item&gt;74&lt;/item&gt;&lt;item&gt;76&lt;/item&gt;&lt;item&gt;86&lt;/item&gt;&lt;item&gt;104&lt;/item&gt;&lt;item&gt;105&lt;/item&gt;&lt;item&gt;139&lt;/item&gt;&lt;item&gt;290&lt;/item&gt;&lt;item&gt;303&lt;/item&gt;&lt;item&gt;307&lt;/item&gt;&lt;item&gt;308&lt;/item&gt;&lt;item&gt;314&lt;/item&gt;&lt;item&gt;315&lt;/item&gt;&lt;item&gt;318&lt;/item&gt;&lt;item&gt;327&lt;/item&gt;&lt;item&gt;331&lt;/item&gt;&lt;item&gt;337&lt;/item&gt;&lt;item&gt;370&lt;/item&gt;&lt;item&gt;373&lt;/item&gt;&lt;item&gt;380&lt;/item&gt;&lt;item&gt;381&lt;/item&gt;&lt;item&gt;382&lt;/item&gt;&lt;item&gt;384&lt;/item&gt;&lt;item&gt;386&lt;/item&gt;&lt;item&gt;398&lt;/item&gt;&lt;item&gt;402&lt;/item&gt;&lt;item&gt;405&lt;/item&gt;&lt;item&gt;408&lt;/item&gt;&lt;item&gt;413&lt;/item&gt;&lt;item&gt;415&lt;/item&gt;&lt;item&gt;416&lt;/item&gt;&lt;item&gt;418&lt;/item&gt;&lt;item&gt;420&lt;/item&gt;&lt;item&gt;421&lt;/item&gt;&lt;item&gt;422&lt;/item&gt;&lt;item&gt;425&lt;/item&gt;&lt;item&gt;426&lt;/item&gt;&lt;item&gt;429&lt;/item&gt;&lt;item&gt;431&lt;/item&gt;&lt;item&gt;432&lt;/item&gt;&lt;item&gt;433&lt;/item&gt;&lt;item&gt;436&lt;/item&gt;&lt;item&gt;437&lt;/item&gt;&lt;item&gt;439&lt;/item&gt;&lt;item&gt;440&lt;/item&gt;&lt;item&gt;441&lt;/item&gt;&lt;item&gt;442&lt;/item&gt;&lt;item&gt;444&lt;/item&gt;&lt;item&gt;445&lt;/item&gt;&lt;item&gt;446&lt;/item&gt;&lt;item&gt;447&lt;/item&gt;&lt;item&gt;450&lt;/item&gt;&lt;item&gt;452&lt;/item&gt;&lt;item&gt;455&lt;/item&gt;&lt;item&gt;457&lt;/item&gt;&lt;item&gt;460&lt;/item&gt;&lt;item&gt;461&lt;/item&gt;&lt;/record-ids&gt;&lt;/item&gt;&lt;/Libraries&gt;"/>
  </w:docVars>
  <w:rsids>
    <w:rsidRoot w:val="0078755C"/>
    <w:rsid w:val="00002FEE"/>
    <w:rsid w:val="0001679B"/>
    <w:rsid w:val="000179DD"/>
    <w:rsid w:val="000248B6"/>
    <w:rsid w:val="00024EAE"/>
    <w:rsid w:val="000252D1"/>
    <w:rsid w:val="00026F59"/>
    <w:rsid w:val="00036064"/>
    <w:rsid w:val="00037974"/>
    <w:rsid w:val="00046D33"/>
    <w:rsid w:val="00053A6E"/>
    <w:rsid w:val="00054FC6"/>
    <w:rsid w:val="00055C7B"/>
    <w:rsid w:val="000572B1"/>
    <w:rsid w:val="0006365F"/>
    <w:rsid w:val="00066BDB"/>
    <w:rsid w:val="00072128"/>
    <w:rsid w:val="00077C3D"/>
    <w:rsid w:val="00077CB3"/>
    <w:rsid w:val="00087771"/>
    <w:rsid w:val="000B1C4E"/>
    <w:rsid w:val="000B2AAB"/>
    <w:rsid w:val="000B50D7"/>
    <w:rsid w:val="000C05AE"/>
    <w:rsid w:val="000C3EFB"/>
    <w:rsid w:val="000C5CDF"/>
    <w:rsid w:val="000C5D5D"/>
    <w:rsid w:val="000C607A"/>
    <w:rsid w:val="000D1CDB"/>
    <w:rsid w:val="000D5A78"/>
    <w:rsid w:val="000D6BAE"/>
    <w:rsid w:val="000D77CE"/>
    <w:rsid w:val="000E0CEA"/>
    <w:rsid w:val="000E6339"/>
    <w:rsid w:val="000F0A83"/>
    <w:rsid w:val="000F153C"/>
    <w:rsid w:val="000F1DA4"/>
    <w:rsid w:val="001014F3"/>
    <w:rsid w:val="001024AB"/>
    <w:rsid w:val="00102EFA"/>
    <w:rsid w:val="00106DD5"/>
    <w:rsid w:val="001256F0"/>
    <w:rsid w:val="00126312"/>
    <w:rsid w:val="001275D9"/>
    <w:rsid w:val="00130C86"/>
    <w:rsid w:val="001348D4"/>
    <w:rsid w:val="00136A66"/>
    <w:rsid w:val="00142FAF"/>
    <w:rsid w:val="001534EC"/>
    <w:rsid w:val="001561EA"/>
    <w:rsid w:val="00156B2A"/>
    <w:rsid w:val="00166616"/>
    <w:rsid w:val="00172896"/>
    <w:rsid w:val="00172D49"/>
    <w:rsid w:val="00174252"/>
    <w:rsid w:val="001769FA"/>
    <w:rsid w:val="00180760"/>
    <w:rsid w:val="00180BF0"/>
    <w:rsid w:val="00187C42"/>
    <w:rsid w:val="00196BC4"/>
    <w:rsid w:val="00197526"/>
    <w:rsid w:val="001975BD"/>
    <w:rsid w:val="001A2619"/>
    <w:rsid w:val="001A68DA"/>
    <w:rsid w:val="001A7B6E"/>
    <w:rsid w:val="001B2B96"/>
    <w:rsid w:val="001B556A"/>
    <w:rsid w:val="001B7AC2"/>
    <w:rsid w:val="001C4E0E"/>
    <w:rsid w:val="001C735C"/>
    <w:rsid w:val="001D0F31"/>
    <w:rsid w:val="001D12CD"/>
    <w:rsid w:val="001D6598"/>
    <w:rsid w:val="001D7698"/>
    <w:rsid w:val="001E7E2C"/>
    <w:rsid w:val="00203FEE"/>
    <w:rsid w:val="00204E08"/>
    <w:rsid w:val="00206946"/>
    <w:rsid w:val="00210CB1"/>
    <w:rsid w:val="0021248A"/>
    <w:rsid w:val="0021584B"/>
    <w:rsid w:val="00216A9B"/>
    <w:rsid w:val="00217D79"/>
    <w:rsid w:val="00222B91"/>
    <w:rsid w:val="00223278"/>
    <w:rsid w:val="0022723E"/>
    <w:rsid w:val="002308BF"/>
    <w:rsid w:val="002311AD"/>
    <w:rsid w:val="00240A1C"/>
    <w:rsid w:val="00241071"/>
    <w:rsid w:val="00250FAE"/>
    <w:rsid w:val="0025541B"/>
    <w:rsid w:val="00267928"/>
    <w:rsid w:val="00272A88"/>
    <w:rsid w:val="00272D6D"/>
    <w:rsid w:val="00277BB1"/>
    <w:rsid w:val="00280241"/>
    <w:rsid w:val="002810E5"/>
    <w:rsid w:val="00282A05"/>
    <w:rsid w:val="0029020E"/>
    <w:rsid w:val="0029166B"/>
    <w:rsid w:val="00292035"/>
    <w:rsid w:val="002925D2"/>
    <w:rsid w:val="0029637C"/>
    <w:rsid w:val="00297421"/>
    <w:rsid w:val="002A523B"/>
    <w:rsid w:val="002A6C7F"/>
    <w:rsid w:val="002B2B41"/>
    <w:rsid w:val="002B5DB5"/>
    <w:rsid w:val="002B6FC3"/>
    <w:rsid w:val="002C1CFD"/>
    <w:rsid w:val="002D07C6"/>
    <w:rsid w:val="002D1B3B"/>
    <w:rsid w:val="002D5ACD"/>
    <w:rsid w:val="002D7714"/>
    <w:rsid w:val="002E5F54"/>
    <w:rsid w:val="002F2571"/>
    <w:rsid w:val="00301790"/>
    <w:rsid w:val="0030180B"/>
    <w:rsid w:val="00303EAD"/>
    <w:rsid w:val="00303EB6"/>
    <w:rsid w:val="00307083"/>
    <w:rsid w:val="003205C5"/>
    <w:rsid w:val="00321F24"/>
    <w:rsid w:val="0032665C"/>
    <w:rsid w:val="00326E51"/>
    <w:rsid w:val="00331650"/>
    <w:rsid w:val="00333834"/>
    <w:rsid w:val="00337EE1"/>
    <w:rsid w:val="003409F4"/>
    <w:rsid w:val="00342CC4"/>
    <w:rsid w:val="003451D7"/>
    <w:rsid w:val="00347A2D"/>
    <w:rsid w:val="0035672B"/>
    <w:rsid w:val="00356B16"/>
    <w:rsid w:val="00360105"/>
    <w:rsid w:val="00360628"/>
    <w:rsid w:val="003645C7"/>
    <w:rsid w:val="00364B51"/>
    <w:rsid w:val="0037016E"/>
    <w:rsid w:val="00382984"/>
    <w:rsid w:val="00382D22"/>
    <w:rsid w:val="003A1CEE"/>
    <w:rsid w:val="003A1CF6"/>
    <w:rsid w:val="003A43DB"/>
    <w:rsid w:val="003A5643"/>
    <w:rsid w:val="003A66E3"/>
    <w:rsid w:val="003B4F5E"/>
    <w:rsid w:val="003B5929"/>
    <w:rsid w:val="003B7F56"/>
    <w:rsid w:val="003D2A26"/>
    <w:rsid w:val="003D5894"/>
    <w:rsid w:val="003E0383"/>
    <w:rsid w:val="003E2306"/>
    <w:rsid w:val="003E3C1E"/>
    <w:rsid w:val="003F3634"/>
    <w:rsid w:val="003F3F3A"/>
    <w:rsid w:val="003F6BB5"/>
    <w:rsid w:val="00403969"/>
    <w:rsid w:val="0040642D"/>
    <w:rsid w:val="0041697A"/>
    <w:rsid w:val="00421B6F"/>
    <w:rsid w:val="004236B6"/>
    <w:rsid w:val="00426D3D"/>
    <w:rsid w:val="00440CB6"/>
    <w:rsid w:val="004415BD"/>
    <w:rsid w:val="00445E0E"/>
    <w:rsid w:val="00447D74"/>
    <w:rsid w:val="00465012"/>
    <w:rsid w:val="004661C8"/>
    <w:rsid w:val="0048162A"/>
    <w:rsid w:val="004817E9"/>
    <w:rsid w:val="00487C3B"/>
    <w:rsid w:val="004A3D45"/>
    <w:rsid w:val="004A706D"/>
    <w:rsid w:val="004B0049"/>
    <w:rsid w:val="004B0EDA"/>
    <w:rsid w:val="004B2E68"/>
    <w:rsid w:val="004B3E85"/>
    <w:rsid w:val="004C49CE"/>
    <w:rsid w:val="004C5439"/>
    <w:rsid w:val="004D0691"/>
    <w:rsid w:val="004D2223"/>
    <w:rsid w:val="004E31B1"/>
    <w:rsid w:val="004E3578"/>
    <w:rsid w:val="004E7091"/>
    <w:rsid w:val="004E724B"/>
    <w:rsid w:val="004F0EEE"/>
    <w:rsid w:val="004F2A0E"/>
    <w:rsid w:val="004F3FF1"/>
    <w:rsid w:val="00502EF8"/>
    <w:rsid w:val="00512B15"/>
    <w:rsid w:val="00513C56"/>
    <w:rsid w:val="00524AED"/>
    <w:rsid w:val="005273B2"/>
    <w:rsid w:val="005379ED"/>
    <w:rsid w:val="00550107"/>
    <w:rsid w:val="00551BEC"/>
    <w:rsid w:val="00554A3F"/>
    <w:rsid w:val="00557551"/>
    <w:rsid w:val="005617F2"/>
    <w:rsid w:val="00565286"/>
    <w:rsid w:val="005755C9"/>
    <w:rsid w:val="00575A21"/>
    <w:rsid w:val="00580B6C"/>
    <w:rsid w:val="00581FE4"/>
    <w:rsid w:val="00582212"/>
    <w:rsid w:val="00587085"/>
    <w:rsid w:val="005900DC"/>
    <w:rsid w:val="00590C33"/>
    <w:rsid w:val="005943BB"/>
    <w:rsid w:val="00594FE9"/>
    <w:rsid w:val="005A600E"/>
    <w:rsid w:val="005B38B8"/>
    <w:rsid w:val="005D0EE0"/>
    <w:rsid w:val="005D2364"/>
    <w:rsid w:val="005D751E"/>
    <w:rsid w:val="005D78FB"/>
    <w:rsid w:val="005E1946"/>
    <w:rsid w:val="005E3BC7"/>
    <w:rsid w:val="005E47A9"/>
    <w:rsid w:val="005E53FF"/>
    <w:rsid w:val="005F05F4"/>
    <w:rsid w:val="005F5EC9"/>
    <w:rsid w:val="005F6AAB"/>
    <w:rsid w:val="006031A0"/>
    <w:rsid w:val="00610AC7"/>
    <w:rsid w:val="00615BA0"/>
    <w:rsid w:val="00621B33"/>
    <w:rsid w:val="0062382D"/>
    <w:rsid w:val="0062416B"/>
    <w:rsid w:val="006269E2"/>
    <w:rsid w:val="0063453A"/>
    <w:rsid w:val="006349DF"/>
    <w:rsid w:val="006468FC"/>
    <w:rsid w:val="0065742B"/>
    <w:rsid w:val="00664483"/>
    <w:rsid w:val="00681D9F"/>
    <w:rsid w:val="006840BC"/>
    <w:rsid w:val="00687805"/>
    <w:rsid w:val="006928DD"/>
    <w:rsid w:val="00693221"/>
    <w:rsid w:val="00694B63"/>
    <w:rsid w:val="00695DEE"/>
    <w:rsid w:val="006B06EB"/>
    <w:rsid w:val="006C1410"/>
    <w:rsid w:val="006C3625"/>
    <w:rsid w:val="006D1700"/>
    <w:rsid w:val="006D3B22"/>
    <w:rsid w:val="006D753B"/>
    <w:rsid w:val="006E0541"/>
    <w:rsid w:val="006E57AE"/>
    <w:rsid w:val="006E6285"/>
    <w:rsid w:val="006E7D5E"/>
    <w:rsid w:val="006F1231"/>
    <w:rsid w:val="006F5EA9"/>
    <w:rsid w:val="007161F9"/>
    <w:rsid w:val="0072640C"/>
    <w:rsid w:val="0073387A"/>
    <w:rsid w:val="007339B5"/>
    <w:rsid w:val="00736A5F"/>
    <w:rsid w:val="0075137E"/>
    <w:rsid w:val="007521D6"/>
    <w:rsid w:val="007547AD"/>
    <w:rsid w:val="00754822"/>
    <w:rsid w:val="00756C35"/>
    <w:rsid w:val="00765237"/>
    <w:rsid w:val="00771DD3"/>
    <w:rsid w:val="00775FEC"/>
    <w:rsid w:val="00776C9C"/>
    <w:rsid w:val="007802B1"/>
    <w:rsid w:val="00784F4C"/>
    <w:rsid w:val="0078755C"/>
    <w:rsid w:val="007876C8"/>
    <w:rsid w:val="007951EC"/>
    <w:rsid w:val="007A6F15"/>
    <w:rsid w:val="007B31F7"/>
    <w:rsid w:val="007B4D27"/>
    <w:rsid w:val="007B5252"/>
    <w:rsid w:val="007B7785"/>
    <w:rsid w:val="007C33D5"/>
    <w:rsid w:val="007D4272"/>
    <w:rsid w:val="007D72A3"/>
    <w:rsid w:val="007E1163"/>
    <w:rsid w:val="007E15B8"/>
    <w:rsid w:val="007E41EE"/>
    <w:rsid w:val="007E4A48"/>
    <w:rsid w:val="007E744B"/>
    <w:rsid w:val="007E7A95"/>
    <w:rsid w:val="007F6195"/>
    <w:rsid w:val="007F776C"/>
    <w:rsid w:val="0080152E"/>
    <w:rsid w:val="00805579"/>
    <w:rsid w:val="008148D0"/>
    <w:rsid w:val="0082240E"/>
    <w:rsid w:val="0082372C"/>
    <w:rsid w:val="00823B6E"/>
    <w:rsid w:val="00827F79"/>
    <w:rsid w:val="00832293"/>
    <w:rsid w:val="008410C1"/>
    <w:rsid w:val="00863BB2"/>
    <w:rsid w:val="0086450C"/>
    <w:rsid w:val="00872FDE"/>
    <w:rsid w:val="00874276"/>
    <w:rsid w:val="00874B9A"/>
    <w:rsid w:val="008762B8"/>
    <w:rsid w:val="0088011B"/>
    <w:rsid w:val="00880244"/>
    <w:rsid w:val="008876BE"/>
    <w:rsid w:val="00887875"/>
    <w:rsid w:val="00891541"/>
    <w:rsid w:val="00891948"/>
    <w:rsid w:val="00894285"/>
    <w:rsid w:val="008A19B2"/>
    <w:rsid w:val="008A4F1D"/>
    <w:rsid w:val="008A5569"/>
    <w:rsid w:val="008A7751"/>
    <w:rsid w:val="008B0386"/>
    <w:rsid w:val="008B52E1"/>
    <w:rsid w:val="008B6541"/>
    <w:rsid w:val="008C5164"/>
    <w:rsid w:val="008C7EDB"/>
    <w:rsid w:val="008C7EEC"/>
    <w:rsid w:val="008D0995"/>
    <w:rsid w:val="008D12B7"/>
    <w:rsid w:val="008D3B9B"/>
    <w:rsid w:val="008D54F6"/>
    <w:rsid w:val="008E0BEE"/>
    <w:rsid w:val="008E27FF"/>
    <w:rsid w:val="008F2880"/>
    <w:rsid w:val="008F2CB4"/>
    <w:rsid w:val="008F4BB7"/>
    <w:rsid w:val="008F5D5E"/>
    <w:rsid w:val="009125E6"/>
    <w:rsid w:val="00914546"/>
    <w:rsid w:val="00916177"/>
    <w:rsid w:val="009224F6"/>
    <w:rsid w:val="009243B2"/>
    <w:rsid w:val="00932DEE"/>
    <w:rsid w:val="00933D80"/>
    <w:rsid w:val="00933E9C"/>
    <w:rsid w:val="009578BC"/>
    <w:rsid w:val="0096021B"/>
    <w:rsid w:val="00966FA5"/>
    <w:rsid w:val="009711C8"/>
    <w:rsid w:val="00976D46"/>
    <w:rsid w:val="00977D4B"/>
    <w:rsid w:val="00986E4C"/>
    <w:rsid w:val="00995E9C"/>
    <w:rsid w:val="009A260F"/>
    <w:rsid w:val="009A696E"/>
    <w:rsid w:val="009B0B9A"/>
    <w:rsid w:val="009B2643"/>
    <w:rsid w:val="009C4731"/>
    <w:rsid w:val="009C5658"/>
    <w:rsid w:val="009C745F"/>
    <w:rsid w:val="009D10B2"/>
    <w:rsid w:val="009D4393"/>
    <w:rsid w:val="009D4747"/>
    <w:rsid w:val="009D7629"/>
    <w:rsid w:val="009E4E88"/>
    <w:rsid w:val="009F26E6"/>
    <w:rsid w:val="009F48C5"/>
    <w:rsid w:val="009F62DA"/>
    <w:rsid w:val="00A027E0"/>
    <w:rsid w:val="00A06CF5"/>
    <w:rsid w:val="00A10BE1"/>
    <w:rsid w:val="00A13400"/>
    <w:rsid w:val="00A1550E"/>
    <w:rsid w:val="00A20C02"/>
    <w:rsid w:val="00A267C6"/>
    <w:rsid w:val="00A26FF7"/>
    <w:rsid w:val="00A27A80"/>
    <w:rsid w:val="00A35BE5"/>
    <w:rsid w:val="00A363D4"/>
    <w:rsid w:val="00A364A6"/>
    <w:rsid w:val="00A37388"/>
    <w:rsid w:val="00A401E5"/>
    <w:rsid w:val="00A40BE8"/>
    <w:rsid w:val="00A46B21"/>
    <w:rsid w:val="00A54A49"/>
    <w:rsid w:val="00A60977"/>
    <w:rsid w:val="00A65172"/>
    <w:rsid w:val="00A6689F"/>
    <w:rsid w:val="00A66978"/>
    <w:rsid w:val="00A66EC9"/>
    <w:rsid w:val="00A75157"/>
    <w:rsid w:val="00A7725E"/>
    <w:rsid w:val="00A852FC"/>
    <w:rsid w:val="00A85CB8"/>
    <w:rsid w:val="00A877A9"/>
    <w:rsid w:val="00A9073C"/>
    <w:rsid w:val="00A91166"/>
    <w:rsid w:val="00A92979"/>
    <w:rsid w:val="00A95635"/>
    <w:rsid w:val="00AA2123"/>
    <w:rsid w:val="00AC4D85"/>
    <w:rsid w:val="00AD1B83"/>
    <w:rsid w:val="00AE4998"/>
    <w:rsid w:val="00AE6823"/>
    <w:rsid w:val="00AE7149"/>
    <w:rsid w:val="00AE792E"/>
    <w:rsid w:val="00AF2612"/>
    <w:rsid w:val="00AF2E2F"/>
    <w:rsid w:val="00AF576F"/>
    <w:rsid w:val="00B06032"/>
    <w:rsid w:val="00B06712"/>
    <w:rsid w:val="00B07C68"/>
    <w:rsid w:val="00B12EE6"/>
    <w:rsid w:val="00B21CAE"/>
    <w:rsid w:val="00B30629"/>
    <w:rsid w:val="00B3148A"/>
    <w:rsid w:val="00B3241E"/>
    <w:rsid w:val="00B33B62"/>
    <w:rsid w:val="00B33C6E"/>
    <w:rsid w:val="00B340A9"/>
    <w:rsid w:val="00B35DC8"/>
    <w:rsid w:val="00B3690E"/>
    <w:rsid w:val="00B37D36"/>
    <w:rsid w:val="00B42478"/>
    <w:rsid w:val="00B466BB"/>
    <w:rsid w:val="00B51277"/>
    <w:rsid w:val="00B526D0"/>
    <w:rsid w:val="00B5750D"/>
    <w:rsid w:val="00B63B84"/>
    <w:rsid w:val="00B65BFA"/>
    <w:rsid w:val="00B65DB1"/>
    <w:rsid w:val="00B702E5"/>
    <w:rsid w:val="00B71226"/>
    <w:rsid w:val="00B714A6"/>
    <w:rsid w:val="00B75497"/>
    <w:rsid w:val="00B934A8"/>
    <w:rsid w:val="00B9658E"/>
    <w:rsid w:val="00BA67F4"/>
    <w:rsid w:val="00BA69FB"/>
    <w:rsid w:val="00BB7AC8"/>
    <w:rsid w:val="00BC2A8F"/>
    <w:rsid w:val="00BC2E00"/>
    <w:rsid w:val="00BC59C4"/>
    <w:rsid w:val="00BD1133"/>
    <w:rsid w:val="00BD1E9F"/>
    <w:rsid w:val="00BD2307"/>
    <w:rsid w:val="00BD36DF"/>
    <w:rsid w:val="00BD4EF7"/>
    <w:rsid w:val="00BD51B9"/>
    <w:rsid w:val="00BD57B6"/>
    <w:rsid w:val="00BE3F54"/>
    <w:rsid w:val="00BE68C6"/>
    <w:rsid w:val="00BF3795"/>
    <w:rsid w:val="00BF5E27"/>
    <w:rsid w:val="00C0281A"/>
    <w:rsid w:val="00C14C65"/>
    <w:rsid w:val="00C16C47"/>
    <w:rsid w:val="00C30343"/>
    <w:rsid w:val="00C32792"/>
    <w:rsid w:val="00C34487"/>
    <w:rsid w:val="00C376AD"/>
    <w:rsid w:val="00C37F05"/>
    <w:rsid w:val="00C47B10"/>
    <w:rsid w:val="00C53F14"/>
    <w:rsid w:val="00C55829"/>
    <w:rsid w:val="00C70FAD"/>
    <w:rsid w:val="00C74275"/>
    <w:rsid w:val="00C815E4"/>
    <w:rsid w:val="00C842E2"/>
    <w:rsid w:val="00C8762B"/>
    <w:rsid w:val="00C9051F"/>
    <w:rsid w:val="00C91797"/>
    <w:rsid w:val="00C91AA3"/>
    <w:rsid w:val="00C91CDC"/>
    <w:rsid w:val="00C925C0"/>
    <w:rsid w:val="00C92E07"/>
    <w:rsid w:val="00C93269"/>
    <w:rsid w:val="00C949A2"/>
    <w:rsid w:val="00C972DC"/>
    <w:rsid w:val="00CA2486"/>
    <w:rsid w:val="00CA5095"/>
    <w:rsid w:val="00CB0313"/>
    <w:rsid w:val="00CB0556"/>
    <w:rsid w:val="00CB11D5"/>
    <w:rsid w:val="00CB28B0"/>
    <w:rsid w:val="00CB5572"/>
    <w:rsid w:val="00CC226B"/>
    <w:rsid w:val="00CD2E4D"/>
    <w:rsid w:val="00CD6EF8"/>
    <w:rsid w:val="00CE2EBF"/>
    <w:rsid w:val="00CF002C"/>
    <w:rsid w:val="00CF0D23"/>
    <w:rsid w:val="00D01EB5"/>
    <w:rsid w:val="00D04D44"/>
    <w:rsid w:val="00D04D8F"/>
    <w:rsid w:val="00D20CA5"/>
    <w:rsid w:val="00D213F7"/>
    <w:rsid w:val="00D23A6C"/>
    <w:rsid w:val="00D26663"/>
    <w:rsid w:val="00D26FC8"/>
    <w:rsid w:val="00D303B8"/>
    <w:rsid w:val="00D32BA7"/>
    <w:rsid w:val="00D36A47"/>
    <w:rsid w:val="00D37D52"/>
    <w:rsid w:val="00D46B1F"/>
    <w:rsid w:val="00D50562"/>
    <w:rsid w:val="00D54509"/>
    <w:rsid w:val="00D57B2D"/>
    <w:rsid w:val="00D634FF"/>
    <w:rsid w:val="00D740A2"/>
    <w:rsid w:val="00D7417A"/>
    <w:rsid w:val="00D75CB1"/>
    <w:rsid w:val="00D822BC"/>
    <w:rsid w:val="00D873FA"/>
    <w:rsid w:val="00DA2568"/>
    <w:rsid w:val="00DA36D7"/>
    <w:rsid w:val="00DB0E03"/>
    <w:rsid w:val="00DB1BB0"/>
    <w:rsid w:val="00DB6191"/>
    <w:rsid w:val="00DB65F2"/>
    <w:rsid w:val="00DC0767"/>
    <w:rsid w:val="00DC3996"/>
    <w:rsid w:val="00DC4188"/>
    <w:rsid w:val="00DC62E2"/>
    <w:rsid w:val="00DD10FB"/>
    <w:rsid w:val="00DD24EB"/>
    <w:rsid w:val="00DE14DB"/>
    <w:rsid w:val="00DE1B85"/>
    <w:rsid w:val="00DE27A6"/>
    <w:rsid w:val="00DE45D4"/>
    <w:rsid w:val="00DE547B"/>
    <w:rsid w:val="00DF1357"/>
    <w:rsid w:val="00DF2573"/>
    <w:rsid w:val="00DF7CC3"/>
    <w:rsid w:val="00E046A6"/>
    <w:rsid w:val="00E151CB"/>
    <w:rsid w:val="00E167EA"/>
    <w:rsid w:val="00E20193"/>
    <w:rsid w:val="00E21EB0"/>
    <w:rsid w:val="00E226C4"/>
    <w:rsid w:val="00E23D61"/>
    <w:rsid w:val="00E27C3C"/>
    <w:rsid w:val="00E3359C"/>
    <w:rsid w:val="00E402C8"/>
    <w:rsid w:val="00E54CDC"/>
    <w:rsid w:val="00E603F8"/>
    <w:rsid w:val="00E607B0"/>
    <w:rsid w:val="00E60BEC"/>
    <w:rsid w:val="00E66811"/>
    <w:rsid w:val="00E77063"/>
    <w:rsid w:val="00E900E1"/>
    <w:rsid w:val="00E95657"/>
    <w:rsid w:val="00E96A70"/>
    <w:rsid w:val="00E96FF4"/>
    <w:rsid w:val="00EA3C48"/>
    <w:rsid w:val="00EA3F38"/>
    <w:rsid w:val="00EB0228"/>
    <w:rsid w:val="00EB0DEB"/>
    <w:rsid w:val="00EB3FDC"/>
    <w:rsid w:val="00EC03DD"/>
    <w:rsid w:val="00EC182F"/>
    <w:rsid w:val="00EC3699"/>
    <w:rsid w:val="00EC65E0"/>
    <w:rsid w:val="00ED13B0"/>
    <w:rsid w:val="00ED4427"/>
    <w:rsid w:val="00EE7B9C"/>
    <w:rsid w:val="00EF5EE0"/>
    <w:rsid w:val="00EF7CAC"/>
    <w:rsid w:val="00F0519C"/>
    <w:rsid w:val="00F101AF"/>
    <w:rsid w:val="00F12C62"/>
    <w:rsid w:val="00F23E3C"/>
    <w:rsid w:val="00F255CC"/>
    <w:rsid w:val="00F26218"/>
    <w:rsid w:val="00F377AC"/>
    <w:rsid w:val="00F54F0A"/>
    <w:rsid w:val="00F65E10"/>
    <w:rsid w:val="00F70B92"/>
    <w:rsid w:val="00F8093E"/>
    <w:rsid w:val="00F8170C"/>
    <w:rsid w:val="00F8418B"/>
    <w:rsid w:val="00F84F37"/>
    <w:rsid w:val="00F8518F"/>
    <w:rsid w:val="00F87F24"/>
    <w:rsid w:val="00F91A6E"/>
    <w:rsid w:val="00F95D7F"/>
    <w:rsid w:val="00F97B61"/>
    <w:rsid w:val="00FB7079"/>
    <w:rsid w:val="00FC504C"/>
    <w:rsid w:val="00FD05AA"/>
    <w:rsid w:val="00FD30A4"/>
    <w:rsid w:val="00FE256D"/>
    <w:rsid w:val="00FE2614"/>
    <w:rsid w:val="00FE28CC"/>
    <w:rsid w:val="00FF0D1B"/>
    <w:rsid w:val="00FF1790"/>
    <w:rsid w:val="00FF3085"/>
    <w:rsid w:val="00FF3540"/>
    <w:rsid w:val="00FF4EB5"/>
    <w:rsid w:val="00FF53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372C"/>
    <w:pPr>
      <w:spacing w:after="0" w:line="480" w:lineRule="auto"/>
      <w:ind w:firstLine="720"/>
    </w:pPr>
    <w:rPr>
      <w:rFonts w:ascii="Times New Roman" w:hAnsi="Times New Roman" w:cs="Times New Roman"/>
      <w:sz w:val="24"/>
    </w:rPr>
  </w:style>
  <w:style w:type="paragraph" w:styleId="Heading1">
    <w:name w:val="heading 1"/>
    <w:basedOn w:val="Normal"/>
    <w:next w:val="Normal"/>
    <w:link w:val="Heading1Char"/>
    <w:uiPriority w:val="9"/>
    <w:qFormat/>
    <w:rsid w:val="00B934A8"/>
    <w:pPr>
      <w:ind w:firstLine="0"/>
      <w:jc w:val="center"/>
      <w:outlineLvl w:val="0"/>
    </w:pPr>
    <w:rPr>
      <w:b/>
    </w:rPr>
  </w:style>
  <w:style w:type="paragraph" w:styleId="Heading2">
    <w:name w:val="heading 2"/>
    <w:basedOn w:val="Heading1"/>
    <w:next w:val="Normal"/>
    <w:link w:val="Heading2Char"/>
    <w:uiPriority w:val="9"/>
    <w:unhideWhenUsed/>
    <w:qFormat/>
    <w:rsid w:val="00326E51"/>
    <w:pPr>
      <w:jc w:val="left"/>
      <w:outlineLvl w:val="1"/>
    </w:pPr>
  </w:style>
  <w:style w:type="paragraph" w:styleId="Heading3">
    <w:name w:val="heading 3"/>
    <w:basedOn w:val="Heading2"/>
    <w:next w:val="Normal"/>
    <w:link w:val="Heading3Char"/>
    <w:uiPriority w:val="9"/>
    <w:unhideWhenUsed/>
    <w:qFormat/>
    <w:rsid w:val="00326E51"/>
    <w:pPr>
      <w:outlineLvl w:val="2"/>
    </w:pPr>
  </w:style>
  <w:style w:type="paragraph" w:styleId="Heading4">
    <w:name w:val="heading 4"/>
    <w:basedOn w:val="Heading3"/>
    <w:next w:val="Normal"/>
    <w:link w:val="Heading4Char"/>
    <w:uiPriority w:val="9"/>
    <w:unhideWhenUsed/>
    <w:qFormat/>
    <w:rsid w:val="00326E51"/>
    <w:pPr>
      <w:outlineLvl w:val="3"/>
    </w:pPr>
    <w:rPr>
      <w:i/>
    </w:rPr>
  </w:style>
  <w:style w:type="paragraph" w:styleId="Heading5">
    <w:name w:val="heading 5"/>
    <w:basedOn w:val="Heading4"/>
    <w:next w:val="Normal"/>
    <w:link w:val="Heading5Char"/>
    <w:uiPriority w:val="9"/>
    <w:unhideWhenUsed/>
    <w:qFormat/>
    <w:rsid w:val="00326E51"/>
    <w:pPr>
      <w:outlineLvl w:val="4"/>
    </w:pPr>
    <w:rPr>
      <w:b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34A8"/>
    <w:rPr>
      <w:rFonts w:ascii="Times New Roman" w:hAnsi="Times New Roman" w:cs="Times New Roman"/>
      <w:b/>
      <w:sz w:val="24"/>
    </w:rPr>
  </w:style>
  <w:style w:type="character" w:customStyle="1" w:styleId="Heading2Char">
    <w:name w:val="Heading 2 Char"/>
    <w:basedOn w:val="DefaultParagraphFont"/>
    <w:link w:val="Heading2"/>
    <w:uiPriority w:val="9"/>
    <w:rsid w:val="00326E51"/>
    <w:rPr>
      <w:rFonts w:ascii="Times New Roman" w:hAnsi="Times New Roman" w:cs="Times New Roman"/>
      <w:b/>
      <w:sz w:val="24"/>
    </w:rPr>
  </w:style>
  <w:style w:type="character" w:customStyle="1" w:styleId="Heading3Char">
    <w:name w:val="Heading 3 Char"/>
    <w:basedOn w:val="DefaultParagraphFont"/>
    <w:link w:val="Heading3"/>
    <w:uiPriority w:val="9"/>
    <w:rsid w:val="00326E51"/>
    <w:rPr>
      <w:rFonts w:ascii="Times New Roman" w:hAnsi="Times New Roman" w:cs="Times New Roman"/>
      <w:b/>
      <w:sz w:val="24"/>
    </w:rPr>
  </w:style>
  <w:style w:type="character" w:customStyle="1" w:styleId="Heading4Char">
    <w:name w:val="Heading 4 Char"/>
    <w:basedOn w:val="DefaultParagraphFont"/>
    <w:link w:val="Heading4"/>
    <w:uiPriority w:val="9"/>
    <w:rsid w:val="00326E51"/>
    <w:rPr>
      <w:rFonts w:ascii="Times New Roman" w:hAnsi="Times New Roman" w:cs="Times New Roman"/>
      <w:b/>
      <w:i/>
      <w:sz w:val="24"/>
    </w:rPr>
  </w:style>
  <w:style w:type="character" w:customStyle="1" w:styleId="Heading5Char">
    <w:name w:val="Heading 5 Char"/>
    <w:basedOn w:val="DefaultParagraphFont"/>
    <w:link w:val="Heading5"/>
    <w:uiPriority w:val="9"/>
    <w:rsid w:val="00326E51"/>
    <w:rPr>
      <w:rFonts w:ascii="Times New Roman" w:hAnsi="Times New Roman" w:cs="Times New Roman"/>
      <w:i/>
      <w:sz w:val="24"/>
    </w:rPr>
  </w:style>
  <w:style w:type="paragraph" w:styleId="Title">
    <w:name w:val="Title"/>
    <w:basedOn w:val="Heading5"/>
    <w:next w:val="Normal"/>
    <w:link w:val="TitleChar"/>
    <w:uiPriority w:val="10"/>
    <w:qFormat/>
    <w:rsid w:val="00326E51"/>
    <w:pPr>
      <w:jc w:val="center"/>
    </w:pPr>
    <w:rPr>
      <w:b/>
      <w:i w:val="0"/>
    </w:rPr>
  </w:style>
  <w:style w:type="character" w:customStyle="1" w:styleId="TitleChar">
    <w:name w:val="Title Char"/>
    <w:basedOn w:val="DefaultParagraphFont"/>
    <w:link w:val="Title"/>
    <w:uiPriority w:val="10"/>
    <w:rsid w:val="00326E51"/>
    <w:rPr>
      <w:rFonts w:ascii="Times New Roman" w:hAnsi="Times New Roman" w:cs="Times New Roman"/>
      <w:b/>
      <w:sz w:val="24"/>
    </w:rPr>
  </w:style>
  <w:style w:type="paragraph" w:styleId="Header">
    <w:name w:val="header"/>
    <w:basedOn w:val="Normal"/>
    <w:link w:val="HeaderChar"/>
    <w:uiPriority w:val="99"/>
    <w:unhideWhenUsed/>
    <w:rsid w:val="003F6BB5"/>
    <w:pPr>
      <w:tabs>
        <w:tab w:val="center" w:pos="4680"/>
        <w:tab w:val="right" w:pos="9360"/>
      </w:tabs>
      <w:spacing w:line="240" w:lineRule="auto"/>
    </w:pPr>
  </w:style>
  <w:style w:type="character" w:customStyle="1" w:styleId="HeaderChar">
    <w:name w:val="Header Char"/>
    <w:basedOn w:val="DefaultParagraphFont"/>
    <w:link w:val="Header"/>
    <w:uiPriority w:val="99"/>
    <w:rsid w:val="003F6BB5"/>
    <w:rPr>
      <w:rFonts w:ascii="Times New Roman" w:hAnsi="Times New Roman" w:cs="Times New Roman"/>
      <w:sz w:val="24"/>
    </w:rPr>
  </w:style>
  <w:style w:type="paragraph" w:styleId="Footer">
    <w:name w:val="footer"/>
    <w:basedOn w:val="Normal"/>
    <w:link w:val="FooterChar"/>
    <w:uiPriority w:val="99"/>
    <w:unhideWhenUsed/>
    <w:rsid w:val="003F6BB5"/>
    <w:pPr>
      <w:tabs>
        <w:tab w:val="center" w:pos="4680"/>
        <w:tab w:val="right" w:pos="9360"/>
      </w:tabs>
      <w:spacing w:line="240" w:lineRule="auto"/>
    </w:pPr>
  </w:style>
  <w:style w:type="character" w:customStyle="1" w:styleId="FooterChar">
    <w:name w:val="Footer Char"/>
    <w:basedOn w:val="DefaultParagraphFont"/>
    <w:link w:val="Footer"/>
    <w:uiPriority w:val="99"/>
    <w:rsid w:val="003F6BB5"/>
    <w:rPr>
      <w:rFonts w:ascii="Times New Roman" w:hAnsi="Times New Roman" w:cs="Times New Roman"/>
      <w:sz w:val="24"/>
    </w:rPr>
  </w:style>
  <w:style w:type="character" w:styleId="Hyperlink">
    <w:name w:val="Hyperlink"/>
    <w:basedOn w:val="DefaultParagraphFont"/>
    <w:uiPriority w:val="99"/>
    <w:unhideWhenUsed/>
    <w:rsid w:val="00196BC4"/>
    <w:rPr>
      <w:color w:val="D26900" w:themeColor="hyperlink"/>
      <w:u w:val="single"/>
    </w:rPr>
  </w:style>
  <w:style w:type="character" w:styleId="CommentReference">
    <w:name w:val="annotation reference"/>
    <w:basedOn w:val="DefaultParagraphFont"/>
    <w:uiPriority w:val="99"/>
    <w:semiHidden/>
    <w:unhideWhenUsed/>
    <w:rsid w:val="00087771"/>
    <w:rPr>
      <w:sz w:val="16"/>
      <w:szCs w:val="16"/>
    </w:rPr>
  </w:style>
  <w:style w:type="paragraph" w:styleId="CommentText">
    <w:name w:val="annotation text"/>
    <w:basedOn w:val="Normal"/>
    <w:link w:val="CommentTextChar"/>
    <w:uiPriority w:val="99"/>
    <w:semiHidden/>
    <w:unhideWhenUsed/>
    <w:rsid w:val="00087771"/>
    <w:pPr>
      <w:spacing w:line="240" w:lineRule="auto"/>
    </w:pPr>
    <w:rPr>
      <w:sz w:val="20"/>
      <w:szCs w:val="20"/>
    </w:rPr>
  </w:style>
  <w:style w:type="character" w:customStyle="1" w:styleId="CommentTextChar">
    <w:name w:val="Comment Text Char"/>
    <w:basedOn w:val="DefaultParagraphFont"/>
    <w:link w:val="CommentText"/>
    <w:uiPriority w:val="99"/>
    <w:semiHidden/>
    <w:rsid w:val="00087771"/>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087771"/>
    <w:rPr>
      <w:b/>
      <w:bCs/>
    </w:rPr>
  </w:style>
  <w:style w:type="character" w:customStyle="1" w:styleId="CommentSubjectChar">
    <w:name w:val="Comment Subject Char"/>
    <w:basedOn w:val="CommentTextChar"/>
    <w:link w:val="CommentSubject"/>
    <w:uiPriority w:val="99"/>
    <w:semiHidden/>
    <w:rsid w:val="00087771"/>
    <w:rPr>
      <w:rFonts w:ascii="Times New Roman" w:hAnsi="Times New Roman" w:cs="Times New Roman"/>
      <w:b/>
      <w:bCs/>
      <w:sz w:val="20"/>
      <w:szCs w:val="20"/>
    </w:rPr>
  </w:style>
  <w:style w:type="paragraph" w:styleId="BalloonText">
    <w:name w:val="Balloon Text"/>
    <w:basedOn w:val="Normal"/>
    <w:link w:val="BalloonTextChar"/>
    <w:uiPriority w:val="99"/>
    <w:semiHidden/>
    <w:unhideWhenUsed/>
    <w:rsid w:val="0008777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7771"/>
    <w:rPr>
      <w:rFonts w:ascii="Tahoma" w:hAnsi="Tahoma" w:cs="Tahoma"/>
      <w:sz w:val="16"/>
      <w:szCs w:val="16"/>
    </w:rPr>
  </w:style>
  <w:style w:type="paragraph" w:styleId="ListParagraph">
    <w:name w:val="List Paragraph"/>
    <w:basedOn w:val="Normal"/>
    <w:uiPriority w:val="34"/>
    <w:qFormat/>
    <w:rsid w:val="002D07C6"/>
    <w:pPr>
      <w:ind w:left="720" w:firstLine="360"/>
      <w:contextualSpacing/>
    </w:pPr>
    <w:rPr>
      <w:rFonts w:eastAsia="Times New Roman"/>
      <w:lang w:bidi="en-US"/>
    </w:rPr>
  </w:style>
  <w:style w:type="paragraph" w:styleId="TOC1">
    <w:name w:val="toc 1"/>
    <w:basedOn w:val="Normal"/>
    <w:next w:val="Normal"/>
    <w:autoRedefine/>
    <w:uiPriority w:val="39"/>
    <w:unhideWhenUsed/>
    <w:rsid w:val="0048162A"/>
    <w:pPr>
      <w:tabs>
        <w:tab w:val="right" w:leader="dot" w:pos="9350"/>
      </w:tabs>
      <w:spacing w:after="100"/>
      <w:ind w:firstLine="0"/>
      <w:jc w:val="center"/>
    </w:pPr>
    <w:rPr>
      <w:szCs w:val="24"/>
    </w:rPr>
  </w:style>
  <w:style w:type="paragraph" w:styleId="TOC2">
    <w:name w:val="toc 2"/>
    <w:basedOn w:val="Normal"/>
    <w:next w:val="Normal"/>
    <w:autoRedefine/>
    <w:uiPriority w:val="39"/>
    <w:unhideWhenUsed/>
    <w:rsid w:val="0001679B"/>
    <w:pPr>
      <w:spacing w:after="100"/>
      <w:ind w:left="240"/>
    </w:pPr>
  </w:style>
  <w:style w:type="table" w:styleId="TableGrid">
    <w:name w:val="Table Grid"/>
    <w:basedOn w:val="TableNormal"/>
    <w:uiPriority w:val="59"/>
    <w:rsid w:val="0001679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z-TopofFormChar">
    <w:name w:val="z-Top of Form Char"/>
    <w:basedOn w:val="DefaultParagraphFont"/>
    <w:link w:val="z-TopofForm"/>
    <w:uiPriority w:val="99"/>
    <w:semiHidden/>
    <w:rsid w:val="0001679B"/>
    <w:rPr>
      <w:rFonts w:ascii="Arial" w:hAnsi="Arial" w:cs="Arial"/>
      <w:vanish/>
      <w:sz w:val="16"/>
      <w:szCs w:val="16"/>
    </w:rPr>
  </w:style>
  <w:style w:type="paragraph" w:styleId="z-TopofForm">
    <w:name w:val="HTML Top of Form"/>
    <w:basedOn w:val="Normal"/>
    <w:next w:val="Normal"/>
    <w:link w:val="z-TopofFormChar"/>
    <w:hidden/>
    <w:uiPriority w:val="99"/>
    <w:semiHidden/>
    <w:unhideWhenUsed/>
    <w:rsid w:val="0001679B"/>
    <w:pPr>
      <w:pBdr>
        <w:bottom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01679B"/>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01679B"/>
    <w:pPr>
      <w:pBdr>
        <w:top w:val="single" w:sz="6" w:space="1" w:color="auto"/>
      </w:pBdr>
      <w:jc w:val="center"/>
    </w:pPr>
    <w:rPr>
      <w:rFonts w:ascii="Arial" w:hAnsi="Arial" w:cs="Arial"/>
      <w:vanish/>
      <w:sz w:val="16"/>
      <w:szCs w:val="16"/>
    </w:rPr>
  </w:style>
  <w:style w:type="paragraph" w:styleId="NormalWeb">
    <w:name w:val="Normal (Web)"/>
    <w:basedOn w:val="Normal"/>
    <w:rsid w:val="00297421"/>
    <w:pPr>
      <w:spacing w:before="100" w:beforeAutospacing="1" w:after="100" w:afterAutospacing="1" w:line="240" w:lineRule="auto"/>
      <w:ind w:firstLine="0"/>
    </w:pPr>
    <w:rPr>
      <w:rFonts w:eastAsia="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372C"/>
    <w:pPr>
      <w:spacing w:after="0" w:line="480" w:lineRule="auto"/>
      <w:ind w:firstLine="720"/>
    </w:pPr>
    <w:rPr>
      <w:rFonts w:ascii="Times New Roman" w:hAnsi="Times New Roman" w:cs="Times New Roman"/>
      <w:sz w:val="24"/>
    </w:rPr>
  </w:style>
  <w:style w:type="paragraph" w:styleId="Heading1">
    <w:name w:val="heading 1"/>
    <w:basedOn w:val="Normal"/>
    <w:next w:val="Normal"/>
    <w:link w:val="Heading1Char"/>
    <w:uiPriority w:val="9"/>
    <w:qFormat/>
    <w:rsid w:val="00B934A8"/>
    <w:pPr>
      <w:ind w:firstLine="0"/>
      <w:jc w:val="center"/>
      <w:outlineLvl w:val="0"/>
    </w:pPr>
    <w:rPr>
      <w:b/>
    </w:rPr>
  </w:style>
  <w:style w:type="paragraph" w:styleId="Heading2">
    <w:name w:val="heading 2"/>
    <w:basedOn w:val="Heading1"/>
    <w:next w:val="Normal"/>
    <w:link w:val="Heading2Char"/>
    <w:uiPriority w:val="9"/>
    <w:unhideWhenUsed/>
    <w:qFormat/>
    <w:rsid w:val="00326E51"/>
    <w:pPr>
      <w:jc w:val="left"/>
      <w:outlineLvl w:val="1"/>
    </w:pPr>
  </w:style>
  <w:style w:type="paragraph" w:styleId="Heading3">
    <w:name w:val="heading 3"/>
    <w:basedOn w:val="Heading2"/>
    <w:next w:val="Normal"/>
    <w:link w:val="Heading3Char"/>
    <w:uiPriority w:val="9"/>
    <w:unhideWhenUsed/>
    <w:qFormat/>
    <w:rsid w:val="00326E51"/>
    <w:pPr>
      <w:outlineLvl w:val="2"/>
    </w:pPr>
  </w:style>
  <w:style w:type="paragraph" w:styleId="Heading4">
    <w:name w:val="heading 4"/>
    <w:basedOn w:val="Heading3"/>
    <w:next w:val="Normal"/>
    <w:link w:val="Heading4Char"/>
    <w:uiPriority w:val="9"/>
    <w:unhideWhenUsed/>
    <w:qFormat/>
    <w:rsid w:val="00326E51"/>
    <w:pPr>
      <w:outlineLvl w:val="3"/>
    </w:pPr>
    <w:rPr>
      <w:i/>
    </w:rPr>
  </w:style>
  <w:style w:type="paragraph" w:styleId="Heading5">
    <w:name w:val="heading 5"/>
    <w:basedOn w:val="Heading4"/>
    <w:next w:val="Normal"/>
    <w:link w:val="Heading5Char"/>
    <w:uiPriority w:val="9"/>
    <w:unhideWhenUsed/>
    <w:qFormat/>
    <w:rsid w:val="00326E51"/>
    <w:pPr>
      <w:outlineLvl w:val="4"/>
    </w:pPr>
    <w:rPr>
      <w:b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34A8"/>
    <w:rPr>
      <w:rFonts w:ascii="Times New Roman" w:hAnsi="Times New Roman" w:cs="Times New Roman"/>
      <w:b/>
      <w:sz w:val="24"/>
    </w:rPr>
  </w:style>
  <w:style w:type="character" w:customStyle="1" w:styleId="Heading2Char">
    <w:name w:val="Heading 2 Char"/>
    <w:basedOn w:val="DefaultParagraphFont"/>
    <w:link w:val="Heading2"/>
    <w:uiPriority w:val="9"/>
    <w:rsid w:val="00326E51"/>
    <w:rPr>
      <w:rFonts w:ascii="Times New Roman" w:hAnsi="Times New Roman" w:cs="Times New Roman"/>
      <w:b/>
      <w:sz w:val="24"/>
    </w:rPr>
  </w:style>
  <w:style w:type="character" w:customStyle="1" w:styleId="Heading3Char">
    <w:name w:val="Heading 3 Char"/>
    <w:basedOn w:val="DefaultParagraphFont"/>
    <w:link w:val="Heading3"/>
    <w:uiPriority w:val="9"/>
    <w:rsid w:val="00326E51"/>
    <w:rPr>
      <w:rFonts w:ascii="Times New Roman" w:hAnsi="Times New Roman" w:cs="Times New Roman"/>
      <w:b/>
      <w:sz w:val="24"/>
    </w:rPr>
  </w:style>
  <w:style w:type="character" w:customStyle="1" w:styleId="Heading4Char">
    <w:name w:val="Heading 4 Char"/>
    <w:basedOn w:val="DefaultParagraphFont"/>
    <w:link w:val="Heading4"/>
    <w:uiPriority w:val="9"/>
    <w:rsid w:val="00326E51"/>
    <w:rPr>
      <w:rFonts w:ascii="Times New Roman" w:hAnsi="Times New Roman" w:cs="Times New Roman"/>
      <w:b/>
      <w:i/>
      <w:sz w:val="24"/>
    </w:rPr>
  </w:style>
  <w:style w:type="character" w:customStyle="1" w:styleId="Heading5Char">
    <w:name w:val="Heading 5 Char"/>
    <w:basedOn w:val="DefaultParagraphFont"/>
    <w:link w:val="Heading5"/>
    <w:uiPriority w:val="9"/>
    <w:rsid w:val="00326E51"/>
    <w:rPr>
      <w:rFonts w:ascii="Times New Roman" w:hAnsi="Times New Roman" w:cs="Times New Roman"/>
      <w:i/>
      <w:sz w:val="24"/>
    </w:rPr>
  </w:style>
  <w:style w:type="paragraph" w:styleId="Title">
    <w:name w:val="Title"/>
    <w:basedOn w:val="Heading5"/>
    <w:next w:val="Normal"/>
    <w:link w:val="TitleChar"/>
    <w:uiPriority w:val="10"/>
    <w:qFormat/>
    <w:rsid w:val="00326E51"/>
    <w:pPr>
      <w:jc w:val="center"/>
    </w:pPr>
    <w:rPr>
      <w:b/>
      <w:i w:val="0"/>
    </w:rPr>
  </w:style>
  <w:style w:type="character" w:customStyle="1" w:styleId="TitleChar">
    <w:name w:val="Title Char"/>
    <w:basedOn w:val="DefaultParagraphFont"/>
    <w:link w:val="Title"/>
    <w:uiPriority w:val="10"/>
    <w:rsid w:val="00326E51"/>
    <w:rPr>
      <w:rFonts w:ascii="Times New Roman" w:hAnsi="Times New Roman" w:cs="Times New Roman"/>
      <w:b/>
      <w:sz w:val="24"/>
    </w:rPr>
  </w:style>
  <w:style w:type="paragraph" w:styleId="Header">
    <w:name w:val="header"/>
    <w:basedOn w:val="Normal"/>
    <w:link w:val="HeaderChar"/>
    <w:uiPriority w:val="99"/>
    <w:unhideWhenUsed/>
    <w:rsid w:val="003F6BB5"/>
    <w:pPr>
      <w:tabs>
        <w:tab w:val="center" w:pos="4680"/>
        <w:tab w:val="right" w:pos="9360"/>
      </w:tabs>
      <w:spacing w:line="240" w:lineRule="auto"/>
    </w:pPr>
  </w:style>
  <w:style w:type="character" w:customStyle="1" w:styleId="HeaderChar">
    <w:name w:val="Header Char"/>
    <w:basedOn w:val="DefaultParagraphFont"/>
    <w:link w:val="Header"/>
    <w:uiPriority w:val="99"/>
    <w:rsid w:val="003F6BB5"/>
    <w:rPr>
      <w:rFonts w:ascii="Times New Roman" w:hAnsi="Times New Roman" w:cs="Times New Roman"/>
      <w:sz w:val="24"/>
    </w:rPr>
  </w:style>
  <w:style w:type="paragraph" w:styleId="Footer">
    <w:name w:val="footer"/>
    <w:basedOn w:val="Normal"/>
    <w:link w:val="FooterChar"/>
    <w:uiPriority w:val="99"/>
    <w:unhideWhenUsed/>
    <w:rsid w:val="003F6BB5"/>
    <w:pPr>
      <w:tabs>
        <w:tab w:val="center" w:pos="4680"/>
        <w:tab w:val="right" w:pos="9360"/>
      </w:tabs>
      <w:spacing w:line="240" w:lineRule="auto"/>
    </w:pPr>
  </w:style>
  <w:style w:type="character" w:customStyle="1" w:styleId="FooterChar">
    <w:name w:val="Footer Char"/>
    <w:basedOn w:val="DefaultParagraphFont"/>
    <w:link w:val="Footer"/>
    <w:uiPriority w:val="99"/>
    <w:rsid w:val="003F6BB5"/>
    <w:rPr>
      <w:rFonts w:ascii="Times New Roman" w:hAnsi="Times New Roman" w:cs="Times New Roman"/>
      <w:sz w:val="24"/>
    </w:rPr>
  </w:style>
  <w:style w:type="character" w:styleId="Hyperlink">
    <w:name w:val="Hyperlink"/>
    <w:basedOn w:val="DefaultParagraphFont"/>
    <w:uiPriority w:val="99"/>
    <w:unhideWhenUsed/>
    <w:rsid w:val="00196BC4"/>
    <w:rPr>
      <w:color w:val="D26900" w:themeColor="hyperlink"/>
      <w:u w:val="single"/>
    </w:rPr>
  </w:style>
  <w:style w:type="character" w:styleId="CommentReference">
    <w:name w:val="annotation reference"/>
    <w:basedOn w:val="DefaultParagraphFont"/>
    <w:uiPriority w:val="99"/>
    <w:semiHidden/>
    <w:unhideWhenUsed/>
    <w:rsid w:val="00087771"/>
    <w:rPr>
      <w:sz w:val="16"/>
      <w:szCs w:val="16"/>
    </w:rPr>
  </w:style>
  <w:style w:type="paragraph" w:styleId="CommentText">
    <w:name w:val="annotation text"/>
    <w:basedOn w:val="Normal"/>
    <w:link w:val="CommentTextChar"/>
    <w:uiPriority w:val="99"/>
    <w:semiHidden/>
    <w:unhideWhenUsed/>
    <w:rsid w:val="00087771"/>
    <w:pPr>
      <w:spacing w:line="240" w:lineRule="auto"/>
    </w:pPr>
    <w:rPr>
      <w:sz w:val="20"/>
      <w:szCs w:val="20"/>
    </w:rPr>
  </w:style>
  <w:style w:type="character" w:customStyle="1" w:styleId="CommentTextChar">
    <w:name w:val="Comment Text Char"/>
    <w:basedOn w:val="DefaultParagraphFont"/>
    <w:link w:val="CommentText"/>
    <w:uiPriority w:val="99"/>
    <w:semiHidden/>
    <w:rsid w:val="00087771"/>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087771"/>
    <w:rPr>
      <w:b/>
      <w:bCs/>
    </w:rPr>
  </w:style>
  <w:style w:type="character" w:customStyle="1" w:styleId="CommentSubjectChar">
    <w:name w:val="Comment Subject Char"/>
    <w:basedOn w:val="CommentTextChar"/>
    <w:link w:val="CommentSubject"/>
    <w:uiPriority w:val="99"/>
    <w:semiHidden/>
    <w:rsid w:val="00087771"/>
    <w:rPr>
      <w:rFonts w:ascii="Times New Roman" w:hAnsi="Times New Roman" w:cs="Times New Roman"/>
      <w:b/>
      <w:bCs/>
      <w:sz w:val="20"/>
      <w:szCs w:val="20"/>
    </w:rPr>
  </w:style>
  <w:style w:type="paragraph" w:styleId="BalloonText">
    <w:name w:val="Balloon Text"/>
    <w:basedOn w:val="Normal"/>
    <w:link w:val="BalloonTextChar"/>
    <w:uiPriority w:val="99"/>
    <w:semiHidden/>
    <w:unhideWhenUsed/>
    <w:rsid w:val="0008777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7771"/>
    <w:rPr>
      <w:rFonts w:ascii="Tahoma" w:hAnsi="Tahoma" w:cs="Tahoma"/>
      <w:sz w:val="16"/>
      <w:szCs w:val="16"/>
    </w:rPr>
  </w:style>
  <w:style w:type="paragraph" w:styleId="ListParagraph">
    <w:name w:val="List Paragraph"/>
    <w:basedOn w:val="Normal"/>
    <w:uiPriority w:val="34"/>
    <w:qFormat/>
    <w:rsid w:val="002D07C6"/>
    <w:pPr>
      <w:ind w:left="720" w:firstLine="360"/>
      <w:contextualSpacing/>
    </w:pPr>
    <w:rPr>
      <w:rFonts w:eastAsia="Times New Roman"/>
      <w:lang w:bidi="en-US"/>
    </w:rPr>
  </w:style>
  <w:style w:type="paragraph" w:styleId="TOC1">
    <w:name w:val="toc 1"/>
    <w:basedOn w:val="Normal"/>
    <w:next w:val="Normal"/>
    <w:autoRedefine/>
    <w:uiPriority w:val="39"/>
    <w:unhideWhenUsed/>
    <w:rsid w:val="0048162A"/>
    <w:pPr>
      <w:tabs>
        <w:tab w:val="right" w:leader="dot" w:pos="9350"/>
      </w:tabs>
      <w:spacing w:after="100"/>
      <w:ind w:firstLine="0"/>
      <w:jc w:val="center"/>
    </w:pPr>
    <w:rPr>
      <w:szCs w:val="24"/>
    </w:rPr>
  </w:style>
  <w:style w:type="paragraph" w:styleId="TOC2">
    <w:name w:val="toc 2"/>
    <w:basedOn w:val="Normal"/>
    <w:next w:val="Normal"/>
    <w:autoRedefine/>
    <w:uiPriority w:val="39"/>
    <w:unhideWhenUsed/>
    <w:rsid w:val="0001679B"/>
    <w:pPr>
      <w:spacing w:after="100"/>
      <w:ind w:left="240"/>
    </w:pPr>
  </w:style>
  <w:style w:type="table" w:styleId="TableGrid">
    <w:name w:val="Table Grid"/>
    <w:basedOn w:val="TableNormal"/>
    <w:uiPriority w:val="59"/>
    <w:rsid w:val="0001679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z-TopofFormChar">
    <w:name w:val="z-Top of Form Char"/>
    <w:basedOn w:val="DefaultParagraphFont"/>
    <w:link w:val="z-TopofForm"/>
    <w:uiPriority w:val="99"/>
    <w:semiHidden/>
    <w:rsid w:val="0001679B"/>
    <w:rPr>
      <w:rFonts w:ascii="Arial" w:hAnsi="Arial" w:cs="Arial"/>
      <w:vanish/>
      <w:sz w:val="16"/>
      <w:szCs w:val="16"/>
    </w:rPr>
  </w:style>
  <w:style w:type="paragraph" w:styleId="z-TopofForm">
    <w:name w:val="HTML Top of Form"/>
    <w:basedOn w:val="Normal"/>
    <w:next w:val="Normal"/>
    <w:link w:val="z-TopofFormChar"/>
    <w:hidden/>
    <w:uiPriority w:val="99"/>
    <w:semiHidden/>
    <w:unhideWhenUsed/>
    <w:rsid w:val="0001679B"/>
    <w:pPr>
      <w:pBdr>
        <w:bottom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01679B"/>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01679B"/>
    <w:pPr>
      <w:pBdr>
        <w:top w:val="single" w:sz="6" w:space="1" w:color="auto"/>
      </w:pBdr>
      <w:jc w:val="center"/>
    </w:pPr>
    <w:rPr>
      <w:rFonts w:ascii="Arial" w:hAnsi="Arial" w:cs="Arial"/>
      <w:vanish/>
      <w:sz w:val="16"/>
      <w:szCs w:val="16"/>
    </w:rPr>
  </w:style>
  <w:style w:type="paragraph" w:styleId="NormalWeb">
    <w:name w:val="Normal (Web)"/>
    <w:basedOn w:val="Normal"/>
    <w:rsid w:val="00297421"/>
    <w:pPr>
      <w:spacing w:before="100" w:beforeAutospacing="1" w:after="100" w:afterAutospacing="1" w:line="240" w:lineRule="auto"/>
      <w:ind w:firstLine="0"/>
    </w:pPr>
    <w:rPr>
      <w:rFonts w:eastAsia="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9360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mailto:counselingcenter@utk.edu" TargetMode="Externa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tt\Documents\My%20Dropbox\School\APA%20Style%20Template.dotx" TargetMode="External"/></Relationships>
</file>

<file path=word/theme/theme1.xml><?xml version="1.0" encoding="utf-8"?>
<a:theme xmlns:a="http://schemas.openxmlformats.org/drawingml/2006/main" name="Office Theme">
  <a:themeElements>
    <a:clrScheme name="NewsPrint">
      <a:dk1>
        <a:sysClr val="windowText" lastClr="000000"/>
      </a:dk1>
      <a:lt1>
        <a:sysClr val="window" lastClr="FFFFFF"/>
      </a:lt1>
      <a:dk2>
        <a:srgbClr val="303030"/>
      </a:dk2>
      <a:lt2>
        <a:srgbClr val="DEDEE0"/>
      </a:lt2>
      <a:accent1>
        <a:srgbClr val="AD0101"/>
      </a:accent1>
      <a:accent2>
        <a:srgbClr val="726056"/>
      </a:accent2>
      <a:accent3>
        <a:srgbClr val="AC956E"/>
      </a:accent3>
      <a:accent4>
        <a:srgbClr val="808DA9"/>
      </a:accent4>
      <a:accent5>
        <a:srgbClr val="424E5B"/>
      </a:accent5>
      <a:accent6>
        <a:srgbClr val="730E00"/>
      </a:accent6>
      <a:hlink>
        <a:srgbClr val="D26900"/>
      </a:hlink>
      <a:folHlink>
        <a:srgbClr val="D89243"/>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APA Style Template.dotx</Template>
  <TotalTime>1617</TotalTime>
  <Pages>124</Pages>
  <Words>57405</Words>
  <Characters>327209</Characters>
  <Application>Microsoft Office Word</Application>
  <DocSecurity>0</DocSecurity>
  <Lines>2726</Lines>
  <Paragraphs>767</Paragraphs>
  <ScaleCrop>false</ScaleCrop>
  <HeadingPairs>
    <vt:vector size="2" baseType="variant">
      <vt:variant>
        <vt:lpstr>Title</vt:lpstr>
      </vt:variant>
      <vt:variant>
        <vt:i4>1</vt:i4>
      </vt:variant>
    </vt:vector>
  </HeadingPairs>
  <TitlesOfParts>
    <vt:vector size="1" baseType="lpstr">
      <vt:lpstr>An Exploratory Study of Prescription Stimulant Use by Graduate Students</vt:lpstr>
    </vt:vector>
  </TitlesOfParts>
  <Company>University of Tennessee</Company>
  <LinksUpToDate>false</LinksUpToDate>
  <CharactersWithSpaces>383847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Exploratory Study of Prescription Stimulant Use by Graduate Students</dc:title>
  <dc:creator>Matt</dc:creator>
  <cp:lastModifiedBy>Matt</cp:lastModifiedBy>
  <cp:revision>41</cp:revision>
  <cp:lastPrinted>2012-02-21T20:51:00Z</cp:lastPrinted>
  <dcterms:created xsi:type="dcterms:W3CDTF">2012-02-10T15:43:00Z</dcterms:created>
  <dcterms:modified xsi:type="dcterms:W3CDTF">2012-03-11T01:27:00Z</dcterms:modified>
</cp:coreProperties>
</file>