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000F" w:rsidRPr="00B0000F" w:rsidRDefault="00B0000F" w:rsidP="009161D0">
      <w:pPr>
        <w:jc w:val="center"/>
        <w:rPr>
          <w:rFonts w:asciiTheme="majorHAnsi" w:hAnsiTheme="majorHAnsi"/>
          <w:b/>
          <w:sz w:val="36"/>
          <w:szCs w:val="36"/>
        </w:rPr>
      </w:pPr>
      <w:bookmarkStart w:id="0" w:name="_GoBack"/>
      <w:bookmarkEnd w:id="0"/>
      <w:r w:rsidRPr="00B0000F">
        <w:rPr>
          <w:rFonts w:asciiTheme="majorHAnsi" w:hAnsiTheme="majorHAnsi"/>
          <w:b/>
          <w:sz w:val="36"/>
          <w:szCs w:val="36"/>
        </w:rPr>
        <w:t>Development of a Monitoring Framework for the Detection of Diversion of Intermediate Products in a Generic Natural Uranium Conversion Plant</w:t>
      </w:r>
    </w:p>
    <w:p w:rsidR="00B0000F" w:rsidRDefault="00B0000F" w:rsidP="00B0000F">
      <w:pPr>
        <w:spacing w:after="0"/>
        <w:jc w:val="center"/>
        <w:rPr>
          <w:rFonts w:asciiTheme="majorHAnsi" w:hAnsiTheme="majorHAnsi"/>
          <w:sz w:val="28"/>
          <w:szCs w:val="28"/>
        </w:rPr>
      </w:pPr>
    </w:p>
    <w:p w:rsidR="00B0000F" w:rsidRDefault="00B0000F" w:rsidP="00B0000F">
      <w:pPr>
        <w:spacing w:after="0"/>
        <w:jc w:val="center"/>
        <w:rPr>
          <w:rFonts w:asciiTheme="majorHAnsi" w:hAnsiTheme="majorHAnsi"/>
          <w:sz w:val="28"/>
          <w:szCs w:val="28"/>
        </w:rPr>
      </w:pPr>
    </w:p>
    <w:p w:rsidR="00B0000F" w:rsidRDefault="00B0000F" w:rsidP="00B0000F">
      <w:pPr>
        <w:spacing w:after="0"/>
        <w:jc w:val="center"/>
        <w:rPr>
          <w:rFonts w:asciiTheme="majorHAnsi" w:hAnsiTheme="majorHAnsi"/>
          <w:sz w:val="28"/>
          <w:szCs w:val="28"/>
        </w:rPr>
      </w:pPr>
    </w:p>
    <w:p w:rsidR="00B0000F" w:rsidRDefault="00B0000F" w:rsidP="00B0000F">
      <w:pPr>
        <w:spacing w:after="0"/>
        <w:jc w:val="center"/>
        <w:rPr>
          <w:rFonts w:asciiTheme="majorHAnsi" w:hAnsiTheme="majorHAnsi"/>
          <w:sz w:val="28"/>
          <w:szCs w:val="28"/>
        </w:rPr>
      </w:pPr>
    </w:p>
    <w:p w:rsidR="00B0000F" w:rsidRDefault="00B0000F" w:rsidP="00B0000F">
      <w:pPr>
        <w:spacing w:after="0"/>
        <w:jc w:val="center"/>
        <w:rPr>
          <w:rFonts w:asciiTheme="majorHAnsi" w:hAnsiTheme="majorHAnsi"/>
          <w:sz w:val="28"/>
          <w:szCs w:val="28"/>
        </w:rPr>
      </w:pPr>
    </w:p>
    <w:p w:rsidR="00B0000F" w:rsidRDefault="00B0000F" w:rsidP="00B0000F">
      <w:pPr>
        <w:spacing w:after="0"/>
        <w:jc w:val="center"/>
        <w:rPr>
          <w:rFonts w:asciiTheme="majorHAnsi" w:hAnsiTheme="majorHAnsi"/>
          <w:sz w:val="28"/>
          <w:szCs w:val="28"/>
        </w:rPr>
      </w:pPr>
    </w:p>
    <w:p w:rsidR="00B0000F" w:rsidRDefault="00B0000F" w:rsidP="00B0000F">
      <w:pPr>
        <w:spacing w:after="0"/>
        <w:jc w:val="center"/>
        <w:rPr>
          <w:rFonts w:asciiTheme="majorHAnsi" w:hAnsiTheme="majorHAnsi"/>
          <w:sz w:val="28"/>
          <w:szCs w:val="28"/>
        </w:rPr>
      </w:pPr>
    </w:p>
    <w:p w:rsidR="00B0000F" w:rsidRDefault="00B0000F" w:rsidP="00B0000F">
      <w:pPr>
        <w:spacing w:after="0"/>
        <w:jc w:val="center"/>
        <w:rPr>
          <w:rFonts w:asciiTheme="majorHAnsi" w:hAnsiTheme="majorHAnsi"/>
          <w:sz w:val="28"/>
          <w:szCs w:val="28"/>
        </w:rPr>
      </w:pPr>
    </w:p>
    <w:p w:rsidR="00B0000F" w:rsidRDefault="00B0000F" w:rsidP="00B0000F">
      <w:pPr>
        <w:spacing w:after="0"/>
        <w:jc w:val="center"/>
        <w:rPr>
          <w:rFonts w:asciiTheme="majorHAnsi" w:hAnsiTheme="majorHAnsi"/>
          <w:sz w:val="28"/>
          <w:szCs w:val="28"/>
        </w:rPr>
      </w:pPr>
    </w:p>
    <w:p w:rsidR="00B0000F" w:rsidRDefault="00B0000F" w:rsidP="00B0000F">
      <w:pPr>
        <w:spacing w:after="0"/>
        <w:jc w:val="center"/>
        <w:rPr>
          <w:rFonts w:asciiTheme="majorHAnsi" w:hAnsiTheme="majorHAnsi"/>
          <w:sz w:val="28"/>
          <w:szCs w:val="28"/>
        </w:rPr>
      </w:pPr>
    </w:p>
    <w:p w:rsidR="000174E3" w:rsidRDefault="00B0000F" w:rsidP="00B0000F">
      <w:pPr>
        <w:spacing w:after="0"/>
        <w:jc w:val="center"/>
        <w:rPr>
          <w:rFonts w:asciiTheme="majorHAnsi" w:hAnsiTheme="majorHAnsi"/>
          <w:sz w:val="28"/>
          <w:szCs w:val="28"/>
        </w:rPr>
      </w:pPr>
      <w:r w:rsidRPr="00B0000F">
        <w:rPr>
          <w:rFonts w:asciiTheme="majorHAnsi" w:hAnsiTheme="majorHAnsi"/>
          <w:sz w:val="28"/>
          <w:szCs w:val="28"/>
        </w:rPr>
        <w:t>A Dissertation Presented for</w:t>
      </w:r>
      <w:r w:rsidR="000174E3">
        <w:rPr>
          <w:rFonts w:asciiTheme="majorHAnsi" w:hAnsiTheme="majorHAnsi"/>
          <w:sz w:val="28"/>
          <w:szCs w:val="28"/>
        </w:rPr>
        <w:t xml:space="preserve"> </w:t>
      </w:r>
      <w:r w:rsidRPr="00B0000F">
        <w:rPr>
          <w:rFonts w:asciiTheme="majorHAnsi" w:hAnsiTheme="majorHAnsi"/>
          <w:sz w:val="28"/>
          <w:szCs w:val="28"/>
        </w:rPr>
        <w:t xml:space="preserve">the </w:t>
      </w:r>
    </w:p>
    <w:p w:rsidR="00B0000F" w:rsidRPr="00B0000F" w:rsidRDefault="00B0000F" w:rsidP="00B0000F">
      <w:pPr>
        <w:spacing w:after="0"/>
        <w:jc w:val="center"/>
        <w:rPr>
          <w:rFonts w:asciiTheme="majorHAnsi" w:hAnsiTheme="majorHAnsi"/>
          <w:sz w:val="28"/>
          <w:szCs w:val="28"/>
        </w:rPr>
      </w:pPr>
      <w:r w:rsidRPr="00B0000F">
        <w:rPr>
          <w:rFonts w:asciiTheme="majorHAnsi" w:hAnsiTheme="majorHAnsi"/>
          <w:sz w:val="28"/>
          <w:szCs w:val="28"/>
        </w:rPr>
        <w:t>Doctor of Philosophy</w:t>
      </w:r>
    </w:p>
    <w:p w:rsidR="00B0000F" w:rsidRPr="00B0000F" w:rsidRDefault="00B0000F" w:rsidP="00B0000F">
      <w:pPr>
        <w:spacing w:after="0"/>
        <w:jc w:val="center"/>
        <w:rPr>
          <w:rFonts w:asciiTheme="majorHAnsi" w:hAnsiTheme="majorHAnsi"/>
          <w:sz w:val="28"/>
          <w:szCs w:val="28"/>
        </w:rPr>
      </w:pPr>
      <w:r w:rsidRPr="00B0000F">
        <w:rPr>
          <w:rFonts w:asciiTheme="majorHAnsi" w:hAnsiTheme="majorHAnsi"/>
          <w:sz w:val="28"/>
          <w:szCs w:val="28"/>
        </w:rPr>
        <w:t>Degree</w:t>
      </w:r>
    </w:p>
    <w:p w:rsidR="00B0000F" w:rsidRPr="00B0000F" w:rsidRDefault="00B0000F" w:rsidP="00B0000F">
      <w:pPr>
        <w:spacing w:after="0"/>
        <w:jc w:val="center"/>
        <w:rPr>
          <w:rFonts w:asciiTheme="majorHAnsi" w:hAnsiTheme="majorHAnsi"/>
          <w:sz w:val="28"/>
          <w:szCs w:val="28"/>
        </w:rPr>
      </w:pPr>
      <w:r w:rsidRPr="00B0000F">
        <w:rPr>
          <w:rFonts w:asciiTheme="majorHAnsi" w:hAnsiTheme="majorHAnsi"/>
          <w:sz w:val="28"/>
          <w:szCs w:val="28"/>
        </w:rPr>
        <w:t>The University of Tennessee, Knoxville</w:t>
      </w:r>
    </w:p>
    <w:p w:rsidR="00B0000F" w:rsidRDefault="00B0000F" w:rsidP="00B0000F">
      <w:pPr>
        <w:spacing w:after="0"/>
        <w:jc w:val="center"/>
        <w:rPr>
          <w:rFonts w:asciiTheme="majorHAnsi" w:hAnsiTheme="majorHAnsi"/>
          <w:sz w:val="28"/>
          <w:szCs w:val="28"/>
        </w:rPr>
      </w:pPr>
    </w:p>
    <w:p w:rsidR="00B0000F" w:rsidRDefault="00B0000F" w:rsidP="00B0000F">
      <w:pPr>
        <w:spacing w:after="0"/>
        <w:jc w:val="center"/>
        <w:rPr>
          <w:rFonts w:asciiTheme="majorHAnsi" w:hAnsiTheme="majorHAnsi"/>
          <w:sz w:val="28"/>
          <w:szCs w:val="28"/>
        </w:rPr>
      </w:pPr>
    </w:p>
    <w:p w:rsidR="00B0000F" w:rsidRDefault="00B0000F" w:rsidP="00B0000F">
      <w:pPr>
        <w:spacing w:after="0"/>
        <w:jc w:val="center"/>
        <w:rPr>
          <w:rFonts w:asciiTheme="majorHAnsi" w:hAnsiTheme="majorHAnsi"/>
          <w:sz w:val="28"/>
          <w:szCs w:val="28"/>
        </w:rPr>
      </w:pPr>
    </w:p>
    <w:p w:rsidR="00B0000F" w:rsidRDefault="00B0000F" w:rsidP="00B0000F">
      <w:pPr>
        <w:spacing w:after="0"/>
        <w:jc w:val="center"/>
        <w:rPr>
          <w:rFonts w:asciiTheme="majorHAnsi" w:hAnsiTheme="majorHAnsi"/>
          <w:sz w:val="28"/>
          <w:szCs w:val="28"/>
        </w:rPr>
      </w:pPr>
    </w:p>
    <w:p w:rsidR="00B0000F" w:rsidRDefault="00B0000F" w:rsidP="00B0000F">
      <w:pPr>
        <w:spacing w:after="0"/>
        <w:jc w:val="center"/>
        <w:rPr>
          <w:rFonts w:asciiTheme="majorHAnsi" w:hAnsiTheme="majorHAnsi"/>
          <w:sz w:val="28"/>
          <w:szCs w:val="28"/>
        </w:rPr>
      </w:pPr>
    </w:p>
    <w:p w:rsidR="00B0000F" w:rsidRDefault="00B0000F" w:rsidP="00B0000F">
      <w:pPr>
        <w:spacing w:after="0"/>
        <w:jc w:val="center"/>
        <w:rPr>
          <w:rFonts w:asciiTheme="majorHAnsi" w:hAnsiTheme="majorHAnsi"/>
          <w:sz w:val="28"/>
          <w:szCs w:val="28"/>
        </w:rPr>
      </w:pPr>
    </w:p>
    <w:p w:rsidR="00B0000F" w:rsidRDefault="00B0000F" w:rsidP="00B0000F">
      <w:pPr>
        <w:spacing w:after="0"/>
        <w:jc w:val="center"/>
        <w:rPr>
          <w:rFonts w:asciiTheme="majorHAnsi" w:hAnsiTheme="majorHAnsi"/>
          <w:sz w:val="28"/>
          <w:szCs w:val="28"/>
        </w:rPr>
      </w:pPr>
    </w:p>
    <w:p w:rsidR="00B0000F" w:rsidRDefault="00B0000F" w:rsidP="00B0000F">
      <w:pPr>
        <w:spacing w:after="0"/>
        <w:jc w:val="center"/>
        <w:rPr>
          <w:rFonts w:asciiTheme="majorHAnsi" w:hAnsiTheme="majorHAnsi"/>
          <w:sz w:val="28"/>
          <w:szCs w:val="28"/>
        </w:rPr>
      </w:pPr>
    </w:p>
    <w:p w:rsidR="00B0000F" w:rsidRDefault="00B0000F" w:rsidP="00B0000F">
      <w:pPr>
        <w:spacing w:after="0"/>
        <w:jc w:val="center"/>
        <w:rPr>
          <w:rFonts w:asciiTheme="majorHAnsi" w:hAnsiTheme="majorHAnsi"/>
          <w:sz w:val="28"/>
          <w:szCs w:val="28"/>
        </w:rPr>
      </w:pPr>
    </w:p>
    <w:p w:rsidR="00B0000F" w:rsidRDefault="00B0000F" w:rsidP="00B0000F">
      <w:pPr>
        <w:spacing w:after="0"/>
        <w:jc w:val="center"/>
        <w:rPr>
          <w:rFonts w:asciiTheme="majorHAnsi" w:hAnsiTheme="majorHAnsi"/>
          <w:sz w:val="28"/>
          <w:szCs w:val="28"/>
        </w:rPr>
      </w:pPr>
    </w:p>
    <w:p w:rsidR="00B0000F" w:rsidRDefault="00B0000F" w:rsidP="00B0000F">
      <w:pPr>
        <w:spacing w:after="0"/>
        <w:jc w:val="center"/>
        <w:rPr>
          <w:rFonts w:asciiTheme="majorHAnsi" w:hAnsiTheme="majorHAnsi"/>
          <w:sz w:val="28"/>
          <w:szCs w:val="28"/>
        </w:rPr>
      </w:pPr>
    </w:p>
    <w:p w:rsidR="00B0000F" w:rsidRDefault="00B0000F" w:rsidP="00B0000F">
      <w:pPr>
        <w:spacing w:after="0"/>
        <w:jc w:val="center"/>
        <w:rPr>
          <w:rFonts w:asciiTheme="majorHAnsi" w:hAnsiTheme="majorHAnsi"/>
          <w:sz w:val="28"/>
          <w:szCs w:val="28"/>
        </w:rPr>
      </w:pPr>
    </w:p>
    <w:p w:rsidR="00B0000F" w:rsidRPr="00B0000F" w:rsidRDefault="00B0000F" w:rsidP="00B0000F">
      <w:pPr>
        <w:spacing w:after="0"/>
        <w:jc w:val="center"/>
        <w:rPr>
          <w:rFonts w:asciiTheme="majorHAnsi" w:hAnsiTheme="majorHAnsi"/>
          <w:sz w:val="28"/>
          <w:szCs w:val="28"/>
        </w:rPr>
      </w:pPr>
      <w:r w:rsidRPr="00B0000F">
        <w:rPr>
          <w:rFonts w:asciiTheme="majorHAnsi" w:hAnsiTheme="majorHAnsi"/>
          <w:sz w:val="28"/>
          <w:szCs w:val="28"/>
        </w:rPr>
        <w:t>Jennifer L. Ladd-Lively</w:t>
      </w:r>
    </w:p>
    <w:p w:rsidR="00B0000F" w:rsidRPr="00B0000F" w:rsidRDefault="000174E3" w:rsidP="00B0000F">
      <w:pPr>
        <w:spacing w:after="0"/>
        <w:jc w:val="center"/>
        <w:rPr>
          <w:rFonts w:asciiTheme="majorHAnsi" w:hAnsiTheme="majorHAnsi"/>
          <w:sz w:val="28"/>
          <w:szCs w:val="28"/>
        </w:rPr>
      </w:pPr>
      <w:r>
        <w:rPr>
          <w:rFonts w:asciiTheme="majorHAnsi" w:hAnsiTheme="majorHAnsi"/>
          <w:sz w:val="28"/>
          <w:szCs w:val="28"/>
        </w:rPr>
        <w:t>December</w:t>
      </w:r>
      <w:r w:rsidR="00B0000F" w:rsidRPr="00B0000F">
        <w:rPr>
          <w:rFonts w:asciiTheme="majorHAnsi" w:hAnsiTheme="majorHAnsi"/>
          <w:sz w:val="28"/>
          <w:szCs w:val="28"/>
        </w:rPr>
        <w:t xml:space="preserve"> 2013</w:t>
      </w:r>
    </w:p>
    <w:p w:rsidR="00B0000F" w:rsidRDefault="00B0000F" w:rsidP="00F73746">
      <w:pPr>
        <w:spacing w:after="0"/>
        <w:sectPr w:rsidR="00B0000F" w:rsidSect="00696884">
          <w:headerReference w:type="default" r:id="rId9"/>
          <w:footerReference w:type="default" r:id="rId10"/>
          <w:pgSz w:w="12240" w:h="15840" w:code="1"/>
          <w:pgMar w:top="1440" w:right="1440" w:bottom="1440" w:left="1440" w:header="1440" w:footer="1440" w:gutter="0"/>
          <w:pgNumType w:fmt="lowerRoman" w:start="1"/>
          <w:cols w:space="720"/>
          <w:noEndnote/>
          <w:titlePg/>
          <w:docGrid w:linePitch="299"/>
        </w:sectPr>
      </w:pPr>
    </w:p>
    <w:p w:rsidR="00B0000F" w:rsidRDefault="00B0000F" w:rsidP="00B0000F">
      <w:pPr>
        <w:spacing w:after="0"/>
        <w:jc w:val="center"/>
      </w:pPr>
    </w:p>
    <w:p w:rsidR="00B0000F" w:rsidRDefault="00B0000F" w:rsidP="00B0000F">
      <w:pPr>
        <w:spacing w:after="0"/>
        <w:jc w:val="center"/>
      </w:pPr>
    </w:p>
    <w:p w:rsidR="00B0000F" w:rsidRDefault="00B0000F" w:rsidP="00B0000F">
      <w:pPr>
        <w:spacing w:after="0"/>
        <w:jc w:val="center"/>
      </w:pPr>
    </w:p>
    <w:p w:rsidR="00B0000F" w:rsidRDefault="00B0000F" w:rsidP="00B0000F">
      <w:pPr>
        <w:spacing w:after="0"/>
        <w:jc w:val="center"/>
      </w:pPr>
    </w:p>
    <w:p w:rsidR="00B0000F" w:rsidRDefault="00B0000F" w:rsidP="00B0000F">
      <w:pPr>
        <w:spacing w:after="0"/>
        <w:jc w:val="center"/>
      </w:pPr>
    </w:p>
    <w:p w:rsidR="00B0000F" w:rsidRDefault="00B0000F" w:rsidP="00B0000F">
      <w:pPr>
        <w:spacing w:after="0"/>
        <w:jc w:val="center"/>
      </w:pPr>
    </w:p>
    <w:p w:rsidR="00B0000F" w:rsidRDefault="00B0000F" w:rsidP="00B0000F">
      <w:pPr>
        <w:spacing w:after="0"/>
        <w:jc w:val="center"/>
      </w:pPr>
    </w:p>
    <w:p w:rsidR="00B0000F" w:rsidRDefault="00B0000F" w:rsidP="00B0000F">
      <w:pPr>
        <w:spacing w:after="0"/>
        <w:jc w:val="center"/>
      </w:pPr>
    </w:p>
    <w:p w:rsidR="00B0000F" w:rsidRDefault="00B0000F" w:rsidP="00B0000F">
      <w:pPr>
        <w:spacing w:after="0"/>
        <w:jc w:val="center"/>
      </w:pPr>
    </w:p>
    <w:p w:rsidR="00B0000F" w:rsidRDefault="00B0000F" w:rsidP="00B0000F">
      <w:pPr>
        <w:spacing w:after="0"/>
        <w:jc w:val="center"/>
      </w:pPr>
    </w:p>
    <w:p w:rsidR="00B0000F" w:rsidRDefault="00B0000F" w:rsidP="00B0000F">
      <w:pPr>
        <w:spacing w:after="0"/>
        <w:jc w:val="center"/>
      </w:pPr>
    </w:p>
    <w:p w:rsidR="00B0000F" w:rsidRDefault="00B0000F" w:rsidP="00B0000F">
      <w:pPr>
        <w:spacing w:after="0"/>
        <w:jc w:val="center"/>
      </w:pPr>
    </w:p>
    <w:p w:rsidR="00B0000F" w:rsidRDefault="00B0000F" w:rsidP="00B0000F">
      <w:pPr>
        <w:spacing w:after="0"/>
        <w:jc w:val="center"/>
      </w:pPr>
    </w:p>
    <w:p w:rsidR="00B0000F" w:rsidRDefault="00B0000F" w:rsidP="00B0000F">
      <w:pPr>
        <w:spacing w:after="0"/>
        <w:jc w:val="center"/>
      </w:pPr>
    </w:p>
    <w:p w:rsidR="00B0000F" w:rsidRDefault="00B0000F" w:rsidP="00B0000F">
      <w:pPr>
        <w:spacing w:after="0"/>
        <w:jc w:val="center"/>
      </w:pPr>
    </w:p>
    <w:p w:rsidR="00B0000F" w:rsidRDefault="00B0000F" w:rsidP="00B0000F">
      <w:pPr>
        <w:spacing w:after="0"/>
        <w:jc w:val="center"/>
      </w:pPr>
    </w:p>
    <w:p w:rsidR="00B0000F" w:rsidRDefault="00B0000F" w:rsidP="00B0000F">
      <w:pPr>
        <w:spacing w:after="0"/>
        <w:jc w:val="center"/>
      </w:pPr>
    </w:p>
    <w:p w:rsidR="00B0000F" w:rsidRDefault="00B0000F" w:rsidP="00B0000F">
      <w:pPr>
        <w:spacing w:after="0"/>
        <w:jc w:val="center"/>
      </w:pPr>
    </w:p>
    <w:p w:rsidR="00B0000F" w:rsidRPr="00B0000F" w:rsidRDefault="00B0000F" w:rsidP="00B0000F">
      <w:pPr>
        <w:spacing w:after="0"/>
        <w:jc w:val="center"/>
      </w:pPr>
      <w:r w:rsidRPr="00B0000F">
        <w:t>Copyright © 2013 by Jennifer L. Ladd-Lively</w:t>
      </w:r>
    </w:p>
    <w:p w:rsidR="00402C43" w:rsidRDefault="00B0000F" w:rsidP="00402C43">
      <w:pPr>
        <w:spacing w:after="0"/>
        <w:jc w:val="center"/>
      </w:pPr>
      <w:r w:rsidRPr="00B0000F">
        <w:t>All rights reserved.</w:t>
      </w:r>
    </w:p>
    <w:p w:rsidR="00402C43" w:rsidRDefault="00402C43">
      <w:r>
        <w:br w:type="page"/>
      </w:r>
    </w:p>
    <w:p w:rsidR="007C048B" w:rsidRPr="007C048B" w:rsidRDefault="007C048B" w:rsidP="00402C43">
      <w:pPr>
        <w:spacing w:after="0"/>
        <w:jc w:val="center"/>
        <w:rPr>
          <w:rFonts w:asciiTheme="majorHAnsi" w:hAnsiTheme="majorHAnsi"/>
          <w:b/>
          <w:caps/>
        </w:rPr>
      </w:pPr>
      <w:r w:rsidRPr="007C048B">
        <w:rPr>
          <w:rFonts w:asciiTheme="majorHAnsi" w:hAnsiTheme="majorHAnsi"/>
          <w:b/>
          <w:caps/>
        </w:rPr>
        <w:lastRenderedPageBreak/>
        <w:t>Acknowledgements</w:t>
      </w:r>
    </w:p>
    <w:p w:rsidR="007C048B" w:rsidRPr="007C048B" w:rsidRDefault="007C048B" w:rsidP="007C048B"/>
    <w:p w:rsidR="00CF2DD4" w:rsidRDefault="00CF2DD4" w:rsidP="00CF2DD4">
      <w:r w:rsidRPr="007510E5">
        <w:t>I would like to thank the members of my dissertation committee for taking time to</w:t>
      </w:r>
      <w:r>
        <w:t xml:space="preserve"> </w:t>
      </w:r>
      <w:r w:rsidRPr="007510E5">
        <w:t>review this work: Dr.</w:t>
      </w:r>
      <w:r>
        <w:t xml:space="preserve"> </w:t>
      </w:r>
      <w:proofErr w:type="spellStart"/>
      <w:r>
        <w:t>Tsewei</w:t>
      </w:r>
      <w:proofErr w:type="spellEnd"/>
      <w:r>
        <w:t xml:space="preserve"> Wang</w:t>
      </w:r>
      <w:r w:rsidRPr="007510E5">
        <w:t xml:space="preserve">, Dr. </w:t>
      </w:r>
      <w:r>
        <w:t xml:space="preserve">Robert M. </w:t>
      </w:r>
      <w:proofErr w:type="spellStart"/>
      <w:r>
        <w:t>Counce</w:t>
      </w:r>
      <w:proofErr w:type="spellEnd"/>
      <w:r>
        <w:t xml:space="preserve">, Dr. Alan S. Icenhour, Dr. Paul D. </w:t>
      </w:r>
      <w:proofErr w:type="spellStart"/>
      <w:r>
        <w:t>Frymier</w:t>
      </w:r>
      <w:proofErr w:type="spellEnd"/>
      <w:r>
        <w:t xml:space="preserve">, and Dr. John M. </w:t>
      </w:r>
      <w:proofErr w:type="spellStart"/>
      <w:r>
        <w:t>Begovich</w:t>
      </w:r>
      <w:proofErr w:type="spellEnd"/>
      <w:r>
        <w:t xml:space="preserve">. </w:t>
      </w:r>
      <w:r w:rsidRPr="007510E5">
        <w:t xml:space="preserve">I would especially like to thank Dr. </w:t>
      </w:r>
      <w:r>
        <w:t>Wang</w:t>
      </w:r>
      <w:r w:rsidRPr="007510E5">
        <w:t xml:space="preserve"> for h</w:t>
      </w:r>
      <w:r>
        <w:t>er</w:t>
      </w:r>
      <w:r w:rsidRPr="007510E5">
        <w:t xml:space="preserve"> guidance,</w:t>
      </w:r>
      <w:r>
        <w:t xml:space="preserve"> </w:t>
      </w:r>
      <w:r w:rsidRPr="007510E5">
        <w:t xml:space="preserve">dedication, and patience during </w:t>
      </w:r>
      <w:r>
        <w:t>the many years it has taken me to complete this research.</w:t>
      </w:r>
    </w:p>
    <w:p w:rsidR="00CF2DD4" w:rsidRDefault="00CF2DD4" w:rsidP="00CF2DD4">
      <w:r>
        <w:t xml:space="preserve">I would also like to thank my colleagues at Oak Ridge National Laboratory that were an </w:t>
      </w:r>
      <w:r w:rsidRPr="007510E5">
        <w:t>invaluable resource during these past years</w:t>
      </w:r>
      <w:r>
        <w:t>. I especially would like to thank Dr. Rodney Hunt, Dr. Erik Kabela, Dr. Joe Birdwell, Dr. Brian Anderson, and Dr. Paula Cable-Dunlap for their technical review of my dissertation and for the guidance they provided. I would also thank Dr. Robert Collins for his assistance in the development of the MATLAB® codes.</w:t>
      </w:r>
    </w:p>
    <w:p w:rsidR="00CF2DD4" w:rsidRDefault="00CF2DD4" w:rsidP="00CF2DD4">
      <w:r w:rsidRPr="007510E5">
        <w:t>I would also like to thank the National Nuclear Security Administration Offices of Defense Nuclear Nonproliferation Research and Development (NA-22) and Nonproliferation and International Security (NA-24) which partially funded this research.</w:t>
      </w:r>
    </w:p>
    <w:p w:rsidR="00CF2DD4" w:rsidRPr="007510E5" w:rsidRDefault="00CF2DD4" w:rsidP="00CF2DD4">
      <w:r>
        <w:t>Finally, I would like to thank my parents for their</w:t>
      </w:r>
      <w:r w:rsidRPr="0044537F">
        <w:t xml:space="preserve"> </w:t>
      </w:r>
      <w:r w:rsidRPr="007510E5">
        <w:t>support and encouragement</w:t>
      </w:r>
      <w:r>
        <w:t>.</w:t>
      </w:r>
    </w:p>
    <w:p w:rsidR="00402C43" w:rsidRDefault="00402C43">
      <w:pPr>
        <w:rPr>
          <w:highlight w:val="yellow"/>
        </w:rPr>
      </w:pPr>
      <w:r>
        <w:rPr>
          <w:highlight w:val="yellow"/>
        </w:rPr>
        <w:br w:type="page"/>
      </w:r>
    </w:p>
    <w:p w:rsidR="007C048B" w:rsidRPr="007C048B" w:rsidRDefault="007C048B" w:rsidP="00402C43">
      <w:pPr>
        <w:jc w:val="center"/>
        <w:rPr>
          <w:rFonts w:asciiTheme="majorHAnsi" w:hAnsiTheme="majorHAnsi"/>
          <w:b/>
          <w:caps/>
        </w:rPr>
      </w:pPr>
      <w:r w:rsidRPr="007C048B">
        <w:rPr>
          <w:rFonts w:asciiTheme="majorHAnsi" w:hAnsiTheme="majorHAnsi"/>
          <w:b/>
          <w:caps/>
        </w:rPr>
        <w:lastRenderedPageBreak/>
        <w:t>Abstract</w:t>
      </w:r>
    </w:p>
    <w:p w:rsidR="007C048B" w:rsidRPr="007C048B" w:rsidRDefault="007C048B" w:rsidP="007C048B"/>
    <w:p w:rsidR="00CE6FCF" w:rsidRDefault="00CE6FCF" w:rsidP="00CE6FCF">
      <w:r w:rsidRPr="007D43E5">
        <w:t xml:space="preserve">The objective of </w:t>
      </w:r>
      <w:r w:rsidR="00BC7C3C" w:rsidRPr="007D43E5">
        <w:t xml:space="preserve">this work </w:t>
      </w:r>
      <w:r w:rsidR="00BC7C3C">
        <w:t>is</w:t>
      </w:r>
      <w:r w:rsidR="00BC7C3C" w:rsidRPr="007D43E5">
        <w:t xml:space="preserve"> </w:t>
      </w:r>
      <w:r w:rsidR="00BC7C3C">
        <w:t>the development of an</w:t>
      </w:r>
      <w:r w:rsidR="00BC7C3C" w:rsidRPr="007D43E5">
        <w:t xml:space="preserve"> </w:t>
      </w:r>
      <w:r w:rsidR="00BC7C3C">
        <w:t>on-line</w:t>
      </w:r>
      <w:r w:rsidR="00BC7C3C" w:rsidRPr="007D43E5">
        <w:t xml:space="preserve"> monitoring and data analysis </w:t>
      </w:r>
      <w:r w:rsidRPr="007D43E5">
        <w:t xml:space="preserve">framework that </w:t>
      </w:r>
      <w:r w:rsidR="00BC7C3C">
        <w:t>c</w:t>
      </w:r>
      <w:r>
        <w:t>ould</w:t>
      </w:r>
      <w:r w:rsidRPr="007D43E5">
        <w:t xml:space="preserve"> detect the diversion of intermediate products </w:t>
      </w:r>
      <w:r>
        <w:t xml:space="preserve">such as </w:t>
      </w:r>
      <w:r w:rsidRPr="007D43E5">
        <w:t xml:space="preserve">uranium dioxide, uranium </w:t>
      </w:r>
      <w:proofErr w:type="spellStart"/>
      <w:r w:rsidRPr="007D43E5">
        <w:t>tetrafluoride</w:t>
      </w:r>
      <w:proofErr w:type="spellEnd"/>
      <w:r w:rsidRPr="007D43E5">
        <w:t xml:space="preserve">, and uranium hexafluoride </w:t>
      </w:r>
      <w:r>
        <w:t>in a</w:t>
      </w:r>
      <w:r w:rsidRPr="007D43E5">
        <w:t xml:space="preserve"> </w:t>
      </w:r>
      <w:r>
        <w:t>natural uranium conversion plant (</w:t>
      </w:r>
      <w:r w:rsidRPr="007D43E5">
        <w:t>NUCP</w:t>
      </w:r>
      <w:r>
        <w:t>)</w:t>
      </w:r>
      <w:r w:rsidRPr="007D43E5">
        <w:t xml:space="preserve"> using a multivariate statistical approach.</w:t>
      </w:r>
      <w:r>
        <w:t xml:space="preserve"> This was an initial effort to determine the feasibility of this approach for safeguards applications. </w:t>
      </w:r>
      <w:r w:rsidR="00CA69A9">
        <w:t xml:space="preserve">This study was limited to a 100 metric ton of uranium (MTU) per year </w:t>
      </w:r>
      <w:r w:rsidR="00CA69A9" w:rsidRPr="007D43E5">
        <w:t>NUCP using the wet solvent extraction method for the purifica</w:t>
      </w:r>
      <w:r w:rsidR="00CA69A9">
        <w:t xml:space="preserve">tion of uranium ore concentrate. </w:t>
      </w:r>
      <w:r>
        <w:t xml:space="preserve">A key component in the </w:t>
      </w:r>
      <w:r w:rsidRPr="00AC445B">
        <w:t>multiv</w:t>
      </w:r>
      <w:r w:rsidR="00CA69A9">
        <w:t>ariate statistical methodology wa</w:t>
      </w:r>
      <w:r w:rsidRPr="00AC445B">
        <w:t xml:space="preserve">s the </w:t>
      </w:r>
      <w:r>
        <w:t>Principal Component Analysis (</w:t>
      </w:r>
      <w:r w:rsidRPr="00AC445B">
        <w:t>PCA</w:t>
      </w:r>
      <w:r>
        <w:t>)</w:t>
      </w:r>
      <w:r w:rsidRPr="00AC445B">
        <w:t xml:space="preserve"> approach </w:t>
      </w:r>
      <w:r>
        <w:t>for the analysis of data</w:t>
      </w:r>
      <w:r w:rsidRPr="00AC445B">
        <w:t xml:space="preserve">, </w:t>
      </w:r>
      <w:r>
        <w:t>development of</w:t>
      </w:r>
      <w:r w:rsidRPr="00AC445B">
        <w:t xml:space="preserve"> the base model, and </w:t>
      </w:r>
      <w:r>
        <w:t>evaluation of</w:t>
      </w:r>
      <w:r w:rsidRPr="00AC445B">
        <w:t xml:space="preserve"> future operations.</w:t>
      </w:r>
      <w:r>
        <w:t xml:space="preserve"> </w:t>
      </w:r>
      <w:r w:rsidRPr="00D447F6">
        <w:t xml:space="preserve">The </w:t>
      </w:r>
      <w:r>
        <w:t xml:space="preserve">PCA approach was </w:t>
      </w:r>
      <w:r w:rsidRPr="00D447F6">
        <w:t>implement</w:t>
      </w:r>
      <w:r>
        <w:t>ed</w:t>
      </w:r>
      <w:r w:rsidRPr="00D447F6">
        <w:t xml:space="preserve"> through the use of singular value decomposition of the data matrix</w:t>
      </w:r>
      <w:r w:rsidR="008E6F8C">
        <w:t xml:space="preserve">. </w:t>
      </w:r>
      <w:r>
        <w:t>Component mole balances we</w:t>
      </w:r>
      <w:r w:rsidRPr="009D034F">
        <w:t>re used to model</w:t>
      </w:r>
      <w:r w:rsidRPr="00D01365">
        <w:t xml:space="preserve"> each of the process units in the NUCP. </w:t>
      </w:r>
      <w:r w:rsidRPr="007D43E5">
        <w:t>The decision framework developed in this research could be used to determine whether or not a diversion of material has occurred at an NUCP</w:t>
      </w:r>
      <w:r>
        <w:t xml:space="preserve"> as part of an International Atomic Energy Agency (IAEA) </w:t>
      </w:r>
      <w:r w:rsidRPr="007D43E5">
        <w:t>safeguards system.</w:t>
      </w:r>
      <w:r>
        <w:t xml:space="preserve"> The IAEA goal for NUCPs </w:t>
      </w:r>
      <w:r w:rsidR="00CA69A9">
        <w:t xml:space="preserve">of this size </w:t>
      </w:r>
      <w:r>
        <w:t xml:space="preserve">is to have a 50% probability of detecting the diversion of 10 MTU over a period of one year; this was also used as </w:t>
      </w:r>
      <w:r w:rsidRPr="007D43E5">
        <w:t>the goal of detection for the monitoring framework.</w:t>
      </w:r>
      <w:r>
        <w:t xml:space="preserve"> </w:t>
      </w:r>
      <w:r w:rsidR="000E6242">
        <w:t xml:space="preserve">An initial sensitivity analysis was also performed on the relationship between the component molar flow rates (state variables) and the process parameters. This sensitivity study identified a few parameters to which some of the state variables were highly sensitive. </w:t>
      </w:r>
      <w:r>
        <w:t xml:space="preserve">Several faulty scenarios were developed to test the monitoring framework after the base case or “normal operating conditions” of the PCA model was established. In </w:t>
      </w:r>
      <w:r w:rsidR="000E6242">
        <w:t xml:space="preserve">nearly all of the </w:t>
      </w:r>
      <w:r>
        <w:t>scenario</w:t>
      </w:r>
      <w:r w:rsidR="000E6242">
        <w:t>s</w:t>
      </w:r>
      <w:r>
        <w:t xml:space="preserve">, the monitoring framework was able to detect the fault. The detection limit varied depending on the scenario, but it satisfied the limit stated above in </w:t>
      </w:r>
      <w:r w:rsidR="000E6242">
        <w:t xml:space="preserve">nearly of the </w:t>
      </w:r>
      <w:r>
        <w:t xml:space="preserve">all cases. </w:t>
      </w:r>
      <w:r w:rsidR="000E6242">
        <w:t>For the cases that the goal was not achieved, additional scaling may be able to lower the detection limit to satisfy the goal. Overall this study was successful at meeting the stated objective.</w:t>
      </w:r>
    </w:p>
    <w:p w:rsidR="00402C43" w:rsidRDefault="00402C43" w:rsidP="00CE6FCF"/>
    <w:p w:rsidR="00402C43" w:rsidRDefault="00402C43" w:rsidP="00CE6FCF"/>
    <w:p w:rsidR="00402C43" w:rsidRDefault="00402C43">
      <w:pPr>
        <w:rPr>
          <w:rFonts w:asciiTheme="majorHAnsi" w:hAnsiTheme="majorHAnsi"/>
          <w:b/>
          <w:caps/>
        </w:rPr>
      </w:pPr>
      <w:r>
        <w:rPr>
          <w:rFonts w:asciiTheme="majorHAnsi" w:hAnsiTheme="majorHAnsi"/>
          <w:b/>
          <w:caps/>
        </w:rPr>
        <w:br w:type="page"/>
      </w:r>
    </w:p>
    <w:p w:rsidR="007C048B" w:rsidRDefault="007C048B" w:rsidP="007C048B">
      <w:pPr>
        <w:jc w:val="center"/>
        <w:rPr>
          <w:rFonts w:asciiTheme="majorHAnsi" w:hAnsiTheme="majorHAnsi"/>
          <w:b/>
          <w:caps/>
        </w:rPr>
      </w:pPr>
      <w:r w:rsidRPr="007C048B">
        <w:rPr>
          <w:rFonts w:asciiTheme="majorHAnsi" w:hAnsiTheme="majorHAnsi"/>
          <w:b/>
          <w:caps/>
        </w:rPr>
        <w:lastRenderedPageBreak/>
        <w:t>Table of Contents</w:t>
      </w:r>
    </w:p>
    <w:p w:rsidR="002A3CEA" w:rsidRPr="007C048B" w:rsidRDefault="002A3CEA" w:rsidP="007C048B">
      <w:pPr>
        <w:jc w:val="center"/>
        <w:rPr>
          <w:rFonts w:asciiTheme="majorHAnsi" w:hAnsiTheme="majorHAnsi"/>
          <w:b/>
          <w:caps/>
        </w:rPr>
      </w:pPr>
    </w:p>
    <w:p w:rsidR="007C048B" w:rsidRPr="007C048B" w:rsidRDefault="007C048B" w:rsidP="00A01FA6">
      <w:pPr>
        <w:tabs>
          <w:tab w:val="left" w:leader="dot" w:pos="8640"/>
        </w:tabs>
      </w:pPr>
      <w:r>
        <w:t xml:space="preserve">1. </w:t>
      </w:r>
      <w:r w:rsidRPr="007C048B">
        <w:t>Introduction</w:t>
      </w:r>
      <w:r w:rsidR="002A316A">
        <w:tab/>
        <w:t>1</w:t>
      </w:r>
    </w:p>
    <w:p w:rsidR="007C048B" w:rsidRPr="007C048B" w:rsidRDefault="004D23F5" w:rsidP="00A01FA6">
      <w:pPr>
        <w:tabs>
          <w:tab w:val="left" w:leader="dot" w:pos="8640"/>
        </w:tabs>
        <w:ind w:left="360"/>
      </w:pPr>
      <w:r>
        <w:t xml:space="preserve">1.1 </w:t>
      </w:r>
      <w:r w:rsidR="007C048B" w:rsidRPr="007C048B">
        <w:t>Background and Motivation</w:t>
      </w:r>
      <w:r w:rsidR="009351B1">
        <w:tab/>
        <w:t>1</w:t>
      </w:r>
    </w:p>
    <w:p w:rsidR="007C048B" w:rsidRPr="007C048B" w:rsidRDefault="004D23F5" w:rsidP="00A01FA6">
      <w:pPr>
        <w:tabs>
          <w:tab w:val="left" w:leader="dot" w:pos="8640"/>
        </w:tabs>
        <w:ind w:left="720"/>
      </w:pPr>
      <w:r>
        <w:t xml:space="preserve">1.1.1 </w:t>
      </w:r>
      <w:r w:rsidR="007C048B" w:rsidRPr="007C048B">
        <w:t>Overview of the Nuclear Fuel Cycle</w:t>
      </w:r>
      <w:r w:rsidR="009351B1">
        <w:tab/>
        <w:t>1</w:t>
      </w:r>
    </w:p>
    <w:p w:rsidR="007C048B" w:rsidRPr="007C048B" w:rsidRDefault="004D23F5" w:rsidP="00A01FA6">
      <w:pPr>
        <w:tabs>
          <w:tab w:val="left" w:leader="dot" w:pos="8640"/>
        </w:tabs>
        <w:ind w:left="720"/>
      </w:pPr>
      <w:r>
        <w:t xml:space="preserve">1.1.2 </w:t>
      </w:r>
      <w:r w:rsidR="007C048B" w:rsidRPr="007C048B">
        <w:t>Methods of Converting Uranium Ore to Uranium Hexafluoride</w:t>
      </w:r>
      <w:r w:rsidR="009351B1">
        <w:tab/>
        <w:t>2</w:t>
      </w:r>
    </w:p>
    <w:p w:rsidR="007C048B" w:rsidRPr="007C048B" w:rsidRDefault="004D23F5" w:rsidP="00A01FA6">
      <w:pPr>
        <w:tabs>
          <w:tab w:val="left" w:leader="dot" w:pos="8640"/>
        </w:tabs>
        <w:ind w:left="720"/>
      </w:pPr>
      <w:r>
        <w:t xml:space="preserve">1.1.3 </w:t>
      </w:r>
      <w:r w:rsidR="007C048B" w:rsidRPr="007C048B">
        <w:t xml:space="preserve">Current IAEA Safeguards Policy for Conversion Plants </w:t>
      </w:r>
      <w:r w:rsidR="009351B1">
        <w:tab/>
        <w:t>4</w:t>
      </w:r>
    </w:p>
    <w:p w:rsidR="007C048B" w:rsidRPr="007C048B" w:rsidRDefault="004D23F5" w:rsidP="00A01FA6">
      <w:pPr>
        <w:tabs>
          <w:tab w:val="left" w:leader="dot" w:pos="8640"/>
        </w:tabs>
        <w:ind w:left="720"/>
      </w:pPr>
      <w:r>
        <w:t xml:space="preserve">1.1.4 </w:t>
      </w:r>
      <w:r w:rsidR="007C048B" w:rsidRPr="007C048B">
        <w:t>Motivation</w:t>
      </w:r>
      <w:r w:rsidR="009544D5">
        <w:tab/>
        <w:t>6</w:t>
      </w:r>
    </w:p>
    <w:p w:rsidR="007C048B" w:rsidRPr="007C048B" w:rsidRDefault="004D23F5" w:rsidP="00A01FA6">
      <w:pPr>
        <w:tabs>
          <w:tab w:val="left" w:leader="dot" w:pos="8640"/>
        </w:tabs>
        <w:ind w:left="360"/>
      </w:pPr>
      <w:r>
        <w:t xml:space="preserve">1.2 </w:t>
      </w:r>
      <w:r w:rsidR="007C048B" w:rsidRPr="007C048B">
        <w:t>Problem Statement and Objectives</w:t>
      </w:r>
      <w:r w:rsidR="009544D5">
        <w:tab/>
        <w:t>7</w:t>
      </w:r>
    </w:p>
    <w:p w:rsidR="007C048B" w:rsidRPr="007C048B" w:rsidRDefault="004D23F5" w:rsidP="00A01FA6">
      <w:pPr>
        <w:tabs>
          <w:tab w:val="left" w:leader="dot" w:pos="8640"/>
        </w:tabs>
        <w:ind w:left="720"/>
      </w:pPr>
      <w:r>
        <w:t xml:space="preserve">1.2.1 </w:t>
      </w:r>
      <w:r w:rsidR="007C048B" w:rsidRPr="007C048B">
        <w:t>Purpose of the Study</w:t>
      </w:r>
      <w:r w:rsidR="009544D5">
        <w:tab/>
        <w:t>7</w:t>
      </w:r>
    </w:p>
    <w:p w:rsidR="007C048B" w:rsidRPr="007C048B" w:rsidRDefault="004D23F5" w:rsidP="00A01FA6">
      <w:pPr>
        <w:tabs>
          <w:tab w:val="left" w:leader="dot" w:pos="8640"/>
        </w:tabs>
        <w:ind w:left="720"/>
      </w:pPr>
      <w:r>
        <w:t xml:space="preserve">1.2.2 </w:t>
      </w:r>
      <w:r w:rsidR="007C048B" w:rsidRPr="007C048B">
        <w:t>Importance of the Study</w:t>
      </w:r>
      <w:r w:rsidR="009544D5">
        <w:tab/>
        <w:t>7</w:t>
      </w:r>
    </w:p>
    <w:p w:rsidR="007C048B" w:rsidRPr="007C048B" w:rsidRDefault="004D23F5" w:rsidP="00A01FA6">
      <w:pPr>
        <w:tabs>
          <w:tab w:val="left" w:leader="dot" w:pos="8640"/>
        </w:tabs>
        <w:ind w:left="720"/>
      </w:pPr>
      <w:r>
        <w:t xml:space="preserve">1.2.3 </w:t>
      </w:r>
      <w:r w:rsidR="007C048B" w:rsidRPr="007C048B">
        <w:t>Scope and Limitations</w:t>
      </w:r>
      <w:r w:rsidR="009351B1">
        <w:tab/>
        <w:t>7</w:t>
      </w:r>
    </w:p>
    <w:p w:rsidR="007C048B" w:rsidRPr="007C048B" w:rsidRDefault="004D23F5" w:rsidP="00A01FA6">
      <w:pPr>
        <w:tabs>
          <w:tab w:val="left" w:leader="dot" w:pos="8640"/>
        </w:tabs>
        <w:ind w:left="360"/>
      </w:pPr>
      <w:r>
        <w:t xml:space="preserve">1.3 </w:t>
      </w:r>
      <w:r w:rsidR="007C048B" w:rsidRPr="007C048B">
        <w:t>Original Contributions</w:t>
      </w:r>
      <w:r w:rsidR="00AE5A8C">
        <w:tab/>
      </w:r>
      <w:r w:rsidR="009544D5">
        <w:t>8</w:t>
      </w:r>
    </w:p>
    <w:p w:rsidR="007C048B" w:rsidRPr="007C048B" w:rsidRDefault="004D23F5" w:rsidP="00A01FA6">
      <w:pPr>
        <w:tabs>
          <w:tab w:val="left" w:leader="dot" w:pos="8640"/>
        </w:tabs>
        <w:ind w:left="360"/>
      </w:pPr>
      <w:r>
        <w:t xml:space="preserve">1.4 </w:t>
      </w:r>
      <w:r w:rsidR="007C048B" w:rsidRPr="007C048B">
        <w:t>Organization of Dissertation</w:t>
      </w:r>
      <w:r w:rsidR="002C6DC7">
        <w:tab/>
        <w:t>9</w:t>
      </w:r>
    </w:p>
    <w:p w:rsidR="007C048B" w:rsidRPr="007C048B" w:rsidRDefault="004D23F5" w:rsidP="00A01FA6">
      <w:pPr>
        <w:tabs>
          <w:tab w:val="left" w:leader="dot" w:pos="8640"/>
        </w:tabs>
      </w:pPr>
      <w:r>
        <w:t xml:space="preserve">2. </w:t>
      </w:r>
      <w:r w:rsidR="007C048B" w:rsidRPr="007C048B">
        <w:t>Literature Review</w:t>
      </w:r>
      <w:r w:rsidR="009544D5">
        <w:tab/>
        <w:t>10</w:t>
      </w:r>
    </w:p>
    <w:p w:rsidR="007C048B" w:rsidRPr="007C048B" w:rsidRDefault="004D23F5" w:rsidP="00A01FA6">
      <w:pPr>
        <w:tabs>
          <w:tab w:val="left" w:leader="dot" w:pos="8640"/>
        </w:tabs>
        <w:ind w:left="360"/>
      </w:pPr>
      <w:r>
        <w:t xml:space="preserve">2.1 </w:t>
      </w:r>
      <w:r w:rsidR="007C048B" w:rsidRPr="007C048B">
        <w:t>Process Monitoring</w:t>
      </w:r>
      <w:r w:rsidR="00BB3FF4">
        <w:t xml:space="preserve"> and Fault Detection</w:t>
      </w:r>
      <w:r w:rsidR="009544D5">
        <w:tab/>
        <w:t>10</w:t>
      </w:r>
    </w:p>
    <w:p w:rsidR="007C048B" w:rsidRPr="007C048B" w:rsidRDefault="004D23F5" w:rsidP="00A01FA6">
      <w:pPr>
        <w:tabs>
          <w:tab w:val="left" w:leader="dot" w:pos="8640"/>
        </w:tabs>
        <w:ind w:left="360"/>
      </w:pPr>
      <w:r>
        <w:t>2.</w:t>
      </w:r>
      <w:r w:rsidR="00BB3FF4">
        <w:t>2</w:t>
      </w:r>
      <w:r>
        <w:t xml:space="preserve"> </w:t>
      </w:r>
      <w:r w:rsidR="007C048B" w:rsidRPr="007C048B">
        <w:t>Safeguards</w:t>
      </w:r>
      <w:r w:rsidR="00BB3FF4">
        <w:t xml:space="preserve"> and Diversion</w:t>
      </w:r>
      <w:r w:rsidR="007C048B" w:rsidRPr="007C048B">
        <w:t xml:space="preserve"> </w:t>
      </w:r>
      <w:r w:rsidR="001A442D">
        <w:t>in</w:t>
      </w:r>
      <w:r w:rsidR="007C048B" w:rsidRPr="007C048B">
        <w:t xml:space="preserve"> Conversion Plants</w:t>
      </w:r>
      <w:r w:rsidR="00A01FA6">
        <w:tab/>
        <w:t>1</w:t>
      </w:r>
      <w:r w:rsidR="002C6DC7">
        <w:t>5</w:t>
      </w:r>
    </w:p>
    <w:p w:rsidR="007C048B" w:rsidRPr="007C048B" w:rsidRDefault="00BB3FF4" w:rsidP="00A01FA6">
      <w:pPr>
        <w:tabs>
          <w:tab w:val="left" w:leader="dot" w:pos="8640"/>
        </w:tabs>
        <w:ind w:left="360"/>
      </w:pPr>
      <w:r>
        <w:t>2.3</w:t>
      </w:r>
      <w:r w:rsidR="004D23F5">
        <w:t xml:space="preserve"> </w:t>
      </w:r>
      <w:r w:rsidR="007C048B" w:rsidRPr="007C048B">
        <w:t>Principal Component Analysis</w:t>
      </w:r>
      <w:r w:rsidR="002C6DC7">
        <w:tab/>
        <w:t>22</w:t>
      </w:r>
    </w:p>
    <w:p w:rsidR="007C048B" w:rsidRPr="007C048B" w:rsidRDefault="004D23F5" w:rsidP="00A01FA6">
      <w:pPr>
        <w:tabs>
          <w:tab w:val="left" w:leader="dot" w:pos="8640"/>
        </w:tabs>
      </w:pPr>
      <w:r>
        <w:t xml:space="preserve">3. </w:t>
      </w:r>
      <w:r w:rsidR="007C048B" w:rsidRPr="007C048B">
        <w:t>Methodology</w:t>
      </w:r>
      <w:r w:rsidR="002C6DC7">
        <w:tab/>
        <w:t>27</w:t>
      </w:r>
    </w:p>
    <w:p w:rsidR="007C048B" w:rsidRPr="007C048B" w:rsidRDefault="004D23F5" w:rsidP="00A01FA6">
      <w:pPr>
        <w:tabs>
          <w:tab w:val="left" w:leader="dot" w:pos="8640"/>
        </w:tabs>
        <w:ind w:left="360"/>
      </w:pPr>
      <w:r>
        <w:t xml:space="preserve">3.1 </w:t>
      </w:r>
      <w:r w:rsidR="007C048B" w:rsidRPr="007C048B">
        <w:t>Overall Approach</w:t>
      </w:r>
      <w:r w:rsidR="002C6DC7">
        <w:tab/>
        <w:t>27</w:t>
      </w:r>
    </w:p>
    <w:p w:rsidR="007C048B" w:rsidRPr="007C048B" w:rsidRDefault="004D23F5" w:rsidP="00A01FA6">
      <w:pPr>
        <w:tabs>
          <w:tab w:val="left" w:leader="dot" w:pos="8640"/>
        </w:tabs>
        <w:ind w:left="360"/>
      </w:pPr>
      <w:r>
        <w:t xml:space="preserve">3.2 </w:t>
      </w:r>
      <w:r w:rsidR="007C048B" w:rsidRPr="007C048B">
        <w:t>Material Balances</w:t>
      </w:r>
      <w:r w:rsidR="002C6DC7">
        <w:tab/>
        <w:t>29</w:t>
      </w:r>
    </w:p>
    <w:p w:rsidR="007C048B" w:rsidRPr="007C048B" w:rsidRDefault="004D23F5" w:rsidP="00A01FA6">
      <w:pPr>
        <w:tabs>
          <w:tab w:val="left" w:leader="dot" w:pos="8640"/>
        </w:tabs>
        <w:ind w:left="720"/>
      </w:pPr>
      <w:r>
        <w:t xml:space="preserve">3.2.1 </w:t>
      </w:r>
      <w:r w:rsidR="007C048B" w:rsidRPr="007C048B">
        <w:t>Module 1: Dissolution</w:t>
      </w:r>
      <w:r w:rsidR="002C6DC7">
        <w:tab/>
        <w:t>38</w:t>
      </w:r>
    </w:p>
    <w:p w:rsidR="007C048B" w:rsidRPr="007C048B" w:rsidRDefault="004D23F5" w:rsidP="00A01FA6">
      <w:pPr>
        <w:tabs>
          <w:tab w:val="left" w:leader="dot" w:pos="8640"/>
        </w:tabs>
        <w:ind w:left="720"/>
      </w:pPr>
      <w:r>
        <w:t xml:space="preserve">3.2.2 </w:t>
      </w:r>
      <w:r w:rsidR="007C048B" w:rsidRPr="007C048B">
        <w:t>Module 2: Solvent Extraction</w:t>
      </w:r>
      <w:r w:rsidR="002C6DC7">
        <w:tab/>
        <w:t>49</w:t>
      </w:r>
    </w:p>
    <w:p w:rsidR="007C048B" w:rsidRPr="007C048B" w:rsidRDefault="004D23F5" w:rsidP="00A01FA6">
      <w:pPr>
        <w:tabs>
          <w:tab w:val="left" w:leader="dot" w:pos="8640"/>
        </w:tabs>
        <w:ind w:left="720"/>
      </w:pPr>
      <w:r>
        <w:t xml:space="preserve">3.2.3 </w:t>
      </w:r>
      <w:r w:rsidR="007C048B" w:rsidRPr="007C048B">
        <w:t>Module 3: Evaporation and Precipitation</w:t>
      </w:r>
      <w:r w:rsidR="002C6DC7">
        <w:tab/>
        <w:t>59</w:t>
      </w:r>
    </w:p>
    <w:p w:rsidR="007C048B" w:rsidRPr="007C048B" w:rsidRDefault="004D23F5" w:rsidP="00A01FA6">
      <w:pPr>
        <w:tabs>
          <w:tab w:val="left" w:leader="dot" w:pos="8640"/>
        </w:tabs>
        <w:ind w:left="720"/>
      </w:pPr>
      <w:r>
        <w:lastRenderedPageBreak/>
        <w:t xml:space="preserve">3.2.4 </w:t>
      </w:r>
      <w:r w:rsidR="007C048B" w:rsidRPr="007C048B">
        <w:t xml:space="preserve">Module 4: Conversion to Uranium Dioxide then Uranium </w:t>
      </w:r>
      <w:proofErr w:type="spellStart"/>
      <w:r w:rsidR="007C048B" w:rsidRPr="007C048B">
        <w:t>Tetrafluoride</w:t>
      </w:r>
      <w:proofErr w:type="spellEnd"/>
      <w:r w:rsidR="002C6DC7">
        <w:tab/>
        <w:t>67</w:t>
      </w:r>
    </w:p>
    <w:p w:rsidR="007C048B" w:rsidRPr="007C048B" w:rsidRDefault="004D23F5" w:rsidP="00A01FA6">
      <w:pPr>
        <w:tabs>
          <w:tab w:val="left" w:leader="dot" w:pos="8640"/>
        </w:tabs>
        <w:ind w:left="720"/>
      </w:pPr>
      <w:r>
        <w:t xml:space="preserve">3.2.5 </w:t>
      </w:r>
      <w:r w:rsidR="007C048B" w:rsidRPr="007C048B">
        <w:t xml:space="preserve">Module 5: Conversion of </w:t>
      </w:r>
      <w:r w:rsidR="009544D5">
        <w:t xml:space="preserve">Uranium </w:t>
      </w:r>
      <w:proofErr w:type="spellStart"/>
      <w:r w:rsidR="007C048B" w:rsidRPr="007C048B">
        <w:t>Tetrafluoride</w:t>
      </w:r>
      <w:proofErr w:type="spellEnd"/>
      <w:r w:rsidR="007C048B" w:rsidRPr="007C048B">
        <w:t xml:space="preserve"> to Uranium Hexafluoride</w:t>
      </w:r>
      <w:r w:rsidR="002C6DC7">
        <w:tab/>
        <w:t>79</w:t>
      </w:r>
    </w:p>
    <w:p w:rsidR="007C048B" w:rsidRPr="007C048B" w:rsidRDefault="004D23F5" w:rsidP="00A01FA6">
      <w:pPr>
        <w:tabs>
          <w:tab w:val="left" w:leader="dot" w:pos="8640"/>
        </w:tabs>
        <w:ind w:left="360"/>
      </w:pPr>
      <w:r>
        <w:t xml:space="preserve">3.3 </w:t>
      </w:r>
      <w:r w:rsidR="007C048B" w:rsidRPr="007C048B">
        <w:t>Sensitivity Analysis</w:t>
      </w:r>
      <w:r w:rsidR="002C6DC7">
        <w:tab/>
        <w:t>88</w:t>
      </w:r>
    </w:p>
    <w:p w:rsidR="007C048B" w:rsidRPr="007C048B" w:rsidRDefault="004D23F5" w:rsidP="00A01FA6">
      <w:pPr>
        <w:tabs>
          <w:tab w:val="left" w:leader="dot" w:pos="8640"/>
        </w:tabs>
        <w:ind w:left="360"/>
      </w:pPr>
      <w:r>
        <w:t xml:space="preserve">3.4 </w:t>
      </w:r>
      <w:r w:rsidR="007C048B" w:rsidRPr="007C048B">
        <w:t>Base “Normal” Case</w:t>
      </w:r>
      <w:r w:rsidR="009351B1">
        <w:tab/>
        <w:t>93</w:t>
      </w:r>
    </w:p>
    <w:p w:rsidR="007C048B" w:rsidRPr="007C048B" w:rsidRDefault="004D23F5" w:rsidP="00A01FA6">
      <w:pPr>
        <w:tabs>
          <w:tab w:val="left" w:leader="dot" w:pos="8640"/>
        </w:tabs>
        <w:ind w:left="360"/>
      </w:pPr>
      <w:r>
        <w:t xml:space="preserve">3.5 </w:t>
      </w:r>
      <w:r w:rsidR="007C048B" w:rsidRPr="007C048B">
        <w:t>Principal Component Model</w:t>
      </w:r>
      <w:r w:rsidR="009351B1">
        <w:tab/>
        <w:t>95</w:t>
      </w:r>
    </w:p>
    <w:p w:rsidR="007C048B" w:rsidRPr="007C048B" w:rsidRDefault="004D23F5" w:rsidP="00A01FA6">
      <w:pPr>
        <w:tabs>
          <w:tab w:val="left" w:leader="dot" w:pos="8640"/>
        </w:tabs>
        <w:ind w:left="360"/>
      </w:pPr>
      <w:r>
        <w:t xml:space="preserve">3.6 </w:t>
      </w:r>
      <w:r w:rsidR="007C048B" w:rsidRPr="007C048B">
        <w:t>Faulty “Off-Normal” Cases</w:t>
      </w:r>
      <w:r w:rsidR="009351B1">
        <w:tab/>
        <w:t>99</w:t>
      </w:r>
    </w:p>
    <w:p w:rsidR="007C048B" w:rsidRPr="007C048B" w:rsidRDefault="004D23F5" w:rsidP="00A01FA6">
      <w:pPr>
        <w:tabs>
          <w:tab w:val="left" w:leader="dot" w:pos="8640"/>
        </w:tabs>
        <w:ind w:left="720"/>
      </w:pPr>
      <w:r>
        <w:t xml:space="preserve">3.6.1 </w:t>
      </w:r>
      <w:r w:rsidR="007C048B" w:rsidRPr="007C048B">
        <w:t xml:space="preserve">Potential Diversion </w:t>
      </w:r>
      <w:r w:rsidR="00CC2819">
        <w:t>Scenarios</w:t>
      </w:r>
      <w:r w:rsidR="007C048B" w:rsidRPr="007C048B">
        <w:t xml:space="preserve"> in Conversion Plants</w:t>
      </w:r>
      <w:r w:rsidR="009351B1">
        <w:tab/>
        <w:t>99</w:t>
      </w:r>
    </w:p>
    <w:p w:rsidR="007C048B" w:rsidRPr="007C048B" w:rsidRDefault="004D23F5" w:rsidP="00A01FA6">
      <w:pPr>
        <w:tabs>
          <w:tab w:val="left" w:leader="dot" w:pos="8640"/>
        </w:tabs>
        <w:ind w:left="720"/>
      </w:pPr>
      <w:r>
        <w:t xml:space="preserve">3.6.2 </w:t>
      </w:r>
      <w:r w:rsidR="007C048B" w:rsidRPr="007C048B">
        <w:t xml:space="preserve">Selected </w:t>
      </w:r>
      <w:r w:rsidR="001A442D">
        <w:t xml:space="preserve">Faulty “Off-Normal” </w:t>
      </w:r>
      <w:r w:rsidR="007C048B" w:rsidRPr="007C048B">
        <w:t>Cases</w:t>
      </w:r>
      <w:r w:rsidR="009351B1">
        <w:tab/>
        <w:t>104</w:t>
      </w:r>
    </w:p>
    <w:p w:rsidR="007C048B" w:rsidRPr="007C048B" w:rsidRDefault="004D23F5" w:rsidP="00A01FA6">
      <w:pPr>
        <w:tabs>
          <w:tab w:val="left" w:leader="dot" w:pos="8640"/>
        </w:tabs>
      </w:pPr>
      <w:r>
        <w:t xml:space="preserve">4. </w:t>
      </w:r>
      <w:r w:rsidR="007C048B" w:rsidRPr="007C048B">
        <w:t>Results and Discussion</w:t>
      </w:r>
      <w:r w:rsidR="009351B1">
        <w:tab/>
        <w:t>113</w:t>
      </w:r>
    </w:p>
    <w:p w:rsidR="007C048B" w:rsidRPr="007C048B" w:rsidRDefault="004D23F5" w:rsidP="00A01FA6">
      <w:pPr>
        <w:tabs>
          <w:tab w:val="left" w:leader="dot" w:pos="8640"/>
        </w:tabs>
        <w:ind w:left="360"/>
      </w:pPr>
      <w:r>
        <w:t xml:space="preserve">4.1 </w:t>
      </w:r>
      <w:r w:rsidR="007C048B" w:rsidRPr="007C048B">
        <w:t>Sensitivity Analysis</w:t>
      </w:r>
      <w:r w:rsidR="009351B1">
        <w:tab/>
        <w:t>113</w:t>
      </w:r>
    </w:p>
    <w:p w:rsidR="007C048B" w:rsidRDefault="004D23F5" w:rsidP="00A01FA6">
      <w:pPr>
        <w:tabs>
          <w:tab w:val="left" w:leader="dot" w:pos="8640"/>
        </w:tabs>
        <w:ind w:left="360"/>
      </w:pPr>
      <w:r>
        <w:t xml:space="preserve">4.2 </w:t>
      </w:r>
      <w:r w:rsidR="007C048B" w:rsidRPr="007C048B">
        <w:t>Base “Normal” Case</w:t>
      </w:r>
      <w:r w:rsidR="00A01FA6">
        <w:tab/>
        <w:t>1</w:t>
      </w:r>
      <w:r w:rsidR="009351B1">
        <w:t>23</w:t>
      </w:r>
    </w:p>
    <w:p w:rsidR="009544D5" w:rsidRDefault="009351B1" w:rsidP="009544D5">
      <w:pPr>
        <w:tabs>
          <w:tab w:val="left" w:leader="dot" w:pos="8640"/>
        </w:tabs>
        <w:ind w:left="720"/>
      </w:pPr>
      <w:r>
        <w:t>4.2.1 Base Case</w:t>
      </w:r>
      <w:r>
        <w:tab/>
        <w:t>123</w:t>
      </w:r>
    </w:p>
    <w:p w:rsidR="009544D5" w:rsidRDefault="009544D5" w:rsidP="009544D5">
      <w:pPr>
        <w:tabs>
          <w:tab w:val="left" w:leader="dot" w:pos="8640"/>
        </w:tabs>
        <w:ind w:left="720"/>
      </w:pPr>
      <w:r>
        <w:t>4</w:t>
      </w:r>
      <w:r w:rsidR="009351B1">
        <w:t>.2.2 Control Case</w:t>
      </w:r>
      <w:r w:rsidR="009351B1">
        <w:tab/>
        <w:t>157</w:t>
      </w:r>
    </w:p>
    <w:p w:rsidR="007C048B" w:rsidRPr="007C048B" w:rsidRDefault="004D23F5" w:rsidP="00A01FA6">
      <w:pPr>
        <w:tabs>
          <w:tab w:val="left" w:leader="dot" w:pos="8640"/>
        </w:tabs>
        <w:ind w:left="360"/>
      </w:pPr>
      <w:r>
        <w:t xml:space="preserve">4.3 </w:t>
      </w:r>
      <w:r w:rsidR="007C048B" w:rsidRPr="007C048B">
        <w:t>Faulty “Off-Normal” Cases</w:t>
      </w:r>
      <w:r w:rsidR="00A01FA6">
        <w:tab/>
        <w:t>1</w:t>
      </w:r>
      <w:r w:rsidR="009351B1">
        <w:t>65</w:t>
      </w:r>
    </w:p>
    <w:p w:rsidR="007C048B" w:rsidRDefault="004D23F5" w:rsidP="00A01FA6">
      <w:pPr>
        <w:tabs>
          <w:tab w:val="left" w:leader="dot" w:pos="8640"/>
        </w:tabs>
        <w:ind w:left="720"/>
      </w:pPr>
      <w:r>
        <w:t xml:space="preserve">4.3.1 </w:t>
      </w:r>
      <w:r w:rsidR="007C048B" w:rsidRPr="007C048B">
        <w:t>Case 1</w:t>
      </w:r>
      <w:r w:rsidR="00A01FA6">
        <w:tab/>
        <w:t>1</w:t>
      </w:r>
      <w:r w:rsidR="009351B1">
        <w:t>65</w:t>
      </w:r>
    </w:p>
    <w:p w:rsidR="00A22E72" w:rsidRPr="007C048B" w:rsidRDefault="00A22E72" w:rsidP="00A22E72">
      <w:pPr>
        <w:tabs>
          <w:tab w:val="left" w:leader="dot" w:pos="8640"/>
        </w:tabs>
        <w:ind w:left="720"/>
      </w:pPr>
      <w:r>
        <w:t>4.3.2 Case 2</w:t>
      </w:r>
      <w:r>
        <w:tab/>
        <w:t>1</w:t>
      </w:r>
      <w:r w:rsidR="009544D5">
        <w:t>89</w:t>
      </w:r>
    </w:p>
    <w:p w:rsidR="00A22E72" w:rsidRPr="007C048B" w:rsidRDefault="00A22E72" w:rsidP="00A22E72">
      <w:pPr>
        <w:tabs>
          <w:tab w:val="left" w:leader="dot" w:pos="8640"/>
        </w:tabs>
        <w:ind w:left="720"/>
      </w:pPr>
      <w:r>
        <w:t>4.3.3 Case 3</w:t>
      </w:r>
      <w:r>
        <w:tab/>
        <w:t>1</w:t>
      </w:r>
      <w:r w:rsidR="002C6DC7">
        <w:t>98</w:t>
      </w:r>
    </w:p>
    <w:p w:rsidR="00A22E72" w:rsidRPr="007C048B" w:rsidRDefault="002C6DC7" w:rsidP="00A22E72">
      <w:pPr>
        <w:tabs>
          <w:tab w:val="left" w:leader="dot" w:pos="8640"/>
        </w:tabs>
        <w:ind w:left="720"/>
      </w:pPr>
      <w:r>
        <w:t>4.3.4 Case 4</w:t>
      </w:r>
      <w:r>
        <w:tab/>
        <w:t>207</w:t>
      </w:r>
    </w:p>
    <w:p w:rsidR="00A22E72" w:rsidRPr="007C048B" w:rsidRDefault="002C6DC7" w:rsidP="00A22E72">
      <w:pPr>
        <w:tabs>
          <w:tab w:val="left" w:leader="dot" w:pos="8640"/>
        </w:tabs>
        <w:ind w:left="720"/>
      </w:pPr>
      <w:r>
        <w:t>4.3.5 Case 5</w:t>
      </w:r>
      <w:r>
        <w:tab/>
        <w:t>215</w:t>
      </w:r>
    </w:p>
    <w:p w:rsidR="00A22E72" w:rsidRPr="007C048B" w:rsidRDefault="002C6DC7" w:rsidP="00A22E72">
      <w:pPr>
        <w:tabs>
          <w:tab w:val="left" w:leader="dot" w:pos="8640"/>
        </w:tabs>
        <w:ind w:left="720"/>
      </w:pPr>
      <w:r>
        <w:t>4.3.6 Case 6</w:t>
      </w:r>
      <w:r>
        <w:tab/>
        <w:t>224</w:t>
      </w:r>
    </w:p>
    <w:p w:rsidR="00A22E72" w:rsidRPr="007C048B" w:rsidRDefault="002C6DC7" w:rsidP="00A22E72">
      <w:pPr>
        <w:tabs>
          <w:tab w:val="left" w:leader="dot" w:pos="8640"/>
        </w:tabs>
        <w:ind w:left="720"/>
      </w:pPr>
      <w:r>
        <w:t>4.3.7 Case 7</w:t>
      </w:r>
      <w:r>
        <w:tab/>
        <w:t>232</w:t>
      </w:r>
    </w:p>
    <w:p w:rsidR="00A22E72" w:rsidRPr="007C048B" w:rsidRDefault="002C6DC7" w:rsidP="00A22E72">
      <w:pPr>
        <w:tabs>
          <w:tab w:val="left" w:leader="dot" w:pos="8640"/>
        </w:tabs>
        <w:ind w:left="720"/>
      </w:pPr>
      <w:r>
        <w:t>4.3.8 Case 8</w:t>
      </w:r>
      <w:r>
        <w:tab/>
        <w:t>241</w:t>
      </w:r>
    </w:p>
    <w:p w:rsidR="00A22E72" w:rsidRPr="007C048B" w:rsidRDefault="002C6DC7" w:rsidP="00A22E72">
      <w:pPr>
        <w:tabs>
          <w:tab w:val="left" w:leader="dot" w:pos="8640"/>
        </w:tabs>
        <w:ind w:left="720"/>
      </w:pPr>
      <w:r>
        <w:t>4.3.9 Case 9</w:t>
      </w:r>
      <w:r>
        <w:tab/>
        <w:t>246</w:t>
      </w:r>
    </w:p>
    <w:p w:rsidR="00A22E72" w:rsidRPr="007C048B" w:rsidRDefault="00A22E72" w:rsidP="00A22E72">
      <w:pPr>
        <w:tabs>
          <w:tab w:val="left" w:leader="dot" w:pos="8640"/>
        </w:tabs>
        <w:ind w:left="720"/>
      </w:pPr>
      <w:r>
        <w:t xml:space="preserve">4.3.10 </w:t>
      </w:r>
      <w:r w:rsidRPr="007C048B">
        <w:t>Case 1</w:t>
      </w:r>
      <w:r w:rsidR="002C6DC7">
        <w:t>0</w:t>
      </w:r>
      <w:r w:rsidR="002C6DC7">
        <w:tab/>
        <w:t>250</w:t>
      </w:r>
    </w:p>
    <w:p w:rsidR="00A22E72" w:rsidRPr="007C048B" w:rsidRDefault="00A22E72" w:rsidP="00A22E72">
      <w:pPr>
        <w:tabs>
          <w:tab w:val="left" w:leader="dot" w:pos="8640"/>
        </w:tabs>
        <w:ind w:left="720"/>
      </w:pPr>
      <w:r>
        <w:lastRenderedPageBreak/>
        <w:t xml:space="preserve">4.3.11 </w:t>
      </w:r>
      <w:r w:rsidRPr="007C048B">
        <w:t>Case 1</w:t>
      </w:r>
      <w:r w:rsidR="002C6DC7">
        <w:t>1</w:t>
      </w:r>
      <w:r w:rsidR="002C6DC7">
        <w:tab/>
        <w:t>254</w:t>
      </w:r>
    </w:p>
    <w:p w:rsidR="00A22E72" w:rsidRPr="007C048B" w:rsidRDefault="00A22E72" w:rsidP="00A22E72">
      <w:pPr>
        <w:tabs>
          <w:tab w:val="left" w:leader="dot" w:pos="8640"/>
        </w:tabs>
        <w:ind w:left="720"/>
      </w:pPr>
      <w:r>
        <w:t xml:space="preserve">4.3.12 </w:t>
      </w:r>
      <w:r w:rsidRPr="007C048B">
        <w:t>Case 1</w:t>
      </w:r>
      <w:r w:rsidR="002C6DC7">
        <w:t>2</w:t>
      </w:r>
      <w:r w:rsidR="002C6DC7">
        <w:tab/>
        <w:t>257</w:t>
      </w:r>
    </w:p>
    <w:p w:rsidR="00A22E72" w:rsidRPr="007C048B" w:rsidRDefault="00A22E72" w:rsidP="00A22E72">
      <w:pPr>
        <w:tabs>
          <w:tab w:val="left" w:leader="dot" w:pos="8640"/>
        </w:tabs>
        <w:ind w:left="720"/>
      </w:pPr>
      <w:r>
        <w:t xml:space="preserve">4.3.13 </w:t>
      </w:r>
      <w:r w:rsidRPr="007C048B">
        <w:t>Case 1</w:t>
      </w:r>
      <w:r w:rsidR="002C6DC7">
        <w:t>3</w:t>
      </w:r>
      <w:r w:rsidR="002C6DC7">
        <w:tab/>
        <w:t>266</w:t>
      </w:r>
    </w:p>
    <w:p w:rsidR="00A22E72" w:rsidRDefault="00A22E72" w:rsidP="00A22E72">
      <w:pPr>
        <w:tabs>
          <w:tab w:val="left" w:leader="dot" w:pos="8640"/>
        </w:tabs>
        <w:ind w:left="720"/>
      </w:pPr>
      <w:r>
        <w:t xml:space="preserve">4.3.14 </w:t>
      </w:r>
      <w:r w:rsidRPr="007C048B">
        <w:t>Case 1</w:t>
      </w:r>
      <w:r w:rsidR="002C6DC7">
        <w:t>4</w:t>
      </w:r>
      <w:r w:rsidR="002C6DC7">
        <w:tab/>
        <w:t>271</w:t>
      </w:r>
    </w:p>
    <w:p w:rsidR="009544D5" w:rsidRDefault="009544D5" w:rsidP="009544D5">
      <w:pPr>
        <w:tabs>
          <w:tab w:val="left" w:leader="dot" w:pos="8640"/>
        </w:tabs>
        <w:ind w:left="720"/>
      </w:pPr>
      <w:r>
        <w:t>4.3.</w:t>
      </w:r>
      <w:r w:rsidR="009351B1">
        <w:t>15 Summary of Fault</w:t>
      </w:r>
      <w:r w:rsidR="002C6DC7">
        <w:t>y Results</w:t>
      </w:r>
      <w:r w:rsidR="002C6DC7">
        <w:tab/>
        <w:t>280</w:t>
      </w:r>
    </w:p>
    <w:p w:rsidR="00CE6FCF" w:rsidRDefault="00CE6FCF" w:rsidP="00CE6FCF">
      <w:pPr>
        <w:tabs>
          <w:tab w:val="left" w:leader="dot" w:pos="8640"/>
        </w:tabs>
        <w:ind w:left="720"/>
      </w:pPr>
      <w:r>
        <w:t>4.3</w:t>
      </w:r>
      <w:r w:rsidRPr="00526420">
        <w:t xml:space="preserve">.16 </w:t>
      </w:r>
      <w:r w:rsidR="00526420" w:rsidRPr="00526420">
        <w:t>Recommendations for Safeguards Monitoring</w:t>
      </w:r>
      <w:r w:rsidR="002C6DC7">
        <w:tab/>
        <w:t>283</w:t>
      </w:r>
    </w:p>
    <w:p w:rsidR="00CE6FCF" w:rsidRPr="007C048B" w:rsidRDefault="00CE6FCF" w:rsidP="00CE6FCF">
      <w:pPr>
        <w:tabs>
          <w:tab w:val="left" w:leader="dot" w:pos="8640"/>
        </w:tabs>
        <w:ind w:left="720"/>
      </w:pPr>
      <w:r w:rsidRPr="00526420">
        <w:t xml:space="preserve">4.3.17 </w:t>
      </w:r>
      <w:r w:rsidR="00FD70EC" w:rsidRPr="003544FA">
        <w:t>Implementation of Monitoring Framework</w:t>
      </w:r>
      <w:r w:rsidR="002C6DC7">
        <w:tab/>
        <w:t>285</w:t>
      </w:r>
    </w:p>
    <w:p w:rsidR="007C048B" w:rsidRDefault="004D23F5" w:rsidP="00A01FA6">
      <w:pPr>
        <w:tabs>
          <w:tab w:val="left" w:leader="dot" w:pos="8640"/>
        </w:tabs>
      </w:pPr>
      <w:r>
        <w:t xml:space="preserve">5. </w:t>
      </w:r>
      <w:r w:rsidR="007C048B" w:rsidRPr="007C048B">
        <w:t>Conclusions and Recommendations</w:t>
      </w:r>
      <w:r w:rsidR="002C6DC7">
        <w:tab/>
        <w:t>291</w:t>
      </w:r>
    </w:p>
    <w:p w:rsidR="004D23F5" w:rsidRDefault="004D23F5" w:rsidP="00A01FA6">
      <w:pPr>
        <w:tabs>
          <w:tab w:val="left" w:leader="dot" w:pos="8640"/>
        </w:tabs>
      </w:pPr>
      <w:r>
        <w:t>List of References</w:t>
      </w:r>
      <w:r w:rsidR="002C6DC7">
        <w:tab/>
        <w:t>294</w:t>
      </w:r>
    </w:p>
    <w:p w:rsidR="008C01D3" w:rsidRDefault="009351B1" w:rsidP="008C01D3">
      <w:pPr>
        <w:tabs>
          <w:tab w:val="left" w:leader="dot" w:pos="8640"/>
        </w:tabs>
      </w:pPr>
      <w:proofErr w:type="gramStart"/>
      <w:r>
        <w:t>Appendi</w:t>
      </w:r>
      <w:r w:rsidR="00F0647A">
        <w:t>x</w:t>
      </w:r>
      <w:r w:rsidR="00A33EB6">
        <w:t>.</w:t>
      </w:r>
      <w:proofErr w:type="gramEnd"/>
      <w:r w:rsidR="00A33EB6">
        <w:t xml:space="preserve"> Derivation of the </w:t>
      </w:r>
      <w:proofErr w:type="spellStart"/>
      <w:r w:rsidR="00A33EB6">
        <w:t>Kremser</w:t>
      </w:r>
      <w:proofErr w:type="spellEnd"/>
      <w:r w:rsidR="00A33EB6">
        <w:t xml:space="preserve"> Equation</w:t>
      </w:r>
      <w:r w:rsidR="002C6DC7">
        <w:tab/>
        <w:t>298</w:t>
      </w:r>
    </w:p>
    <w:p w:rsidR="004D23F5" w:rsidRDefault="004D23F5" w:rsidP="00A01FA6">
      <w:pPr>
        <w:tabs>
          <w:tab w:val="left" w:leader="dot" w:pos="8640"/>
        </w:tabs>
      </w:pPr>
      <w:r>
        <w:t>Vita</w:t>
      </w:r>
      <w:r w:rsidR="002C6DC7">
        <w:tab/>
        <w:t>304</w:t>
      </w:r>
    </w:p>
    <w:p w:rsidR="004D23F5" w:rsidRDefault="004D23F5" w:rsidP="007C048B"/>
    <w:p w:rsidR="00A01FA6" w:rsidRDefault="00A01FA6" w:rsidP="007C048B"/>
    <w:p w:rsidR="00402C43" w:rsidRDefault="00402C43">
      <w:pPr>
        <w:rPr>
          <w:rFonts w:asciiTheme="majorHAnsi" w:hAnsiTheme="majorHAnsi"/>
          <w:b/>
          <w:caps/>
        </w:rPr>
      </w:pPr>
      <w:r>
        <w:rPr>
          <w:rFonts w:asciiTheme="majorHAnsi" w:hAnsiTheme="majorHAnsi"/>
          <w:b/>
          <w:caps/>
        </w:rPr>
        <w:br w:type="page"/>
      </w:r>
    </w:p>
    <w:p w:rsidR="007C048B" w:rsidRPr="004D23F5" w:rsidRDefault="004D23F5" w:rsidP="004D23F5">
      <w:pPr>
        <w:jc w:val="center"/>
        <w:rPr>
          <w:rFonts w:asciiTheme="majorHAnsi" w:hAnsiTheme="majorHAnsi"/>
          <w:b/>
          <w:caps/>
        </w:rPr>
      </w:pPr>
      <w:r>
        <w:rPr>
          <w:rFonts w:asciiTheme="majorHAnsi" w:hAnsiTheme="majorHAnsi"/>
          <w:b/>
          <w:caps/>
        </w:rPr>
        <w:lastRenderedPageBreak/>
        <w:t>L</w:t>
      </w:r>
      <w:r w:rsidR="007C048B" w:rsidRPr="004D23F5">
        <w:rPr>
          <w:rFonts w:asciiTheme="majorHAnsi" w:hAnsiTheme="majorHAnsi"/>
          <w:b/>
          <w:caps/>
        </w:rPr>
        <w:t>ist of Figures</w:t>
      </w:r>
    </w:p>
    <w:p w:rsidR="007C048B" w:rsidRDefault="007C048B" w:rsidP="007C048B"/>
    <w:p w:rsidR="009B3158" w:rsidRPr="003477BF" w:rsidRDefault="009B3158" w:rsidP="003477BF">
      <w:pPr>
        <w:tabs>
          <w:tab w:val="left" w:leader="dot" w:pos="8640"/>
        </w:tabs>
      </w:pPr>
      <w:proofErr w:type="gramStart"/>
      <w:r w:rsidRPr="003477BF">
        <w:t>Figu</w:t>
      </w:r>
      <w:r w:rsidR="00317469">
        <w:t>re 1.1.</w:t>
      </w:r>
      <w:proofErr w:type="gramEnd"/>
      <w:r w:rsidR="00317469">
        <w:t xml:space="preserve"> The Nuclear Fuel Cycle</w:t>
      </w:r>
      <w:r w:rsidR="00317469">
        <w:tab/>
        <w:t>2</w:t>
      </w:r>
    </w:p>
    <w:p w:rsidR="004E2FC0" w:rsidRDefault="009B3158" w:rsidP="003477BF">
      <w:pPr>
        <w:tabs>
          <w:tab w:val="left" w:leader="dot" w:pos="8640"/>
        </w:tabs>
      </w:pPr>
      <w:proofErr w:type="gramStart"/>
      <w:r w:rsidRPr="003477BF">
        <w:t>Figure 1.2.</w:t>
      </w:r>
      <w:proofErr w:type="gramEnd"/>
      <w:r w:rsidRPr="003477BF">
        <w:t xml:space="preserve"> Simplified </w:t>
      </w:r>
      <w:r w:rsidR="004E2FC0">
        <w:t>F</w:t>
      </w:r>
      <w:r w:rsidRPr="003477BF">
        <w:t xml:space="preserve">low </w:t>
      </w:r>
      <w:r w:rsidR="004E2FC0">
        <w:t>D</w:t>
      </w:r>
      <w:r w:rsidRPr="003477BF">
        <w:t xml:space="preserve">iagram of the </w:t>
      </w:r>
      <w:r w:rsidR="004E2FC0">
        <w:t>W</w:t>
      </w:r>
      <w:r w:rsidRPr="003477BF">
        <w:t xml:space="preserve">et </w:t>
      </w:r>
      <w:r w:rsidR="004E2FC0">
        <w:t>S</w:t>
      </w:r>
      <w:r w:rsidRPr="003477BF">
        <w:t xml:space="preserve">olvent </w:t>
      </w:r>
      <w:r w:rsidR="004E2FC0">
        <w:t>E</w:t>
      </w:r>
      <w:r w:rsidRPr="003477BF">
        <w:t xml:space="preserve">xtraction </w:t>
      </w:r>
      <w:r w:rsidR="004E2FC0">
        <w:t>P</w:t>
      </w:r>
      <w:r w:rsidRPr="003477BF">
        <w:t xml:space="preserve">rocess </w:t>
      </w:r>
      <w:r w:rsidR="004E2FC0">
        <w:t>U</w:t>
      </w:r>
      <w:r w:rsidRPr="003477BF">
        <w:t xml:space="preserve">sed to </w:t>
      </w:r>
      <w:r w:rsidR="004E2FC0">
        <w:t>C</w:t>
      </w:r>
      <w:r w:rsidRPr="003477BF">
        <w:t xml:space="preserve">onvert </w:t>
      </w:r>
    </w:p>
    <w:p w:rsidR="009B3158" w:rsidRPr="003477BF" w:rsidRDefault="004E2FC0" w:rsidP="00A87280">
      <w:pPr>
        <w:tabs>
          <w:tab w:val="left" w:leader="dot" w:pos="8640"/>
        </w:tabs>
        <w:ind w:left="990"/>
      </w:pPr>
      <w:r>
        <w:t>Y</w:t>
      </w:r>
      <w:r w:rsidR="009B3158" w:rsidRPr="003477BF">
        <w:t>ellowcake to UF</w:t>
      </w:r>
      <w:r w:rsidR="009B3158" w:rsidRPr="003477BF">
        <w:rPr>
          <w:vertAlign w:val="subscript"/>
        </w:rPr>
        <w:t>6</w:t>
      </w:r>
      <w:r w:rsidR="00B9794A">
        <w:t xml:space="preserve"> or U </w:t>
      </w:r>
      <w:r>
        <w:t>Metal</w:t>
      </w:r>
      <w:r>
        <w:tab/>
        <w:t>5</w:t>
      </w:r>
    </w:p>
    <w:p w:rsidR="004E2FC0" w:rsidRDefault="009B3158" w:rsidP="003477BF">
      <w:pPr>
        <w:tabs>
          <w:tab w:val="left" w:leader="dot" w:pos="8640"/>
        </w:tabs>
      </w:pPr>
      <w:proofErr w:type="gramStart"/>
      <w:r w:rsidRPr="003477BF">
        <w:t>Figure 2.1.</w:t>
      </w:r>
      <w:proofErr w:type="gramEnd"/>
      <w:r w:rsidRPr="003477BF">
        <w:t xml:space="preserve"> Pictorial </w:t>
      </w:r>
      <w:r w:rsidR="004E2FC0">
        <w:t>V</w:t>
      </w:r>
      <w:r w:rsidRPr="003477BF">
        <w:t xml:space="preserve">iew of the </w:t>
      </w:r>
      <w:r w:rsidR="004E2FC0">
        <w:t>P</w:t>
      </w:r>
      <w:r w:rsidRPr="003477BF">
        <w:t xml:space="preserve">otential </w:t>
      </w:r>
      <w:r w:rsidR="004E2FC0">
        <w:t>D</w:t>
      </w:r>
      <w:r w:rsidRPr="003477BF">
        <w:t xml:space="preserve">iversion </w:t>
      </w:r>
      <w:r w:rsidR="004E2FC0">
        <w:t>P</w:t>
      </w:r>
      <w:r w:rsidRPr="003477BF">
        <w:t>ath</w:t>
      </w:r>
      <w:r w:rsidR="004E2FC0">
        <w:t>way</w:t>
      </w:r>
      <w:r w:rsidRPr="003477BF">
        <w:t xml:space="preserve">s for </w:t>
      </w:r>
      <w:r w:rsidR="004E2FC0">
        <w:t>I</w:t>
      </w:r>
      <w:r w:rsidRPr="003477BF">
        <w:t xml:space="preserve">ntermediate </w:t>
      </w:r>
      <w:r w:rsidR="004E2FC0">
        <w:t>P</w:t>
      </w:r>
      <w:r w:rsidRPr="003477BF">
        <w:t>roducts from</w:t>
      </w:r>
      <w:r w:rsidR="004E2FC0">
        <w:t xml:space="preserve"> </w:t>
      </w:r>
    </w:p>
    <w:p w:rsidR="009B3158" w:rsidRPr="003477BF" w:rsidRDefault="003477BF" w:rsidP="00A87280">
      <w:pPr>
        <w:tabs>
          <w:tab w:val="left" w:leader="dot" w:pos="8640"/>
        </w:tabs>
        <w:ind w:left="990"/>
      </w:pPr>
      <w:proofErr w:type="gramStart"/>
      <w:r>
        <w:t>an</w:t>
      </w:r>
      <w:proofErr w:type="gramEnd"/>
      <w:r>
        <w:t xml:space="preserve"> NUCP</w:t>
      </w:r>
      <w:r>
        <w:tab/>
        <w:t>1</w:t>
      </w:r>
      <w:r w:rsidR="00317469">
        <w:t>8</w:t>
      </w:r>
    </w:p>
    <w:p w:rsidR="003477BF" w:rsidRDefault="009B3158" w:rsidP="003477BF">
      <w:pPr>
        <w:tabs>
          <w:tab w:val="left" w:leader="dot" w:pos="8640"/>
        </w:tabs>
      </w:pPr>
      <w:proofErr w:type="gramStart"/>
      <w:r w:rsidRPr="003477BF">
        <w:t>Figure 2.2.</w:t>
      </w:r>
      <w:proofErr w:type="gramEnd"/>
      <w:r w:rsidRPr="003477BF">
        <w:t xml:space="preserve"> Uranium </w:t>
      </w:r>
      <w:r w:rsidR="004E2FC0">
        <w:t>C</w:t>
      </w:r>
      <w:r w:rsidRPr="003477BF">
        <w:t xml:space="preserve">onversion </w:t>
      </w:r>
      <w:r w:rsidR="004E2FC0">
        <w:t>P</w:t>
      </w:r>
      <w:r w:rsidRPr="003477BF">
        <w:t xml:space="preserve">rocess for a </w:t>
      </w:r>
      <w:r w:rsidR="004E2FC0">
        <w:t>S</w:t>
      </w:r>
      <w:r w:rsidRPr="003477BF">
        <w:t xml:space="preserve">mall </w:t>
      </w:r>
      <w:r w:rsidR="004E2FC0">
        <w:t>S</w:t>
      </w:r>
      <w:r w:rsidRPr="003477BF">
        <w:t xml:space="preserve">ize </w:t>
      </w:r>
      <w:r w:rsidR="004E2FC0">
        <w:t>P</w:t>
      </w:r>
      <w:r w:rsidRPr="003477BF">
        <w:t xml:space="preserve">lant with </w:t>
      </w:r>
      <w:r w:rsidR="004E2FC0">
        <w:t>P</w:t>
      </w:r>
      <w:r w:rsidRPr="003477BF">
        <w:t xml:space="preserve">roposed </w:t>
      </w:r>
      <w:r w:rsidR="004E2FC0">
        <w:t>S</w:t>
      </w:r>
      <w:r w:rsidRPr="003477BF">
        <w:t xml:space="preserve">afeguards </w:t>
      </w:r>
    </w:p>
    <w:p w:rsidR="009B3158" w:rsidRPr="003477BF" w:rsidRDefault="004E2FC0" w:rsidP="00A87280">
      <w:pPr>
        <w:tabs>
          <w:tab w:val="left" w:leader="dot" w:pos="8640"/>
        </w:tabs>
        <w:ind w:left="990"/>
      </w:pPr>
      <w:r>
        <w:t>M</w:t>
      </w:r>
      <w:r w:rsidR="009B3158" w:rsidRPr="003477BF">
        <w:t xml:space="preserve">onitoring </w:t>
      </w:r>
      <w:r>
        <w:t>P</w:t>
      </w:r>
      <w:r w:rsidR="009B3158" w:rsidRPr="003477BF">
        <w:t xml:space="preserve">oints </w:t>
      </w:r>
      <w:r>
        <w:t>I</w:t>
      </w:r>
      <w:r w:rsidR="009B3158" w:rsidRPr="003477BF">
        <w:t>dentified</w:t>
      </w:r>
      <w:r w:rsidR="00317469">
        <w:tab/>
        <w:t>20</w:t>
      </w:r>
    </w:p>
    <w:p w:rsidR="003477BF" w:rsidRDefault="009B3158" w:rsidP="003477BF">
      <w:pPr>
        <w:tabs>
          <w:tab w:val="left" w:leader="dot" w:pos="8640"/>
        </w:tabs>
      </w:pPr>
      <w:proofErr w:type="gramStart"/>
      <w:r w:rsidRPr="003477BF">
        <w:t>Figure 3.1.</w:t>
      </w:r>
      <w:proofErr w:type="gramEnd"/>
      <w:r w:rsidRPr="003477BF">
        <w:t xml:space="preserve"> Flow Diagram of the Overall Approach Method for Developing a Modeling </w:t>
      </w:r>
    </w:p>
    <w:p w:rsidR="009B3158" w:rsidRPr="003477BF" w:rsidRDefault="002C6DC7" w:rsidP="00A87280">
      <w:pPr>
        <w:tabs>
          <w:tab w:val="left" w:leader="dot" w:pos="8640"/>
        </w:tabs>
        <w:ind w:left="990"/>
      </w:pPr>
      <w:r>
        <w:t>Framework</w:t>
      </w:r>
      <w:r>
        <w:tab/>
        <w:t>28</w:t>
      </w:r>
    </w:p>
    <w:p w:rsidR="009B3158" w:rsidRPr="003477BF" w:rsidRDefault="009B3158" w:rsidP="003477BF">
      <w:pPr>
        <w:tabs>
          <w:tab w:val="left" w:leader="dot" w:pos="8640"/>
        </w:tabs>
      </w:pPr>
      <w:proofErr w:type="gramStart"/>
      <w:r w:rsidRPr="003477BF">
        <w:t>Figure 3.2.</w:t>
      </w:r>
      <w:proofErr w:type="gramEnd"/>
      <w:r w:rsidRPr="003477BF">
        <w:t xml:space="preserve"> Block Diagram of a Natural U</w:t>
      </w:r>
      <w:r w:rsidR="00B9794A">
        <w:t>r</w:t>
      </w:r>
      <w:r w:rsidR="002C6DC7">
        <w:t>anium Conversion Plant (NUCP)</w:t>
      </w:r>
      <w:r w:rsidR="002C6DC7">
        <w:tab/>
        <w:t>30</w:t>
      </w:r>
    </w:p>
    <w:p w:rsidR="009B3158" w:rsidRPr="003477BF" w:rsidRDefault="009B3158" w:rsidP="003477BF">
      <w:pPr>
        <w:tabs>
          <w:tab w:val="left" w:leader="dot" w:pos="8640"/>
        </w:tabs>
      </w:pPr>
      <w:proofErr w:type="gramStart"/>
      <w:r w:rsidRPr="003477BF">
        <w:t>Figure 3.3.</w:t>
      </w:r>
      <w:proofErr w:type="gramEnd"/>
      <w:r w:rsidRPr="003477BF">
        <w:t xml:space="preserve"> Module 1: The Dissolution Process of a Na</w:t>
      </w:r>
      <w:r w:rsidR="003477BF">
        <w:t>tural Ur</w:t>
      </w:r>
      <w:r w:rsidR="002C6DC7">
        <w:t>anium Conversion Plant</w:t>
      </w:r>
      <w:r w:rsidR="002C6DC7">
        <w:tab/>
        <w:t>38</w:t>
      </w:r>
    </w:p>
    <w:p w:rsidR="009B3158" w:rsidRPr="003477BF" w:rsidRDefault="009B3158" w:rsidP="003477BF">
      <w:pPr>
        <w:tabs>
          <w:tab w:val="left" w:leader="dot" w:pos="8640"/>
        </w:tabs>
      </w:pPr>
      <w:proofErr w:type="gramStart"/>
      <w:r w:rsidRPr="003477BF">
        <w:t>Figure 3.4.</w:t>
      </w:r>
      <w:proofErr w:type="gramEnd"/>
      <w:r w:rsidRPr="003477BF">
        <w:t xml:space="preserve"> Block Diagram of the Module 1A </w:t>
      </w:r>
      <w:r w:rsidR="004045DF">
        <w:t>Showing Input and Output Streams</w:t>
      </w:r>
      <w:r w:rsidR="002C6DC7">
        <w:tab/>
        <w:t>40</w:t>
      </w:r>
    </w:p>
    <w:p w:rsidR="009B3158" w:rsidRPr="003477BF" w:rsidRDefault="009B3158" w:rsidP="003477BF">
      <w:pPr>
        <w:tabs>
          <w:tab w:val="left" w:leader="dot" w:pos="8640"/>
        </w:tabs>
      </w:pPr>
      <w:proofErr w:type="gramStart"/>
      <w:r w:rsidRPr="003477BF">
        <w:t>Figure 3.5.</w:t>
      </w:r>
      <w:proofErr w:type="gramEnd"/>
      <w:r w:rsidRPr="003477BF">
        <w:t xml:space="preserve"> Block Diagram of the Module 1B </w:t>
      </w:r>
      <w:r w:rsidR="004045DF">
        <w:t>Showing Input and Output Streams</w:t>
      </w:r>
      <w:r w:rsidR="002C6DC7">
        <w:tab/>
        <w:t>43</w:t>
      </w:r>
    </w:p>
    <w:p w:rsidR="009B3158" w:rsidRPr="003477BF" w:rsidRDefault="009B3158" w:rsidP="003477BF">
      <w:pPr>
        <w:tabs>
          <w:tab w:val="left" w:leader="dot" w:pos="8640"/>
        </w:tabs>
      </w:pPr>
      <w:proofErr w:type="gramStart"/>
      <w:r w:rsidRPr="003477BF">
        <w:t>Figure 3.6.</w:t>
      </w:r>
      <w:proofErr w:type="gramEnd"/>
      <w:r w:rsidRPr="003477BF">
        <w:t xml:space="preserve"> Block Diagram of the Module 1C </w:t>
      </w:r>
      <w:r w:rsidR="004045DF">
        <w:t>Showing Input and Output Streams</w:t>
      </w:r>
      <w:r w:rsidR="002C6DC7">
        <w:tab/>
        <w:t>44</w:t>
      </w:r>
    </w:p>
    <w:p w:rsidR="009B3158" w:rsidRPr="003477BF" w:rsidRDefault="009B3158" w:rsidP="003477BF">
      <w:pPr>
        <w:tabs>
          <w:tab w:val="left" w:leader="dot" w:pos="8640"/>
        </w:tabs>
      </w:pPr>
      <w:proofErr w:type="gramStart"/>
      <w:r w:rsidRPr="003477BF">
        <w:t>Figure 3.7.</w:t>
      </w:r>
      <w:proofErr w:type="gramEnd"/>
      <w:r w:rsidRPr="003477BF">
        <w:t xml:space="preserve"> Block Diagram of the Module 1D </w:t>
      </w:r>
      <w:r w:rsidR="004045DF">
        <w:t>Showing Input and Output Streams</w:t>
      </w:r>
      <w:r w:rsidR="00317469">
        <w:tab/>
        <w:t>47</w:t>
      </w:r>
    </w:p>
    <w:p w:rsidR="009B3158" w:rsidRPr="003477BF" w:rsidRDefault="009B3158" w:rsidP="003477BF">
      <w:pPr>
        <w:tabs>
          <w:tab w:val="left" w:leader="dot" w:pos="8640"/>
        </w:tabs>
      </w:pPr>
      <w:proofErr w:type="gramStart"/>
      <w:r w:rsidRPr="003477BF">
        <w:t>Figure 3.8.</w:t>
      </w:r>
      <w:proofErr w:type="gramEnd"/>
      <w:r w:rsidRPr="003477BF">
        <w:t xml:space="preserve"> Block Diagram of the Module 1E </w:t>
      </w:r>
      <w:r w:rsidR="004045DF">
        <w:t>Showing Input and Output Streams</w:t>
      </w:r>
      <w:r w:rsidR="00317469">
        <w:tab/>
        <w:t>48</w:t>
      </w:r>
    </w:p>
    <w:p w:rsidR="009B3158" w:rsidRPr="003477BF" w:rsidRDefault="009B3158" w:rsidP="003477BF">
      <w:pPr>
        <w:tabs>
          <w:tab w:val="left" w:leader="dot" w:pos="8640"/>
        </w:tabs>
      </w:pPr>
      <w:proofErr w:type="gramStart"/>
      <w:r w:rsidRPr="003477BF">
        <w:t>Figure 3.9.</w:t>
      </w:r>
      <w:proofErr w:type="gramEnd"/>
      <w:r w:rsidRPr="003477BF">
        <w:t xml:space="preserve"> Module 2: The Solvent Extraction Process of a Natural Uranium Conversion</w:t>
      </w:r>
      <w:r w:rsidR="002C6DC7">
        <w:t xml:space="preserve"> Plant</w:t>
      </w:r>
      <w:r w:rsidR="002C6DC7">
        <w:tab/>
        <w:t>50</w:t>
      </w:r>
    </w:p>
    <w:p w:rsidR="009B3158" w:rsidRPr="003477BF" w:rsidRDefault="009B3158" w:rsidP="003477BF">
      <w:pPr>
        <w:tabs>
          <w:tab w:val="left" w:leader="dot" w:pos="8640"/>
        </w:tabs>
      </w:pPr>
      <w:proofErr w:type="gramStart"/>
      <w:r w:rsidRPr="003477BF">
        <w:t>Figure 3.10.</w:t>
      </w:r>
      <w:proofErr w:type="gramEnd"/>
      <w:r w:rsidRPr="003477BF">
        <w:t xml:space="preserve"> </w:t>
      </w:r>
      <w:r w:rsidR="00A87280">
        <w:t xml:space="preserve">Block </w:t>
      </w:r>
      <w:r w:rsidRPr="003477BF">
        <w:t xml:space="preserve">Diagram of the Module 2A </w:t>
      </w:r>
      <w:r w:rsidR="004045DF">
        <w:t>Showing Input and Output Streams</w:t>
      </w:r>
      <w:r w:rsidR="002C6DC7">
        <w:tab/>
        <w:t>52</w:t>
      </w:r>
    </w:p>
    <w:p w:rsidR="009B3158" w:rsidRPr="003477BF" w:rsidRDefault="009B3158" w:rsidP="003477BF">
      <w:pPr>
        <w:tabs>
          <w:tab w:val="left" w:leader="dot" w:pos="8640"/>
        </w:tabs>
      </w:pPr>
      <w:proofErr w:type="gramStart"/>
      <w:r w:rsidRPr="003477BF">
        <w:t>Figure 3.11.</w:t>
      </w:r>
      <w:proofErr w:type="gramEnd"/>
      <w:r w:rsidRPr="003477BF">
        <w:t xml:space="preserve"> Block Diagram of the Module 2B </w:t>
      </w:r>
      <w:r w:rsidR="004045DF">
        <w:t>Showing Input and Output Streams</w:t>
      </w:r>
      <w:r w:rsidR="002C6DC7">
        <w:tab/>
        <w:t>53</w:t>
      </w:r>
    </w:p>
    <w:p w:rsidR="009B3158" w:rsidRPr="003477BF" w:rsidRDefault="009B3158" w:rsidP="003477BF">
      <w:pPr>
        <w:tabs>
          <w:tab w:val="left" w:leader="dot" w:pos="8640"/>
        </w:tabs>
      </w:pPr>
      <w:proofErr w:type="gramStart"/>
      <w:r w:rsidRPr="003477BF">
        <w:t>Figure 3.12.</w:t>
      </w:r>
      <w:proofErr w:type="gramEnd"/>
      <w:r w:rsidRPr="003477BF">
        <w:t xml:space="preserve"> Block Diagram of the Module 2C </w:t>
      </w:r>
      <w:r w:rsidR="004045DF">
        <w:t>Showing Input and Output Streams</w:t>
      </w:r>
      <w:r w:rsidR="002C6DC7">
        <w:tab/>
        <w:t>54</w:t>
      </w:r>
    </w:p>
    <w:p w:rsidR="009B3158" w:rsidRPr="003477BF" w:rsidRDefault="009B3158" w:rsidP="003477BF">
      <w:pPr>
        <w:tabs>
          <w:tab w:val="left" w:leader="dot" w:pos="8640"/>
        </w:tabs>
      </w:pPr>
      <w:proofErr w:type="gramStart"/>
      <w:r w:rsidRPr="003477BF">
        <w:t>Figure 3.13.</w:t>
      </w:r>
      <w:proofErr w:type="gramEnd"/>
      <w:r w:rsidRPr="003477BF">
        <w:t xml:space="preserve"> Block Diagram of the Module 2D </w:t>
      </w:r>
      <w:r w:rsidR="004045DF">
        <w:t>Showing Input and Output Streams</w:t>
      </w:r>
      <w:r w:rsidR="002C6DC7">
        <w:tab/>
        <w:t>56</w:t>
      </w:r>
    </w:p>
    <w:p w:rsidR="002C6DC7" w:rsidRDefault="002C6DC7" w:rsidP="003477BF">
      <w:pPr>
        <w:tabs>
          <w:tab w:val="left" w:leader="dot" w:pos="8640"/>
        </w:tabs>
      </w:pPr>
    </w:p>
    <w:p w:rsidR="003477BF" w:rsidRDefault="009B3158" w:rsidP="003477BF">
      <w:pPr>
        <w:tabs>
          <w:tab w:val="left" w:leader="dot" w:pos="8640"/>
        </w:tabs>
      </w:pPr>
      <w:proofErr w:type="gramStart"/>
      <w:r w:rsidRPr="003477BF">
        <w:lastRenderedPageBreak/>
        <w:t>Figure 3.14.</w:t>
      </w:r>
      <w:proofErr w:type="gramEnd"/>
      <w:r w:rsidRPr="003477BF">
        <w:t xml:space="preserve"> Module 3: The Evaporation and Precipitation Processes of </w:t>
      </w:r>
      <w:proofErr w:type="gramStart"/>
      <w:r w:rsidRPr="003477BF">
        <w:t>a Natural</w:t>
      </w:r>
      <w:proofErr w:type="gramEnd"/>
      <w:r w:rsidRPr="003477BF">
        <w:t xml:space="preserve"> Uranium </w:t>
      </w:r>
    </w:p>
    <w:p w:rsidR="009B3158" w:rsidRPr="003477BF" w:rsidRDefault="009B3158" w:rsidP="00A87280">
      <w:pPr>
        <w:tabs>
          <w:tab w:val="left" w:leader="dot" w:pos="8640"/>
        </w:tabs>
        <w:ind w:left="1080"/>
      </w:pPr>
      <w:r w:rsidRPr="003477BF">
        <w:t>Conversi</w:t>
      </w:r>
      <w:r w:rsidR="00B9794A">
        <w:t>o</w:t>
      </w:r>
      <w:r w:rsidR="002C6DC7">
        <w:t xml:space="preserve">n Plant </w:t>
      </w:r>
      <w:r w:rsidR="002C6DC7">
        <w:tab/>
        <w:t>60</w:t>
      </w:r>
    </w:p>
    <w:p w:rsidR="009B3158" w:rsidRPr="003477BF" w:rsidRDefault="009B3158" w:rsidP="003477BF">
      <w:pPr>
        <w:tabs>
          <w:tab w:val="left" w:leader="dot" w:pos="8640"/>
        </w:tabs>
      </w:pPr>
      <w:proofErr w:type="gramStart"/>
      <w:r w:rsidRPr="003477BF">
        <w:t>Figure 3.15.</w:t>
      </w:r>
      <w:proofErr w:type="gramEnd"/>
      <w:r w:rsidRPr="003477BF">
        <w:t xml:space="preserve"> Block Diagram of the Module 3A </w:t>
      </w:r>
      <w:r w:rsidR="004045DF">
        <w:t>Showing Input and Output Streams</w:t>
      </w:r>
      <w:r w:rsidR="002C6DC7">
        <w:tab/>
        <w:t>61</w:t>
      </w:r>
    </w:p>
    <w:p w:rsidR="009B3158" w:rsidRPr="003477BF" w:rsidRDefault="009B3158" w:rsidP="003477BF">
      <w:pPr>
        <w:tabs>
          <w:tab w:val="left" w:leader="dot" w:pos="8640"/>
        </w:tabs>
      </w:pPr>
      <w:proofErr w:type="gramStart"/>
      <w:r w:rsidRPr="003477BF">
        <w:t>Figure 3.16.</w:t>
      </w:r>
      <w:proofErr w:type="gramEnd"/>
      <w:r w:rsidRPr="003477BF">
        <w:t xml:space="preserve"> Block Diagram of the Module 3B </w:t>
      </w:r>
      <w:r w:rsidR="004045DF">
        <w:t>Showing Input and Output Streams</w:t>
      </w:r>
      <w:r w:rsidR="002C6DC7">
        <w:tab/>
        <w:t>62</w:t>
      </w:r>
    </w:p>
    <w:p w:rsidR="009B3158" w:rsidRPr="003477BF" w:rsidRDefault="009B3158" w:rsidP="003477BF">
      <w:pPr>
        <w:tabs>
          <w:tab w:val="left" w:leader="dot" w:pos="8640"/>
        </w:tabs>
      </w:pPr>
      <w:proofErr w:type="gramStart"/>
      <w:r w:rsidRPr="003477BF">
        <w:t>Figure 3.17.</w:t>
      </w:r>
      <w:proofErr w:type="gramEnd"/>
      <w:r w:rsidRPr="003477BF">
        <w:t xml:space="preserve"> </w:t>
      </w:r>
      <w:r w:rsidR="00A87280">
        <w:t xml:space="preserve">Block </w:t>
      </w:r>
      <w:r w:rsidRPr="003477BF">
        <w:t xml:space="preserve">Diagram of the Module 3C </w:t>
      </w:r>
      <w:r w:rsidR="004045DF">
        <w:t>Showing Input and Output Streams</w:t>
      </w:r>
      <w:r w:rsidR="002C6DC7">
        <w:tab/>
        <w:t>64</w:t>
      </w:r>
    </w:p>
    <w:p w:rsidR="009B3158" w:rsidRPr="003477BF" w:rsidRDefault="009B3158" w:rsidP="003477BF">
      <w:pPr>
        <w:tabs>
          <w:tab w:val="left" w:leader="dot" w:pos="8640"/>
        </w:tabs>
      </w:pPr>
      <w:proofErr w:type="gramStart"/>
      <w:r w:rsidRPr="003477BF">
        <w:t>Figure 3.18.</w:t>
      </w:r>
      <w:proofErr w:type="gramEnd"/>
      <w:r w:rsidRPr="003477BF">
        <w:t xml:space="preserve"> Block Diagram of the Module 3D </w:t>
      </w:r>
      <w:r w:rsidR="004045DF">
        <w:t>Showing Input and Output Streams</w:t>
      </w:r>
      <w:r w:rsidR="003477BF">
        <w:tab/>
      </w:r>
      <w:r w:rsidR="002C6DC7">
        <w:t>65</w:t>
      </w:r>
    </w:p>
    <w:p w:rsidR="009B3158" w:rsidRPr="003477BF" w:rsidRDefault="009B3158" w:rsidP="004E2FC0">
      <w:pPr>
        <w:tabs>
          <w:tab w:val="left" w:leader="dot" w:pos="8640"/>
        </w:tabs>
      </w:pPr>
      <w:proofErr w:type="gramStart"/>
      <w:r w:rsidRPr="003477BF">
        <w:t>Figure 3.19.</w:t>
      </w:r>
      <w:proofErr w:type="gramEnd"/>
      <w:r w:rsidRPr="003477BF">
        <w:t xml:space="preserve"> Module 4: The </w:t>
      </w:r>
      <w:proofErr w:type="spellStart"/>
      <w:r w:rsidRPr="003477BF">
        <w:t>Hydrofluorination</w:t>
      </w:r>
      <w:proofErr w:type="spellEnd"/>
      <w:r w:rsidRPr="003477BF">
        <w:t xml:space="preserve"> Process of a Natural Uranium Conversion Plant</w:t>
      </w:r>
      <w:r w:rsidR="002C6DC7">
        <w:tab/>
        <w:t>69</w:t>
      </w:r>
    </w:p>
    <w:p w:rsidR="009B3158" w:rsidRPr="003477BF" w:rsidRDefault="009B3158" w:rsidP="003477BF">
      <w:pPr>
        <w:tabs>
          <w:tab w:val="left" w:leader="dot" w:pos="8640"/>
        </w:tabs>
      </w:pPr>
      <w:proofErr w:type="gramStart"/>
      <w:r w:rsidRPr="003477BF">
        <w:t>Figure 3.20.</w:t>
      </w:r>
      <w:proofErr w:type="gramEnd"/>
      <w:r w:rsidRPr="003477BF">
        <w:t xml:space="preserve"> Block Diagram of the Module 4A </w:t>
      </w:r>
      <w:r w:rsidR="004045DF">
        <w:t>Showing Input and Output Streams</w:t>
      </w:r>
      <w:r w:rsidR="00317469">
        <w:tab/>
        <w:t>71</w:t>
      </w:r>
    </w:p>
    <w:p w:rsidR="009B3158" w:rsidRPr="003477BF" w:rsidRDefault="009B3158" w:rsidP="003477BF">
      <w:pPr>
        <w:tabs>
          <w:tab w:val="left" w:leader="dot" w:pos="8640"/>
        </w:tabs>
      </w:pPr>
      <w:proofErr w:type="gramStart"/>
      <w:r w:rsidRPr="003477BF">
        <w:t>Figure 3.21.</w:t>
      </w:r>
      <w:proofErr w:type="gramEnd"/>
      <w:r w:rsidRPr="003477BF">
        <w:t xml:space="preserve"> Block Diagram of the Module 4B </w:t>
      </w:r>
      <w:r w:rsidR="004045DF">
        <w:t>Showing Input and Output Streams</w:t>
      </w:r>
      <w:r w:rsidR="00317469">
        <w:tab/>
        <w:t>72</w:t>
      </w:r>
    </w:p>
    <w:p w:rsidR="009B3158" w:rsidRPr="003477BF" w:rsidRDefault="009B3158" w:rsidP="003477BF">
      <w:pPr>
        <w:tabs>
          <w:tab w:val="left" w:leader="dot" w:pos="8640"/>
        </w:tabs>
      </w:pPr>
      <w:proofErr w:type="gramStart"/>
      <w:r w:rsidRPr="003477BF">
        <w:t>Figure 3.22.</w:t>
      </w:r>
      <w:proofErr w:type="gramEnd"/>
      <w:r w:rsidRPr="003477BF">
        <w:t xml:space="preserve"> Block Diagram of the Module 4C </w:t>
      </w:r>
      <w:r w:rsidR="004045DF">
        <w:t>Showing Input and Output Streams</w:t>
      </w:r>
      <w:r w:rsidR="002C6DC7">
        <w:tab/>
        <w:t>73</w:t>
      </w:r>
    </w:p>
    <w:p w:rsidR="009B3158" w:rsidRPr="003477BF" w:rsidRDefault="009B3158" w:rsidP="003477BF">
      <w:pPr>
        <w:tabs>
          <w:tab w:val="left" w:leader="dot" w:pos="8640"/>
        </w:tabs>
      </w:pPr>
      <w:proofErr w:type="gramStart"/>
      <w:r w:rsidRPr="003477BF">
        <w:t>Figure 3.23.</w:t>
      </w:r>
      <w:proofErr w:type="gramEnd"/>
      <w:r w:rsidRPr="003477BF">
        <w:t xml:space="preserve"> Block Diagram of the Module 4D </w:t>
      </w:r>
      <w:r w:rsidR="004045DF">
        <w:t>Showing Input and Output Streams</w:t>
      </w:r>
      <w:r w:rsidR="002C6DC7">
        <w:tab/>
        <w:t>74</w:t>
      </w:r>
    </w:p>
    <w:p w:rsidR="009B3158" w:rsidRPr="003477BF" w:rsidRDefault="009B3158" w:rsidP="003477BF">
      <w:pPr>
        <w:tabs>
          <w:tab w:val="left" w:leader="dot" w:pos="8640"/>
        </w:tabs>
      </w:pPr>
      <w:proofErr w:type="gramStart"/>
      <w:r w:rsidRPr="003477BF">
        <w:t>Figure 3.24.</w:t>
      </w:r>
      <w:proofErr w:type="gramEnd"/>
      <w:r w:rsidRPr="003477BF">
        <w:t xml:space="preserve"> Block Diagram of the Module 4E </w:t>
      </w:r>
      <w:r w:rsidR="004045DF">
        <w:t>Showing Input and Output Streams</w:t>
      </w:r>
      <w:r w:rsidR="002C6DC7">
        <w:tab/>
        <w:t>75</w:t>
      </w:r>
    </w:p>
    <w:p w:rsidR="009B3158" w:rsidRPr="003477BF" w:rsidRDefault="009B3158" w:rsidP="003477BF">
      <w:pPr>
        <w:tabs>
          <w:tab w:val="left" w:leader="dot" w:pos="8640"/>
        </w:tabs>
      </w:pPr>
      <w:proofErr w:type="gramStart"/>
      <w:r w:rsidRPr="003477BF">
        <w:t>Figure 3.25.</w:t>
      </w:r>
      <w:proofErr w:type="gramEnd"/>
      <w:r w:rsidRPr="003477BF">
        <w:t xml:space="preserve"> Block Diagram of the Module 4F </w:t>
      </w:r>
      <w:r w:rsidR="004045DF">
        <w:t>Showing Input and Output Streams</w:t>
      </w:r>
      <w:r w:rsidR="002C6DC7">
        <w:tab/>
        <w:t>77</w:t>
      </w:r>
    </w:p>
    <w:p w:rsidR="009B3158" w:rsidRPr="003477BF" w:rsidRDefault="009B3158" w:rsidP="003477BF">
      <w:pPr>
        <w:tabs>
          <w:tab w:val="left" w:leader="dot" w:pos="8640"/>
        </w:tabs>
      </w:pPr>
      <w:proofErr w:type="gramStart"/>
      <w:r w:rsidRPr="003477BF">
        <w:t>Figure 3.26.</w:t>
      </w:r>
      <w:proofErr w:type="gramEnd"/>
      <w:r w:rsidRPr="003477BF">
        <w:t xml:space="preserve"> Module 5: The Fluorination Process of a Natural Uranium Conversion Plant</w:t>
      </w:r>
      <w:r w:rsidR="002C6DC7">
        <w:tab/>
        <w:t>80</w:t>
      </w:r>
    </w:p>
    <w:p w:rsidR="009B3158" w:rsidRPr="003477BF" w:rsidRDefault="009B3158" w:rsidP="003477BF">
      <w:pPr>
        <w:tabs>
          <w:tab w:val="left" w:leader="dot" w:pos="8640"/>
        </w:tabs>
      </w:pPr>
      <w:proofErr w:type="gramStart"/>
      <w:r w:rsidRPr="003477BF">
        <w:t>Figure 3.27.</w:t>
      </w:r>
      <w:proofErr w:type="gramEnd"/>
      <w:r w:rsidRPr="003477BF">
        <w:t xml:space="preserve"> Block Diagram of the Module 5A </w:t>
      </w:r>
      <w:r w:rsidR="004045DF">
        <w:t>Showing Input and Output Streams</w:t>
      </w:r>
      <w:r w:rsidR="002C6DC7">
        <w:tab/>
        <w:t>81</w:t>
      </w:r>
    </w:p>
    <w:p w:rsidR="009B3158" w:rsidRPr="003477BF" w:rsidRDefault="009B3158" w:rsidP="003477BF">
      <w:pPr>
        <w:tabs>
          <w:tab w:val="left" w:leader="dot" w:pos="8640"/>
        </w:tabs>
      </w:pPr>
      <w:proofErr w:type="gramStart"/>
      <w:r w:rsidRPr="003477BF">
        <w:t>Figure 3.28.</w:t>
      </w:r>
      <w:proofErr w:type="gramEnd"/>
      <w:r w:rsidRPr="003477BF">
        <w:t xml:space="preserve"> Block Diagram of the Module 5B </w:t>
      </w:r>
      <w:r w:rsidR="004045DF">
        <w:t>Showing Input and Output Streams</w:t>
      </w:r>
      <w:r w:rsidR="00317469">
        <w:tab/>
        <w:t>83</w:t>
      </w:r>
    </w:p>
    <w:p w:rsidR="009B3158" w:rsidRPr="003477BF" w:rsidRDefault="009B3158" w:rsidP="003477BF">
      <w:pPr>
        <w:tabs>
          <w:tab w:val="left" w:leader="dot" w:pos="8640"/>
        </w:tabs>
      </w:pPr>
      <w:proofErr w:type="gramStart"/>
      <w:r w:rsidRPr="003477BF">
        <w:t>Figure 3.29.</w:t>
      </w:r>
      <w:proofErr w:type="gramEnd"/>
      <w:r w:rsidRPr="003477BF">
        <w:t xml:space="preserve"> Block Diagram of the Module 5C </w:t>
      </w:r>
      <w:r w:rsidR="004045DF">
        <w:t>Showing Input and Output Streams</w:t>
      </w:r>
      <w:r w:rsidR="002C6DC7">
        <w:tab/>
        <w:t>83</w:t>
      </w:r>
    </w:p>
    <w:p w:rsidR="009B3158" w:rsidRPr="003477BF" w:rsidRDefault="009B3158" w:rsidP="003477BF">
      <w:pPr>
        <w:tabs>
          <w:tab w:val="left" w:leader="dot" w:pos="8640"/>
        </w:tabs>
      </w:pPr>
      <w:proofErr w:type="gramStart"/>
      <w:r w:rsidRPr="003477BF">
        <w:t>Figure 3.30.</w:t>
      </w:r>
      <w:proofErr w:type="gramEnd"/>
      <w:r w:rsidRPr="003477BF">
        <w:t xml:space="preserve"> Block Diagram of the Module 5D </w:t>
      </w:r>
      <w:r w:rsidR="004045DF">
        <w:t>Showing Input and Output Streams</w:t>
      </w:r>
      <w:r w:rsidR="002C6DC7">
        <w:tab/>
        <w:t>85</w:t>
      </w:r>
    </w:p>
    <w:p w:rsidR="009B3158" w:rsidRPr="003477BF" w:rsidRDefault="009B3158" w:rsidP="003477BF">
      <w:pPr>
        <w:tabs>
          <w:tab w:val="left" w:leader="dot" w:pos="8640"/>
        </w:tabs>
      </w:pPr>
      <w:proofErr w:type="gramStart"/>
      <w:r w:rsidRPr="003477BF">
        <w:t>Figure 3.31.</w:t>
      </w:r>
      <w:proofErr w:type="gramEnd"/>
      <w:r w:rsidRPr="003477BF">
        <w:t xml:space="preserve"> Block Diagram of the Module 5E </w:t>
      </w:r>
      <w:r w:rsidR="004045DF">
        <w:t>Showing Input and Output Streams</w:t>
      </w:r>
      <w:r w:rsidR="002C6DC7">
        <w:tab/>
        <w:t>86</w:t>
      </w:r>
    </w:p>
    <w:p w:rsidR="009B3158" w:rsidRPr="003477BF" w:rsidRDefault="009B3158" w:rsidP="003477BF">
      <w:pPr>
        <w:tabs>
          <w:tab w:val="left" w:leader="dot" w:pos="8640"/>
        </w:tabs>
      </w:pPr>
      <w:proofErr w:type="gramStart"/>
      <w:r w:rsidRPr="003477BF">
        <w:t>Figure 3.32.</w:t>
      </w:r>
      <w:proofErr w:type="gramEnd"/>
      <w:r w:rsidRPr="003477BF">
        <w:t xml:space="preserve"> Block Diagram of the Module 5F </w:t>
      </w:r>
      <w:r w:rsidR="004045DF">
        <w:t>Showing Input and Output Streams</w:t>
      </w:r>
      <w:r w:rsidR="002C6DC7">
        <w:tab/>
        <w:t>87</w:t>
      </w:r>
    </w:p>
    <w:p w:rsidR="009B3158" w:rsidRPr="003477BF" w:rsidRDefault="009B3158" w:rsidP="003477BF">
      <w:pPr>
        <w:tabs>
          <w:tab w:val="left" w:leader="dot" w:pos="8640"/>
        </w:tabs>
      </w:pPr>
      <w:proofErr w:type="gramStart"/>
      <w:r w:rsidRPr="003477BF">
        <w:t>Figure 3.33.</w:t>
      </w:r>
      <w:proofErr w:type="gramEnd"/>
      <w:r w:rsidRPr="003477BF">
        <w:t xml:space="preserve"> List and Description of the MATLAB® files used</w:t>
      </w:r>
      <w:r w:rsidR="003477BF">
        <w:t xml:space="preserve"> </w:t>
      </w:r>
      <w:r w:rsidR="00B9794A">
        <w:t>t</w:t>
      </w:r>
      <w:r w:rsidR="002C6DC7">
        <w:t xml:space="preserve">o </w:t>
      </w:r>
      <w:proofErr w:type="gramStart"/>
      <w:r w:rsidR="002C6DC7">
        <w:t>Generate</w:t>
      </w:r>
      <w:proofErr w:type="gramEnd"/>
      <w:r w:rsidR="002C6DC7">
        <w:t xml:space="preserve"> the Base Case Data</w:t>
      </w:r>
      <w:r w:rsidR="002C6DC7">
        <w:tab/>
        <w:t>96</w:t>
      </w:r>
    </w:p>
    <w:p w:rsidR="003477BF" w:rsidRDefault="009B3158" w:rsidP="003477BF">
      <w:pPr>
        <w:tabs>
          <w:tab w:val="left" w:leader="dot" w:pos="8640"/>
        </w:tabs>
      </w:pPr>
      <w:proofErr w:type="gramStart"/>
      <w:r w:rsidRPr="003477BF">
        <w:t>Figure 3.34.</w:t>
      </w:r>
      <w:proofErr w:type="gramEnd"/>
      <w:r w:rsidRPr="003477BF">
        <w:t xml:space="preserve"> List and Description of the MATLAB® files used to </w:t>
      </w:r>
      <w:proofErr w:type="gramStart"/>
      <w:r w:rsidRPr="003477BF">
        <w:t>Generate</w:t>
      </w:r>
      <w:proofErr w:type="gramEnd"/>
      <w:r w:rsidRPr="003477BF">
        <w:t xml:space="preserve"> the Principal </w:t>
      </w:r>
    </w:p>
    <w:p w:rsidR="009B3158" w:rsidRPr="003477BF" w:rsidRDefault="00317469" w:rsidP="00A87280">
      <w:pPr>
        <w:tabs>
          <w:tab w:val="left" w:leader="dot" w:pos="8640"/>
        </w:tabs>
        <w:ind w:left="1080"/>
      </w:pPr>
      <w:r>
        <w:t>Component Model</w:t>
      </w:r>
      <w:r>
        <w:tab/>
        <w:t>98</w:t>
      </w:r>
    </w:p>
    <w:p w:rsidR="002C6DC7" w:rsidRDefault="002C6DC7" w:rsidP="003477BF">
      <w:pPr>
        <w:tabs>
          <w:tab w:val="left" w:leader="dot" w:pos="8640"/>
        </w:tabs>
      </w:pPr>
    </w:p>
    <w:p w:rsidR="003477BF" w:rsidRDefault="009B3158" w:rsidP="003477BF">
      <w:pPr>
        <w:tabs>
          <w:tab w:val="left" w:leader="dot" w:pos="8640"/>
        </w:tabs>
      </w:pPr>
      <w:proofErr w:type="gramStart"/>
      <w:r w:rsidRPr="003477BF">
        <w:lastRenderedPageBreak/>
        <w:t>Figure 3.35.</w:t>
      </w:r>
      <w:proofErr w:type="gramEnd"/>
      <w:r w:rsidRPr="003477BF">
        <w:t xml:space="preserve"> List and Description of the MATLAB® files used to </w:t>
      </w:r>
      <w:proofErr w:type="gramStart"/>
      <w:r w:rsidRPr="003477BF">
        <w:t>Generate</w:t>
      </w:r>
      <w:proofErr w:type="gramEnd"/>
      <w:r w:rsidRPr="003477BF">
        <w:t xml:space="preserve"> the Faulty “Off-</w:t>
      </w:r>
      <w:r w:rsidR="004E2FC0">
        <w:t>N</w:t>
      </w:r>
      <w:r w:rsidRPr="003477BF">
        <w:t xml:space="preserve">ormal” </w:t>
      </w:r>
    </w:p>
    <w:p w:rsidR="009B3158" w:rsidRPr="003477BF" w:rsidRDefault="00317469" w:rsidP="00A87280">
      <w:pPr>
        <w:tabs>
          <w:tab w:val="left" w:leader="dot" w:pos="8640"/>
        </w:tabs>
        <w:ind w:left="1080"/>
      </w:pPr>
      <w:r>
        <w:t>Cases and Diagnostic Plots</w:t>
      </w:r>
      <w:r>
        <w:tab/>
        <w:t>100</w:t>
      </w:r>
    </w:p>
    <w:p w:rsidR="003477BF" w:rsidRDefault="009B3158" w:rsidP="003477BF">
      <w:pPr>
        <w:tabs>
          <w:tab w:val="left" w:leader="dot" w:pos="8640"/>
        </w:tabs>
      </w:pPr>
      <w:proofErr w:type="gramStart"/>
      <w:r w:rsidRPr="003477BF">
        <w:t>Figure 3.36.</w:t>
      </w:r>
      <w:proofErr w:type="gramEnd"/>
      <w:r w:rsidRPr="003477BF">
        <w:t xml:space="preserve"> Block Diagram of the Module 3A </w:t>
      </w:r>
      <w:r w:rsidR="004045DF">
        <w:t>Showing Input and Output Streams</w:t>
      </w:r>
      <w:r w:rsidRPr="003477BF">
        <w:t xml:space="preserve"> </w:t>
      </w:r>
      <w:r w:rsidR="004E2FC0">
        <w:t>A</w:t>
      </w:r>
      <w:r w:rsidRPr="003477BF">
        <w:t xml:space="preserve">ccording to </w:t>
      </w:r>
    </w:p>
    <w:p w:rsidR="009B3158" w:rsidRPr="003477BF" w:rsidRDefault="00317469" w:rsidP="00A87280">
      <w:pPr>
        <w:tabs>
          <w:tab w:val="left" w:leader="dot" w:pos="8640"/>
        </w:tabs>
        <w:ind w:left="1080"/>
      </w:pPr>
      <w:r>
        <w:t>Faulty Case 5</w:t>
      </w:r>
      <w:r>
        <w:tab/>
        <w:t>108</w:t>
      </w:r>
    </w:p>
    <w:p w:rsidR="003477BF" w:rsidRDefault="009B3158" w:rsidP="003477BF">
      <w:pPr>
        <w:tabs>
          <w:tab w:val="left" w:leader="dot" w:pos="8640"/>
        </w:tabs>
      </w:pPr>
      <w:proofErr w:type="gramStart"/>
      <w:r w:rsidRPr="003477BF">
        <w:t>Figure 3.37.</w:t>
      </w:r>
      <w:proofErr w:type="gramEnd"/>
      <w:r w:rsidRPr="003477BF">
        <w:t xml:space="preserve"> Block Diagram of the Module 3B </w:t>
      </w:r>
      <w:r w:rsidR="004045DF">
        <w:t>Showing Input and Output Streams</w:t>
      </w:r>
      <w:r w:rsidRPr="003477BF">
        <w:t xml:space="preserve"> </w:t>
      </w:r>
      <w:r w:rsidR="004E2FC0">
        <w:t>A</w:t>
      </w:r>
      <w:r w:rsidRPr="003477BF">
        <w:t xml:space="preserve">ccording to </w:t>
      </w:r>
    </w:p>
    <w:p w:rsidR="009B3158" w:rsidRPr="003477BF" w:rsidRDefault="00317469" w:rsidP="00A87280">
      <w:pPr>
        <w:tabs>
          <w:tab w:val="left" w:leader="dot" w:pos="8640"/>
        </w:tabs>
        <w:ind w:left="1080"/>
      </w:pPr>
      <w:r>
        <w:t>Faulty Case 6</w:t>
      </w:r>
      <w:r>
        <w:tab/>
        <w:t>108</w:t>
      </w:r>
    </w:p>
    <w:p w:rsidR="003477BF" w:rsidRDefault="009B3158" w:rsidP="003477BF">
      <w:pPr>
        <w:tabs>
          <w:tab w:val="left" w:leader="dot" w:pos="8640"/>
        </w:tabs>
      </w:pPr>
      <w:proofErr w:type="gramStart"/>
      <w:r w:rsidRPr="003477BF">
        <w:t>Figure 3.38.</w:t>
      </w:r>
      <w:proofErr w:type="gramEnd"/>
      <w:r w:rsidRPr="003477BF">
        <w:t xml:space="preserve"> Block Diagram of the Module 5F </w:t>
      </w:r>
      <w:r w:rsidR="004045DF">
        <w:t>Showing Input and Output Streams</w:t>
      </w:r>
      <w:r w:rsidRPr="003477BF">
        <w:t xml:space="preserve"> </w:t>
      </w:r>
      <w:r w:rsidR="004E2FC0">
        <w:t>A</w:t>
      </w:r>
      <w:r w:rsidRPr="003477BF">
        <w:t xml:space="preserve">ccording to </w:t>
      </w:r>
    </w:p>
    <w:p w:rsidR="003477BF" w:rsidRPr="003477BF" w:rsidRDefault="00317469" w:rsidP="00A87280">
      <w:pPr>
        <w:tabs>
          <w:tab w:val="left" w:leader="dot" w:pos="8640"/>
        </w:tabs>
        <w:ind w:left="1080"/>
      </w:pPr>
      <w:r>
        <w:t>Faulty Case 11</w:t>
      </w:r>
      <w:r>
        <w:tab/>
        <w:t>111</w:t>
      </w:r>
    </w:p>
    <w:p w:rsidR="009B3158" w:rsidRPr="003477BF" w:rsidRDefault="009B3158" w:rsidP="003477BF">
      <w:pPr>
        <w:tabs>
          <w:tab w:val="left" w:leader="dot" w:pos="8640"/>
        </w:tabs>
      </w:pPr>
      <w:proofErr w:type="gramStart"/>
      <w:r w:rsidRPr="003477BF">
        <w:t>Figure 4.1.</w:t>
      </w:r>
      <w:proofErr w:type="gramEnd"/>
      <w:r w:rsidRPr="003477BF">
        <w:t xml:space="preserve"> Scree Plot of the Base Case Data before the A</w:t>
      </w:r>
      <w:r w:rsidR="003477BF">
        <w:t>ddition of Gaussian White Noise</w:t>
      </w:r>
      <w:r w:rsidR="003477BF">
        <w:tab/>
        <w:t>1</w:t>
      </w:r>
      <w:r w:rsidR="00317469">
        <w:t>34</w:t>
      </w:r>
    </w:p>
    <w:p w:rsidR="009B3158" w:rsidRPr="003477BF" w:rsidRDefault="00A87280" w:rsidP="003477BF">
      <w:pPr>
        <w:tabs>
          <w:tab w:val="left" w:leader="dot" w:pos="8640"/>
        </w:tabs>
      </w:pPr>
      <w:proofErr w:type="gramStart"/>
      <w:r>
        <w:t>Figure 4.2</w:t>
      </w:r>
      <w:r w:rsidR="009B3158" w:rsidRPr="003477BF">
        <w:t>.</w:t>
      </w:r>
      <w:proofErr w:type="gramEnd"/>
      <w:r w:rsidR="009B3158" w:rsidRPr="003477BF">
        <w:t xml:space="preserve"> Scree Plot of the Base Case Data after the A</w:t>
      </w:r>
      <w:r w:rsidR="00111329">
        <w:t>ddition of Gaussian White Noise</w:t>
      </w:r>
      <w:r w:rsidR="00111329">
        <w:tab/>
        <w:t>1</w:t>
      </w:r>
      <w:r w:rsidR="00317469">
        <w:t>36</w:t>
      </w:r>
    </w:p>
    <w:p w:rsidR="009B3158" w:rsidRPr="003477BF" w:rsidRDefault="00A87280" w:rsidP="006046FE">
      <w:pPr>
        <w:tabs>
          <w:tab w:val="left" w:leader="dot" w:pos="8640"/>
        </w:tabs>
      </w:pPr>
      <w:proofErr w:type="gramStart"/>
      <w:r>
        <w:t>Figure 4.3</w:t>
      </w:r>
      <w:r w:rsidR="009B3158" w:rsidRPr="003477BF">
        <w:t>.</w:t>
      </w:r>
      <w:proofErr w:type="gramEnd"/>
      <w:r w:rsidR="009B3158" w:rsidRPr="003477BF">
        <w:t xml:space="preserve"> Base Case </w:t>
      </w:r>
      <w:r w:rsidR="008205C9">
        <w:t>Loadings</w:t>
      </w:r>
      <w:r w:rsidR="00111329">
        <w:t xml:space="preserve"> Vectors for </w:t>
      </w:r>
      <w:r w:rsidR="004E2FC0">
        <w:t>A</w:t>
      </w:r>
      <w:r w:rsidR="00111329">
        <w:t xml:space="preserve">ll </w:t>
      </w:r>
      <w:r w:rsidR="004E2FC0">
        <w:t xml:space="preserve">State </w:t>
      </w:r>
      <w:r w:rsidR="00111329">
        <w:t>Variables</w:t>
      </w:r>
      <w:r w:rsidR="00111329">
        <w:tab/>
        <w:t>1</w:t>
      </w:r>
      <w:r w:rsidR="00317469">
        <w:t>37</w:t>
      </w:r>
    </w:p>
    <w:p w:rsidR="006046FE" w:rsidRPr="006046FE" w:rsidRDefault="00A87280" w:rsidP="006046FE">
      <w:pPr>
        <w:tabs>
          <w:tab w:val="left" w:leader="dot" w:pos="8640"/>
        </w:tabs>
      </w:pPr>
      <w:proofErr w:type="gramStart"/>
      <w:r>
        <w:t>Figure 4.4</w:t>
      </w:r>
      <w:r w:rsidR="006046FE" w:rsidRPr="006046FE">
        <w:t>.</w:t>
      </w:r>
      <w:proofErr w:type="gramEnd"/>
      <w:r w:rsidR="006046FE" w:rsidRPr="006046FE">
        <w:t xml:space="preserve"> Base Case Principal Component 1 </w:t>
      </w:r>
      <w:r w:rsidR="008205C9">
        <w:t>Loadings</w:t>
      </w:r>
      <w:r w:rsidR="006046FE" w:rsidRPr="006046FE">
        <w:t xml:space="preserve"> Vectors for </w:t>
      </w:r>
      <w:r w:rsidR="006046FE">
        <w:t>A</w:t>
      </w:r>
      <w:r w:rsidR="006046FE" w:rsidRPr="006046FE">
        <w:t>ll State Variables</w:t>
      </w:r>
      <w:r w:rsidR="00317469">
        <w:tab/>
        <w:t>139</w:t>
      </w:r>
    </w:p>
    <w:p w:rsidR="006046FE" w:rsidRPr="006046FE" w:rsidRDefault="006046FE" w:rsidP="006046FE">
      <w:pPr>
        <w:tabs>
          <w:tab w:val="left" w:leader="dot" w:pos="8640"/>
        </w:tabs>
      </w:pPr>
      <w:proofErr w:type="gramStart"/>
      <w:r w:rsidRPr="006046FE">
        <w:t>Figure 4.</w:t>
      </w:r>
      <w:r w:rsidR="00A87280">
        <w:t>5</w:t>
      </w:r>
      <w:r w:rsidRPr="006046FE">
        <w:t>.</w:t>
      </w:r>
      <w:proofErr w:type="gramEnd"/>
      <w:r w:rsidRPr="006046FE">
        <w:t xml:space="preserve"> Base Case Principal C</w:t>
      </w:r>
      <w:r>
        <w:t xml:space="preserve">omponent 2 </w:t>
      </w:r>
      <w:r w:rsidR="008205C9">
        <w:t>Loadings</w:t>
      </w:r>
      <w:r>
        <w:t xml:space="preserve"> Vectors for A</w:t>
      </w:r>
      <w:r w:rsidRPr="006046FE">
        <w:t>ll State Variables</w:t>
      </w:r>
      <w:r w:rsidR="002C6DC7">
        <w:tab/>
        <w:t>141</w:t>
      </w:r>
    </w:p>
    <w:p w:rsidR="006046FE" w:rsidRPr="006046FE" w:rsidRDefault="00A87280" w:rsidP="006046FE">
      <w:pPr>
        <w:tabs>
          <w:tab w:val="left" w:leader="dot" w:pos="8640"/>
        </w:tabs>
      </w:pPr>
      <w:proofErr w:type="gramStart"/>
      <w:r>
        <w:t>Figure 4.6</w:t>
      </w:r>
      <w:r w:rsidR="006046FE" w:rsidRPr="006046FE">
        <w:t>.</w:t>
      </w:r>
      <w:proofErr w:type="gramEnd"/>
      <w:r w:rsidR="006046FE" w:rsidRPr="006046FE">
        <w:t xml:space="preserve"> Base Case Principal C</w:t>
      </w:r>
      <w:r w:rsidR="006046FE">
        <w:t xml:space="preserve">omponent 3 </w:t>
      </w:r>
      <w:r w:rsidR="008205C9">
        <w:t>Loadings</w:t>
      </w:r>
      <w:r w:rsidR="006046FE">
        <w:t xml:space="preserve"> Vectors for A</w:t>
      </w:r>
      <w:r w:rsidR="006046FE" w:rsidRPr="006046FE">
        <w:t>ll State Variables</w:t>
      </w:r>
      <w:r w:rsidR="002C6DC7">
        <w:tab/>
        <w:t>144</w:t>
      </w:r>
    </w:p>
    <w:p w:rsidR="006046FE" w:rsidRPr="006046FE" w:rsidRDefault="00A87280" w:rsidP="006046FE">
      <w:pPr>
        <w:tabs>
          <w:tab w:val="left" w:leader="dot" w:pos="8640"/>
        </w:tabs>
      </w:pPr>
      <w:proofErr w:type="gramStart"/>
      <w:r>
        <w:t>Figure 4.7</w:t>
      </w:r>
      <w:r w:rsidR="006046FE" w:rsidRPr="006046FE">
        <w:t>.</w:t>
      </w:r>
      <w:proofErr w:type="gramEnd"/>
      <w:r w:rsidR="006046FE" w:rsidRPr="006046FE">
        <w:t xml:space="preserve"> Base C</w:t>
      </w:r>
      <w:r w:rsidR="006046FE">
        <w:t>ase</w:t>
      </w:r>
      <w:r w:rsidR="00317469">
        <w:t xml:space="preserve"> Scores Plot for PC1 and PC2</w:t>
      </w:r>
      <w:r w:rsidR="00317469">
        <w:tab/>
        <w:t>150</w:t>
      </w:r>
    </w:p>
    <w:p w:rsidR="006046FE" w:rsidRPr="006046FE" w:rsidRDefault="006046FE" w:rsidP="006046FE">
      <w:pPr>
        <w:tabs>
          <w:tab w:val="left" w:leader="dot" w:pos="8640"/>
        </w:tabs>
      </w:pPr>
      <w:proofErr w:type="gramStart"/>
      <w:r w:rsidRPr="006046FE">
        <w:t>F</w:t>
      </w:r>
      <w:r w:rsidR="00A87280">
        <w:t>igure 4.8</w:t>
      </w:r>
      <w:r w:rsidRPr="006046FE">
        <w:t>.</w:t>
      </w:r>
      <w:proofErr w:type="gramEnd"/>
      <w:r w:rsidRPr="006046FE">
        <w:t xml:space="preserve"> Base C</w:t>
      </w:r>
      <w:r>
        <w:t>ase</w:t>
      </w:r>
      <w:r w:rsidR="00317469">
        <w:t xml:space="preserve"> Scores Plot for PC1 and PC3</w:t>
      </w:r>
      <w:r w:rsidR="00317469">
        <w:tab/>
        <w:t>151</w:t>
      </w:r>
    </w:p>
    <w:p w:rsidR="006046FE" w:rsidRPr="006046FE" w:rsidRDefault="00A87280" w:rsidP="006046FE">
      <w:pPr>
        <w:tabs>
          <w:tab w:val="left" w:leader="dot" w:pos="8640"/>
        </w:tabs>
      </w:pPr>
      <w:proofErr w:type="gramStart"/>
      <w:r>
        <w:t>Figure 4.9</w:t>
      </w:r>
      <w:r w:rsidR="006046FE" w:rsidRPr="006046FE">
        <w:t>.</w:t>
      </w:r>
      <w:proofErr w:type="gramEnd"/>
      <w:r w:rsidR="006046FE" w:rsidRPr="006046FE">
        <w:t xml:space="preserve"> Base C</w:t>
      </w:r>
      <w:r w:rsidR="006046FE">
        <w:t>ase</w:t>
      </w:r>
      <w:r w:rsidR="00317469">
        <w:t xml:space="preserve"> Scores Plot for PC2 and PC3</w:t>
      </w:r>
      <w:r w:rsidR="00317469">
        <w:tab/>
        <w:t>152</w:t>
      </w:r>
    </w:p>
    <w:p w:rsidR="006046FE" w:rsidRPr="006046FE" w:rsidRDefault="006046FE" w:rsidP="006046FE">
      <w:pPr>
        <w:tabs>
          <w:tab w:val="left" w:leader="dot" w:pos="8640"/>
        </w:tabs>
      </w:pPr>
      <w:proofErr w:type="gramStart"/>
      <w:r w:rsidRPr="006046FE">
        <w:t>Figure 4.1</w:t>
      </w:r>
      <w:r w:rsidR="00A87280">
        <w:t>0</w:t>
      </w:r>
      <w:r w:rsidRPr="006046FE">
        <w:t>.</w:t>
      </w:r>
      <w:proofErr w:type="gramEnd"/>
      <w:r w:rsidRPr="006046FE">
        <w:t xml:space="preserve"> Base Case 3D Sc</w:t>
      </w:r>
      <w:r>
        <w:t>ores Plot for PC1, PC2, an</w:t>
      </w:r>
      <w:r w:rsidR="00317469">
        <w:t>d PC3</w:t>
      </w:r>
      <w:r w:rsidR="00317469">
        <w:tab/>
        <w:t>153</w:t>
      </w:r>
    </w:p>
    <w:p w:rsidR="006046FE" w:rsidRPr="006046FE" w:rsidRDefault="00A87280" w:rsidP="006046FE">
      <w:pPr>
        <w:tabs>
          <w:tab w:val="left" w:leader="dot" w:pos="8640"/>
        </w:tabs>
      </w:pPr>
      <w:proofErr w:type="gramStart"/>
      <w:r>
        <w:t>Figure 4.11</w:t>
      </w:r>
      <w:r w:rsidR="006046FE" w:rsidRPr="006046FE">
        <w:t>.</w:t>
      </w:r>
      <w:proofErr w:type="gramEnd"/>
      <w:r w:rsidR="006046FE" w:rsidRPr="006046FE">
        <w:t xml:space="preserve"> Base Case Mahalanobis Dista</w:t>
      </w:r>
      <w:r w:rsidR="006046FE">
        <w:t>nce</w:t>
      </w:r>
      <w:r w:rsidR="00317469">
        <w:t xml:space="preserve"> and 95% Confidence Boundary</w:t>
      </w:r>
      <w:r w:rsidR="00317469">
        <w:tab/>
        <w:t>154</w:t>
      </w:r>
    </w:p>
    <w:p w:rsidR="006046FE" w:rsidRPr="006046FE" w:rsidRDefault="006046FE" w:rsidP="006046FE">
      <w:pPr>
        <w:tabs>
          <w:tab w:val="left" w:leader="dot" w:pos="8640"/>
        </w:tabs>
      </w:pPr>
      <w:proofErr w:type="gramStart"/>
      <w:r w:rsidRPr="006046FE">
        <w:t xml:space="preserve">Figure </w:t>
      </w:r>
      <w:r w:rsidR="00A87280">
        <w:t>4.12</w:t>
      </w:r>
      <w:r w:rsidRPr="006046FE">
        <w:t>.</w:t>
      </w:r>
      <w:proofErr w:type="gramEnd"/>
      <w:r w:rsidRPr="006046FE">
        <w:t xml:space="preserve"> Base Case </w:t>
      </w:r>
      <m:oMath>
        <m:r>
          <w:rPr>
            <w:rFonts w:ascii="Cambria Math" w:hAnsi="Cambria Math"/>
          </w:rPr>
          <m:t>Q</m:t>
        </m:r>
      </m:oMath>
      <w:r w:rsidRPr="006046FE">
        <w:t>-Statis</w:t>
      </w:r>
      <w:r>
        <w:t>tic</w:t>
      </w:r>
      <w:r w:rsidR="00317469">
        <w:t xml:space="preserve"> and 95% Confidence Boundary</w:t>
      </w:r>
      <w:r w:rsidR="00317469">
        <w:tab/>
        <w:t>155</w:t>
      </w:r>
    </w:p>
    <w:p w:rsidR="006046FE" w:rsidRPr="006046FE" w:rsidRDefault="00A87280" w:rsidP="006046FE">
      <w:pPr>
        <w:tabs>
          <w:tab w:val="left" w:leader="dot" w:pos="8640"/>
        </w:tabs>
      </w:pPr>
      <w:proofErr w:type="gramStart"/>
      <w:r>
        <w:t>Figure 4.13</w:t>
      </w:r>
      <w:r w:rsidR="006046FE" w:rsidRPr="006046FE">
        <w:t>.</w:t>
      </w:r>
      <w:proofErr w:type="gramEnd"/>
      <w:r w:rsidR="006046FE" w:rsidRPr="006046FE">
        <w:t xml:space="preserve"> Base Case PC1, PC2, and </w:t>
      </w:r>
      <m:oMath>
        <m:r>
          <w:rPr>
            <w:rFonts w:ascii="Cambria Math" w:hAnsi="Cambria Math"/>
          </w:rPr>
          <m:t>Q</m:t>
        </m:r>
      </m:oMath>
      <w:r w:rsidR="006046FE" w:rsidRPr="006046FE">
        <w:t>-Statist</w:t>
      </w:r>
      <w:proofErr w:type="spellStart"/>
      <w:r w:rsidR="006046FE">
        <w:t>ic</w:t>
      </w:r>
      <w:proofErr w:type="spellEnd"/>
      <w:r w:rsidR="006046FE">
        <w:t xml:space="preserve"> </w:t>
      </w:r>
      <w:r w:rsidR="00317469">
        <w:t>with 95% Confidence Boundary</w:t>
      </w:r>
      <w:r w:rsidR="00317469">
        <w:tab/>
        <w:t>156</w:t>
      </w:r>
    </w:p>
    <w:p w:rsidR="006046FE" w:rsidRPr="006046FE" w:rsidRDefault="00A87280" w:rsidP="006046FE">
      <w:pPr>
        <w:tabs>
          <w:tab w:val="left" w:leader="dot" w:pos="8640"/>
        </w:tabs>
      </w:pPr>
      <w:proofErr w:type="gramStart"/>
      <w:r>
        <w:t>Figure 4.14</w:t>
      </w:r>
      <w:r w:rsidR="006046FE" w:rsidRPr="006046FE">
        <w:t>.</w:t>
      </w:r>
      <w:proofErr w:type="gramEnd"/>
      <w:r w:rsidR="006046FE" w:rsidRPr="006046FE">
        <w:t xml:space="preserve"> Control C</w:t>
      </w:r>
      <w:r w:rsidR="006046FE">
        <w:t>ase</w:t>
      </w:r>
      <w:r w:rsidR="00317469">
        <w:t xml:space="preserve"> Scores Plot for PC1 and PC2</w:t>
      </w:r>
      <w:r w:rsidR="00317469">
        <w:tab/>
        <w:t>158</w:t>
      </w:r>
    </w:p>
    <w:p w:rsidR="006046FE" w:rsidRPr="006046FE" w:rsidRDefault="00A87280" w:rsidP="006046FE">
      <w:pPr>
        <w:tabs>
          <w:tab w:val="left" w:leader="dot" w:pos="8640"/>
        </w:tabs>
      </w:pPr>
      <w:proofErr w:type="gramStart"/>
      <w:r>
        <w:t>Figure 4.15</w:t>
      </w:r>
      <w:r w:rsidR="006046FE" w:rsidRPr="006046FE">
        <w:t>.</w:t>
      </w:r>
      <w:proofErr w:type="gramEnd"/>
      <w:r w:rsidR="006046FE" w:rsidRPr="006046FE">
        <w:t xml:space="preserve"> Control C</w:t>
      </w:r>
      <w:r w:rsidR="006046FE">
        <w:t>ase</w:t>
      </w:r>
      <w:r w:rsidR="00317469">
        <w:t xml:space="preserve"> Scores Plot for PC1 and PC3</w:t>
      </w:r>
      <w:r w:rsidR="00317469">
        <w:tab/>
        <w:t>159</w:t>
      </w:r>
    </w:p>
    <w:p w:rsidR="006046FE" w:rsidRPr="006046FE" w:rsidRDefault="00A87280" w:rsidP="006046FE">
      <w:pPr>
        <w:tabs>
          <w:tab w:val="left" w:leader="dot" w:pos="8640"/>
        </w:tabs>
      </w:pPr>
      <w:proofErr w:type="gramStart"/>
      <w:r>
        <w:t>Figure 4.16</w:t>
      </w:r>
      <w:r w:rsidR="006046FE" w:rsidRPr="006046FE">
        <w:t>.</w:t>
      </w:r>
      <w:proofErr w:type="gramEnd"/>
      <w:r w:rsidR="006046FE" w:rsidRPr="006046FE">
        <w:t xml:space="preserve"> Control C</w:t>
      </w:r>
      <w:r w:rsidR="006046FE">
        <w:t>ase</w:t>
      </w:r>
      <w:r w:rsidR="00317469">
        <w:t xml:space="preserve"> Scores Plot for PC2 and PC3</w:t>
      </w:r>
      <w:r w:rsidR="00317469">
        <w:tab/>
        <w:t>160</w:t>
      </w:r>
    </w:p>
    <w:p w:rsidR="006046FE" w:rsidRPr="006046FE" w:rsidRDefault="00A87280" w:rsidP="006046FE">
      <w:pPr>
        <w:tabs>
          <w:tab w:val="left" w:leader="dot" w:pos="8640"/>
        </w:tabs>
      </w:pPr>
      <w:proofErr w:type="gramStart"/>
      <w:r>
        <w:lastRenderedPageBreak/>
        <w:t>Figure 4.17</w:t>
      </w:r>
      <w:r w:rsidR="006046FE" w:rsidRPr="006046FE">
        <w:t>.</w:t>
      </w:r>
      <w:proofErr w:type="gramEnd"/>
      <w:r w:rsidR="006046FE" w:rsidRPr="006046FE">
        <w:t xml:space="preserve"> Control Case 3D Sc</w:t>
      </w:r>
      <w:r w:rsidR="006046FE">
        <w:t>ore</w:t>
      </w:r>
      <w:r w:rsidR="00317469">
        <w:t>s Plot for PC1, PC2, and PC3</w:t>
      </w:r>
      <w:r w:rsidR="00317469">
        <w:tab/>
        <w:t>161</w:t>
      </w:r>
    </w:p>
    <w:p w:rsidR="006046FE" w:rsidRPr="006046FE" w:rsidRDefault="00A87280" w:rsidP="006046FE">
      <w:pPr>
        <w:tabs>
          <w:tab w:val="left" w:leader="dot" w:pos="8640"/>
        </w:tabs>
      </w:pPr>
      <w:proofErr w:type="gramStart"/>
      <w:r>
        <w:t>Figure 4.18</w:t>
      </w:r>
      <w:r w:rsidR="006046FE" w:rsidRPr="006046FE">
        <w:t>.</w:t>
      </w:r>
      <w:proofErr w:type="gramEnd"/>
      <w:r w:rsidR="006046FE" w:rsidRPr="006046FE">
        <w:t xml:space="preserve"> Control Case Mahalanobis Dista</w:t>
      </w:r>
      <w:r w:rsidR="006046FE">
        <w:t>nce</w:t>
      </w:r>
      <w:r w:rsidR="00317469">
        <w:t xml:space="preserve"> and 95% Confidence Boundary</w:t>
      </w:r>
      <w:r w:rsidR="00317469">
        <w:tab/>
        <w:t>162</w:t>
      </w:r>
    </w:p>
    <w:p w:rsidR="006046FE" w:rsidRPr="006046FE" w:rsidRDefault="00A87280" w:rsidP="006046FE">
      <w:pPr>
        <w:tabs>
          <w:tab w:val="left" w:leader="dot" w:pos="8640"/>
        </w:tabs>
      </w:pPr>
      <w:proofErr w:type="gramStart"/>
      <w:r>
        <w:t>Figure 4.19</w:t>
      </w:r>
      <w:r w:rsidR="006046FE" w:rsidRPr="006046FE">
        <w:t>.</w:t>
      </w:r>
      <w:proofErr w:type="gramEnd"/>
      <w:r w:rsidR="006046FE" w:rsidRPr="006046FE">
        <w:t xml:space="preserve"> Control Case </w:t>
      </w:r>
      <m:oMath>
        <m:r>
          <w:rPr>
            <w:rFonts w:ascii="Cambria Math" w:hAnsi="Cambria Math"/>
          </w:rPr>
          <m:t>Q</m:t>
        </m:r>
      </m:oMath>
      <w:r w:rsidR="006046FE" w:rsidRPr="006046FE">
        <w:t>-Statistic and 95% Confidence Bounda</w:t>
      </w:r>
      <w:proofErr w:type="spellStart"/>
      <w:r w:rsidR="00317469">
        <w:t>ry</w:t>
      </w:r>
      <w:proofErr w:type="spellEnd"/>
      <w:r w:rsidR="00317469">
        <w:tab/>
        <w:t>163</w:t>
      </w:r>
    </w:p>
    <w:p w:rsidR="006046FE" w:rsidRPr="006046FE" w:rsidRDefault="00A87280" w:rsidP="006046FE">
      <w:pPr>
        <w:tabs>
          <w:tab w:val="left" w:leader="dot" w:pos="8640"/>
        </w:tabs>
      </w:pPr>
      <w:proofErr w:type="gramStart"/>
      <w:r>
        <w:t>Figure 4.20</w:t>
      </w:r>
      <w:r w:rsidR="006046FE" w:rsidRPr="006046FE">
        <w:t>.</w:t>
      </w:r>
      <w:proofErr w:type="gramEnd"/>
      <w:r w:rsidR="006046FE" w:rsidRPr="006046FE">
        <w:t xml:space="preserve"> Control Case PC1, PC2, and </w:t>
      </w:r>
      <m:oMath>
        <m:r>
          <w:rPr>
            <w:rFonts w:ascii="Cambria Math" w:hAnsi="Cambria Math"/>
          </w:rPr>
          <m:t>Q</m:t>
        </m:r>
      </m:oMath>
      <w:r w:rsidR="006046FE" w:rsidRPr="006046FE">
        <w:t>-Statist</w:t>
      </w:r>
      <w:proofErr w:type="spellStart"/>
      <w:r w:rsidR="006046FE">
        <w:t>ic</w:t>
      </w:r>
      <w:proofErr w:type="spellEnd"/>
      <w:r w:rsidR="006046FE">
        <w:t xml:space="preserve"> </w:t>
      </w:r>
      <w:r w:rsidR="00317469">
        <w:t>with 95% Confidence Boundary</w:t>
      </w:r>
      <w:r w:rsidR="00317469">
        <w:tab/>
        <w:t>164</w:t>
      </w:r>
    </w:p>
    <w:p w:rsidR="006046FE" w:rsidRDefault="00A87280" w:rsidP="006046FE">
      <w:pPr>
        <w:tabs>
          <w:tab w:val="left" w:leader="dot" w:pos="8640"/>
        </w:tabs>
      </w:pPr>
      <w:proofErr w:type="gramStart"/>
      <w:r>
        <w:t>Figure 4.21</w:t>
      </w:r>
      <w:r w:rsidR="006046FE" w:rsidRPr="006046FE">
        <w:t>.</w:t>
      </w:r>
      <w:proofErr w:type="gramEnd"/>
      <w:r w:rsidR="006046FE" w:rsidRPr="006046FE">
        <w:t xml:space="preserve"> Faulty Case </w:t>
      </w:r>
      <w:r w:rsidR="006046FE">
        <w:t>1A</w:t>
      </w:r>
      <w:r w:rsidR="00317469">
        <w:t xml:space="preserve"> Scores Plot for PC1 and PC2</w:t>
      </w:r>
      <w:r w:rsidR="00317469">
        <w:tab/>
        <w:t>168</w:t>
      </w:r>
    </w:p>
    <w:p w:rsidR="006046FE" w:rsidRPr="006046FE" w:rsidRDefault="00A87280" w:rsidP="006046FE">
      <w:pPr>
        <w:tabs>
          <w:tab w:val="left" w:leader="dot" w:pos="8640"/>
        </w:tabs>
      </w:pPr>
      <w:proofErr w:type="gramStart"/>
      <w:r>
        <w:t>Figure 4.22</w:t>
      </w:r>
      <w:r w:rsidR="006046FE" w:rsidRPr="006046FE">
        <w:t>.</w:t>
      </w:r>
      <w:proofErr w:type="gramEnd"/>
      <w:r w:rsidR="006046FE" w:rsidRPr="006046FE">
        <w:t xml:space="preserve"> Faulty Case </w:t>
      </w:r>
      <w:r w:rsidR="006046FE">
        <w:t>1A</w:t>
      </w:r>
      <w:r w:rsidR="00317469">
        <w:t xml:space="preserve"> Scores Plot for PC1 and PC3</w:t>
      </w:r>
      <w:r w:rsidR="00317469">
        <w:tab/>
        <w:t>169</w:t>
      </w:r>
    </w:p>
    <w:p w:rsidR="006046FE" w:rsidRDefault="00A87280" w:rsidP="006046FE">
      <w:pPr>
        <w:tabs>
          <w:tab w:val="left" w:leader="dot" w:pos="8640"/>
        </w:tabs>
      </w:pPr>
      <w:proofErr w:type="gramStart"/>
      <w:r>
        <w:t>Figure 4.23</w:t>
      </w:r>
      <w:r w:rsidR="006046FE" w:rsidRPr="006046FE">
        <w:t>.</w:t>
      </w:r>
      <w:proofErr w:type="gramEnd"/>
      <w:r w:rsidR="006046FE" w:rsidRPr="006046FE">
        <w:t xml:space="preserve"> Faulty Case 1A Scores Plot</w:t>
      </w:r>
      <w:r w:rsidR="00317469">
        <w:t xml:space="preserve"> for PC2 and PC3</w:t>
      </w:r>
      <w:r w:rsidR="00317469">
        <w:tab/>
        <w:t>170</w:t>
      </w:r>
    </w:p>
    <w:p w:rsidR="006046FE" w:rsidRPr="006046FE" w:rsidRDefault="00A87280" w:rsidP="006046FE">
      <w:pPr>
        <w:tabs>
          <w:tab w:val="left" w:leader="dot" w:pos="8640"/>
        </w:tabs>
      </w:pPr>
      <w:proofErr w:type="gramStart"/>
      <w:r>
        <w:t>Figure 4.24</w:t>
      </w:r>
      <w:r w:rsidR="006046FE" w:rsidRPr="006046FE">
        <w:t>.</w:t>
      </w:r>
      <w:proofErr w:type="gramEnd"/>
      <w:r w:rsidR="006046FE" w:rsidRPr="006046FE">
        <w:t xml:space="preserve"> Faulty Case 1A 3D Scores Plot for PC1, PC2, </w:t>
      </w:r>
      <w:r w:rsidR="00317469">
        <w:t>and PC3</w:t>
      </w:r>
      <w:r w:rsidR="00317469">
        <w:tab/>
        <w:t>171</w:t>
      </w:r>
    </w:p>
    <w:p w:rsidR="006046FE" w:rsidRDefault="00A87280" w:rsidP="006046FE">
      <w:pPr>
        <w:tabs>
          <w:tab w:val="left" w:leader="dot" w:pos="8640"/>
        </w:tabs>
      </w:pPr>
      <w:proofErr w:type="gramStart"/>
      <w:r>
        <w:t>Figure 4.25</w:t>
      </w:r>
      <w:r w:rsidR="006046FE" w:rsidRPr="006046FE">
        <w:t>.</w:t>
      </w:r>
      <w:proofErr w:type="gramEnd"/>
      <w:r w:rsidR="006046FE" w:rsidRPr="006046FE">
        <w:t xml:space="preserve"> Faulty Cas</w:t>
      </w:r>
      <w:r w:rsidR="006046FE">
        <w:t xml:space="preserve">e </w:t>
      </w:r>
      <w:r w:rsidR="00317469">
        <w:t>1A Mahalanobis Distance Plot</w:t>
      </w:r>
      <w:r w:rsidR="00317469">
        <w:tab/>
        <w:t>172</w:t>
      </w:r>
    </w:p>
    <w:p w:rsidR="006046FE" w:rsidRDefault="00A87280" w:rsidP="006046FE">
      <w:pPr>
        <w:tabs>
          <w:tab w:val="left" w:leader="dot" w:pos="8640"/>
        </w:tabs>
      </w:pPr>
      <w:proofErr w:type="gramStart"/>
      <w:r>
        <w:t>Figure 4.26</w:t>
      </w:r>
      <w:r w:rsidR="006046FE" w:rsidRPr="006046FE">
        <w:t>.</w:t>
      </w:r>
      <w:proofErr w:type="gramEnd"/>
      <w:r w:rsidR="006046FE" w:rsidRPr="006046FE">
        <w:t xml:space="preserve"> Faulty Case 1A </w:t>
      </w:r>
      <m:oMath>
        <m:r>
          <w:rPr>
            <w:rFonts w:ascii="Cambria Math" w:hAnsi="Cambria Math"/>
          </w:rPr>
          <m:t>Q</m:t>
        </m:r>
      </m:oMath>
      <w:r w:rsidR="00317469">
        <w:t>-Statistic Plot</w:t>
      </w:r>
      <w:r w:rsidR="00317469">
        <w:tab/>
        <w:t>173</w:t>
      </w:r>
    </w:p>
    <w:p w:rsidR="006046FE" w:rsidRDefault="00A87280" w:rsidP="006046FE">
      <w:pPr>
        <w:tabs>
          <w:tab w:val="left" w:leader="dot" w:pos="8640"/>
        </w:tabs>
      </w:pPr>
      <w:proofErr w:type="gramStart"/>
      <w:r>
        <w:t>Figure 4.27</w:t>
      </w:r>
      <w:r w:rsidR="006046FE" w:rsidRPr="006046FE">
        <w:t>.</w:t>
      </w:r>
      <w:proofErr w:type="gramEnd"/>
      <w:r w:rsidR="006046FE" w:rsidRPr="006046FE">
        <w:t xml:space="preserve"> Faulty Case 1A PC1, PC2, and </w:t>
      </w:r>
      <m:oMath>
        <m:r>
          <w:rPr>
            <w:rFonts w:ascii="Cambria Math" w:hAnsi="Cambria Math"/>
          </w:rPr>
          <m:t>Q</m:t>
        </m:r>
      </m:oMath>
      <w:r w:rsidR="00317469">
        <w:t>-Statistic Plot</w:t>
      </w:r>
      <w:r w:rsidR="00317469">
        <w:tab/>
        <w:t>174</w:t>
      </w:r>
    </w:p>
    <w:p w:rsidR="006046FE" w:rsidRDefault="00A87280" w:rsidP="006046FE">
      <w:pPr>
        <w:tabs>
          <w:tab w:val="left" w:leader="dot" w:pos="8640"/>
        </w:tabs>
      </w:pPr>
      <w:proofErr w:type="gramStart"/>
      <w:r>
        <w:t>Figure 4.28</w:t>
      </w:r>
      <w:r w:rsidR="006046FE" w:rsidRPr="006046FE">
        <w:t>.</w:t>
      </w:r>
      <w:proofErr w:type="gramEnd"/>
      <w:r w:rsidR="006046FE" w:rsidRPr="006046FE">
        <w:t xml:space="preserve"> Faulty Case 1B </w:t>
      </w:r>
      <m:oMath>
        <m:r>
          <w:rPr>
            <w:rFonts w:ascii="Cambria Math" w:hAnsi="Cambria Math"/>
          </w:rPr>
          <m:t>Q</m:t>
        </m:r>
      </m:oMath>
      <w:r w:rsidR="006046FE" w:rsidRPr="006046FE">
        <w:t>-Statistic Plot</w:t>
      </w:r>
      <w:r w:rsidR="00317469">
        <w:tab/>
        <w:t>176</w:t>
      </w:r>
    </w:p>
    <w:p w:rsidR="006046FE" w:rsidRDefault="00A87280" w:rsidP="006046FE">
      <w:pPr>
        <w:tabs>
          <w:tab w:val="left" w:leader="dot" w:pos="8640"/>
        </w:tabs>
      </w:pPr>
      <w:proofErr w:type="gramStart"/>
      <w:r>
        <w:t>Figure 4.29</w:t>
      </w:r>
      <w:r w:rsidR="006046FE" w:rsidRPr="006046FE">
        <w:t>.</w:t>
      </w:r>
      <w:proofErr w:type="gramEnd"/>
      <w:r w:rsidR="006046FE" w:rsidRPr="006046FE">
        <w:t xml:space="preserve"> Faulty Case 1B PC1, PC2, and </w:t>
      </w:r>
      <m:oMath>
        <m:r>
          <w:rPr>
            <w:rFonts w:ascii="Cambria Math" w:hAnsi="Cambria Math"/>
          </w:rPr>
          <m:t>Q</m:t>
        </m:r>
      </m:oMath>
      <w:r w:rsidR="00317469">
        <w:t>-Statistic Plot</w:t>
      </w:r>
      <w:r w:rsidR="00317469">
        <w:tab/>
        <w:t>177</w:t>
      </w:r>
    </w:p>
    <w:p w:rsidR="00A87280" w:rsidRDefault="00A87280" w:rsidP="00A87280">
      <w:pPr>
        <w:tabs>
          <w:tab w:val="left" w:leader="dot" w:pos="8640"/>
        </w:tabs>
      </w:pPr>
      <w:proofErr w:type="gramStart"/>
      <w:r>
        <w:t>Figure 4.30</w:t>
      </w:r>
      <w:r w:rsidRPr="006046FE">
        <w:t>.</w:t>
      </w:r>
      <w:proofErr w:type="gramEnd"/>
      <w:r w:rsidRPr="006046FE">
        <w:t xml:space="preserve"> Faulty Cas</w:t>
      </w:r>
      <w:r>
        <w:t xml:space="preserve">e </w:t>
      </w:r>
      <w:r w:rsidR="00317469">
        <w:t>1B Mahalanobis Distance Plot</w:t>
      </w:r>
      <w:r w:rsidR="00317469">
        <w:tab/>
        <w:t>178</w:t>
      </w:r>
    </w:p>
    <w:p w:rsidR="006046FE" w:rsidRDefault="00A87280" w:rsidP="006046FE">
      <w:pPr>
        <w:tabs>
          <w:tab w:val="left" w:leader="dot" w:pos="8640"/>
        </w:tabs>
      </w:pPr>
      <w:proofErr w:type="gramStart"/>
      <w:r>
        <w:t>Figure 4.31</w:t>
      </w:r>
      <w:r w:rsidR="006046FE" w:rsidRPr="006046FE">
        <w:t>.</w:t>
      </w:r>
      <w:proofErr w:type="gramEnd"/>
      <w:r w:rsidR="006046FE" w:rsidRPr="006046FE">
        <w:t xml:space="preserve"> Faulty Case 1C Mahalanobis Distance Plot</w:t>
      </w:r>
      <w:r w:rsidR="006046FE">
        <w:tab/>
        <w:t>180</w:t>
      </w:r>
    </w:p>
    <w:p w:rsidR="006046FE" w:rsidRPr="006046FE" w:rsidRDefault="00A87280" w:rsidP="006046FE">
      <w:pPr>
        <w:tabs>
          <w:tab w:val="left" w:leader="dot" w:pos="8640"/>
        </w:tabs>
      </w:pPr>
      <w:proofErr w:type="gramStart"/>
      <w:r>
        <w:t>Figure 4.32</w:t>
      </w:r>
      <w:r w:rsidR="006046FE" w:rsidRPr="006046FE">
        <w:t>.</w:t>
      </w:r>
      <w:proofErr w:type="gramEnd"/>
      <w:r w:rsidR="006046FE" w:rsidRPr="006046FE">
        <w:t xml:space="preserve"> Faulty Case </w:t>
      </w:r>
      <w:r w:rsidR="006046FE">
        <w:t>1D</w:t>
      </w:r>
      <w:r w:rsidR="00317469">
        <w:t xml:space="preserve"> Scores Plot for PC1 and PC2</w:t>
      </w:r>
      <w:r w:rsidR="00317469">
        <w:tab/>
        <w:t>182</w:t>
      </w:r>
    </w:p>
    <w:p w:rsidR="006046FE" w:rsidRDefault="00A87280" w:rsidP="006046FE">
      <w:pPr>
        <w:tabs>
          <w:tab w:val="left" w:leader="dot" w:pos="8640"/>
        </w:tabs>
      </w:pPr>
      <w:proofErr w:type="gramStart"/>
      <w:r>
        <w:t>Figure 4.33</w:t>
      </w:r>
      <w:r w:rsidR="006046FE" w:rsidRPr="006046FE">
        <w:t>.</w:t>
      </w:r>
      <w:proofErr w:type="gramEnd"/>
      <w:r w:rsidR="006046FE" w:rsidRPr="006046FE">
        <w:t xml:space="preserve"> Faulty Case </w:t>
      </w:r>
      <w:r w:rsidR="006046FE">
        <w:t>1D</w:t>
      </w:r>
      <w:r w:rsidR="00317469">
        <w:t xml:space="preserve"> Scores Plot for PC1 and PC3</w:t>
      </w:r>
      <w:r w:rsidR="00317469">
        <w:tab/>
        <w:t>183</w:t>
      </w:r>
    </w:p>
    <w:p w:rsidR="006046FE" w:rsidRPr="006046FE" w:rsidRDefault="00A87280" w:rsidP="006046FE">
      <w:pPr>
        <w:tabs>
          <w:tab w:val="left" w:leader="dot" w:pos="8640"/>
        </w:tabs>
      </w:pPr>
      <w:proofErr w:type="gramStart"/>
      <w:r>
        <w:t>Figure 4.34</w:t>
      </w:r>
      <w:r w:rsidR="006046FE" w:rsidRPr="006046FE">
        <w:t>.</w:t>
      </w:r>
      <w:proofErr w:type="gramEnd"/>
      <w:r w:rsidR="006046FE" w:rsidRPr="006046FE">
        <w:t xml:space="preserve"> Faulty Case</w:t>
      </w:r>
      <w:r w:rsidR="006046FE">
        <w:t xml:space="preserve"> 1D</w:t>
      </w:r>
      <w:r w:rsidR="00317469">
        <w:t xml:space="preserve"> Scores Plot for PC2 and PC3</w:t>
      </w:r>
      <w:r w:rsidR="00317469">
        <w:tab/>
        <w:t>184</w:t>
      </w:r>
    </w:p>
    <w:p w:rsidR="006046FE" w:rsidRDefault="00A87280" w:rsidP="006046FE">
      <w:pPr>
        <w:tabs>
          <w:tab w:val="left" w:leader="dot" w:pos="8640"/>
        </w:tabs>
      </w:pPr>
      <w:proofErr w:type="gramStart"/>
      <w:r>
        <w:t>Figure 4.35</w:t>
      </w:r>
      <w:r w:rsidR="006046FE" w:rsidRPr="006046FE">
        <w:t>.</w:t>
      </w:r>
      <w:proofErr w:type="gramEnd"/>
      <w:r w:rsidR="006046FE" w:rsidRPr="006046FE">
        <w:t xml:space="preserve"> Faulty Case 1D 3D Sco</w:t>
      </w:r>
      <w:r w:rsidR="006046FE">
        <w:t>res Plot for PC1, PC2, and P</w:t>
      </w:r>
      <w:r w:rsidR="00317469">
        <w:t>C3</w:t>
      </w:r>
      <w:r w:rsidR="00317469">
        <w:tab/>
        <w:t>185</w:t>
      </w:r>
    </w:p>
    <w:p w:rsidR="006046FE" w:rsidRDefault="00A87280" w:rsidP="006046FE">
      <w:pPr>
        <w:tabs>
          <w:tab w:val="left" w:leader="dot" w:pos="8640"/>
        </w:tabs>
      </w:pPr>
      <w:proofErr w:type="gramStart"/>
      <w:r>
        <w:t>Figure 4.36</w:t>
      </w:r>
      <w:r w:rsidR="006046FE" w:rsidRPr="006046FE">
        <w:t>.</w:t>
      </w:r>
      <w:proofErr w:type="gramEnd"/>
      <w:r w:rsidR="006046FE" w:rsidRPr="006046FE">
        <w:t xml:space="preserve"> Faulty Cas</w:t>
      </w:r>
      <w:r w:rsidR="006046FE">
        <w:t xml:space="preserve">e </w:t>
      </w:r>
      <w:r w:rsidR="00317469">
        <w:t>1D Mahalanobis Distance Plot</w:t>
      </w:r>
      <w:r w:rsidR="00317469">
        <w:tab/>
        <w:t>186</w:t>
      </w:r>
    </w:p>
    <w:p w:rsidR="006046FE" w:rsidRDefault="00A87280" w:rsidP="006046FE">
      <w:pPr>
        <w:tabs>
          <w:tab w:val="left" w:leader="dot" w:pos="8640"/>
        </w:tabs>
      </w:pPr>
      <w:proofErr w:type="gramStart"/>
      <w:r>
        <w:t>Figure 4.37</w:t>
      </w:r>
      <w:r w:rsidR="006046FE" w:rsidRPr="006046FE">
        <w:t>.</w:t>
      </w:r>
      <w:proofErr w:type="gramEnd"/>
      <w:r w:rsidR="006046FE" w:rsidRPr="006046FE">
        <w:t xml:space="preserve"> Faulty Case 1D </w:t>
      </w:r>
      <m:oMath>
        <m:r>
          <w:rPr>
            <w:rFonts w:ascii="Cambria Math" w:hAnsi="Cambria Math"/>
          </w:rPr>
          <m:t>Q</m:t>
        </m:r>
      </m:oMath>
      <w:r w:rsidR="00317469">
        <w:t>-Statistic Plot</w:t>
      </w:r>
      <w:r w:rsidR="00317469">
        <w:tab/>
        <w:t>187</w:t>
      </w:r>
    </w:p>
    <w:p w:rsidR="006046FE" w:rsidRPr="006046FE" w:rsidRDefault="00A87280" w:rsidP="006046FE">
      <w:pPr>
        <w:tabs>
          <w:tab w:val="left" w:leader="dot" w:pos="8640"/>
        </w:tabs>
      </w:pPr>
      <w:proofErr w:type="gramStart"/>
      <w:r>
        <w:t>Figure 4.38</w:t>
      </w:r>
      <w:r w:rsidR="006046FE" w:rsidRPr="006046FE">
        <w:t>.</w:t>
      </w:r>
      <w:proofErr w:type="gramEnd"/>
      <w:r w:rsidR="006046FE" w:rsidRPr="006046FE">
        <w:t xml:space="preserve"> Faulty Case 1D PC1, PC2, and </w:t>
      </w:r>
      <m:oMath>
        <m:r>
          <w:rPr>
            <w:rFonts w:ascii="Cambria Math" w:hAnsi="Cambria Math"/>
          </w:rPr>
          <m:t>Q</m:t>
        </m:r>
      </m:oMath>
      <w:r w:rsidR="00317469">
        <w:t>-Statistic Plot</w:t>
      </w:r>
      <w:r w:rsidR="00317469">
        <w:tab/>
        <w:t>188</w:t>
      </w:r>
    </w:p>
    <w:p w:rsidR="006046FE" w:rsidRDefault="00A87280" w:rsidP="006046FE">
      <w:pPr>
        <w:tabs>
          <w:tab w:val="left" w:leader="dot" w:pos="8640"/>
        </w:tabs>
      </w:pPr>
      <w:proofErr w:type="gramStart"/>
      <w:r>
        <w:t>Figure 4.39</w:t>
      </w:r>
      <w:r w:rsidR="006046FE" w:rsidRPr="006046FE">
        <w:t>.</w:t>
      </w:r>
      <w:proofErr w:type="gramEnd"/>
      <w:r w:rsidR="006046FE" w:rsidRPr="006046FE">
        <w:t xml:space="preserve"> Faulty Case 2 Scores Pl</w:t>
      </w:r>
      <w:r w:rsidR="002C6DC7">
        <w:t>ot for PC1 and PC2</w:t>
      </w:r>
      <w:r w:rsidR="002C6DC7">
        <w:tab/>
        <w:t>191</w:t>
      </w:r>
    </w:p>
    <w:p w:rsidR="006046FE" w:rsidRPr="006046FE" w:rsidRDefault="006046FE" w:rsidP="006046FE">
      <w:pPr>
        <w:tabs>
          <w:tab w:val="left" w:leader="dot" w:pos="8640"/>
        </w:tabs>
      </w:pPr>
      <w:proofErr w:type="gramStart"/>
      <w:r>
        <w:t>F</w:t>
      </w:r>
      <w:r w:rsidR="00A87280">
        <w:t>igure 4.40</w:t>
      </w:r>
      <w:r w:rsidRPr="006046FE">
        <w:t>.</w:t>
      </w:r>
      <w:proofErr w:type="gramEnd"/>
      <w:r w:rsidRPr="006046FE">
        <w:t xml:space="preserve"> Faulty Case 2 Scores Plot for PC1 and PC3</w:t>
      </w:r>
      <w:r w:rsidR="002C6DC7">
        <w:tab/>
        <w:t>192</w:t>
      </w:r>
    </w:p>
    <w:p w:rsidR="006046FE" w:rsidRPr="006046FE" w:rsidRDefault="00A87280" w:rsidP="006046FE">
      <w:pPr>
        <w:tabs>
          <w:tab w:val="left" w:leader="dot" w:pos="8640"/>
        </w:tabs>
      </w:pPr>
      <w:proofErr w:type="gramStart"/>
      <w:r>
        <w:lastRenderedPageBreak/>
        <w:t>Figure 4.41</w:t>
      </w:r>
      <w:r w:rsidR="006046FE" w:rsidRPr="006046FE">
        <w:t>.</w:t>
      </w:r>
      <w:proofErr w:type="gramEnd"/>
      <w:r w:rsidR="006046FE" w:rsidRPr="006046FE">
        <w:t xml:space="preserve"> Faulty Case</w:t>
      </w:r>
      <w:r w:rsidR="006046FE">
        <w:t xml:space="preserve"> 2 Scores Plot for PC2 and P</w:t>
      </w:r>
      <w:r w:rsidR="002C6DC7">
        <w:t>C3</w:t>
      </w:r>
      <w:r w:rsidR="002C6DC7">
        <w:tab/>
        <w:t>193</w:t>
      </w:r>
    </w:p>
    <w:p w:rsidR="006046FE" w:rsidRPr="006046FE" w:rsidRDefault="00A87280" w:rsidP="006046FE">
      <w:pPr>
        <w:tabs>
          <w:tab w:val="left" w:leader="dot" w:pos="8640"/>
        </w:tabs>
      </w:pPr>
      <w:proofErr w:type="gramStart"/>
      <w:r>
        <w:t>Figure 4.42</w:t>
      </w:r>
      <w:r w:rsidR="006046FE" w:rsidRPr="006046FE">
        <w:t>.</w:t>
      </w:r>
      <w:proofErr w:type="gramEnd"/>
      <w:r w:rsidR="006046FE" w:rsidRPr="006046FE">
        <w:t xml:space="preserve"> Faulty Case 2 3D Scores Plot for PC1, PC2, and PC3</w:t>
      </w:r>
      <w:r w:rsidR="002C6DC7">
        <w:tab/>
        <w:t>194</w:t>
      </w:r>
    </w:p>
    <w:p w:rsidR="006046FE" w:rsidRDefault="006046FE" w:rsidP="006046FE">
      <w:pPr>
        <w:tabs>
          <w:tab w:val="left" w:leader="dot" w:pos="8640"/>
        </w:tabs>
      </w:pPr>
      <w:proofErr w:type="gramStart"/>
      <w:r w:rsidRPr="006046FE">
        <w:t xml:space="preserve">Figure </w:t>
      </w:r>
      <w:r w:rsidR="00A87280">
        <w:t>4.43</w:t>
      </w:r>
      <w:r w:rsidRPr="006046FE">
        <w:t>.</w:t>
      </w:r>
      <w:proofErr w:type="gramEnd"/>
      <w:r w:rsidRPr="006046FE">
        <w:t xml:space="preserve"> Faulty Ca</w:t>
      </w:r>
      <w:r>
        <w:t>se</w:t>
      </w:r>
      <w:r w:rsidR="002C6DC7">
        <w:t xml:space="preserve"> 2 Mahalanobis Distance Plot</w:t>
      </w:r>
      <w:r w:rsidR="002C6DC7">
        <w:tab/>
        <w:t>195</w:t>
      </w:r>
    </w:p>
    <w:p w:rsidR="006046FE" w:rsidRPr="006046FE" w:rsidRDefault="00A87280" w:rsidP="006046FE">
      <w:pPr>
        <w:tabs>
          <w:tab w:val="left" w:leader="dot" w:pos="8640"/>
        </w:tabs>
      </w:pPr>
      <w:proofErr w:type="gramStart"/>
      <w:r>
        <w:t>Figure 4.44</w:t>
      </w:r>
      <w:r w:rsidR="006046FE" w:rsidRPr="006046FE">
        <w:t>.</w:t>
      </w:r>
      <w:proofErr w:type="gramEnd"/>
      <w:r w:rsidR="006046FE" w:rsidRPr="006046FE">
        <w:t xml:space="preserve"> Faulty Case 2 </w:t>
      </w:r>
      <m:oMath>
        <m:r>
          <w:rPr>
            <w:rFonts w:ascii="Cambria Math" w:hAnsi="Cambria Math"/>
          </w:rPr>
          <m:t>Q</m:t>
        </m:r>
      </m:oMath>
      <w:r w:rsidR="002C6DC7">
        <w:t>-Statistic Plot</w:t>
      </w:r>
      <w:r w:rsidR="002C6DC7">
        <w:tab/>
        <w:t>196</w:t>
      </w:r>
    </w:p>
    <w:p w:rsidR="006046FE" w:rsidRPr="006046FE" w:rsidRDefault="00A87280" w:rsidP="006046FE">
      <w:pPr>
        <w:tabs>
          <w:tab w:val="left" w:leader="dot" w:pos="8640"/>
        </w:tabs>
      </w:pPr>
      <w:proofErr w:type="gramStart"/>
      <w:r>
        <w:t>Figure 4.45</w:t>
      </w:r>
      <w:r w:rsidR="006046FE" w:rsidRPr="006046FE">
        <w:t>.</w:t>
      </w:r>
      <w:proofErr w:type="gramEnd"/>
      <w:r w:rsidR="006046FE" w:rsidRPr="006046FE">
        <w:t xml:space="preserve"> Faulty Case 2 PC1, PC2, and </w:t>
      </w:r>
      <m:oMath>
        <m:r>
          <w:rPr>
            <w:rFonts w:ascii="Cambria Math" w:hAnsi="Cambria Math"/>
          </w:rPr>
          <m:t>Q</m:t>
        </m:r>
      </m:oMath>
      <w:r w:rsidR="002C6DC7">
        <w:t>-Statistic Plot</w:t>
      </w:r>
      <w:r w:rsidR="002C6DC7">
        <w:tab/>
        <w:t>197</w:t>
      </w:r>
    </w:p>
    <w:p w:rsidR="006046FE" w:rsidRPr="006046FE" w:rsidRDefault="00A87280" w:rsidP="006046FE">
      <w:pPr>
        <w:tabs>
          <w:tab w:val="left" w:leader="dot" w:pos="8640"/>
        </w:tabs>
      </w:pPr>
      <w:proofErr w:type="gramStart"/>
      <w:r>
        <w:t>Figure 4.46</w:t>
      </w:r>
      <w:r w:rsidR="006046FE" w:rsidRPr="006046FE">
        <w:t>.</w:t>
      </w:r>
      <w:proofErr w:type="gramEnd"/>
      <w:r w:rsidR="006046FE" w:rsidRPr="006046FE">
        <w:t xml:space="preserve"> Faulty Case 3 Scores </w:t>
      </w:r>
      <w:r w:rsidR="002C6DC7">
        <w:t>Plot for PC1 and PC2</w:t>
      </w:r>
      <w:r w:rsidR="002C6DC7">
        <w:tab/>
        <w:t>200</w:t>
      </w:r>
    </w:p>
    <w:p w:rsidR="006046FE" w:rsidRPr="006046FE" w:rsidRDefault="00A87280" w:rsidP="006046FE">
      <w:pPr>
        <w:tabs>
          <w:tab w:val="left" w:leader="dot" w:pos="8640"/>
        </w:tabs>
      </w:pPr>
      <w:proofErr w:type="gramStart"/>
      <w:r>
        <w:t>Figure 4.47</w:t>
      </w:r>
      <w:r w:rsidR="006046FE" w:rsidRPr="006046FE">
        <w:t>.</w:t>
      </w:r>
      <w:proofErr w:type="gramEnd"/>
      <w:r w:rsidR="006046FE" w:rsidRPr="006046FE">
        <w:t xml:space="preserve"> Faulty Case</w:t>
      </w:r>
      <w:r w:rsidR="006046FE">
        <w:t xml:space="preserve"> 3</w:t>
      </w:r>
      <w:r w:rsidR="002C6DC7">
        <w:t xml:space="preserve"> Scores Plot for PC1 and PC3</w:t>
      </w:r>
      <w:r w:rsidR="002C6DC7">
        <w:tab/>
        <w:t>201</w:t>
      </w:r>
    </w:p>
    <w:p w:rsidR="006046FE" w:rsidRPr="006046FE" w:rsidRDefault="00A87280" w:rsidP="006046FE">
      <w:pPr>
        <w:tabs>
          <w:tab w:val="left" w:leader="dot" w:pos="8640"/>
        </w:tabs>
      </w:pPr>
      <w:proofErr w:type="gramStart"/>
      <w:r>
        <w:t>Figure 4.48</w:t>
      </w:r>
      <w:r w:rsidR="006046FE" w:rsidRPr="006046FE">
        <w:t>.</w:t>
      </w:r>
      <w:proofErr w:type="gramEnd"/>
      <w:r w:rsidR="006046FE" w:rsidRPr="006046FE">
        <w:t xml:space="preserve"> Faulty Case</w:t>
      </w:r>
      <w:r w:rsidR="006046FE">
        <w:t xml:space="preserve"> 3</w:t>
      </w:r>
      <w:r w:rsidR="002C6DC7">
        <w:t xml:space="preserve"> Scores Plot for PC2 and PC3</w:t>
      </w:r>
      <w:r w:rsidR="002C6DC7">
        <w:tab/>
        <w:t>202</w:t>
      </w:r>
    </w:p>
    <w:p w:rsidR="006046FE" w:rsidRDefault="00A87280" w:rsidP="006046FE">
      <w:pPr>
        <w:tabs>
          <w:tab w:val="left" w:leader="dot" w:pos="8640"/>
        </w:tabs>
      </w:pPr>
      <w:proofErr w:type="gramStart"/>
      <w:r>
        <w:t>Figure 4.49</w:t>
      </w:r>
      <w:r w:rsidR="006046FE" w:rsidRPr="006046FE">
        <w:t>.</w:t>
      </w:r>
      <w:proofErr w:type="gramEnd"/>
      <w:r w:rsidR="006046FE" w:rsidRPr="006046FE">
        <w:t xml:space="preserve"> Faulty Case 3 3D Sco</w:t>
      </w:r>
      <w:r w:rsidR="006046FE">
        <w:t>re</w:t>
      </w:r>
      <w:r w:rsidR="002C6DC7">
        <w:t>s Plot for PC1, PC2, and PC3</w:t>
      </w:r>
      <w:r w:rsidR="002C6DC7">
        <w:tab/>
        <w:t>203</w:t>
      </w:r>
    </w:p>
    <w:p w:rsidR="006046FE" w:rsidRDefault="00A87280" w:rsidP="006046FE">
      <w:pPr>
        <w:tabs>
          <w:tab w:val="left" w:leader="dot" w:pos="8640"/>
        </w:tabs>
      </w:pPr>
      <w:proofErr w:type="gramStart"/>
      <w:r>
        <w:t>Figure 4.50</w:t>
      </w:r>
      <w:r w:rsidR="006046FE" w:rsidRPr="006046FE">
        <w:t>.</w:t>
      </w:r>
      <w:proofErr w:type="gramEnd"/>
      <w:r w:rsidR="006046FE" w:rsidRPr="006046FE">
        <w:t xml:space="preserve"> Faulty Ca</w:t>
      </w:r>
      <w:r w:rsidR="006046FE">
        <w:t>se</w:t>
      </w:r>
      <w:r w:rsidR="002C6DC7">
        <w:t xml:space="preserve"> 3 Mahalanobis Distance Plot</w:t>
      </w:r>
      <w:r w:rsidR="002C6DC7">
        <w:tab/>
        <w:t>204</w:t>
      </w:r>
    </w:p>
    <w:p w:rsidR="006046FE" w:rsidRDefault="00A87280" w:rsidP="006046FE">
      <w:pPr>
        <w:tabs>
          <w:tab w:val="left" w:leader="dot" w:pos="8640"/>
        </w:tabs>
      </w:pPr>
      <w:proofErr w:type="gramStart"/>
      <w:r>
        <w:t>Figure 4.51</w:t>
      </w:r>
      <w:r w:rsidR="006046FE" w:rsidRPr="006046FE">
        <w:t>.</w:t>
      </w:r>
      <w:proofErr w:type="gramEnd"/>
      <w:r w:rsidR="006046FE" w:rsidRPr="006046FE">
        <w:t xml:space="preserve"> Faulty Case 3 </w:t>
      </w:r>
      <m:oMath>
        <m:r>
          <w:rPr>
            <w:rFonts w:ascii="Cambria Math" w:hAnsi="Cambria Math"/>
          </w:rPr>
          <m:t>Q</m:t>
        </m:r>
      </m:oMath>
      <w:r w:rsidR="006046FE" w:rsidRPr="006046FE">
        <w:t>-Statistic Plot</w:t>
      </w:r>
      <w:r w:rsidR="002C6DC7">
        <w:tab/>
        <w:t>205</w:t>
      </w:r>
    </w:p>
    <w:p w:rsidR="006046FE" w:rsidRDefault="00A87280" w:rsidP="006046FE">
      <w:pPr>
        <w:tabs>
          <w:tab w:val="left" w:leader="dot" w:pos="8640"/>
        </w:tabs>
      </w:pPr>
      <w:proofErr w:type="gramStart"/>
      <w:r>
        <w:t>Figure 4.52</w:t>
      </w:r>
      <w:r w:rsidR="006046FE" w:rsidRPr="006046FE">
        <w:t>.</w:t>
      </w:r>
      <w:proofErr w:type="gramEnd"/>
      <w:r w:rsidR="006046FE" w:rsidRPr="006046FE">
        <w:t xml:space="preserve"> Faulty Case 3 PC1, PC2, and </w:t>
      </w:r>
      <m:oMath>
        <m:r>
          <w:rPr>
            <w:rFonts w:ascii="Cambria Math" w:hAnsi="Cambria Math"/>
          </w:rPr>
          <m:t>Q</m:t>
        </m:r>
      </m:oMath>
      <w:r w:rsidR="002C6DC7">
        <w:t>-Statistic Plot</w:t>
      </w:r>
      <w:r w:rsidR="002C6DC7">
        <w:tab/>
        <w:t>206</w:t>
      </w:r>
    </w:p>
    <w:p w:rsidR="006046FE" w:rsidRDefault="00A87280" w:rsidP="006046FE">
      <w:pPr>
        <w:tabs>
          <w:tab w:val="left" w:leader="dot" w:pos="8640"/>
        </w:tabs>
      </w:pPr>
      <w:proofErr w:type="gramStart"/>
      <w:r>
        <w:t>Figure 4.53</w:t>
      </w:r>
      <w:r w:rsidR="006046FE" w:rsidRPr="006046FE">
        <w:t>.</w:t>
      </w:r>
      <w:proofErr w:type="gramEnd"/>
      <w:r w:rsidR="006046FE" w:rsidRPr="006046FE">
        <w:t xml:space="preserve"> Faulty Case</w:t>
      </w:r>
      <w:r w:rsidR="006046FE">
        <w:t xml:space="preserve"> 4</w:t>
      </w:r>
      <w:r w:rsidR="002C6DC7">
        <w:t xml:space="preserve"> Scores Plot for PC1 and PC2</w:t>
      </w:r>
      <w:r w:rsidR="002C6DC7">
        <w:tab/>
        <w:t>208</w:t>
      </w:r>
    </w:p>
    <w:p w:rsidR="006046FE" w:rsidRDefault="00A87280" w:rsidP="006046FE">
      <w:pPr>
        <w:tabs>
          <w:tab w:val="left" w:leader="dot" w:pos="8640"/>
        </w:tabs>
      </w:pPr>
      <w:proofErr w:type="gramStart"/>
      <w:r>
        <w:t>Figure 4.54</w:t>
      </w:r>
      <w:r w:rsidR="006046FE" w:rsidRPr="006046FE">
        <w:t>.</w:t>
      </w:r>
      <w:proofErr w:type="gramEnd"/>
      <w:r w:rsidR="006046FE" w:rsidRPr="006046FE">
        <w:t xml:space="preserve"> Faulty Case</w:t>
      </w:r>
      <w:r w:rsidR="006046FE">
        <w:t xml:space="preserve"> 4</w:t>
      </w:r>
      <w:r w:rsidR="002C6DC7">
        <w:t xml:space="preserve"> Scores Plot for PC1 and PC3</w:t>
      </w:r>
      <w:r w:rsidR="002C6DC7">
        <w:tab/>
        <w:t>209</w:t>
      </w:r>
    </w:p>
    <w:p w:rsidR="000464BA" w:rsidRDefault="0040178E" w:rsidP="006046FE">
      <w:pPr>
        <w:tabs>
          <w:tab w:val="left" w:leader="dot" w:pos="8640"/>
        </w:tabs>
      </w:pPr>
      <w:proofErr w:type="gramStart"/>
      <w:r>
        <w:t>Figure 4.55</w:t>
      </w:r>
      <w:r w:rsidR="006046FE" w:rsidRPr="006046FE">
        <w:t>.</w:t>
      </w:r>
      <w:proofErr w:type="gramEnd"/>
      <w:r w:rsidR="006046FE" w:rsidRPr="006046FE">
        <w:t xml:space="preserve"> Faulty Case</w:t>
      </w:r>
      <w:r w:rsidR="000464BA">
        <w:t xml:space="preserve"> 4 Scores Plot for PC2 and PC</w:t>
      </w:r>
      <w:r w:rsidR="002C6DC7">
        <w:t>3</w:t>
      </w:r>
      <w:r w:rsidR="002C6DC7">
        <w:tab/>
        <w:t>210</w:t>
      </w:r>
    </w:p>
    <w:p w:rsidR="000464BA" w:rsidRDefault="0040178E" w:rsidP="006046FE">
      <w:pPr>
        <w:tabs>
          <w:tab w:val="left" w:leader="dot" w:pos="8640"/>
        </w:tabs>
      </w:pPr>
      <w:proofErr w:type="gramStart"/>
      <w:r>
        <w:t>Figure 4.56</w:t>
      </w:r>
      <w:r w:rsidR="006046FE" w:rsidRPr="006046FE">
        <w:t>.</w:t>
      </w:r>
      <w:proofErr w:type="gramEnd"/>
      <w:r w:rsidR="006046FE" w:rsidRPr="006046FE">
        <w:t xml:space="preserve"> Faulty Case 4 3D Sco</w:t>
      </w:r>
      <w:r w:rsidR="000464BA">
        <w:t>re</w:t>
      </w:r>
      <w:r w:rsidR="002C6DC7">
        <w:t>s Plot for PC1, PC2, and PC3</w:t>
      </w:r>
      <w:r w:rsidR="002C6DC7">
        <w:tab/>
        <w:t>211</w:t>
      </w:r>
    </w:p>
    <w:p w:rsidR="000464BA" w:rsidRDefault="0040178E" w:rsidP="006046FE">
      <w:pPr>
        <w:tabs>
          <w:tab w:val="left" w:leader="dot" w:pos="8640"/>
        </w:tabs>
      </w:pPr>
      <w:proofErr w:type="gramStart"/>
      <w:r>
        <w:t>Figure 4.57</w:t>
      </w:r>
      <w:r w:rsidR="006046FE" w:rsidRPr="006046FE">
        <w:t>.</w:t>
      </w:r>
      <w:proofErr w:type="gramEnd"/>
      <w:r w:rsidR="006046FE" w:rsidRPr="006046FE">
        <w:t xml:space="preserve"> Faulty Ca</w:t>
      </w:r>
      <w:r w:rsidR="000464BA">
        <w:t>se</w:t>
      </w:r>
      <w:r w:rsidR="00317469">
        <w:t xml:space="preserve"> 4 Mahalanobis Distance Plot</w:t>
      </w:r>
      <w:r w:rsidR="00317469">
        <w:tab/>
        <w:t>21</w:t>
      </w:r>
      <w:r w:rsidR="002C6DC7">
        <w:t>2</w:t>
      </w:r>
    </w:p>
    <w:p w:rsidR="006046FE" w:rsidRPr="006046FE" w:rsidRDefault="0040178E" w:rsidP="006046FE">
      <w:pPr>
        <w:tabs>
          <w:tab w:val="left" w:leader="dot" w:pos="8640"/>
        </w:tabs>
      </w:pPr>
      <w:proofErr w:type="gramStart"/>
      <w:r>
        <w:t>Figure 4.58</w:t>
      </w:r>
      <w:r w:rsidR="006046FE" w:rsidRPr="006046FE">
        <w:t>.</w:t>
      </w:r>
      <w:proofErr w:type="gramEnd"/>
      <w:r w:rsidR="006046FE" w:rsidRPr="006046FE">
        <w:t xml:space="preserve"> Faulty Case 4 </w:t>
      </w:r>
      <m:oMath>
        <m:r>
          <w:rPr>
            <w:rFonts w:ascii="Cambria Math" w:hAnsi="Cambria Math"/>
          </w:rPr>
          <m:t>Q</m:t>
        </m:r>
      </m:oMath>
      <w:r w:rsidR="002C6DC7">
        <w:t>-Statistic Plot</w:t>
      </w:r>
      <w:r w:rsidR="002C6DC7">
        <w:tab/>
        <w:t>213</w:t>
      </w:r>
    </w:p>
    <w:p w:rsidR="006046FE" w:rsidRPr="006046FE" w:rsidRDefault="0040178E" w:rsidP="006046FE">
      <w:pPr>
        <w:tabs>
          <w:tab w:val="left" w:leader="dot" w:pos="8640"/>
        </w:tabs>
      </w:pPr>
      <w:proofErr w:type="gramStart"/>
      <w:r>
        <w:t>Figure 4.59</w:t>
      </w:r>
      <w:r w:rsidR="006046FE" w:rsidRPr="006046FE">
        <w:t>.</w:t>
      </w:r>
      <w:proofErr w:type="gramEnd"/>
      <w:r w:rsidR="006046FE" w:rsidRPr="006046FE">
        <w:t xml:space="preserve"> Faulty Case 4 PC1, PC2, and </w:t>
      </w:r>
      <m:oMath>
        <m:r>
          <w:rPr>
            <w:rFonts w:ascii="Cambria Math" w:hAnsi="Cambria Math"/>
          </w:rPr>
          <m:t>Q</m:t>
        </m:r>
      </m:oMath>
      <w:r w:rsidR="002C6DC7">
        <w:t>-Statistic Plot</w:t>
      </w:r>
      <w:r w:rsidR="002C6DC7">
        <w:tab/>
        <w:t>214</w:t>
      </w:r>
    </w:p>
    <w:p w:rsidR="006046FE" w:rsidRPr="006046FE" w:rsidRDefault="00576B22" w:rsidP="006046FE">
      <w:pPr>
        <w:tabs>
          <w:tab w:val="left" w:leader="dot" w:pos="8640"/>
        </w:tabs>
      </w:pPr>
      <w:proofErr w:type="gramStart"/>
      <w:r>
        <w:t>Figure 4.60</w:t>
      </w:r>
      <w:r w:rsidR="006046FE" w:rsidRPr="006046FE">
        <w:t>.</w:t>
      </w:r>
      <w:proofErr w:type="gramEnd"/>
      <w:r w:rsidR="006046FE" w:rsidRPr="006046FE">
        <w:t xml:space="preserve"> Faulty Case</w:t>
      </w:r>
      <w:r w:rsidR="000464BA">
        <w:t xml:space="preserve"> 5</w:t>
      </w:r>
      <w:r w:rsidR="002C6DC7">
        <w:t xml:space="preserve"> Scores Plot for PC1 and PC2</w:t>
      </w:r>
      <w:r w:rsidR="002C6DC7">
        <w:tab/>
        <w:t>217</w:t>
      </w:r>
    </w:p>
    <w:p w:rsidR="006046FE" w:rsidRPr="006046FE" w:rsidRDefault="00576B22" w:rsidP="006046FE">
      <w:pPr>
        <w:tabs>
          <w:tab w:val="left" w:leader="dot" w:pos="8640"/>
        </w:tabs>
      </w:pPr>
      <w:proofErr w:type="gramStart"/>
      <w:r>
        <w:t>Figure 4.61</w:t>
      </w:r>
      <w:r w:rsidR="006046FE" w:rsidRPr="006046FE">
        <w:t>.</w:t>
      </w:r>
      <w:proofErr w:type="gramEnd"/>
      <w:r w:rsidR="006046FE" w:rsidRPr="006046FE">
        <w:t xml:space="preserve"> Faulty Case</w:t>
      </w:r>
      <w:r w:rsidR="000464BA">
        <w:t xml:space="preserve"> 5</w:t>
      </w:r>
      <w:r w:rsidR="002C6DC7">
        <w:t xml:space="preserve"> Scores Plot for PC1 and PC3</w:t>
      </w:r>
      <w:r w:rsidR="002C6DC7">
        <w:tab/>
        <w:t>218</w:t>
      </w:r>
    </w:p>
    <w:p w:rsidR="006046FE" w:rsidRPr="006046FE" w:rsidRDefault="00576B22" w:rsidP="006046FE">
      <w:pPr>
        <w:tabs>
          <w:tab w:val="left" w:leader="dot" w:pos="8640"/>
        </w:tabs>
      </w:pPr>
      <w:proofErr w:type="gramStart"/>
      <w:r>
        <w:t>Figure 4.62</w:t>
      </w:r>
      <w:r w:rsidR="006046FE" w:rsidRPr="006046FE">
        <w:t>.</w:t>
      </w:r>
      <w:proofErr w:type="gramEnd"/>
      <w:r w:rsidR="006046FE" w:rsidRPr="006046FE">
        <w:t xml:space="preserve"> Faulty Case 5 Scores Plot for PC</w:t>
      </w:r>
      <w:r w:rsidR="002C6DC7">
        <w:t>2 and PC3</w:t>
      </w:r>
      <w:r w:rsidR="002C6DC7">
        <w:tab/>
        <w:t>219</w:t>
      </w:r>
    </w:p>
    <w:p w:rsidR="000464BA" w:rsidRDefault="00576B22" w:rsidP="006046FE">
      <w:pPr>
        <w:tabs>
          <w:tab w:val="left" w:leader="dot" w:pos="8640"/>
        </w:tabs>
      </w:pPr>
      <w:proofErr w:type="gramStart"/>
      <w:r>
        <w:t>Figure 4.63</w:t>
      </w:r>
      <w:r w:rsidR="006046FE" w:rsidRPr="006046FE">
        <w:t>.</w:t>
      </w:r>
      <w:proofErr w:type="gramEnd"/>
      <w:r w:rsidR="006046FE" w:rsidRPr="006046FE">
        <w:t xml:space="preserve"> Faulty Case 5 3D Sco</w:t>
      </w:r>
      <w:r w:rsidR="000464BA">
        <w:t>re</w:t>
      </w:r>
      <w:r w:rsidR="002C6DC7">
        <w:t>s Plot for PC1, PC2, and PC3</w:t>
      </w:r>
      <w:r w:rsidR="002C6DC7">
        <w:tab/>
        <w:t>220</w:t>
      </w:r>
    </w:p>
    <w:p w:rsidR="006046FE" w:rsidRPr="006046FE" w:rsidRDefault="00576B22" w:rsidP="006046FE">
      <w:pPr>
        <w:tabs>
          <w:tab w:val="left" w:leader="dot" w:pos="8640"/>
        </w:tabs>
      </w:pPr>
      <w:proofErr w:type="gramStart"/>
      <w:r>
        <w:t>Figure 4.64</w:t>
      </w:r>
      <w:r w:rsidR="006046FE" w:rsidRPr="006046FE">
        <w:t>.</w:t>
      </w:r>
      <w:proofErr w:type="gramEnd"/>
      <w:r w:rsidR="006046FE" w:rsidRPr="006046FE">
        <w:t xml:space="preserve"> Faulty Ca</w:t>
      </w:r>
      <w:r w:rsidR="000464BA">
        <w:t>se</w:t>
      </w:r>
      <w:r w:rsidR="002C6DC7">
        <w:t xml:space="preserve"> 5 Mahalanobis Distance Plot</w:t>
      </w:r>
      <w:r w:rsidR="002C6DC7">
        <w:tab/>
        <w:t>221</w:t>
      </w:r>
    </w:p>
    <w:p w:rsidR="006046FE" w:rsidRPr="006046FE" w:rsidRDefault="00576B22" w:rsidP="006046FE">
      <w:pPr>
        <w:tabs>
          <w:tab w:val="left" w:leader="dot" w:pos="8640"/>
        </w:tabs>
      </w:pPr>
      <w:proofErr w:type="gramStart"/>
      <w:r>
        <w:lastRenderedPageBreak/>
        <w:t>Figure 4.65</w:t>
      </w:r>
      <w:r w:rsidR="006046FE" w:rsidRPr="006046FE">
        <w:t>.</w:t>
      </w:r>
      <w:proofErr w:type="gramEnd"/>
      <w:r w:rsidR="006046FE" w:rsidRPr="006046FE">
        <w:t xml:space="preserve"> Faulty Case 5 </w:t>
      </w:r>
      <m:oMath>
        <m:r>
          <w:rPr>
            <w:rFonts w:ascii="Cambria Math" w:hAnsi="Cambria Math"/>
          </w:rPr>
          <m:t>Q</m:t>
        </m:r>
      </m:oMath>
      <w:r w:rsidR="002C6DC7">
        <w:t>-Statistic Plot</w:t>
      </w:r>
      <w:r w:rsidR="002C6DC7">
        <w:tab/>
        <w:t>222</w:t>
      </w:r>
    </w:p>
    <w:p w:rsidR="000464BA" w:rsidRDefault="00576B22" w:rsidP="006046FE">
      <w:pPr>
        <w:tabs>
          <w:tab w:val="left" w:leader="dot" w:pos="8640"/>
        </w:tabs>
      </w:pPr>
      <w:proofErr w:type="gramStart"/>
      <w:r>
        <w:t>Figure 4.66</w:t>
      </w:r>
      <w:r w:rsidR="006046FE" w:rsidRPr="006046FE">
        <w:t>.</w:t>
      </w:r>
      <w:proofErr w:type="gramEnd"/>
      <w:r w:rsidR="006046FE" w:rsidRPr="006046FE">
        <w:t xml:space="preserve"> Faulty Case 5 PC1, PC2, and </w:t>
      </w:r>
      <m:oMath>
        <m:r>
          <w:rPr>
            <w:rFonts w:ascii="Cambria Math" w:hAnsi="Cambria Math"/>
          </w:rPr>
          <m:t>Q</m:t>
        </m:r>
      </m:oMath>
      <w:r w:rsidR="002C6DC7">
        <w:t>-Statistic Plot</w:t>
      </w:r>
      <w:r w:rsidR="002C6DC7">
        <w:tab/>
        <w:t>223</w:t>
      </w:r>
    </w:p>
    <w:p w:rsidR="000464BA" w:rsidRDefault="00576B22" w:rsidP="006046FE">
      <w:pPr>
        <w:tabs>
          <w:tab w:val="left" w:leader="dot" w:pos="8640"/>
        </w:tabs>
      </w:pPr>
      <w:proofErr w:type="gramStart"/>
      <w:r>
        <w:t>Figure 4.67</w:t>
      </w:r>
      <w:r w:rsidR="006046FE" w:rsidRPr="006046FE">
        <w:t>.</w:t>
      </w:r>
      <w:proofErr w:type="gramEnd"/>
      <w:r w:rsidR="006046FE" w:rsidRPr="006046FE">
        <w:t xml:space="preserve"> Faulty Case</w:t>
      </w:r>
      <w:r w:rsidR="000464BA">
        <w:t xml:space="preserve"> 6</w:t>
      </w:r>
      <w:r w:rsidR="002C6DC7">
        <w:t xml:space="preserve"> Scores Plot for PC1 and PC2</w:t>
      </w:r>
      <w:r w:rsidR="002C6DC7">
        <w:tab/>
        <w:t>225</w:t>
      </w:r>
    </w:p>
    <w:p w:rsidR="006046FE" w:rsidRPr="006046FE" w:rsidRDefault="00576B22" w:rsidP="006046FE">
      <w:pPr>
        <w:tabs>
          <w:tab w:val="left" w:leader="dot" w:pos="8640"/>
        </w:tabs>
      </w:pPr>
      <w:proofErr w:type="gramStart"/>
      <w:r>
        <w:t>Figure 4.68</w:t>
      </w:r>
      <w:r w:rsidR="006046FE" w:rsidRPr="006046FE">
        <w:t>.</w:t>
      </w:r>
      <w:proofErr w:type="gramEnd"/>
      <w:r w:rsidR="006046FE" w:rsidRPr="006046FE">
        <w:t xml:space="preserve"> Faulty Case</w:t>
      </w:r>
      <w:r w:rsidR="000464BA">
        <w:t xml:space="preserve"> 6</w:t>
      </w:r>
      <w:r w:rsidR="002C6DC7">
        <w:t xml:space="preserve"> Scores Plot for PC1 and PC3</w:t>
      </w:r>
      <w:r w:rsidR="002C6DC7">
        <w:tab/>
        <w:t>226</w:t>
      </w:r>
    </w:p>
    <w:p w:rsidR="006046FE" w:rsidRPr="006046FE" w:rsidRDefault="00576B22" w:rsidP="006046FE">
      <w:pPr>
        <w:tabs>
          <w:tab w:val="left" w:leader="dot" w:pos="8640"/>
        </w:tabs>
      </w:pPr>
      <w:proofErr w:type="gramStart"/>
      <w:r>
        <w:t>Figure 4.69</w:t>
      </w:r>
      <w:r w:rsidR="006046FE" w:rsidRPr="006046FE">
        <w:t>.</w:t>
      </w:r>
      <w:proofErr w:type="gramEnd"/>
      <w:r w:rsidR="006046FE" w:rsidRPr="006046FE">
        <w:t xml:space="preserve"> Faulty Case 6 Scores P</w:t>
      </w:r>
      <w:r w:rsidR="000464BA">
        <w:t>lot for PC2 and PC</w:t>
      </w:r>
      <w:r w:rsidR="002C6DC7">
        <w:t>3</w:t>
      </w:r>
      <w:r w:rsidR="002C6DC7">
        <w:tab/>
        <w:t>227</w:t>
      </w:r>
    </w:p>
    <w:p w:rsidR="006046FE" w:rsidRPr="006046FE" w:rsidRDefault="00576B22" w:rsidP="006046FE">
      <w:pPr>
        <w:tabs>
          <w:tab w:val="left" w:leader="dot" w:pos="8640"/>
        </w:tabs>
      </w:pPr>
      <w:proofErr w:type="gramStart"/>
      <w:r>
        <w:t>Figure 4.70</w:t>
      </w:r>
      <w:r w:rsidR="006046FE" w:rsidRPr="006046FE">
        <w:t>.</w:t>
      </w:r>
      <w:proofErr w:type="gramEnd"/>
      <w:r w:rsidR="006046FE" w:rsidRPr="006046FE">
        <w:t xml:space="preserve"> Faulty Case 6 3D Sc</w:t>
      </w:r>
      <w:r w:rsidR="000464BA">
        <w:t>ore</w:t>
      </w:r>
      <w:r w:rsidR="002C6DC7">
        <w:t>s Plot for PC1, PC2, and PC3</w:t>
      </w:r>
      <w:r w:rsidR="002C6DC7">
        <w:tab/>
        <w:t>228</w:t>
      </w:r>
    </w:p>
    <w:p w:rsidR="006046FE" w:rsidRPr="006046FE" w:rsidRDefault="00576B22" w:rsidP="006046FE">
      <w:pPr>
        <w:tabs>
          <w:tab w:val="left" w:leader="dot" w:pos="8640"/>
        </w:tabs>
      </w:pPr>
      <w:proofErr w:type="gramStart"/>
      <w:r>
        <w:t>Figure 4.71</w:t>
      </w:r>
      <w:r w:rsidR="006046FE" w:rsidRPr="006046FE">
        <w:t>.</w:t>
      </w:r>
      <w:proofErr w:type="gramEnd"/>
      <w:r w:rsidR="006046FE" w:rsidRPr="006046FE">
        <w:t xml:space="preserve"> Faulty Ca</w:t>
      </w:r>
      <w:r w:rsidR="000464BA">
        <w:t>se</w:t>
      </w:r>
      <w:r w:rsidR="002C6DC7">
        <w:t xml:space="preserve"> 6 Mahalanobis Distance Plot</w:t>
      </w:r>
      <w:r w:rsidR="002C6DC7">
        <w:tab/>
        <w:t>229</w:t>
      </w:r>
    </w:p>
    <w:p w:rsidR="006046FE" w:rsidRPr="006046FE" w:rsidRDefault="00576B22" w:rsidP="006046FE">
      <w:pPr>
        <w:tabs>
          <w:tab w:val="left" w:leader="dot" w:pos="8640"/>
        </w:tabs>
      </w:pPr>
      <w:proofErr w:type="gramStart"/>
      <w:r>
        <w:t>Figure 4.72</w:t>
      </w:r>
      <w:r w:rsidR="006046FE" w:rsidRPr="006046FE">
        <w:t>.</w:t>
      </w:r>
      <w:proofErr w:type="gramEnd"/>
      <w:r w:rsidR="006046FE" w:rsidRPr="006046FE">
        <w:t xml:space="preserve"> Faulty Case 6 </w:t>
      </w:r>
      <m:oMath>
        <m:r>
          <w:rPr>
            <w:rFonts w:ascii="Cambria Math" w:hAnsi="Cambria Math"/>
          </w:rPr>
          <m:t>Q</m:t>
        </m:r>
      </m:oMath>
      <w:r w:rsidR="002C6DC7">
        <w:t>-Statistic Plot</w:t>
      </w:r>
      <w:r w:rsidR="002C6DC7">
        <w:tab/>
        <w:t>230</w:t>
      </w:r>
    </w:p>
    <w:p w:rsidR="006046FE" w:rsidRPr="006046FE" w:rsidRDefault="00576B22" w:rsidP="006046FE">
      <w:pPr>
        <w:tabs>
          <w:tab w:val="left" w:leader="dot" w:pos="8640"/>
        </w:tabs>
      </w:pPr>
      <w:proofErr w:type="gramStart"/>
      <w:r>
        <w:t>Figure 4.73</w:t>
      </w:r>
      <w:r w:rsidR="006046FE" w:rsidRPr="006046FE">
        <w:t>.</w:t>
      </w:r>
      <w:proofErr w:type="gramEnd"/>
      <w:r w:rsidR="006046FE" w:rsidRPr="006046FE">
        <w:t xml:space="preserve"> Faulty Case 6 PC1, PC2, and </w:t>
      </w:r>
      <m:oMath>
        <m:r>
          <w:rPr>
            <w:rFonts w:ascii="Cambria Math" w:hAnsi="Cambria Math"/>
          </w:rPr>
          <m:t>Q</m:t>
        </m:r>
      </m:oMath>
      <w:r w:rsidR="002C6DC7">
        <w:t>-Statistic Plot</w:t>
      </w:r>
      <w:r w:rsidR="002C6DC7">
        <w:tab/>
        <w:t>231</w:t>
      </w:r>
    </w:p>
    <w:p w:rsidR="006046FE" w:rsidRPr="006046FE" w:rsidRDefault="00576B22" w:rsidP="006046FE">
      <w:pPr>
        <w:tabs>
          <w:tab w:val="left" w:leader="dot" w:pos="8640"/>
        </w:tabs>
      </w:pPr>
      <w:proofErr w:type="gramStart"/>
      <w:r>
        <w:t>Figure 4.74</w:t>
      </w:r>
      <w:r w:rsidR="006046FE" w:rsidRPr="006046FE">
        <w:t>.</w:t>
      </w:r>
      <w:proofErr w:type="gramEnd"/>
      <w:r w:rsidR="006046FE" w:rsidRPr="006046FE">
        <w:t xml:space="preserve"> Faulty Case</w:t>
      </w:r>
      <w:r w:rsidR="000464BA">
        <w:t xml:space="preserve"> 7</w:t>
      </w:r>
      <w:r w:rsidR="002C6DC7">
        <w:t xml:space="preserve"> Scores Plot for PC1 and PC2</w:t>
      </w:r>
      <w:r w:rsidR="002C6DC7">
        <w:tab/>
        <w:t>234</w:t>
      </w:r>
    </w:p>
    <w:p w:rsidR="000464BA" w:rsidRDefault="00576B22" w:rsidP="006046FE">
      <w:pPr>
        <w:tabs>
          <w:tab w:val="left" w:leader="dot" w:pos="8640"/>
        </w:tabs>
      </w:pPr>
      <w:proofErr w:type="gramStart"/>
      <w:r>
        <w:t>Figure 4.75</w:t>
      </w:r>
      <w:r w:rsidR="006046FE" w:rsidRPr="006046FE">
        <w:t>.</w:t>
      </w:r>
      <w:proofErr w:type="gramEnd"/>
      <w:r w:rsidR="006046FE" w:rsidRPr="006046FE">
        <w:t xml:space="preserve"> Faulty Case</w:t>
      </w:r>
      <w:r w:rsidR="000464BA">
        <w:t xml:space="preserve"> 7</w:t>
      </w:r>
      <w:r w:rsidR="002C6DC7">
        <w:t xml:space="preserve"> Scores Plot for PC1 and PC3</w:t>
      </w:r>
      <w:r w:rsidR="002C6DC7">
        <w:tab/>
        <w:t>235</w:t>
      </w:r>
    </w:p>
    <w:p w:rsidR="006046FE" w:rsidRPr="006046FE" w:rsidRDefault="00576B22" w:rsidP="006046FE">
      <w:pPr>
        <w:tabs>
          <w:tab w:val="left" w:leader="dot" w:pos="8640"/>
        </w:tabs>
      </w:pPr>
      <w:proofErr w:type="gramStart"/>
      <w:r>
        <w:t>Figure 4.76</w:t>
      </w:r>
      <w:r w:rsidR="006046FE" w:rsidRPr="006046FE">
        <w:t>.</w:t>
      </w:r>
      <w:proofErr w:type="gramEnd"/>
      <w:r w:rsidR="006046FE" w:rsidRPr="006046FE">
        <w:t xml:space="preserve"> Faulty Case</w:t>
      </w:r>
      <w:r w:rsidR="000464BA">
        <w:t xml:space="preserve"> 7</w:t>
      </w:r>
      <w:r w:rsidR="002C6DC7">
        <w:t xml:space="preserve"> Scores Plot for PC2 and PC3</w:t>
      </w:r>
      <w:r w:rsidR="002C6DC7">
        <w:tab/>
        <w:t>236</w:t>
      </w:r>
    </w:p>
    <w:p w:rsidR="006046FE" w:rsidRPr="006046FE" w:rsidRDefault="00576B22" w:rsidP="006046FE">
      <w:pPr>
        <w:tabs>
          <w:tab w:val="left" w:leader="dot" w:pos="8640"/>
        </w:tabs>
      </w:pPr>
      <w:proofErr w:type="gramStart"/>
      <w:r>
        <w:t>Figure 4.77</w:t>
      </w:r>
      <w:r w:rsidR="006046FE" w:rsidRPr="006046FE">
        <w:t>.</w:t>
      </w:r>
      <w:proofErr w:type="gramEnd"/>
      <w:r w:rsidR="006046FE" w:rsidRPr="006046FE">
        <w:t xml:space="preserve"> Faulty Case 7 3D Sco</w:t>
      </w:r>
      <w:r w:rsidR="000464BA">
        <w:t>re</w:t>
      </w:r>
      <w:r w:rsidR="002C6DC7">
        <w:t>s Plot for PC1, PC2, and PC3</w:t>
      </w:r>
      <w:r w:rsidR="002C6DC7">
        <w:tab/>
        <w:t>237</w:t>
      </w:r>
    </w:p>
    <w:p w:rsidR="006046FE" w:rsidRPr="006046FE" w:rsidRDefault="00576B22" w:rsidP="006046FE">
      <w:pPr>
        <w:tabs>
          <w:tab w:val="left" w:leader="dot" w:pos="8640"/>
        </w:tabs>
      </w:pPr>
      <w:proofErr w:type="gramStart"/>
      <w:r>
        <w:t>Figure 4.78</w:t>
      </w:r>
      <w:r w:rsidR="006046FE" w:rsidRPr="006046FE">
        <w:t>.</w:t>
      </w:r>
      <w:proofErr w:type="gramEnd"/>
      <w:r w:rsidR="006046FE" w:rsidRPr="006046FE">
        <w:t xml:space="preserve"> Faulty Ca</w:t>
      </w:r>
      <w:r w:rsidR="000464BA">
        <w:t>se</w:t>
      </w:r>
      <w:r w:rsidR="002C6DC7">
        <w:t xml:space="preserve"> 7 Mahalanobis Distance Plot</w:t>
      </w:r>
      <w:r w:rsidR="002C6DC7">
        <w:tab/>
        <w:t>238</w:t>
      </w:r>
    </w:p>
    <w:p w:rsidR="006046FE" w:rsidRPr="006046FE" w:rsidRDefault="00576B22" w:rsidP="006046FE">
      <w:pPr>
        <w:tabs>
          <w:tab w:val="left" w:leader="dot" w:pos="8640"/>
        </w:tabs>
      </w:pPr>
      <w:proofErr w:type="gramStart"/>
      <w:r>
        <w:t>Figure 4.79</w:t>
      </w:r>
      <w:r w:rsidR="006046FE" w:rsidRPr="006046FE">
        <w:t>.</w:t>
      </w:r>
      <w:proofErr w:type="gramEnd"/>
      <w:r w:rsidR="006046FE" w:rsidRPr="006046FE">
        <w:t xml:space="preserve"> Faulty Case 7 </w:t>
      </w:r>
      <m:oMath>
        <m:r>
          <w:rPr>
            <w:rFonts w:ascii="Cambria Math" w:hAnsi="Cambria Math"/>
          </w:rPr>
          <m:t>Q</m:t>
        </m:r>
      </m:oMath>
      <w:r w:rsidR="002C6DC7">
        <w:t>-Statistic Plot</w:t>
      </w:r>
      <w:r w:rsidR="002C6DC7">
        <w:tab/>
        <w:t>239</w:t>
      </w:r>
    </w:p>
    <w:p w:rsidR="006046FE" w:rsidRPr="006046FE" w:rsidRDefault="00576B22" w:rsidP="006046FE">
      <w:pPr>
        <w:tabs>
          <w:tab w:val="left" w:leader="dot" w:pos="8640"/>
        </w:tabs>
      </w:pPr>
      <w:proofErr w:type="gramStart"/>
      <w:r>
        <w:t>Figure 4.80</w:t>
      </w:r>
      <w:r w:rsidR="006046FE" w:rsidRPr="006046FE">
        <w:t>.</w:t>
      </w:r>
      <w:proofErr w:type="gramEnd"/>
      <w:r w:rsidR="006046FE" w:rsidRPr="006046FE">
        <w:t xml:space="preserve"> Faulty Case 7 PC1, PC2, and </w:t>
      </w:r>
      <m:oMath>
        <m:r>
          <w:rPr>
            <w:rFonts w:ascii="Cambria Math" w:hAnsi="Cambria Math"/>
          </w:rPr>
          <m:t>Q</m:t>
        </m:r>
      </m:oMath>
      <w:r w:rsidR="002C6DC7">
        <w:t>-Statistic Plot</w:t>
      </w:r>
      <w:r w:rsidR="002C6DC7">
        <w:tab/>
        <w:t>240</w:t>
      </w:r>
    </w:p>
    <w:p w:rsidR="006046FE" w:rsidRPr="006046FE" w:rsidRDefault="00576B22" w:rsidP="006046FE">
      <w:pPr>
        <w:tabs>
          <w:tab w:val="left" w:leader="dot" w:pos="8640"/>
        </w:tabs>
      </w:pPr>
      <w:proofErr w:type="gramStart"/>
      <w:r>
        <w:t>Figure 4.81</w:t>
      </w:r>
      <w:r w:rsidR="006046FE" w:rsidRPr="006046FE">
        <w:t>.</w:t>
      </w:r>
      <w:proofErr w:type="gramEnd"/>
      <w:r w:rsidR="006046FE" w:rsidRPr="006046FE">
        <w:t xml:space="preserve"> Faulty Ca</w:t>
      </w:r>
      <w:r w:rsidR="000464BA">
        <w:t>se</w:t>
      </w:r>
      <w:r w:rsidR="002C6DC7">
        <w:t xml:space="preserve"> 8 Mahalanobis Distance Plot</w:t>
      </w:r>
      <w:r w:rsidR="002C6DC7">
        <w:tab/>
        <w:t>243</w:t>
      </w:r>
    </w:p>
    <w:p w:rsidR="006046FE" w:rsidRPr="006046FE" w:rsidRDefault="00576B22" w:rsidP="006046FE">
      <w:pPr>
        <w:tabs>
          <w:tab w:val="left" w:leader="dot" w:pos="8640"/>
        </w:tabs>
      </w:pPr>
      <w:proofErr w:type="gramStart"/>
      <w:r>
        <w:t>Figure 4.82</w:t>
      </w:r>
      <w:r w:rsidR="006046FE" w:rsidRPr="006046FE">
        <w:t>.</w:t>
      </w:r>
      <w:proofErr w:type="gramEnd"/>
      <w:r w:rsidR="006046FE" w:rsidRPr="006046FE">
        <w:t xml:space="preserve"> Faulty Case 8 </w:t>
      </w:r>
      <m:oMath>
        <m:r>
          <w:rPr>
            <w:rFonts w:ascii="Cambria Math" w:hAnsi="Cambria Math"/>
          </w:rPr>
          <m:t>Q</m:t>
        </m:r>
      </m:oMath>
      <w:r w:rsidR="006046FE" w:rsidRPr="006046FE">
        <w:t>-Statistic Plot</w:t>
      </w:r>
      <w:r w:rsidR="002C6DC7">
        <w:tab/>
        <w:t>244</w:t>
      </w:r>
    </w:p>
    <w:p w:rsidR="006046FE" w:rsidRPr="006046FE" w:rsidRDefault="00576B22" w:rsidP="006046FE">
      <w:pPr>
        <w:tabs>
          <w:tab w:val="left" w:leader="dot" w:pos="8640"/>
        </w:tabs>
      </w:pPr>
      <w:proofErr w:type="gramStart"/>
      <w:r>
        <w:t>Figure 4.83</w:t>
      </w:r>
      <w:r w:rsidR="006046FE" w:rsidRPr="006046FE">
        <w:t>.</w:t>
      </w:r>
      <w:proofErr w:type="gramEnd"/>
      <w:r w:rsidR="006046FE" w:rsidRPr="006046FE">
        <w:t xml:space="preserve"> Faulty Case 8 PC1, PC2, and </w:t>
      </w:r>
      <m:oMath>
        <m:r>
          <w:rPr>
            <w:rFonts w:ascii="Cambria Math" w:hAnsi="Cambria Math"/>
          </w:rPr>
          <m:t>Q</m:t>
        </m:r>
      </m:oMath>
      <w:r w:rsidR="002C6DC7">
        <w:t>-Statistic Plot</w:t>
      </w:r>
      <w:r w:rsidR="002C6DC7">
        <w:tab/>
        <w:t>245</w:t>
      </w:r>
    </w:p>
    <w:p w:rsidR="006046FE" w:rsidRPr="006046FE" w:rsidRDefault="00576B22" w:rsidP="006046FE">
      <w:pPr>
        <w:tabs>
          <w:tab w:val="left" w:leader="dot" w:pos="8640"/>
        </w:tabs>
      </w:pPr>
      <w:proofErr w:type="gramStart"/>
      <w:r>
        <w:t>Figure 4.84</w:t>
      </w:r>
      <w:r w:rsidR="006046FE" w:rsidRPr="006046FE">
        <w:t>.</w:t>
      </w:r>
      <w:proofErr w:type="gramEnd"/>
      <w:r w:rsidR="006046FE" w:rsidRPr="006046FE">
        <w:t xml:space="preserve"> Faulty Case 9 </w:t>
      </w:r>
      <m:oMath>
        <m:r>
          <w:rPr>
            <w:rFonts w:ascii="Cambria Math" w:hAnsi="Cambria Math"/>
          </w:rPr>
          <m:t>Q</m:t>
        </m:r>
      </m:oMath>
      <w:r w:rsidR="002C6DC7">
        <w:t>-Statistic Plot</w:t>
      </w:r>
      <w:r w:rsidR="002C6DC7">
        <w:tab/>
        <w:t>248</w:t>
      </w:r>
    </w:p>
    <w:p w:rsidR="006046FE" w:rsidRPr="006046FE" w:rsidRDefault="00576B22" w:rsidP="006046FE">
      <w:pPr>
        <w:tabs>
          <w:tab w:val="left" w:leader="dot" w:pos="8640"/>
        </w:tabs>
      </w:pPr>
      <w:proofErr w:type="gramStart"/>
      <w:r>
        <w:t>Figure 4.85</w:t>
      </w:r>
      <w:r w:rsidR="006046FE" w:rsidRPr="006046FE">
        <w:t>.</w:t>
      </w:r>
      <w:proofErr w:type="gramEnd"/>
      <w:r w:rsidR="006046FE" w:rsidRPr="006046FE">
        <w:t xml:space="preserve"> Faulty Case 9 PC1, PC2, and </w:t>
      </w:r>
      <m:oMath>
        <m:r>
          <w:rPr>
            <w:rFonts w:ascii="Cambria Math" w:hAnsi="Cambria Math"/>
          </w:rPr>
          <m:t>Q</m:t>
        </m:r>
      </m:oMath>
      <w:r w:rsidR="002C6DC7">
        <w:t>-Statistic Plot</w:t>
      </w:r>
      <w:r w:rsidR="002C6DC7">
        <w:tab/>
        <w:t>249</w:t>
      </w:r>
    </w:p>
    <w:p w:rsidR="006046FE" w:rsidRPr="006046FE" w:rsidRDefault="00576B22" w:rsidP="006046FE">
      <w:pPr>
        <w:tabs>
          <w:tab w:val="left" w:leader="dot" w:pos="8640"/>
        </w:tabs>
      </w:pPr>
      <w:proofErr w:type="gramStart"/>
      <w:r>
        <w:t>Figure 4.86</w:t>
      </w:r>
      <w:r w:rsidR="006046FE" w:rsidRPr="006046FE">
        <w:t>.</w:t>
      </w:r>
      <w:proofErr w:type="gramEnd"/>
      <w:r w:rsidR="006046FE" w:rsidRPr="006046FE">
        <w:t xml:space="preserve"> Faulty Case 10 </w:t>
      </w:r>
      <m:oMath>
        <m:r>
          <w:rPr>
            <w:rFonts w:ascii="Cambria Math" w:hAnsi="Cambria Math"/>
          </w:rPr>
          <m:t>Q</m:t>
        </m:r>
      </m:oMath>
      <w:r w:rsidR="002C6DC7">
        <w:t>-Statistic Plot</w:t>
      </w:r>
      <w:r w:rsidR="002C6DC7">
        <w:tab/>
        <w:t>252</w:t>
      </w:r>
    </w:p>
    <w:p w:rsidR="006046FE" w:rsidRPr="006046FE" w:rsidRDefault="00576B22" w:rsidP="006046FE">
      <w:pPr>
        <w:tabs>
          <w:tab w:val="left" w:leader="dot" w:pos="8640"/>
        </w:tabs>
      </w:pPr>
      <w:proofErr w:type="gramStart"/>
      <w:r>
        <w:t>Figure 4.87</w:t>
      </w:r>
      <w:r w:rsidR="006046FE" w:rsidRPr="006046FE">
        <w:t>.</w:t>
      </w:r>
      <w:proofErr w:type="gramEnd"/>
      <w:r w:rsidR="006046FE" w:rsidRPr="006046FE">
        <w:t xml:space="preserve"> Faulty Case 10 PC1, PC2, and </w:t>
      </w:r>
      <m:oMath>
        <m:r>
          <w:rPr>
            <w:rFonts w:ascii="Cambria Math" w:hAnsi="Cambria Math"/>
          </w:rPr>
          <m:t>Q</m:t>
        </m:r>
      </m:oMath>
      <w:r w:rsidR="002C6DC7">
        <w:t>-Statistic Plot</w:t>
      </w:r>
      <w:r w:rsidR="002C6DC7">
        <w:tab/>
        <w:t>253</w:t>
      </w:r>
    </w:p>
    <w:p w:rsidR="006046FE" w:rsidRPr="006046FE" w:rsidRDefault="00576B22" w:rsidP="006046FE">
      <w:pPr>
        <w:tabs>
          <w:tab w:val="left" w:leader="dot" w:pos="8640"/>
        </w:tabs>
      </w:pPr>
      <w:proofErr w:type="gramStart"/>
      <w:r>
        <w:t>Figure 4.88</w:t>
      </w:r>
      <w:r w:rsidR="006046FE" w:rsidRPr="006046FE">
        <w:t>.</w:t>
      </w:r>
      <w:proofErr w:type="gramEnd"/>
      <w:r w:rsidR="006046FE" w:rsidRPr="006046FE">
        <w:t xml:space="preserve"> Faulty Case 11 </w:t>
      </w:r>
      <m:oMath>
        <m:r>
          <w:rPr>
            <w:rFonts w:ascii="Cambria Math" w:hAnsi="Cambria Math"/>
          </w:rPr>
          <m:t>Q</m:t>
        </m:r>
      </m:oMath>
      <w:r w:rsidR="008E02F8">
        <w:t>-S</w:t>
      </w:r>
      <w:proofErr w:type="spellStart"/>
      <w:r w:rsidR="002C6DC7">
        <w:t>tatistic</w:t>
      </w:r>
      <w:proofErr w:type="spellEnd"/>
      <w:r w:rsidR="002C6DC7">
        <w:t xml:space="preserve"> Plot</w:t>
      </w:r>
      <w:r w:rsidR="002C6DC7">
        <w:tab/>
        <w:t>255</w:t>
      </w:r>
    </w:p>
    <w:p w:rsidR="006046FE" w:rsidRPr="006046FE" w:rsidRDefault="00576B22" w:rsidP="006046FE">
      <w:pPr>
        <w:tabs>
          <w:tab w:val="left" w:leader="dot" w:pos="8640"/>
        </w:tabs>
      </w:pPr>
      <w:proofErr w:type="gramStart"/>
      <w:r>
        <w:lastRenderedPageBreak/>
        <w:t>Figure 4.89</w:t>
      </w:r>
      <w:r w:rsidR="006046FE" w:rsidRPr="006046FE">
        <w:t>.</w:t>
      </w:r>
      <w:proofErr w:type="gramEnd"/>
      <w:r w:rsidR="006046FE" w:rsidRPr="006046FE">
        <w:t xml:space="preserve"> Faulty Case 11 PC1, PC2, and </w:t>
      </w:r>
      <m:oMath>
        <m:r>
          <w:rPr>
            <w:rFonts w:ascii="Cambria Math" w:hAnsi="Cambria Math"/>
          </w:rPr>
          <m:t>Q</m:t>
        </m:r>
      </m:oMath>
      <w:r w:rsidR="002C6DC7">
        <w:t>-Statistic Plot</w:t>
      </w:r>
      <w:r w:rsidR="002C6DC7">
        <w:tab/>
        <w:t>256</w:t>
      </w:r>
    </w:p>
    <w:p w:rsidR="006046FE" w:rsidRPr="006046FE" w:rsidRDefault="00576B22" w:rsidP="006046FE">
      <w:pPr>
        <w:tabs>
          <w:tab w:val="left" w:leader="dot" w:pos="8640"/>
        </w:tabs>
      </w:pPr>
      <w:proofErr w:type="gramStart"/>
      <w:r>
        <w:t>Figure 4.90</w:t>
      </w:r>
      <w:r w:rsidR="006046FE" w:rsidRPr="006046FE">
        <w:t>.</w:t>
      </w:r>
      <w:proofErr w:type="gramEnd"/>
      <w:r w:rsidR="006046FE" w:rsidRPr="006046FE">
        <w:t xml:space="preserve"> Faulty Case </w:t>
      </w:r>
      <w:r w:rsidR="008E02F8">
        <w:t>12</w:t>
      </w:r>
      <w:r w:rsidR="002C6DC7">
        <w:t xml:space="preserve"> Scores Plot for PC1 and PC2</w:t>
      </w:r>
      <w:r w:rsidR="002C6DC7">
        <w:tab/>
        <w:t>259</w:t>
      </w:r>
    </w:p>
    <w:p w:rsidR="006046FE" w:rsidRPr="006046FE" w:rsidRDefault="00576B22" w:rsidP="006046FE">
      <w:pPr>
        <w:tabs>
          <w:tab w:val="left" w:leader="dot" w:pos="8640"/>
        </w:tabs>
      </w:pPr>
      <w:proofErr w:type="gramStart"/>
      <w:r>
        <w:t>Figure 4.91</w:t>
      </w:r>
      <w:r w:rsidR="006046FE" w:rsidRPr="006046FE">
        <w:t>.</w:t>
      </w:r>
      <w:proofErr w:type="gramEnd"/>
      <w:r w:rsidR="006046FE" w:rsidRPr="006046FE">
        <w:t xml:space="preserve"> Faulty Case 12 Scores Plot for PC1 and PC3</w:t>
      </w:r>
      <w:r w:rsidR="002C6DC7">
        <w:tab/>
        <w:t>260</w:t>
      </w:r>
    </w:p>
    <w:p w:rsidR="006046FE" w:rsidRPr="006046FE" w:rsidRDefault="00576B22" w:rsidP="006046FE">
      <w:pPr>
        <w:tabs>
          <w:tab w:val="left" w:leader="dot" w:pos="8640"/>
        </w:tabs>
      </w:pPr>
      <w:proofErr w:type="gramStart"/>
      <w:r>
        <w:t>Figure 4.92</w:t>
      </w:r>
      <w:r w:rsidR="006046FE" w:rsidRPr="006046FE">
        <w:t>.</w:t>
      </w:r>
      <w:proofErr w:type="gramEnd"/>
      <w:r w:rsidR="006046FE" w:rsidRPr="006046FE">
        <w:t xml:space="preserve"> Faulty Cas</w:t>
      </w:r>
      <w:r w:rsidR="008E02F8">
        <w:t>e 12 Scores Plot for PC2 and PC</w:t>
      </w:r>
      <w:r w:rsidR="002C6DC7">
        <w:t>3</w:t>
      </w:r>
      <w:r w:rsidR="002C6DC7">
        <w:tab/>
        <w:t>261</w:t>
      </w:r>
    </w:p>
    <w:p w:rsidR="006046FE" w:rsidRPr="006046FE" w:rsidRDefault="00576B22" w:rsidP="006046FE">
      <w:pPr>
        <w:tabs>
          <w:tab w:val="left" w:leader="dot" w:pos="8640"/>
        </w:tabs>
      </w:pPr>
      <w:proofErr w:type="gramStart"/>
      <w:r>
        <w:t>Figure 4.93</w:t>
      </w:r>
      <w:r w:rsidR="006046FE" w:rsidRPr="006046FE">
        <w:t>.</w:t>
      </w:r>
      <w:proofErr w:type="gramEnd"/>
      <w:r w:rsidR="006046FE" w:rsidRPr="006046FE">
        <w:t xml:space="preserve"> Faulty Case 12 3D Sco</w:t>
      </w:r>
      <w:r w:rsidR="008E02F8">
        <w:t>re</w:t>
      </w:r>
      <w:r w:rsidR="002C6DC7">
        <w:t>s Plot for PC1, PC2, and PC3</w:t>
      </w:r>
      <w:r w:rsidR="002C6DC7">
        <w:tab/>
        <w:t>262</w:t>
      </w:r>
    </w:p>
    <w:p w:rsidR="006046FE" w:rsidRPr="006046FE" w:rsidRDefault="00576B22" w:rsidP="006046FE">
      <w:pPr>
        <w:tabs>
          <w:tab w:val="left" w:leader="dot" w:pos="8640"/>
        </w:tabs>
      </w:pPr>
      <w:proofErr w:type="gramStart"/>
      <w:r>
        <w:t>Figure 4.94</w:t>
      </w:r>
      <w:r w:rsidR="006046FE" w:rsidRPr="006046FE">
        <w:t>.</w:t>
      </w:r>
      <w:proofErr w:type="gramEnd"/>
      <w:r w:rsidR="006046FE" w:rsidRPr="006046FE">
        <w:t xml:space="preserve"> Faulty Cas</w:t>
      </w:r>
      <w:r w:rsidR="008E02F8">
        <w:t xml:space="preserve">e </w:t>
      </w:r>
      <w:r w:rsidR="002C6DC7">
        <w:t>12 Mahalanobis Distance Plot</w:t>
      </w:r>
      <w:r w:rsidR="002C6DC7">
        <w:tab/>
        <w:t>263</w:t>
      </w:r>
    </w:p>
    <w:p w:rsidR="006046FE" w:rsidRPr="006046FE" w:rsidRDefault="00576B22" w:rsidP="006046FE">
      <w:pPr>
        <w:tabs>
          <w:tab w:val="left" w:leader="dot" w:pos="8640"/>
        </w:tabs>
      </w:pPr>
      <w:proofErr w:type="gramStart"/>
      <w:r>
        <w:t>Figure 4.95</w:t>
      </w:r>
      <w:r w:rsidR="006046FE" w:rsidRPr="006046FE">
        <w:t>.</w:t>
      </w:r>
      <w:proofErr w:type="gramEnd"/>
      <w:r w:rsidR="006046FE" w:rsidRPr="006046FE">
        <w:t xml:space="preserve"> Faulty Case 12 </w:t>
      </w:r>
      <m:oMath>
        <m:r>
          <w:rPr>
            <w:rFonts w:ascii="Cambria Math" w:hAnsi="Cambria Math"/>
          </w:rPr>
          <m:t>Q</m:t>
        </m:r>
      </m:oMath>
      <w:r w:rsidR="002C6DC7">
        <w:t>-Statistic Plot</w:t>
      </w:r>
      <w:r w:rsidR="002C6DC7">
        <w:tab/>
        <w:t>264</w:t>
      </w:r>
    </w:p>
    <w:p w:rsidR="006046FE" w:rsidRPr="006046FE" w:rsidRDefault="00576B22" w:rsidP="006046FE">
      <w:pPr>
        <w:tabs>
          <w:tab w:val="left" w:leader="dot" w:pos="8640"/>
        </w:tabs>
      </w:pPr>
      <w:proofErr w:type="gramStart"/>
      <w:r>
        <w:t>Figure 4.96</w:t>
      </w:r>
      <w:r w:rsidR="006046FE" w:rsidRPr="006046FE">
        <w:t>.</w:t>
      </w:r>
      <w:proofErr w:type="gramEnd"/>
      <w:r w:rsidR="006046FE" w:rsidRPr="006046FE">
        <w:t xml:space="preserve"> Faulty Case 12 PC1, PC2, and </w:t>
      </w:r>
      <m:oMath>
        <m:r>
          <w:rPr>
            <w:rFonts w:ascii="Cambria Math" w:hAnsi="Cambria Math"/>
          </w:rPr>
          <m:t>Q</m:t>
        </m:r>
      </m:oMath>
      <w:r w:rsidR="002C6DC7">
        <w:t>-Statistic Plot</w:t>
      </w:r>
      <w:r w:rsidR="002C6DC7">
        <w:tab/>
        <w:t>265</w:t>
      </w:r>
    </w:p>
    <w:p w:rsidR="006046FE" w:rsidRPr="006046FE" w:rsidRDefault="00576B22" w:rsidP="006046FE">
      <w:pPr>
        <w:tabs>
          <w:tab w:val="left" w:leader="dot" w:pos="8640"/>
        </w:tabs>
      </w:pPr>
      <w:proofErr w:type="gramStart"/>
      <w:r>
        <w:t>Figure 4.97</w:t>
      </w:r>
      <w:r w:rsidR="006046FE" w:rsidRPr="006046FE">
        <w:t>.</w:t>
      </w:r>
      <w:proofErr w:type="gramEnd"/>
      <w:r w:rsidR="006046FE" w:rsidRPr="006046FE">
        <w:t xml:space="preserve"> Faulty Cas</w:t>
      </w:r>
      <w:r w:rsidR="008E02F8">
        <w:t xml:space="preserve">e </w:t>
      </w:r>
      <w:r w:rsidR="002C6DC7">
        <w:t>13 Mahalanobis Distance Plot</w:t>
      </w:r>
      <w:r w:rsidR="002C6DC7">
        <w:tab/>
        <w:t>268</w:t>
      </w:r>
    </w:p>
    <w:p w:rsidR="006046FE" w:rsidRPr="006046FE" w:rsidRDefault="00576B22" w:rsidP="006046FE">
      <w:pPr>
        <w:tabs>
          <w:tab w:val="left" w:leader="dot" w:pos="8640"/>
        </w:tabs>
      </w:pPr>
      <w:proofErr w:type="gramStart"/>
      <w:r>
        <w:t>Figure 4.98</w:t>
      </w:r>
      <w:r w:rsidR="006046FE" w:rsidRPr="006046FE">
        <w:t>.</w:t>
      </w:r>
      <w:proofErr w:type="gramEnd"/>
      <w:r w:rsidR="006046FE" w:rsidRPr="006046FE">
        <w:t xml:space="preserve"> Faulty Case 13 </w:t>
      </w:r>
      <m:oMath>
        <m:r>
          <w:rPr>
            <w:rFonts w:ascii="Cambria Math" w:hAnsi="Cambria Math"/>
          </w:rPr>
          <m:t>Q</m:t>
        </m:r>
      </m:oMath>
      <w:r w:rsidR="002C6DC7">
        <w:t>-S</w:t>
      </w:r>
      <w:proofErr w:type="spellStart"/>
      <w:r w:rsidR="002C6DC7">
        <w:t>tatistic</w:t>
      </w:r>
      <w:proofErr w:type="spellEnd"/>
      <w:r w:rsidR="002C6DC7">
        <w:t xml:space="preserve"> Plot</w:t>
      </w:r>
      <w:r w:rsidR="002C6DC7">
        <w:tab/>
        <w:t>269</w:t>
      </w:r>
    </w:p>
    <w:p w:rsidR="008E02F8" w:rsidRDefault="00576B22" w:rsidP="006046FE">
      <w:pPr>
        <w:tabs>
          <w:tab w:val="left" w:leader="dot" w:pos="8640"/>
        </w:tabs>
      </w:pPr>
      <w:proofErr w:type="gramStart"/>
      <w:r>
        <w:t>Figure 4.99</w:t>
      </w:r>
      <w:r w:rsidR="006046FE" w:rsidRPr="006046FE">
        <w:t>.</w:t>
      </w:r>
      <w:proofErr w:type="gramEnd"/>
      <w:r w:rsidR="006046FE" w:rsidRPr="006046FE">
        <w:t xml:space="preserve"> Faulty Case 13 PC1, PC2, and </w:t>
      </w:r>
      <m:oMath>
        <m:r>
          <w:rPr>
            <w:rFonts w:ascii="Cambria Math" w:hAnsi="Cambria Math"/>
          </w:rPr>
          <m:t>Q</m:t>
        </m:r>
      </m:oMath>
      <w:r w:rsidR="002C6DC7">
        <w:t>-Statistic Plot</w:t>
      </w:r>
      <w:r w:rsidR="002C6DC7">
        <w:tab/>
        <w:t>270</w:t>
      </w:r>
    </w:p>
    <w:p w:rsidR="006046FE" w:rsidRPr="006046FE" w:rsidRDefault="00576B22" w:rsidP="006046FE">
      <w:pPr>
        <w:tabs>
          <w:tab w:val="left" w:leader="dot" w:pos="8640"/>
        </w:tabs>
      </w:pPr>
      <w:proofErr w:type="gramStart"/>
      <w:r>
        <w:t>Figure 4.100</w:t>
      </w:r>
      <w:r w:rsidR="006046FE" w:rsidRPr="006046FE">
        <w:t>.</w:t>
      </w:r>
      <w:proofErr w:type="gramEnd"/>
      <w:r w:rsidR="006046FE" w:rsidRPr="006046FE">
        <w:t xml:space="preserve"> Faulty Case </w:t>
      </w:r>
      <w:r w:rsidR="008E02F8">
        <w:t>14</w:t>
      </w:r>
      <w:r w:rsidR="002C6DC7">
        <w:t xml:space="preserve"> Scores Plot for PC1 and PC2</w:t>
      </w:r>
      <w:r w:rsidR="002C6DC7">
        <w:tab/>
        <w:t>273</w:t>
      </w:r>
    </w:p>
    <w:p w:rsidR="006046FE" w:rsidRPr="006046FE" w:rsidRDefault="00576B22" w:rsidP="006046FE">
      <w:pPr>
        <w:tabs>
          <w:tab w:val="left" w:leader="dot" w:pos="8640"/>
        </w:tabs>
      </w:pPr>
      <w:proofErr w:type="gramStart"/>
      <w:r>
        <w:t>Figure 4.101</w:t>
      </w:r>
      <w:r w:rsidR="006046FE" w:rsidRPr="006046FE">
        <w:t>.</w:t>
      </w:r>
      <w:proofErr w:type="gramEnd"/>
      <w:r w:rsidR="006046FE" w:rsidRPr="006046FE">
        <w:t xml:space="preserve"> Faulty Case 14 Scores Plot for PC1 and PC3</w:t>
      </w:r>
      <w:r w:rsidR="002C6DC7">
        <w:tab/>
        <w:t>274</w:t>
      </w:r>
    </w:p>
    <w:p w:rsidR="006046FE" w:rsidRPr="006046FE" w:rsidRDefault="00576B22" w:rsidP="006046FE">
      <w:pPr>
        <w:tabs>
          <w:tab w:val="left" w:leader="dot" w:pos="8640"/>
        </w:tabs>
      </w:pPr>
      <w:proofErr w:type="gramStart"/>
      <w:r>
        <w:t>Figure 4.102</w:t>
      </w:r>
      <w:r w:rsidR="006046FE" w:rsidRPr="006046FE">
        <w:t>.</w:t>
      </w:r>
      <w:proofErr w:type="gramEnd"/>
      <w:r w:rsidR="006046FE" w:rsidRPr="006046FE">
        <w:t xml:space="preserve"> Faulty Case 14 Scores Plot for PC2 and PC3</w:t>
      </w:r>
      <w:r w:rsidR="002C6DC7">
        <w:tab/>
        <w:t>275</w:t>
      </w:r>
    </w:p>
    <w:p w:rsidR="006046FE" w:rsidRPr="006046FE" w:rsidRDefault="00576B22" w:rsidP="006046FE">
      <w:pPr>
        <w:tabs>
          <w:tab w:val="left" w:leader="dot" w:pos="8640"/>
        </w:tabs>
      </w:pPr>
      <w:proofErr w:type="gramStart"/>
      <w:r>
        <w:t>Figure 4.103</w:t>
      </w:r>
      <w:r w:rsidR="006046FE" w:rsidRPr="006046FE">
        <w:t>.</w:t>
      </w:r>
      <w:proofErr w:type="gramEnd"/>
      <w:r w:rsidR="006046FE" w:rsidRPr="006046FE">
        <w:t xml:space="preserve"> Faulty Case 14 3D Sco</w:t>
      </w:r>
      <w:r w:rsidR="008E02F8">
        <w:t>re</w:t>
      </w:r>
      <w:r w:rsidR="002C6DC7">
        <w:t>s Plot for PC1, PC2, and PC3</w:t>
      </w:r>
      <w:r w:rsidR="002C6DC7">
        <w:tab/>
        <w:t>276</w:t>
      </w:r>
    </w:p>
    <w:p w:rsidR="006046FE" w:rsidRPr="006046FE" w:rsidRDefault="00576B22" w:rsidP="006046FE">
      <w:pPr>
        <w:tabs>
          <w:tab w:val="left" w:leader="dot" w:pos="8640"/>
        </w:tabs>
      </w:pPr>
      <w:proofErr w:type="gramStart"/>
      <w:r>
        <w:t>Figure 4.104</w:t>
      </w:r>
      <w:r w:rsidR="006046FE" w:rsidRPr="006046FE">
        <w:t>.</w:t>
      </w:r>
      <w:proofErr w:type="gramEnd"/>
      <w:r w:rsidR="006046FE" w:rsidRPr="006046FE">
        <w:t xml:space="preserve"> Faulty Cas</w:t>
      </w:r>
      <w:r w:rsidR="008E02F8">
        <w:t xml:space="preserve">e </w:t>
      </w:r>
      <w:r w:rsidR="002C6DC7">
        <w:t>14 Mahalanobis Distance Plot</w:t>
      </w:r>
      <w:r w:rsidR="002C6DC7">
        <w:tab/>
        <w:t>277</w:t>
      </w:r>
    </w:p>
    <w:p w:rsidR="006046FE" w:rsidRPr="006046FE" w:rsidRDefault="00576B22" w:rsidP="006046FE">
      <w:pPr>
        <w:tabs>
          <w:tab w:val="left" w:leader="dot" w:pos="8640"/>
        </w:tabs>
      </w:pPr>
      <w:proofErr w:type="gramStart"/>
      <w:r>
        <w:t>Figure 4.105</w:t>
      </w:r>
      <w:r w:rsidR="006046FE" w:rsidRPr="006046FE">
        <w:t>.</w:t>
      </w:r>
      <w:proofErr w:type="gramEnd"/>
      <w:r w:rsidR="006046FE" w:rsidRPr="006046FE">
        <w:t xml:space="preserve"> Faulty Case 14 </w:t>
      </w:r>
      <m:oMath>
        <m:r>
          <w:rPr>
            <w:rFonts w:ascii="Cambria Math" w:hAnsi="Cambria Math"/>
          </w:rPr>
          <m:t>Q</m:t>
        </m:r>
      </m:oMath>
      <w:r w:rsidR="008E02F8">
        <w:t>-Stati</w:t>
      </w:r>
      <w:proofErr w:type="spellStart"/>
      <w:r w:rsidR="002C6DC7">
        <w:t>stic</w:t>
      </w:r>
      <w:proofErr w:type="spellEnd"/>
      <w:r w:rsidR="002C6DC7">
        <w:t xml:space="preserve"> Plot</w:t>
      </w:r>
      <w:r w:rsidR="002C6DC7">
        <w:tab/>
        <w:t>278</w:t>
      </w:r>
    </w:p>
    <w:p w:rsidR="006046FE" w:rsidRDefault="00576B22" w:rsidP="006046FE">
      <w:pPr>
        <w:tabs>
          <w:tab w:val="left" w:leader="dot" w:pos="8640"/>
        </w:tabs>
      </w:pPr>
      <w:proofErr w:type="gramStart"/>
      <w:r>
        <w:t>Figure 4.106</w:t>
      </w:r>
      <w:r w:rsidR="006046FE" w:rsidRPr="006046FE">
        <w:t>.</w:t>
      </w:r>
      <w:proofErr w:type="gramEnd"/>
      <w:r w:rsidR="006046FE" w:rsidRPr="006046FE">
        <w:t xml:space="preserve"> Faulty Case 14 PC1, PC2, and </w:t>
      </w:r>
      <m:oMath>
        <m:r>
          <w:rPr>
            <w:rFonts w:ascii="Cambria Math" w:hAnsi="Cambria Math"/>
          </w:rPr>
          <m:t>Q</m:t>
        </m:r>
      </m:oMath>
      <w:r w:rsidR="002C6DC7">
        <w:t>-Statistic Plot</w:t>
      </w:r>
      <w:r w:rsidR="002C6DC7">
        <w:tab/>
        <w:t>279</w:t>
      </w:r>
    </w:p>
    <w:p w:rsidR="00002CAE" w:rsidRDefault="00FD70EC" w:rsidP="00FD70EC">
      <w:pPr>
        <w:tabs>
          <w:tab w:val="left" w:leader="dot" w:pos="8640"/>
        </w:tabs>
      </w:pPr>
      <w:proofErr w:type="gramStart"/>
      <w:r>
        <w:t>Figure 4.107</w:t>
      </w:r>
      <w:r w:rsidRPr="006046FE">
        <w:t>.</w:t>
      </w:r>
      <w:proofErr w:type="gramEnd"/>
      <w:r w:rsidRPr="006046FE">
        <w:t xml:space="preserve"> </w:t>
      </w:r>
      <w:r w:rsidRPr="003544FA">
        <w:t xml:space="preserve">Example of PC1 vs. PC2 Scores for Implementation of the Monitoring </w:t>
      </w:r>
    </w:p>
    <w:p w:rsidR="00FD70EC" w:rsidRDefault="00FD70EC" w:rsidP="00002CAE">
      <w:pPr>
        <w:tabs>
          <w:tab w:val="left" w:leader="dot" w:pos="8640"/>
        </w:tabs>
        <w:ind w:left="1170"/>
      </w:pPr>
      <w:r w:rsidRPr="003544FA">
        <w:t>Framework</w:t>
      </w:r>
      <w:r w:rsidR="002C6DC7">
        <w:tab/>
        <w:t>288</w:t>
      </w:r>
    </w:p>
    <w:p w:rsidR="00002CAE" w:rsidRDefault="00FD70EC" w:rsidP="00FD70EC">
      <w:pPr>
        <w:tabs>
          <w:tab w:val="left" w:leader="dot" w:pos="8640"/>
        </w:tabs>
      </w:pPr>
      <w:proofErr w:type="gramStart"/>
      <w:r>
        <w:t>Figure 4.108</w:t>
      </w:r>
      <w:r w:rsidRPr="006046FE">
        <w:t>.</w:t>
      </w:r>
      <w:proofErr w:type="gramEnd"/>
      <w:r w:rsidRPr="006046FE">
        <w:t xml:space="preserve"> </w:t>
      </w:r>
      <w:r w:rsidRPr="003544FA">
        <w:t xml:space="preserve">Example Mahalanobis Distance Plot for Implementation of the Monitoring </w:t>
      </w:r>
    </w:p>
    <w:p w:rsidR="00FD70EC" w:rsidRDefault="00FD70EC" w:rsidP="00002CAE">
      <w:pPr>
        <w:tabs>
          <w:tab w:val="left" w:leader="dot" w:pos="8640"/>
        </w:tabs>
        <w:ind w:left="1170"/>
      </w:pPr>
      <w:r w:rsidRPr="003544FA">
        <w:t>Framework</w:t>
      </w:r>
      <w:r w:rsidR="002C6DC7">
        <w:tab/>
        <w:t>289</w:t>
      </w:r>
    </w:p>
    <w:p w:rsidR="00002CAE" w:rsidRDefault="00FD70EC" w:rsidP="00FD70EC">
      <w:pPr>
        <w:tabs>
          <w:tab w:val="left" w:leader="dot" w:pos="8640"/>
        </w:tabs>
      </w:pPr>
      <w:proofErr w:type="gramStart"/>
      <w:r>
        <w:t>Figure 4.109</w:t>
      </w:r>
      <w:r w:rsidRPr="006046FE">
        <w:t>.</w:t>
      </w:r>
      <w:proofErr w:type="gramEnd"/>
      <w:r w:rsidRPr="006046FE">
        <w:t xml:space="preserve"> </w:t>
      </w:r>
      <w:r w:rsidR="00002CAE" w:rsidRPr="003544FA">
        <w:t xml:space="preserve">Example Case 14 </w:t>
      </w:r>
      <m:oMath>
        <m:r>
          <w:rPr>
            <w:rFonts w:ascii="Cambria Math" w:hAnsi="Cambria Math"/>
          </w:rPr>
          <m:t>Q</m:t>
        </m:r>
      </m:oMath>
      <w:r w:rsidR="00002CAE" w:rsidRPr="003544FA">
        <w:t xml:space="preserve">-Statistic Plot for Implementation of the Monitoring </w:t>
      </w:r>
    </w:p>
    <w:p w:rsidR="00FD70EC" w:rsidRDefault="00002CAE" w:rsidP="00002CAE">
      <w:pPr>
        <w:tabs>
          <w:tab w:val="left" w:leader="dot" w:pos="8640"/>
        </w:tabs>
        <w:ind w:left="1170"/>
      </w:pPr>
      <w:r w:rsidRPr="003544FA">
        <w:t>Framework</w:t>
      </w:r>
      <w:r w:rsidR="002C6DC7">
        <w:tab/>
        <w:t>290</w:t>
      </w:r>
    </w:p>
    <w:p w:rsidR="00546FDE" w:rsidRPr="00546FDE" w:rsidRDefault="00546FDE" w:rsidP="00546FDE">
      <w:pPr>
        <w:tabs>
          <w:tab w:val="left" w:leader="dot" w:pos="8640"/>
        </w:tabs>
      </w:pPr>
      <w:r w:rsidRPr="00546FDE">
        <w:lastRenderedPageBreak/>
        <w:t>Figure A.1. Nomenclature for Cascade of Solvent Extraction Stages</w:t>
      </w:r>
      <w:r w:rsidR="002C6DC7">
        <w:tab/>
        <w:t>300</w:t>
      </w:r>
    </w:p>
    <w:p w:rsidR="00546FDE" w:rsidRPr="00546FDE" w:rsidRDefault="00546FDE" w:rsidP="00546FDE">
      <w:pPr>
        <w:tabs>
          <w:tab w:val="left" w:leader="dot" w:pos="8640"/>
        </w:tabs>
      </w:pPr>
      <w:r w:rsidRPr="00546FDE">
        <w:t>Figure A.2. Stage Concentration Diagram for Solvent Extraction Cascade</w:t>
      </w:r>
      <w:r w:rsidR="002C6DC7">
        <w:tab/>
        <w:t>301</w:t>
      </w:r>
    </w:p>
    <w:p w:rsidR="00B77AE4" w:rsidRDefault="00B77AE4" w:rsidP="003477BF">
      <w:pPr>
        <w:tabs>
          <w:tab w:val="left" w:leader="dot" w:pos="8640"/>
        </w:tabs>
      </w:pPr>
    </w:p>
    <w:p w:rsidR="00402C43" w:rsidRDefault="00402C43" w:rsidP="003477BF">
      <w:pPr>
        <w:tabs>
          <w:tab w:val="left" w:leader="dot" w:pos="8640"/>
        </w:tabs>
      </w:pPr>
    </w:p>
    <w:p w:rsidR="00402C43" w:rsidRDefault="00402C43">
      <w:r>
        <w:br w:type="page"/>
      </w:r>
    </w:p>
    <w:p w:rsidR="00B77AE4" w:rsidRPr="004D23F5" w:rsidRDefault="00B77AE4" w:rsidP="00B77AE4">
      <w:pPr>
        <w:jc w:val="center"/>
        <w:rPr>
          <w:rFonts w:asciiTheme="majorHAnsi" w:hAnsiTheme="majorHAnsi"/>
          <w:b/>
          <w:caps/>
        </w:rPr>
      </w:pPr>
      <w:r w:rsidRPr="004D23F5">
        <w:rPr>
          <w:rFonts w:asciiTheme="majorHAnsi" w:hAnsiTheme="majorHAnsi"/>
          <w:b/>
          <w:caps/>
        </w:rPr>
        <w:lastRenderedPageBreak/>
        <w:t>List of Tables</w:t>
      </w:r>
    </w:p>
    <w:p w:rsidR="00B77AE4" w:rsidRDefault="00B77AE4" w:rsidP="00B77AE4"/>
    <w:p w:rsidR="00B77AE4" w:rsidRPr="00C52FEC" w:rsidRDefault="00B77AE4" w:rsidP="008E02F8">
      <w:pPr>
        <w:tabs>
          <w:tab w:val="left" w:leader="dot" w:pos="8640"/>
        </w:tabs>
      </w:pPr>
      <w:proofErr w:type="gramStart"/>
      <w:r w:rsidRPr="00C52FEC">
        <w:t>Table 3.1.</w:t>
      </w:r>
      <w:proofErr w:type="gramEnd"/>
      <w:r w:rsidRPr="00C52FEC">
        <w:t xml:space="preserve"> List of Chemical Components</w:t>
      </w:r>
      <w:r w:rsidR="002C6DC7">
        <w:tab/>
        <w:t>32</w:t>
      </w:r>
    </w:p>
    <w:p w:rsidR="008E02F8" w:rsidRPr="00322C94" w:rsidRDefault="008E02F8" w:rsidP="008E02F8">
      <w:pPr>
        <w:tabs>
          <w:tab w:val="left" w:leader="dot" w:pos="8640"/>
        </w:tabs>
      </w:pPr>
      <w:proofErr w:type="gramStart"/>
      <w:r w:rsidRPr="00322C94">
        <w:t>Table 3.2.</w:t>
      </w:r>
      <w:proofErr w:type="gramEnd"/>
      <w:r w:rsidRPr="00322C94">
        <w:t xml:space="preserve"> State Variable</w:t>
      </w:r>
      <w:r w:rsidR="00995E30">
        <w:t xml:space="preserve"> Numbers</w:t>
      </w:r>
      <w:r w:rsidRPr="00322C94">
        <w:t xml:space="preserve"> for Module 1</w:t>
      </w:r>
      <w:r w:rsidR="002C6DC7">
        <w:t xml:space="preserve"> [</w:t>
      </w:r>
      <w:proofErr w:type="spellStart"/>
      <w:proofErr w:type="gramStart"/>
      <w:r w:rsidR="002C6DC7">
        <w:t>Xss</w:t>
      </w:r>
      <w:proofErr w:type="spellEnd"/>
      <w:r w:rsidR="002C6DC7">
        <w:t>(</w:t>
      </w:r>
      <w:proofErr w:type="gramEnd"/>
      <w:r w:rsidR="002C6DC7">
        <w:t>1–73)]</w:t>
      </w:r>
      <w:r>
        <w:tab/>
        <w:t>32</w:t>
      </w:r>
    </w:p>
    <w:p w:rsidR="008E02F8" w:rsidRPr="00322C94" w:rsidRDefault="008E02F8" w:rsidP="008E02F8">
      <w:pPr>
        <w:tabs>
          <w:tab w:val="left" w:leader="dot" w:pos="8640"/>
        </w:tabs>
      </w:pPr>
      <w:proofErr w:type="gramStart"/>
      <w:r w:rsidRPr="00322C94">
        <w:t>Table 3.3.</w:t>
      </w:r>
      <w:proofErr w:type="gramEnd"/>
      <w:r w:rsidRPr="00322C94">
        <w:t xml:space="preserve"> State </w:t>
      </w:r>
      <w:r w:rsidR="00995E30" w:rsidRPr="00322C94">
        <w:t>Variable</w:t>
      </w:r>
      <w:r w:rsidR="00995E30">
        <w:t xml:space="preserve"> Numbers</w:t>
      </w:r>
      <w:r w:rsidRPr="00322C94">
        <w:t xml:space="preserve"> for Module 2</w:t>
      </w:r>
      <w:r w:rsidR="002C6DC7">
        <w:t xml:space="preserve"> [</w:t>
      </w:r>
      <w:proofErr w:type="spellStart"/>
      <w:proofErr w:type="gramStart"/>
      <w:r w:rsidR="002C6DC7">
        <w:t>Xss</w:t>
      </w:r>
      <w:proofErr w:type="spellEnd"/>
      <w:r w:rsidR="002C6DC7">
        <w:t>(</w:t>
      </w:r>
      <w:proofErr w:type="gramEnd"/>
      <w:r w:rsidR="002C6DC7">
        <w:t>74–120)]</w:t>
      </w:r>
      <w:r w:rsidR="002C6DC7">
        <w:tab/>
        <w:t>33</w:t>
      </w:r>
    </w:p>
    <w:p w:rsidR="008E02F8" w:rsidRPr="00322C94" w:rsidRDefault="008E02F8" w:rsidP="008E02F8">
      <w:pPr>
        <w:tabs>
          <w:tab w:val="left" w:leader="dot" w:pos="8640"/>
        </w:tabs>
      </w:pPr>
      <w:proofErr w:type="gramStart"/>
      <w:r w:rsidRPr="00322C94">
        <w:t>Table 3.4.</w:t>
      </w:r>
      <w:proofErr w:type="gramEnd"/>
      <w:r w:rsidRPr="00322C94">
        <w:t xml:space="preserve"> State </w:t>
      </w:r>
      <w:r w:rsidR="00995E30" w:rsidRPr="00322C94">
        <w:t>Variable</w:t>
      </w:r>
      <w:r w:rsidR="00995E30">
        <w:t xml:space="preserve"> Numbers</w:t>
      </w:r>
      <w:r w:rsidRPr="00322C94">
        <w:t xml:space="preserve"> for Module 3</w:t>
      </w:r>
      <w:r w:rsidR="002C6DC7">
        <w:t xml:space="preserve"> [</w:t>
      </w:r>
      <w:proofErr w:type="spellStart"/>
      <w:proofErr w:type="gramStart"/>
      <w:r w:rsidR="002C6DC7">
        <w:t>Xss</w:t>
      </w:r>
      <w:proofErr w:type="spellEnd"/>
      <w:r w:rsidR="002C6DC7">
        <w:t>(</w:t>
      </w:r>
      <w:proofErr w:type="gramEnd"/>
      <w:r w:rsidR="002C6DC7">
        <w:t>121–172)]</w:t>
      </w:r>
      <w:r>
        <w:tab/>
        <w:t>33</w:t>
      </w:r>
    </w:p>
    <w:p w:rsidR="008E02F8" w:rsidRPr="00322C94" w:rsidRDefault="008E02F8" w:rsidP="008E02F8">
      <w:pPr>
        <w:tabs>
          <w:tab w:val="left" w:leader="dot" w:pos="8640"/>
        </w:tabs>
      </w:pPr>
      <w:proofErr w:type="gramStart"/>
      <w:r w:rsidRPr="00322C94">
        <w:t>Table 3.5.</w:t>
      </w:r>
      <w:proofErr w:type="gramEnd"/>
      <w:r w:rsidRPr="00322C94">
        <w:t xml:space="preserve"> State </w:t>
      </w:r>
      <w:r w:rsidR="00995E30" w:rsidRPr="00322C94">
        <w:t>Variable</w:t>
      </w:r>
      <w:r w:rsidR="00995E30">
        <w:t xml:space="preserve"> Numbers</w:t>
      </w:r>
      <w:r w:rsidR="00995E30" w:rsidRPr="00322C94">
        <w:t xml:space="preserve"> </w:t>
      </w:r>
      <w:r w:rsidRPr="00322C94">
        <w:t>for Module 4</w:t>
      </w:r>
      <w:r w:rsidR="002C6DC7">
        <w:t xml:space="preserve"> [</w:t>
      </w:r>
      <w:proofErr w:type="spellStart"/>
      <w:proofErr w:type="gramStart"/>
      <w:r w:rsidR="002C6DC7">
        <w:t>Xss</w:t>
      </w:r>
      <w:proofErr w:type="spellEnd"/>
      <w:r w:rsidR="002C6DC7">
        <w:t>(</w:t>
      </w:r>
      <w:proofErr w:type="gramEnd"/>
      <w:r w:rsidR="002C6DC7">
        <w:t>173–220)]</w:t>
      </w:r>
      <w:r>
        <w:tab/>
        <w:t>34</w:t>
      </w:r>
    </w:p>
    <w:p w:rsidR="008E02F8" w:rsidRPr="00322C94" w:rsidRDefault="008E02F8" w:rsidP="008E02F8">
      <w:pPr>
        <w:tabs>
          <w:tab w:val="left" w:leader="dot" w:pos="8640"/>
        </w:tabs>
      </w:pPr>
      <w:proofErr w:type="gramStart"/>
      <w:r w:rsidRPr="00322C94">
        <w:t>Table 3.6.</w:t>
      </w:r>
      <w:proofErr w:type="gramEnd"/>
      <w:r w:rsidRPr="00322C94">
        <w:t xml:space="preserve"> State </w:t>
      </w:r>
      <w:r w:rsidR="00995E30" w:rsidRPr="00322C94">
        <w:t>Variable</w:t>
      </w:r>
      <w:r w:rsidR="00995E30">
        <w:t xml:space="preserve"> Numbers</w:t>
      </w:r>
      <w:r w:rsidR="00995E30" w:rsidRPr="00322C94">
        <w:t xml:space="preserve"> </w:t>
      </w:r>
      <w:r w:rsidRPr="00322C94">
        <w:t>for Module 5</w:t>
      </w:r>
      <w:r w:rsidR="002C6DC7">
        <w:t xml:space="preserve"> [</w:t>
      </w:r>
      <w:proofErr w:type="spellStart"/>
      <w:proofErr w:type="gramStart"/>
      <w:r w:rsidR="002C6DC7">
        <w:t>Xss</w:t>
      </w:r>
      <w:proofErr w:type="spellEnd"/>
      <w:r w:rsidR="002C6DC7">
        <w:t>(</w:t>
      </w:r>
      <w:proofErr w:type="gramEnd"/>
      <w:r w:rsidR="002C6DC7">
        <w:t>221–273)]</w:t>
      </w:r>
      <w:r w:rsidR="00317469">
        <w:tab/>
        <w:t>3</w:t>
      </w:r>
      <w:r>
        <w:t>5</w:t>
      </w:r>
    </w:p>
    <w:p w:rsidR="008E02F8" w:rsidRPr="00322C94" w:rsidRDefault="008E02F8" w:rsidP="008E02F8">
      <w:pPr>
        <w:tabs>
          <w:tab w:val="left" w:leader="dot" w:pos="8640"/>
        </w:tabs>
      </w:pPr>
      <w:proofErr w:type="gramStart"/>
      <w:r w:rsidRPr="00322C94">
        <w:t>Table 3.7.</w:t>
      </w:r>
      <w:proofErr w:type="gramEnd"/>
      <w:r w:rsidRPr="00322C94">
        <w:t xml:space="preserve"> Summary of the Modules</w:t>
      </w:r>
      <w:r w:rsidR="00317469">
        <w:tab/>
        <w:t>3</w:t>
      </w:r>
      <w:r w:rsidR="00995E30">
        <w:t>5</w:t>
      </w:r>
    </w:p>
    <w:p w:rsidR="008E02F8" w:rsidRPr="00322C94" w:rsidRDefault="008E02F8" w:rsidP="008E02F8">
      <w:pPr>
        <w:tabs>
          <w:tab w:val="left" w:leader="dot" w:pos="8640"/>
        </w:tabs>
      </w:pPr>
      <w:proofErr w:type="gramStart"/>
      <w:r w:rsidRPr="00322C94">
        <w:t>Table 3.8.</w:t>
      </w:r>
      <w:proofErr w:type="gramEnd"/>
      <w:r w:rsidRPr="00322C94">
        <w:t xml:space="preserve"> </w:t>
      </w:r>
      <w:r w:rsidR="00B81072">
        <w:t>Primary State Variables within E</w:t>
      </w:r>
      <w:r w:rsidRPr="00322C94">
        <w:t>ach Module</w:t>
      </w:r>
      <w:r w:rsidR="00995E30">
        <w:tab/>
        <w:t>36</w:t>
      </w:r>
    </w:p>
    <w:p w:rsidR="008E02F8" w:rsidRPr="00322C94" w:rsidRDefault="008E02F8" w:rsidP="008E02F8">
      <w:pPr>
        <w:tabs>
          <w:tab w:val="left" w:leader="dot" w:pos="8640"/>
        </w:tabs>
      </w:pPr>
      <w:proofErr w:type="gramStart"/>
      <w:r w:rsidRPr="00322C94">
        <w:t>Table 3.9.</w:t>
      </w:r>
      <w:proofErr w:type="gramEnd"/>
      <w:r w:rsidRPr="00322C94">
        <w:t xml:space="preserve"> Base Case Flow Rates (kg/h) for Input Streams for Each Module</w:t>
      </w:r>
      <w:r w:rsidR="00317469">
        <w:tab/>
        <w:t>90</w:t>
      </w:r>
    </w:p>
    <w:p w:rsidR="008E02F8" w:rsidRPr="00322C94" w:rsidRDefault="008E02F8" w:rsidP="008E02F8">
      <w:pPr>
        <w:tabs>
          <w:tab w:val="left" w:leader="dot" w:pos="8640"/>
        </w:tabs>
      </w:pPr>
      <w:proofErr w:type="gramStart"/>
      <w:r w:rsidRPr="00322C94">
        <w:t>Table 3.10.</w:t>
      </w:r>
      <w:proofErr w:type="gramEnd"/>
      <w:r w:rsidRPr="00322C94">
        <w:t xml:space="preserve"> Base Case Parameters for Each Module</w:t>
      </w:r>
      <w:r w:rsidR="00317469">
        <w:tab/>
        <w:t>91</w:t>
      </w:r>
    </w:p>
    <w:p w:rsidR="008E02F8" w:rsidRPr="00322C94" w:rsidRDefault="008E02F8" w:rsidP="008E02F8">
      <w:pPr>
        <w:tabs>
          <w:tab w:val="left" w:leader="dot" w:pos="8640"/>
        </w:tabs>
      </w:pPr>
      <w:proofErr w:type="gramStart"/>
      <w:r w:rsidRPr="00322C94">
        <w:t>Table 3.11.</w:t>
      </w:r>
      <w:proofErr w:type="gramEnd"/>
      <w:r w:rsidRPr="00322C94">
        <w:t xml:space="preserve"> List of Input Variables</w:t>
      </w:r>
      <w:r w:rsidR="00317469">
        <w:tab/>
        <w:t>94</w:t>
      </w:r>
    </w:p>
    <w:p w:rsidR="008E02F8" w:rsidRPr="00322C94" w:rsidRDefault="008E02F8" w:rsidP="008E02F8">
      <w:pPr>
        <w:tabs>
          <w:tab w:val="left" w:leader="dot" w:pos="8640"/>
        </w:tabs>
      </w:pPr>
      <w:proofErr w:type="gramStart"/>
      <w:r w:rsidRPr="00322C94">
        <w:t>Table 3.12.</w:t>
      </w:r>
      <w:proofErr w:type="gramEnd"/>
      <w:r w:rsidRPr="00322C94">
        <w:t xml:space="preserve"> List of Control Case Variable Variations</w:t>
      </w:r>
      <w:r w:rsidR="00317469">
        <w:tab/>
        <w:t>97</w:t>
      </w:r>
    </w:p>
    <w:p w:rsidR="008E02F8" w:rsidRPr="00322C94" w:rsidRDefault="008E02F8" w:rsidP="008E02F8">
      <w:pPr>
        <w:tabs>
          <w:tab w:val="left" w:leader="dot" w:pos="8640"/>
        </w:tabs>
      </w:pPr>
      <w:proofErr w:type="gramStart"/>
      <w:r w:rsidRPr="00322C94">
        <w:t>Table 3.13.</w:t>
      </w:r>
      <w:proofErr w:type="gramEnd"/>
      <w:r w:rsidRPr="00322C94">
        <w:t xml:space="preserve"> Summary of Faulty Cases</w:t>
      </w:r>
      <w:r w:rsidR="00317469">
        <w:tab/>
        <w:t>105</w:t>
      </w:r>
    </w:p>
    <w:p w:rsidR="008E02F8" w:rsidRPr="00322C94" w:rsidRDefault="008E02F8" w:rsidP="008E02F8">
      <w:pPr>
        <w:tabs>
          <w:tab w:val="left" w:leader="dot" w:pos="8640"/>
        </w:tabs>
      </w:pPr>
      <w:proofErr w:type="gramStart"/>
      <w:r w:rsidRPr="00322C94">
        <w:t>Table 4.1.</w:t>
      </w:r>
      <w:proofErr w:type="gramEnd"/>
      <w:r w:rsidRPr="00322C94">
        <w:t xml:space="preserve"> Parameters for the Sensitivity Analysis</w:t>
      </w:r>
      <w:r w:rsidR="00317469">
        <w:tab/>
        <w:t>114</w:t>
      </w:r>
    </w:p>
    <w:p w:rsidR="008E02F8" w:rsidRDefault="008E02F8" w:rsidP="008E02F8">
      <w:pPr>
        <w:tabs>
          <w:tab w:val="left" w:leader="dot" w:pos="8640"/>
        </w:tabs>
      </w:pPr>
      <w:proofErr w:type="gramStart"/>
      <w:r w:rsidRPr="00322C94">
        <w:t>Table 4.2.</w:t>
      </w:r>
      <w:proofErr w:type="gramEnd"/>
      <w:r w:rsidRPr="00322C94">
        <w:t xml:space="preserve"> Sensitivity Factors for the Primary State Variables for 10% Increase in Each </w:t>
      </w:r>
    </w:p>
    <w:p w:rsidR="008E02F8" w:rsidRPr="00322C94" w:rsidRDefault="008E02F8" w:rsidP="00B66898">
      <w:pPr>
        <w:tabs>
          <w:tab w:val="left" w:leader="dot" w:pos="8640"/>
        </w:tabs>
        <w:ind w:left="900"/>
      </w:pPr>
      <w:r w:rsidRPr="00322C94">
        <w:t>Parameter (All Modules)</w:t>
      </w:r>
      <w:r w:rsidR="00317469">
        <w:tab/>
        <w:t>116</w:t>
      </w:r>
    </w:p>
    <w:p w:rsidR="008E02F8" w:rsidRDefault="008E02F8" w:rsidP="008E02F8">
      <w:pPr>
        <w:tabs>
          <w:tab w:val="left" w:leader="dot" w:pos="8640"/>
        </w:tabs>
      </w:pPr>
      <w:proofErr w:type="gramStart"/>
      <w:r w:rsidRPr="00322C94">
        <w:t>Table 4.3.</w:t>
      </w:r>
      <w:proofErr w:type="gramEnd"/>
      <w:r w:rsidRPr="00322C94">
        <w:t xml:space="preserve"> Sensitivity Factors for the Primary State Variables for 10% Decrease in Each </w:t>
      </w:r>
    </w:p>
    <w:p w:rsidR="008E02F8" w:rsidRPr="00322C94" w:rsidRDefault="008E02F8" w:rsidP="00B66898">
      <w:pPr>
        <w:tabs>
          <w:tab w:val="left" w:leader="dot" w:pos="8640"/>
        </w:tabs>
        <w:ind w:left="900"/>
      </w:pPr>
      <w:r w:rsidRPr="00322C94">
        <w:t>Parameter (All Modules)</w:t>
      </w:r>
      <w:r w:rsidR="00317469">
        <w:tab/>
        <w:t>119</w:t>
      </w:r>
    </w:p>
    <w:p w:rsidR="008E02F8" w:rsidRDefault="008E02F8" w:rsidP="008E02F8">
      <w:pPr>
        <w:tabs>
          <w:tab w:val="left" w:leader="dot" w:pos="8640"/>
        </w:tabs>
      </w:pPr>
      <w:proofErr w:type="gramStart"/>
      <w:r w:rsidRPr="00322C94">
        <w:t>Table 4.4.</w:t>
      </w:r>
      <w:proofErr w:type="gramEnd"/>
      <w:r w:rsidRPr="00322C94">
        <w:t xml:space="preserve"> Sensitivity Factors for the Primary State Variables for 10% Decrease in Each </w:t>
      </w:r>
    </w:p>
    <w:p w:rsidR="008E02F8" w:rsidRPr="00322C94" w:rsidRDefault="008E02F8" w:rsidP="00B66898">
      <w:pPr>
        <w:tabs>
          <w:tab w:val="left" w:leader="dot" w:pos="8640"/>
        </w:tabs>
        <w:ind w:left="900"/>
      </w:pPr>
      <w:r w:rsidRPr="00322C94">
        <w:t>Parameter (Modules 3–5)</w:t>
      </w:r>
      <w:r w:rsidR="00317469">
        <w:tab/>
        <w:t>122</w:t>
      </w:r>
    </w:p>
    <w:p w:rsidR="008E02F8" w:rsidRDefault="008E02F8" w:rsidP="008E02F8">
      <w:pPr>
        <w:tabs>
          <w:tab w:val="left" w:leader="dot" w:pos="8640"/>
        </w:tabs>
      </w:pPr>
      <w:proofErr w:type="gramStart"/>
      <w:r w:rsidRPr="00322C94">
        <w:t>Table 4.5.</w:t>
      </w:r>
      <w:proofErr w:type="gramEnd"/>
      <w:r w:rsidRPr="00322C94">
        <w:t xml:space="preserve"> Comparison of Sensitivity Factors for the Primary State Variables for ±10% </w:t>
      </w:r>
    </w:p>
    <w:p w:rsidR="008E02F8" w:rsidRPr="00322C94" w:rsidRDefault="008E02F8" w:rsidP="00B66898">
      <w:pPr>
        <w:tabs>
          <w:tab w:val="left" w:leader="dot" w:pos="8640"/>
        </w:tabs>
        <w:ind w:left="900"/>
      </w:pPr>
      <w:r w:rsidRPr="00322C94">
        <w:t>Changes in Selected Parameter</w:t>
      </w:r>
      <w:r w:rsidR="00B66898">
        <w:t>s</w:t>
      </w:r>
      <w:r w:rsidRPr="00322C94">
        <w:t xml:space="preserve"> (All Modules)</w:t>
      </w:r>
      <w:r>
        <w:tab/>
      </w:r>
      <w:r w:rsidR="00317469">
        <w:t>123</w:t>
      </w:r>
    </w:p>
    <w:p w:rsidR="008E02F8" w:rsidRPr="00322C94" w:rsidRDefault="008E02F8" w:rsidP="008E02F8">
      <w:pPr>
        <w:tabs>
          <w:tab w:val="left" w:leader="dot" w:pos="8640"/>
        </w:tabs>
      </w:pPr>
      <w:proofErr w:type="gramStart"/>
      <w:r w:rsidRPr="00322C94">
        <w:lastRenderedPageBreak/>
        <w:t>Table 4.6.</w:t>
      </w:r>
      <w:proofErr w:type="gramEnd"/>
      <w:r w:rsidRPr="00322C94">
        <w:t xml:space="preserve"> Steady-State Component Molar Flow Rate (</w:t>
      </w:r>
      <w:proofErr w:type="spellStart"/>
      <w:r w:rsidRPr="00322C94">
        <w:t>mol</w:t>
      </w:r>
      <w:proofErr w:type="spellEnd"/>
      <w:r w:rsidRPr="00322C94">
        <w:t>/h) for Module 1</w:t>
      </w:r>
      <w:r w:rsidR="00317469">
        <w:tab/>
        <w:t>124</w:t>
      </w:r>
    </w:p>
    <w:p w:rsidR="008E02F8" w:rsidRPr="00322C94" w:rsidRDefault="008E02F8" w:rsidP="008E02F8">
      <w:pPr>
        <w:tabs>
          <w:tab w:val="left" w:leader="dot" w:pos="8640"/>
        </w:tabs>
      </w:pPr>
      <w:proofErr w:type="gramStart"/>
      <w:r w:rsidRPr="00322C94">
        <w:t>Table 4.7.</w:t>
      </w:r>
      <w:proofErr w:type="gramEnd"/>
      <w:r w:rsidRPr="00322C94">
        <w:t xml:space="preserve"> Steady-State Component Molar Flow Rate (</w:t>
      </w:r>
      <w:proofErr w:type="spellStart"/>
      <w:r w:rsidRPr="00322C94">
        <w:t>mol</w:t>
      </w:r>
      <w:proofErr w:type="spellEnd"/>
      <w:r w:rsidRPr="00322C94">
        <w:t>/h) for Module 2</w:t>
      </w:r>
      <w:r w:rsidR="00317469">
        <w:tab/>
        <w:t>125</w:t>
      </w:r>
    </w:p>
    <w:p w:rsidR="008E02F8" w:rsidRPr="00322C94" w:rsidRDefault="008E02F8" w:rsidP="008E02F8">
      <w:pPr>
        <w:tabs>
          <w:tab w:val="left" w:leader="dot" w:pos="8640"/>
        </w:tabs>
      </w:pPr>
      <w:proofErr w:type="gramStart"/>
      <w:r w:rsidRPr="00322C94">
        <w:t>Table 4.8.</w:t>
      </w:r>
      <w:proofErr w:type="gramEnd"/>
      <w:r w:rsidRPr="00322C94">
        <w:t xml:space="preserve"> Steady-State Component Molar Flow Rate (</w:t>
      </w:r>
      <w:proofErr w:type="spellStart"/>
      <w:r w:rsidRPr="00322C94">
        <w:t>mol</w:t>
      </w:r>
      <w:proofErr w:type="spellEnd"/>
      <w:r w:rsidRPr="00322C94">
        <w:t>/h) for Module 3</w:t>
      </w:r>
      <w:r w:rsidR="00317469">
        <w:tab/>
        <w:t>126</w:t>
      </w:r>
    </w:p>
    <w:p w:rsidR="008E02F8" w:rsidRPr="00322C94" w:rsidRDefault="008E02F8" w:rsidP="008E02F8">
      <w:pPr>
        <w:tabs>
          <w:tab w:val="left" w:leader="dot" w:pos="8640"/>
        </w:tabs>
      </w:pPr>
      <w:proofErr w:type="gramStart"/>
      <w:r w:rsidRPr="00322C94">
        <w:t>Table 4.9.</w:t>
      </w:r>
      <w:proofErr w:type="gramEnd"/>
      <w:r w:rsidRPr="00322C94">
        <w:t xml:space="preserve"> Steady-State Component Molar Flow Rate (</w:t>
      </w:r>
      <w:proofErr w:type="spellStart"/>
      <w:r w:rsidRPr="00322C94">
        <w:t>mol</w:t>
      </w:r>
      <w:proofErr w:type="spellEnd"/>
      <w:r w:rsidRPr="00322C94">
        <w:t>/h) for Module 4</w:t>
      </w:r>
      <w:r w:rsidR="00317469">
        <w:tab/>
        <w:t>127</w:t>
      </w:r>
    </w:p>
    <w:p w:rsidR="008E02F8" w:rsidRPr="00322C94" w:rsidRDefault="008E02F8" w:rsidP="008E02F8">
      <w:pPr>
        <w:tabs>
          <w:tab w:val="left" w:leader="dot" w:pos="8640"/>
        </w:tabs>
      </w:pPr>
      <w:proofErr w:type="gramStart"/>
      <w:r w:rsidRPr="00322C94">
        <w:t>Table 4.10.</w:t>
      </w:r>
      <w:proofErr w:type="gramEnd"/>
      <w:r w:rsidRPr="00322C94">
        <w:t xml:space="preserve"> Steady-State Component Molar Flow Rate (</w:t>
      </w:r>
      <w:proofErr w:type="spellStart"/>
      <w:r w:rsidRPr="00322C94">
        <w:t>mol</w:t>
      </w:r>
      <w:proofErr w:type="spellEnd"/>
      <w:r w:rsidRPr="00322C94">
        <w:t>/h) for Module 5</w:t>
      </w:r>
      <w:r w:rsidR="00317469">
        <w:tab/>
        <w:t>128</w:t>
      </w:r>
    </w:p>
    <w:p w:rsidR="008E02F8" w:rsidRPr="00322C94" w:rsidRDefault="008E02F8" w:rsidP="008E02F8">
      <w:pPr>
        <w:tabs>
          <w:tab w:val="left" w:leader="dot" w:pos="8640"/>
        </w:tabs>
      </w:pPr>
      <w:proofErr w:type="gramStart"/>
      <w:r w:rsidRPr="00322C94">
        <w:t>Table 4.11.</w:t>
      </w:r>
      <w:proofErr w:type="gramEnd"/>
      <w:r w:rsidRPr="00322C94">
        <w:t xml:space="preserve"> Primary State Variables Steady-State Solution</w:t>
      </w:r>
      <w:r w:rsidR="00317469">
        <w:tab/>
        <w:t>129</w:t>
      </w:r>
    </w:p>
    <w:p w:rsidR="008E02F8" w:rsidRPr="00322C94" w:rsidRDefault="008E02F8" w:rsidP="008E02F8">
      <w:pPr>
        <w:tabs>
          <w:tab w:val="left" w:leader="dot" w:pos="8640"/>
        </w:tabs>
      </w:pPr>
      <w:proofErr w:type="gramStart"/>
      <w:r w:rsidRPr="00322C94">
        <w:t>Table 4.12.</w:t>
      </w:r>
      <w:proofErr w:type="gramEnd"/>
      <w:r w:rsidRPr="00322C94">
        <w:t xml:space="preserve"> </w:t>
      </w:r>
      <w:r w:rsidR="00B66898">
        <w:t xml:space="preserve">Rate of Change of the </w:t>
      </w:r>
      <w:r w:rsidRPr="00322C94">
        <w:t>Overall Material Balance</w:t>
      </w:r>
      <w:r w:rsidR="00B66898">
        <w:t>s</w:t>
      </w:r>
      <w:r w:rsidR="00317469">
        <w:tab/>
        <w:t>131</w:t>
      </w:r>
    </w:p>
    <w:p w:rsidR="00B66898" w:rsidRPr="00322C94" w:rsidRDefault="00B66898" w:rsidP="00B66898">
      <w:pPr>
        <w:tabs>
          <w:tab w:val="left" w:leader="dot" w:pos="8640"/>
        </w:tabs>
      </w:pPr>
      <w:proofErr w:type="gramStart"/>
      <w:r w:rsidRPr="00322C94">
        <w:t>Table 4.13.</w:t>
      </w:r>
      <w:proofErr w:type="gramEnd"/>
      <w:r w:rsidRPr="00322C94">
        <w:t xml:space="preserve"> </w:t>
      </w:r>
      <w:r>
        <w:t>Scali</w:t>
      </w:r>
      <w:r w:rsidR="00317469">
        <w:t>ng Factors for the Base Case</w:t>
      </w:r>
      <w:r w:rsidR="00317469">
        <w:tab/>
        <w:t>132</w:t>
      </w:r>
    </w:p>
    <w:p w:rsidR="008E02F8" w:rsidRPr="00322C94" w:rsidRDefault="00B66898" w:rsidP="008E02F8">
      <w:pPr>
        <w:tabs>
          <w:tab w:val="left" w:leader="dot" w:pos="8640"/>
        </w:tabs>
      </w:pPr>
      <w:proofErr w:type="gramStart"/>
      <w:r>
        <w:t>Table 4.14</w:t>
      </w:r>
      <w:r w:rsidR="008E02F8" w:rsidRPr="00322C94">
        <w:t>.</w:t>
      </w:r>
      <w:proofErr w:type="gramEnd"/>
      <w:r w:rsidR="008E02F8" w:rsidRPr="00322C94">
        <w:t xml:space="preserve"> First Ten Singular Values for the Base Case</w:t>
      </w:r>
      <w:r w:rsidR="00317469">
        <w:tab/>
        <w:t>134</w:t>
      </w:r>
    </w:p>
    <w:p w:rsidR="008E02F8" w:rsidRPr="00322C94" w:rsidRDefault="00B66898" w:rsidP="008E02F8">
      <w:pPr>
        <w:tabs>
          <w:tab w:val="left" w:leader="dot" w:pos="8640"/>
        </w:tabs>
      </w:pPr>
      <w:proofErr w:type="gramStart"/>
      <w:r>
        <w:t>Table 4.15</w:t>
      </w:r>
      <w:r w:rsidR="008E02F8" w:rsidRPr="00322C94">
        <w:t>.</w:t>
      </w:r>
      <w:proofErr w:type="gramEnd"/>
      <w:r w:rsidR="008E02F8" w:rsidRPr="00322C94">
        <w:t xml:space="preserve"> Variables Removed from the Base Case Model</w:t>
      </w:r>
      <w:r w:rsidR="00317469">
        <w:tab/>
        <w:t>135</w:t>
      </w:r>
    </w:p>
    <w:p w:rsidR="008E02F8" w:rsidRPr="00322C94" w:rsidRDefault="00B66898" w:rsidP="008E02F8">
      <w:pPr>
        <w:tabs>
          <w:tab w:val="left" w:leader="dot" w:pos="8640"/>
        </w:tabs>
      </w:pPr>
      <w:proofErr w:type="gramStart"/>
      <w:r>
        <w:t>Table 4.16</w:t>
      </w:r>
      <w:r w:rsidR="008E02F8" w:rsidRPr="00322C94">
        <w:t>.</w:t>
      </w:r>
      <w:proofErr w:type="gramEnd"/>
      <w:r w:rsidR="008E02F8" w:rsidRPr="00322C94">
        <w:t xml:space="preserve"> Primary State Variable Contributions to the First Principal Component</w:t>
      </w:r>
      <w:r w:rsidR="00317469">
        <w:tab/>
        <w:t>140</w:t>
      </w:r>
    </w:p>
    <w:p w:rsidR="008E02F8" w:rsidRPr="00322C94" w:rsidRDefault="00B66898" w:rsidP="008E02F8">
      <w:pPr>
        <w:tabs>
          <w:tab w:val="left" w:leader="dot" w:pos="8640"/>
        </w:tabs>
      </w:pPr>
      <w:proofErr w:type="gramStart"/>
      <w:r>
        <w:t>Table 4.17</w:t>
      </w:r>
      <w:r w:rsidR="008E02F8" w:rsidRPr="00322C94">
        <w:t>.</w:t>
      </w:r>
      <w:proofErr w:type="gramEnd"/>
      <w:r w:rsidR="008E02F8" w:rsidRPr="00322C94">
        <w:t xml:space="preserve"> Primary State Variable</w:t>
      </w:r>
      <w:r>
        <w:t xml:space="preserve"> </w:t>
      </w:r>
      <w:r w:rsidR="008E02F8" w:rsidRPr="00322C94">
        <w:t>Contributions to the Second Principal Component</w:t>
      </w:r>
      <w:r w:rsidR="002C6DC7">
        <w:tab/>
        <w:t>142</w:t>
      </w:r>
    </w:p>
    <w:p w:rsidR="008E02F8" w:rsidRPr="00322C94" w:rsidRDefault="00B66898" w:rsidP="008E02F8">
      <w:pPr>
        <w:tabs>
          <w:tab w:val="left" w:leader="dot" w:pos="8640"/>
        </w:tabs>
      </w:pPr>
      <w:proofErr w:type="gramStart"/>
      <w:r>
        <w:t>Table 4.18</w:t>
      </w:r>
      <w:r w:rsidR="008E02F8" w:rsidRPr="00322C94">
        <w:t>.</w:t>
      </w:r>
      <w:proofErr w:type="gramEnd"/>
      <w:r w:rsidR="008E02F8" w:rsidRPr="00322C94">
        <w:t xml:space="preserve"> Primary State Variable Contributions to the Third Principal Component</w:t>
      </w:r>
      <w:r w:rsidR="002C6DC7">
        <w:tab/>
        <w:t>145</w:t>
      </w:r>
    </w:p>
    <w:p w:rsidR="00B07EE0" w:rsidRDefault="00B66898" w:rsidP="00B07EE0">
      <w:pPr>
        <w:tabs>
          <w:tab w:val="left" w:leader="dot" w:pos="8640"/>
        </w:tabs>
      </w:pPr>
      <w:proofErr w:type="gramStart"/>
      <w:r>
        <w:t>Table 4.19</w:t>
      </w:r>
      <w:r w:rsidR="008E02F8" w:rsidRPr="00322C94">
        <w:t>.</w:t>
      </w:r>
      <w:proofErr w:type="gramEnd"/>
      <w:r w:rsidR="00B07EE0" w:rsidRPr="00B07EE0">
        <w:t xml:space="preserve"> Summary of How the Primary State Variables within Each Module Load Each </w:t>
      </w:r>
    </w:p>
    <w:p w:rsidR="00B07EE0" w:rsidRDefault="00B07EE0" w:rsidP="00B07EE0">
      <w:pPr>
        <w:tabs>
          <w:tab w:val="left" w:leader="dot" w:pos="8640"/>
        </w:tabs>
        <w:ind w:left="990"/>
      </w:pPr>
      <w:r w:rsidRPr="00B07EE0">
        <w:t>Principal Component</w:t>
      </w:r>
      <w:r w:rsidR="00317469">
        <w:tab/>
        <w:t>147</w:t>
      </w:r>
      <w:r w:rsidRPr="00B07EE0">
        <w:t xml:space="preserve"> </w:t>
      </w:r>
    </w:p>
    <w:p w:rsidR="008E02F8" w:rsidRDefault="00B07EE0" w:rsidP="008E02F8">
      <w:pPr>
        <w:tabs>
          <w:tab w:val="left" w:leader="dot" w:pos="8640"/>
        </w:tabs>
      </w:pPr>
      <w:proofErr w:type="gramStart"/>
      <w:r>
        <w:t>Table 4.20</w:t>
      </w:r>
      <w:r w:rsidR="00E822FA">
        <w:t>.</w:t>
      </w:r>
      <w:proofErr w:type="gramEnd"/>
      <w:r w:rsidR="00E822FA">
        <w:t xml:space="preserve"> The First Five</w:t>
      </w:r>
      <w:r w:rsidRPr="00322C94">
        <w:t xml:space="preserve"> Loadings Vectors for the Input Variables</w:t>
      </w:r>
      <w:r w:rsidR="00317469">
        <w:tab/>
        <w:t>148</w:t>
      </w:r>
    </w:p>
    <w:p w:rsidR="00E822FA" w:rsidRDefault="00E822FA" w:rsidP="00E822FA">
      <w:pPr>
        <w:tabs>
          <w:tab w:val="left" w:leader="dot" w:pos="8640"/>
        </w:tabs>
      </w:pPr>
      <w:proofErr w:type="gramStart"/>
      <w:r>
        <w:t>Table 4.21</w:t>
      </w:r>
      <w:r w:rsidRPr="00322C94">
        <w:t>.</w:t>
      </w:r>
      <w:proofErr w:type="gramEnd"/>
      <w:r w:rsidRPr="00322C94">
        <w:t xml:space="preserve"> Summary of </w:t>
      </w:r>
      <w:r>
        <w:t>F</w:t>
      </w:r>
      <w:r w:rsidRPr="00322C94">
        <w:t>aulty Case</w:t>
      </w:r>
      <w:r w:rsidR="00317469">
        <w:t xml:space="preserve"> 1</w:t>
      </w:r>
      <w:r w:rsidR="00317469">
        <w:tab/>
        <w:t>166</w:t>
      </w:r>
    </w:p>
    <w:p w:rsidR="00E822FA" w:rsidRPr="00322C94" w:rsidRDefault="00E822FA" w:rsidP="00E822FA">
      <w:pPr>
        <w:tabs>
          <w:tab w:val="left" w:leader="dot" w:pos="8640"/>
        </w:tabs>
      </w:pPr>
      <w:proofErr w:type="gramStart"/>
      <w:r>
        <w:t>Table 4.22</w:t>
      </w:r>
      <w:r w:rsidRPr="00322C94">
        <w:t>.</w:t>
      </w:r>
      <w:proofErr w:type="gramEnd"/>
      <w:r w:rsidRPr="00322C94">
        <w:t xml:space="preserve"> Summary of </w:t>
      </w:r>
      <w:r>
        <w:t>F</w:t>
      </w:r>
      <w:r w:rsidRPr="00322C94">
        <w:t>aulty Case</w:t>
      </w:r>
      <w:r w:rsidR="00317469">
        <w:t xml:space="preserve"> 2</w:t>
      </w:r>
      <w:r w:rsidR="00317469">
        <w:tab/>
        <w:t>190</w:t>
      </w:r>
    </w:p>
    <w:p w:rsidR="00E822FA" w:rsidRPr="00322C94" w:rsidRDefault="00E822FA" w:rsidP="00E822FA">
      <w:pPr>
        <w:tabs>
          <w:tab w:val="left" w:leader="dot" w:pos="8640"/>
        </w:tabs>
      </w:pPr>
      <w:proofErr w:type="gramStart"/>
      <w:r>
        <w:t>Table 4.23</w:t>
      </w:r>
      <w:r w:rsidRPr="00322C94">
        <w:t>.</w:t>
      </w:r>
      <w:proofErr w:type="gramEnd"/>
      <w:r w:rsidRPr="00322C94">
        <w:t xml:space="preserve"> Summary of </w:t>
      </w:r>
      <w:r>
        <w:t>F</w:t>
      </w:r>
      <w:r w:rsidRPr="00322C94">
        <w:t>aulty Case</w:t>
      </w:r>
      <w:r w:rsidR="002C6DC7">
        <w:t xml:space="preserve"> 3</w:t>
      </w:r>
      <w:r w:rsidR="002C6DC7">
        <w:tab/>
        <w:t>199</w:t>
      </w:r>
    </w:p>
    <w:p w:rsidR="00E822FA" w:rsidRPr="00322C94" w:rsidRDefault="00E822FA" w:rsidP="00E822FA">
      <w:pPr>
        <w:tabs>
          <w:tab w:val="left" w:leader="dot" w:pos="8640"/>
        </w:tabs>
      </w:pPr>
      <w:proofErr w:type="gramStart"/>
      <w:r>
        <w:t>Table 4.24</w:t>
      </w:r>
      <w:r w:rsidRPr="00322C94">
        <w:t>.</w:t>
      </w:r>
      <w:proofErr w:type="gramEnd"/>
      <w:r w:rsidRPr="00322C94">
        <w:t xml:space="preserve"> Summary of </w:t>
      </w:r>
      <w:r>
        <w:t>F</w:t>
      </w:r>
      <w:r w:rsidRPr="00322C94">
        <w:t>aulty Case</w:t>
      </w:r>
      <w:r w:rsidR="002C6DC7">
        <w:t xml:space="preserve"> 4</w:t>
      </w:r>
      <w:r w:rsidR="002C6DC7">
        <w:tab/>
        <w:t>208</w:t>
      </w:r>
    </w:p>
    <w:p w:rsidR="00E822FA" w:rsidRPr="00322C94" w:rsidRDefault="00E822FA" w:rsidP="00E822FA">
      <w:pPr>
        <w:tabs>
          <w:tab w:val="left" w:leader="dot" w:pos="8640"/>
        </w:tabs>
      </w:pPr>
      <w:proofErr w:type="gramStart"/>
      <w:r>
        <w:t>Table 4.25</w:t>
      </w:r>
      <w:r w:rsidRPr="00322C94">
        <w:t>.</w:t>
      </w:r>
      <w:proofErr w:type="gramEnd"/>
      <w:r w:rsidRPr="00322C94">
        <w:t xml:space="preserve"> Summary of </w:t>
      </w:r>
      <w:r>
        <w:t>F</w:t>
      </w:r>
      <w:r w:rsidRPr="00322C94">
        <w:t>aulty Case</w:t>
      </w:r>
      <w:r w:rsidR="002C6DC7">
        <w:t xml:space="preserve"> 5</w:t>
      </w:r>
      <w:r w:rsidR="002C6DC7">
        <w:tab/>
        <w:t>216</w:t>
      </w:r>
    </w:p>
    <w:p w:rsidR="00E822FA" w:rsidRPr="00322C94" w:rsidRDefault="00E822FA" w:rsidP="00E822FA">
      <w:pPr>
        <w:tabs>
          <w:tab w:val="left" w:leader="dot" w:pos="8640"/>
        </w:tabs>
      </w:pPr>
      <w:proofErr w:type="gramStart"/>
      <w:r>
        <w:t>Table 4.26</w:t>
      </w:r>
      <w:r w:rsidRPr="00322C94">
        <w:t>.</w:t>
      </w:r>
      <w:proofErr w:type="gramEnd"/>
      <w:r w:rsidRPr="00322C94">
        <w:t xml:space="preserve"> Summary of </w:t>
      </w:r>
      <w:r>
        <w:t>F</w:t>
      </w:r>
      <w:r w:rsidRPr="00322C94">
        <w:t>aulty Case</w:t>
      </w:r>
      <w:r w:rsidR="002C6DC7">
        <w:t xml:space="preserve"> 6</w:t>
      </w:r>
      <w:r w:rsidR="002C6DC7">
        <w:tab/>
        <w:t>225</w:t>
      </w:r>
    </w:p>
    <w:p w:rsidR="00E822FA" w:rsidRPr="00322C94" w:rsidRDefault="00E822FA" w:rsidP="00E822FA">
      <w:pPr>
        <w:tabs>
          <w:tab w:val="left" w:leader="dot" w:pos="8640"/>
        </w:tabs>
      </w:pPr>
      <w:proofErr w:type="gramStart"/>
      <w:r>
        <w:t>Table 4.27</w:t>
      </w:r>
      <w:r w:rsidRPr="00322C94">
        <w:t>.</w:t>
      </w:r>
      <w:proofErr w:type="gramEnd"/>
      <w:r w:rsidRPr="00322C94">
        <w:t xml:space="preserve"> Summary of </w:t>
      </w:r>
      <w:r>
        <w:t>F</w:t>
      </w:r>
      <w:r w:rsidRPr="00322C94">
        <w:t>aulty Case</w:t>
      </w:r>
      <w:r w:rsidR="002C6DC7">
        <w:t xml:space="preserve"> 7</w:t>
      </w:r>
      <w:r w:rsidR="002C6DC7">
        <w:tab/>
        <w:t>233</w:t>
      </w:r>
    </w:p>
    <w:p w:rsidR="00E822FA" w:rsidRPr="00322C94" w:rsidRDefault="00E822FA" w:rsidP="00E822FA">
      <w:pPr>
        <w:tabs>
          <w:tab w:val="left" w:leader="dot" w:pos="8640"/>
        </w:tabs>
      </w:pPr>
      <w:proofErr w:type="gramStart"/>
      <w:r>
        <w:t>Table 4.28</w:t>
      </w:r>
      <w:r w:rsidRPr="00322C94">
        <w:t>.</w:t>
      </w:r>
      <w:proofErr w:type="gramEnd"/>
      <w:r w:rsidRPr="00322C94">
        <w:t xml:space="preserve"> Summary of </w:t>
      </w:r>
      <w:r>
        <w:t>F</w:t>
      </w:r>
      <w:r w:rsidRPr="00322C94">
        <w:t>aulty Case</w:t>
      </w:r>
      <w:r w:rsidR="002C6DC7">
        <w:t xml:space="preserve"> 8</w:t>
      </w:r>
      <w:r w:rsidR="002C6DC7">
        <w:tab/>
        <w:t>242</w:t>
      </w:r>
    </w:p>
    <w:p w:rsidR="00E822FA" w:rsidRPr="00322C94" w:rsidRDefault="00E822FA" w:rsidP="00E822FA">
      <w:pPr>
        <w:tabs>
          <w:tab w:val="left" w:leader="dot" w:pos="8640"/>
        </w:tabs>
      </w:pPr>
      <w:proofErr w:type="gramStart"/>
      <w:r>
        <w:lastRenderedPageBreak/>
        <w:t>Table 4.29</w:t>
      </w:r>
      <w:r w:rsidRPr="00322C94">
        <w:t>.</w:t>
      </w:r>
      <w:proofErr w:type="gramEnd"/>
      <w:r w:rsidRPr="00322C94">
        <w:t xml:space="preserve"> Summary of </w:t>
      </w:r>
      <w:r>
        <w:t>F</w:t>
      </w:r>
      <w:r w:rsidRPr="00322C94">
        <w:t>aulty Case</w:t>
      </w:r>
      <w:r w:rsidR="002C6DC7">
        <w:t xml:space="preserve"> 9</w:t>
      </w:r>
      <w:r w:rsidR="002C6DC7">
        <w:tab/>
        <w:t>247</w:t>
      </w:r>
    </w:p>
    <w:p w:rsidR="00E822FA" w:rsidRPr="00322C94" w:rsidRDefault="00E822FA" w:rsidP="00E822FA">
      <w:pPr>
        <w:tabs>
          <w:tab w:val="left" w:leader="dot" w:pos="8640"/>
        </w:tabs>
      </w:pPr>
      <w:proofErr w:type="gramStart"/>
      <w:r>
        <w:t>Table 4.30</w:t>
      </w:r>
      <w:r w:rsidRPr="00322C94">
        <w:t>.</w:t>
      </w:r>
      <w:proofErr w:type="gramEnd"/>
      <w:r w:rsidRPr="00322C94">
        <w:t xml:space="preserve"> Summary of </w:t>
      </w:r>
      <w:r>
        <w:t>F</w:t>
      </w:r>
      <w:r w:rsidRPr="00322C94">
        <w:t>aulty Case</w:t>
      </w:r>
      <w:r w:rsidR="002C6DC7">
        <w:t xml:space="preserve"> 10</w:t>
      </w:r>
      <w:r w:rsidR="002C6DC7">
        <w:tab/>
        <w:t>251</w:t>
      </w:r>
    </w:p>
    <w:p w:rsidR="00E822FA" w:rsidRPr="00322C94" w:rsidRDefault="00E822FA" w:rsidP="00E822FA">
      <w:pPr>
        <w:tabs>
          <w:tab w:val="left" w:leader="dot" w:pos="8640"/>
        </w:tabs>
      </w:pPr>
      <w:proofErr w:type="gramStart"/>
      <w:r>
        <w:t>Table 4.31</w:t>
      </w:r>
      <w:r w:rsidRPr="00322C94">
        <w:t>.</w:t>
      </w:r>
      <w:proofErr w:type="gramEnd"/>
      <w:r w:rsidRPr="00322C94">
        <w:t xml:space="preserve"> Summary of </w:t>
      </w:r>
      <w:r>
        <w:t>F</w:t>
      </w:r>
      <w:r w:rsidRPr="00322C94">
        <w:t>aulty Case</w:t>
      </w:r>
      <w:r w:rsidR="002C6DC7">
        <w:t xml:space="preserve"> 11</w:t>
      </w:r>
      <w:r w:rsidR="002C6DC7">
        <w:tab/>
        <w:t>254</w:t>
      </w:r>
    </w:p>
    <w:p w:rsidR="00E822FA" w:rsidRPr="00322C94" w:rsidRDefault="00E822FA" w:rsidP="00E822FA">
      <w:pPr>
        <w:tabs>
          <w:tab w:val="left" w:leader="dot" w:pos="8640"/>
        </w:tabs>
      </w:pPr>
      <w:proofErr w:type="gramStart"/>
      <w:r>
        <w:t>Table 4.32</w:t>
      </w:r>
      <w:r w:rsidRPr="00322C94">
        <w:t>.</w:t>
      </w:r>
      <w:proofErr w:type="gramEnd"/>
      <w:r w:rsidRPr="00322C94">
        <w:t xml:space="preserve"> Summary of </w:t>
      </w:r>
      <w:r>
        <w:t>F</w:t>
      </w:r>
      <w:r w:rsidRPr="00322C94">
        <w:t>aulty Case</w:t>
      </w:r>
      <w:r w:rsidR="002C6DC7">
        <w:t xml:space="preserve"> 12</w:t>
      </w:r>
      <w:r w:rsidR="002C6DC7">
        <w:tab/>
        <w:t>258</w:t>
      </w:r>
    </w:p>
    <w:p w:rsidR="00E822FA" w:rsidRPr="00322C94" w:rsidRDefault="00E822FA" w:rsidP="00E822FA">
      <w:pPr>
        <w:tabs>
          <w:tab w:val="left" w:leader="dot" w:pos="8640"/>
        </w:tabs>
      </w:pPr>
      <w:proofErr w:type="gramStart"/>
      <w:r>
        <w:t>Table 4.33</w:t>
      </w:r>
      <w:r w:rsidRPr="00322C94">
        <w:t>.</w:t>
      </w:r>
      <w:proofErr w:type="gramEnd"/>
      <w:r w:rsidRPr="00322C94">
        <w:t xml:space="preserve"> Summary of </w:t>
      </w:r>
      <w:r>
        <w:t>F</w:t>
      </w:r>
      <w:r w:rsidRPr="00322C94">
        <w:t>aulty Case</w:t>
      </w:r>
      <w:r w:rsidR="002C6DC7">
        <w:t xml:space="preserve"> 13</w:t>
      </w:r>
      <w:r w:rsidR="002C6DC7">
        <w:tab/>
        <w:t>267</w:t>
      </w:r>
    </w:p>
    <w:p w:rsidR="00E822FA" w:rsidRPr="00322C94" w:rsidRDefault="00E822FA" w:rsidP="00E822FA">
      <w:pPr>
        <w:tabs>
          <w:tab w:val="left" w:leader="dot" w:pos="8640"/>
        </w:tabs>
      </w:pPr>
      <w:proofErr w:type="gramStart"/>
      <w:r>
        <w:t>Table 4.34</w:t>
      </w:r>
      <w:r w:rsidRPr="00322C94">
        <w:t>.</w:t>
      </w:r>
      <w:proofErr w:type="gramEnd"/>
      <w:r w:rsidRPr="00322C94">
        <w:t xml:space="preserve"> Summary of </w:t>
      </w:r>
      <w:r>
        <w:t>F</w:t>
      </w:r>
      <w:r w:rsidRPr="00322C94">
        <w:t>aulty Case</w:t>
      </w:r>
      <w:r w:rsidR="002C6DC7">
        <w:t xml:space="preserve"> 14</w:t>
      </w:r>
      <w:r w:rsidR="002C6DC7">
        <w:tab/>
        <w:t>272</w:t>
      </w:r>
    </w:p>
    <w:p w:rsidR="00002CAE" w:rsidRPr="00322C94" w:rsidRDefault="00002CAE" w:rsidP="00002CAE">
      <w:pPr>
        <w:tabs>
          <w:tab w:val="left" w:leader="dot" w:pos="8640"/>
        </w:tabs>
      </w:pPr>
      <w:proofErr w:type="gramStart"/>
      <w:r w:rsidRPr="00322C94">
        <w:t>Table 4.</w:t>
      </w:r>
      <w:r>
        <w:t>35</w:t>
      </w:r>
      <w:r w:rsidRPr="00322C94">
        <w:t>.</w:t>
      </w:r>
      <w:proofErr w:type="gramEnd"/>
      <w:r w:rsidRPr="00322C94">
        <w:t xml:space="preserve"> </w:t>
      </w:r>
      <w:r w:rsidRPr="003544FA">
        <w:t>Summary of Faulty Case Results</w:t>
      </w:r>
      <w:r w:rsidR="002C6DC7">
        <w:tab/>
        <w:t>284</w:t>
      </w:r>
    </w:p>
    <w:p w:rsidR="008E02F8" w:rsidRPr="00322C94" w:rsidRDefault="008E02F8" w:rsidP="008E02F8">
      <w:pPr>
        <w:tabs>
          <w:tab w:val="left" w:leader="dot" w:pos="8640"/>
        </w:tabs>
      </w:pPr>
      <w:proofErr w:type="gramStart"/>
      <w:r w:rsidRPr="00322C94">
        <w:t>Table 4.</w:t>
      </w:r>
      <w:r w:rsidR="00E822FA">
        <w:t>3</w:t>
      </w:r>
      <w:r w:rsidR="00002CAE">
        <w:t>6</w:t>
      </w:r>
      <w:r w:rsidRPr="00322C94">
        <w:t>.</w:t>
      </w:r>
      <w:proofErr w:type="gramEnd"/>
      <w:r w:rsidRPr="00322C94">
        <w:t xml:space="preserve"> </w:t>
      </w:r>
      <w:r w:rsidR="00E822FA" w:rsidRPr="00E822FA">
        <w:t>L</w:t>
      </w:r>
      <w:r w:rsidR="00E822FA">
        <w:t>ookup Table of Possible Faults B</w:t>
      </w:r>
      <w:r w:rsidR="00E822FA" w:rsidRPr="00E822FA">
        <w:t xml:space="preserve">ased on Results from PCA </w:t>
      </w:r>
      <w:r w:rsidR="00002CAE" w:rsidRPr="003544FA">
        <w:t>Diagnostic Plots</w:t>
      </w:r>
      <w:r w:rsidR="002C6DC7">
        <w:tab/>
        <w:t>287</w:t>
      </w:r>
    </w:p>
    <w:p w:rsidR="008E02F8" w:rsidRDefault="008E02F8" w:rsidP="003477BF">
      <w:pPr>
        <w:tabs>
          <w:tab w:val="left" w:leader="dot" w:pos="8640"/>
        </w:tabs>
      </w:pPr>
    </w:p>
    <w:p w:rsidR="00402C43" w:rsidRDefault="00402C43" w:rsidP="003477BF">
      <w:pPr>
        <w:tabs>
          <w:tab w:val="left" w:leader="dot" w:pos="8640"/>
        </w:tabs>
      </w:pPr>
    </w:p>
    <w:p w:rsidR="00402C43" w:rsidRDefault="00402C43">
      <w:pPr>
        <w:rPr>
          <w:rFonts w:asciiTheme="majorHAnsi" w:hAnsiTheme="majorHAnsi"/>
          <w:b/>
          <w:caps/>
        </w:rPr>
      </w:pPr>
      <w:r>
        <w:rPr>
          <w:rFonts w:asciiTheme="majorHAnsi" w:hAnsiTheme="majorHAnsi"/>
          <w:b/>
          <w:caps/>
        </w:rPr>
        <w:br w:type="page"/>
      </w:r>
    </w:p>
    <w:p w:rsidR="00402C43" w:rsidRDefault="00402C43" w:rsidP="00402C43">
      <w:pPr>
        <w:jc w:val="center"/>
        <w:rPr>
          <w:rFonts w:asciiTheme="majorHAnsi" w:hAnsiTheme="majorHAnsi"/>
          <w:b/>
          <w:caps/>
        </w:rPr>
      </w:pPr>
      <w:r>
        <w:rPr>
          <w:rFonts w:asciiTheme="majorHAnsi" w:hAnsiTheme="majorHAnsi"/>
          <w:b/>
          <w:caps/>
        </w:rPr>
        <w:lastRenderedPageBreak/>
        <w:t>Abreviations and Symbols</w:t>
      </w:r>
    </w:p>
    <w:p w:rsidR="00402C43" w:rsidRDefault="00402C43" w:rsidP="00402C43"/>
    <w:p w:rsidR="001442E3" w:rsidRPr="00965EBB" w:rsidRDefault="001442E3" w:rsidP="001442E3">
      <w:r w:rsidRPr="00965EBB">
        <w:t>ADU</w:t>
      </w:r>
      <w:r w:rsidRPr="00965EBB">
        <w:tab/>
      </w:r>
      <w:r w:rsidRPr="00965EBB">
        <w:tab/>
      </w:r>
      <w:r w:rsidRPr="00965EBB">
        <w:tab/>
        <w:t xml:space="preserve">ammonium </w:t>
      </w:r>
      <w:proofErr w:type="spellStart"/>
      <w:r w:rsidRPr="00965EBB">
        <w:t>diuranate</w:t>
      </w:r>
      <w:proofErr w:type="spellEnd"/>
    </w:p>
    <w:p w:rsidR="001442E3" w:rsidRPr="00965EBB" w:rsidRDefault="001442E3" w:rsidP="001442E3">
      <w:r w:rsidRPr="00965EBB">
        <w:t>AUC</w:t>
      </w:r>
      <w:r w:rsidRPr="00965EBB">
        <w:tab/>
      </w:r>
      <w:r w:rsidRPr="00965EBB">
        <w:tab/>
      </w:r>
      <w:r w:rsidRPr="00965EBB">
        <w:tab/>
        <w:t>ammonium uranyl carbonate</w:t>
      </w:r>
    </w:p>
    <w:p w:rsidR="001442E3" w:rsidRPr="00965EBB" w:rsidRDefault="001442E3" w:rsidP="001442E3">
      <w:r w:rsidRPr="00965EBB">
        <w:t>CO</w:t>
      </w:r>
      <w:r w:rsidRPr="00965EBB">
        <w:rPr>
          <w:vertAlign w:val="subscript"/>
        </w:rPr>
        <w:t>2</w:t>
      </w:r>
      <w:r w:rsidRPr="00965EBB">
        <w:tab/>
      </w:r>
      <w:r w:rsidRPr="00965EBB">
        <w:tab/>
      </w:r>
      <w:r w:rsidRPr="00965EBB">
        <w:tab/>
        <w:t>carbon dioxide</w:t>
      </w:r>
    </w:p>
    <w:p w:rsidR="001442E3" w:rsidRPr="00965EBB" w:rsidRDefault="001442E3" w:rsidP="001442E3">
      <w:r w:rsidRPr="00965EBB">
        <w:t>DBP</w:t>
      </w:r>
      <w:r w:rsidRPr="00965EBB">
        <w:tab/>
      </w:r>
      <w:r w:rsidRPr="00965EBB">
        <w:tab/>
      </w:r>
      <w:r w:rsidRPr="00965EBB">
        <w:tab/>
      </w:r>
      <w:proofErr w:type="spellStart"/>
      <w:r w:rsidRPr="00965EBB">
        <w:t>dibutyl</w:t>
      </w:r>
      <w:proofErr w:type="spellEnd"/>
      <w:r w:rsidRPr="00965EBB">
        <w:t xml:space="preserve"> phosphate</w:t>
      </w:r>
    </w:p>
    <w:p w:rsidR="001442E3" w:rsidRPr="00965EBB" w:rsidRDefault="001442E3" w:rsidP="001442E3">
      <w:r w:rsidRPr="00965EBB">
        <w:t>DOE</w:t>
      </w:r>
      <w:r w:rsidRPr="00965EBB">
        <w:tab/>
      </w:r>
      <w:r w:rsidRPr="00965EBB">
        <w:tab/>
      </w:r>
      <w:r w:rsidRPr="00965EBB">
        <w:tab/>
        <w:t>U.S. Department of Energy</w:t>
      </w:r>
    </w:p>
    <w:p w:rsidR="001442E3" w:rsidRPr="00965EBB" w:rsidRDefault="001442E3" w:rsidP="001442E3">
      <w:r w:rsidRPr="00965EBB">
        <w:t>EMIS</w:t>
      </w:r>
      <w:r w:rsidRPr="00965EBB">
        <w:tab/>
      </w:r>
      <w:r w:rsidRPr="00965EBB">
        <w:tab/>
      </w:r>
      <w:r w:rsidRPr="00965EBB">
        <w:tab/>
        <w:t>electromagnetic isotope separation</w:t>
      </w:r>
    </w:p>
    <w:p w:rsidR="001442E3" w:rsidRPr="00965EBB" w:rsidRDefault="001442E3" w:rsidP="001442E3">
      <w:r w:rsidRPr="00965EBB">
        <w:t>F</w:t>
      </w:r>
      <w:r w:rsidRPr="00965EBB">
        <w:rPr>
          <w:vertAlign w:val="subscript"/>
        </w:rPr>
        <w:t>2</w:t>
      </w:r>
      <w:r w:rsidRPr="00965EBB">
        <w:tab/>
      </w:r>
      <w:r w:rsidRPr="00965EBB">
        <w:tab/>
      </w:r>
      <w:r w:rsidRPr="00965EBB">
        <w:tab/>
        <w:t>fluorine gas</w:t>
      </w:r>
    </w:p>
    <w:p w:rsidR="001442E3" w:rsidRPr="00965EBB" w:rsidRDefault="001442E3" w:rsidP="001442E3">
      <w:r w:rsidRPr="00965EBB">
        <w:t>HF</w:t>
      </w:r>
      <w:r w:rsidRPr="00965EBB">
        <w:tab/>
      </w:r>
      <w:r w:rsidRPr="00965EBB">
        <w:tab/>
      </w:r>
      <w:r w:rsidRPr="00965EBB">
        <w:tab/>
        <w:t>hydrogen fluoride</w:t>
      </w:r>
    </w:p>
    <w:p w:rsidR="001442E3" w:rsidRPr="00965EBB" w:rsidRDefault="001442E3" w:rsidP="001442E3">
      <w:r w:rsidRPr="00965EBB">
        <w:t>IAEA</w:t>
      </w:r>
      <w:r w:rsidRPr="00965EBB">
        <w:tab/>
      </w:r>
      <w:r w:rsidRPr="00965EBB">
        <w:tab/>
      </w:r>
      <w:r w:rsidRPr="00965EBB">
        <w:tab/>
        <w:t>International Atomic Energy Agency</w:t>
      </w:r>
    </w:p>
    <w:p w:rsidR="001442E3" w:rsidRPr="00965EBB" w:rsidRDefault="001442E3" w:rsidP="001442E3">
      <w:r w:rsidRPr="00965EBB">
        <w:t>INMM</w:t>
      </w:r>
      <w:r w:rsidRPr="00965EBB">
        <w:tab/>
      </w:r>
      <w:r w:rsidRPr="00965EBB">
        <w:tab/>
      </w:r>
      <w:r w:rsidRPr="00965EBB">
        <w:tab/>
        <w:t>Institute of Nuclear Materials Management</w:t>
      </w:r>
    </w:p>
    <w:p w:rsidR="001442E3" w:rsidRPr="00965EBB" w:rsidRDefault="001442E3" w:rsidP="001442E3">
      <w:r w:rsidRPr="00965EBB">
        <w:t>KOH</w:t>
      </w:r>
      <w:r w:rsidRPr="00965EBB">
        <w:tab/>
      </w:r>
      <w:r w:rsidRPr="00965EBB">
        <w:tab/>
      </w:r>
      <w:r w:rsidRPr="00965EBB">
        <w:tab/>
        <w:t>potassium hydroxide</w:t>
      </w:r>
    </w:p>
    <w:p w:rsidR="001442E3" w:rsidRPr="00965EBB" w:rsidRDefault="001442E3" w:rsidP="001442E3">
      <w:r w:rsidRPr="00965EBB">
        <w:t>MBP</w:t>
      </w:r>
      <w:r w:rsidRPr="00965EBB">
        <w:tab/>
      </w:r>
      <w:r w:rsidRPr="00965EBB">
        <w:tab/>
      </w:r>
      <w:r w:rsidRPr="00965EBB">
        <w:tab/>
        <w:t>mono-butyl phosphate</w:t>
      </w:r>
    </w:p>
    <w:p w:rsidR="001442E3" w:rsidRPr="00965EBB" w:rsidRDefault="001442E3" w:rsidP="001442E3">
      <w:r w:rsidRPr="00965EBB">
        <w:t>MSPC</w:t>
      </w:r>
      <w:r w:rsidRPr="00965EBB">
        <w:tab/>
      </w:r>
      <w:r w:rsidRPr="00965EBB">
        <w:tab/>
      </w:r>
      <w:r w:rsidRPr="00965EBB">
        <w:tab/>
        <w:t>multivariate statistical process control</w:t>
      </w:r>
    </w:p>
    <w:p w:rsidR="001442E3" w:rsidRPr="00965EBB" w:rsidRDefault="001442E3" w:rsidP="001442E3">
      <w:r w:rsidRPr="00965EBB">
        <w:t>MT</w:t>
      </w:r>
      <w:r w:rsidRPr="00965EBB">
        <w:tab/>
      </w:r>
      <w:r w:rsidRPr="00965EBB">
        <w:tab/>
      </w:r>
      <w:r w:rsidRPr="00965EBB">
        <w:tab/>
        <w:t>metric ton</w:t>
      </w:r>
    </w:p>
    <w:p w:rsidR="001442E3" w:rsidRPr="00965EBB" w:rsidRDefault="001442E3" w:rsidP="001442E3">
      <w:r w:rsidRPr="00965EBB">
        <w:t>MTU/</w:t>
      </w:r>
      <w:proofErr w:type="spellStart"/>
      <w:r w:rsidRPr="00965EBB">
        <w:t>yr</w:t>
      </w:r>
      <w:proofErr w:type="spellEnd"/>
      <w:r w:rsidRPr="00965EBB">
        <w:tab/>
      </w:r>
      <w:r w:rsidRPr="00965EBB">
        <w:tab/>
      </w:r>
      <w:r w:rsidRPr="00965EBB">
        <w:tab/>
        <w:t>metric ton of uranium per year</w:t>
      </w:r>
    </w:p>
    <w:p w:rsidR="001442E3" w:rsidRPr="00965EBB" w:rsidRDefault="001442E3" w:rsidP="001442E3">
      <w:r w:rsidRPr="00965EBB">
        <w:t>NH</w:t>
      </w:r>
      <w:r w:rsidRPr="00965EBB">
        <w:rPr>
          <w:vertAlign w:val="subscript"/>
        </w:rPr>
        <w:t>3</w:t>
      </w:r>
      <w:r w:rsidRPr="00965EBB">
        <w:tab/>
      </w:r>
      <w:r w:rsidRPr="00965EBB">
        <w:tab/>
      </w:r>
      <w:r w:rsidRPr="00965EBB">
        <w:tab/>
        <w:t>ammonia</w:t>
      </w:r>
    </w:p>
    <w:p w:rsidR="001442E3" w:rsidRPr="00965EBB" w:rsidRDefault="001442E3" w:rsidP="001442E3">
      <w:r w:rsidRPr="00965EBB">
        <w:t>(NH</w:t>
      </w:r>
      <w:r w:rsidRPr="00965EBB">
        <w:rPr>
          <w:vertAlign w:val="subscript"/>
        </w:rPr>
        <w:t>4</w:t>
      </w:r>
      <w:r w:rsidRPr="00965EBB">
        <w:t>)HCO</w:t>
      </w:r>
      <w:r w:rsidRPr="00965EBB">
        <w:rPr>
          <w:vertAlign w:val="subscript"/>
        </w:rPr>
        <w:t>3</w:t>
      </w:r>
      <w:r w:rsidRPr="00965EBB">
        <w:tab/>
      </w:r>
      <w:r w:rsidRPr="00965EBB">
        <w:tab/>
        <w:t>ammonium bicarbonate</w:t>
      </w:r>
    </w:p>
    <w:p w:rsidR="001442E3" w:rsidRPr="00965EBB" w:rsidRDefault="001442E3" w:rsidP="001442E3">
      <w:r w:rsidRPr="00965EBB">
        <w:t>(NH</w:t>
      </w:r>
      <w:r w:rsidRPr="00965EBB">
        <w:rPr>
          <w:vertAlign w:val="subscript"/>
        </w:rPr>
        <w:t>4</w:t>
      </w:r>
      <w:r w:rsidRPr="00965EBB">
        <w:t>)</w:t>
      </w:r>
      <w:r w:rsidRPr="00965EBB">
        <w:rPr>
          <w:vertAlign w:val="subscript"/>
        </w:rPr>
        <w:t>2</w:t>
      </w:r>
      <w:r w:rsidRPr="00965EBB">
        <w:t>U</w:t>
      </w:r>
      <w:r w:rsidRPr="00965EBB">
        <w:rPr>
          <w:vertAlign w:val="subscript"/>
        </w:rPr>
        <w:t>2</w:t>
      </w:r>
      <w:r w:rsidRPr="00965EBB">
        <w:t>O</w:t>
      </w:r>
      <w:r w:rsidRPr="00965EBB">
        <w:rPr>
          <w:vertAlign w:val="subscript"/>
        </w:rPr>
        <w:t xml:space="preserve">7 </w:t>
      </w:r>
      <w:r w:rsidRPr="00965EBB">
        <w:tab/>
      </w:r>
      <w:r w:rsidRPr="00965EBB">
        <w:tab/>
        <w:t xml:space="preserve">ammonium </w:t>
      </w:r>
      <w:proofErr w:type="spellStart"/>
      <w:r w:rsidRPr="00965EBB">
        <w:t>diuranate</w:t>
      </w:r>
      <w:proofErr w:type="spellEnd"/>
    </w:p>
    <w:p w:rsidR="001442E3" w:rsidRPr="00965EBB" w:rsidRDefault="001442E3" w:rsidP="001442E3">
      <w:r w:rsidRPr="00965EBB">
        <w:t>(NH</w:t>
      </w:r>
      <w:r w:rsidRPr="00965EBB">
        <w:rPr>
          <w:vertAlign w:val="subscript"/>
        </w:rPr>
        <w:t>4</w:t>
      </w:r>
      <w:r w:rsidRPr="00965EBB">
        <w:t>)</w:t>
      </w:r>
      <w:proofErr w:type="gramStart"/>
      <w:r w:rsidRPr="00965EBB">
        <w:rPr>
          <w:vertAlign w:val="subscript"/>
        </w:rPr>
        <w:t>4</w:t>
      </w:r>
      <w:r w:rsidRPr="00965EBB">
        <w:t>UO</w:t>
      </w:r>
      <w:r w:rsidRPr="00965EBB">
        <w:rPr>
          <w:vertAlign w:val="subscript"/>
        </w:rPr>
        <w:t>2</w:t>
      </w:r>
      <w:r w:rsidRPr="00965EBB">
        <w:t>(</w:t>
      </w:r>
      <w:proofErr w:type="gramEnd"/>
      <w:r w:rsidRPr="00965EBB">
        <w:t>CO</w:t>
      </w:r>
      <w:r w:rsidRPr="00965EBB">
        <w:rPr>
          <w:vertAlign w:val="subscript"/>
        </w:rPr>
        <w:t>3</w:t>
      </w:r>
      <w:r w:rsidRPr="00965EBB">
        <w:t>)</w:t>
      </w:r>
      <w:r w:rsidRPr="00965EBB">
        <w:rPr>
          <w:vertAlign w:val="subscript"/>
        </w:rPr>
        <w:t>3</w:t>
      </w:r>
      <w:r w:rsidRPr="00965EBB">
        <w:tab/>
        <w:t>ammonium uranyl carbonate</w:t>
      </w:r>
    </w:p>
    <w:p w:rsidR="001442E3" w:rsidRPr="00965EBB" w:rsidRDefault="001442E3" w:rsidP="001442E3">
      <w:r w:rsidRPr="00965EBB">
        <w:t>NUCP</w:t>
      </w:r>
      <w:r w:rsidRPr="00965EBB">
        <w:tab/>
      </w:r>
      <w:r w:rsidRPr="00965EBB">
        <w:tab/>
      </w:r>
      <w:r w:rsidRPr="00965EBB">
        <w:tab/>
        <w:t>natural uranium conversion plant</w:t>
      </w:r>
    </w:p>
    <w:p w:rsidR="001442E3" w:rsidRPr="00965EBB" w:rsidRDefault="001442E3" w:rsidP="001442E3">
      <w:r w:rsidRPr="00965EBB">
        <w:t>ORNL</w:t>
      </w:r>
      <w:r w:rsidRPr="00965EBB">
        <w:tab/>
      </w:r>
      <w:r w:rsidRPr="00965EBB">
        <w:tab/>
      </w:r>
      <w:r w:rsidRPr="00965EBB">
        <w:tab/>
        <w:t>Oak Ridge National Laboratory</w:t>
      </w:r>
    </w:p>
    <w:p w:rsidR="001442E3" w:rsidRPr="00965EBB" w:rsidRDefault="001442E3" w:rsidP="001442E3">
      <w:r w:rsidRPr="00965EBB">
        <w:t>PCA</w:t>
      </w:r>
      <w:r w:rsidRPr="00965EBB">
        <w:tab/>
      </w:r>
      <w:r w:rsidRPr="00965EBB">
        <w:tab/>
      </w:r>
      <w:r w:rsidRPr="00965EBB">
        <w:tab/>
        <w:t>Principal Component Analysis</w:t>
      </w:r>
    </w:p>
    <w:p w:rsidR="001442E3" w:rsidRPr="00965EBB" w:rsidRDefault="001442E3" w:rsidP="001442E3">
      <w:r w:rsidRPr="00965EBB">
        <w:lastRenderedPageBreak/>
        <w:t>PC</w:t>
      </w:r>
      <w:r w:rsidRPr="00965EBB">
        <w:tab/>
      </w:r>
      <w:r w:rsidRPr="00965EBB">
        <w:tab/>
      </w:r>
      <w:r w:rsidRPr="00965EBB">
        <w:tab/>
        <w:t>principal component</w:t>
      </w:r>
      <w:r w:rsidRPr="00965EBB">
        <w:tab/>
      </w:r>
    </w:p>
    <w:p w:rsidR="001442E3" w:rsidRPr="00965EBB" w:rsidRDefault="001442E3" w:rsidP="001442E3">
      <w:r w:rsidRPr="00965EBB">
        <w:t>PLS</w:t>
      </w:r>
      <w:r w:rsidRPr="00965EBB">
        <w:tab/>
      </w:r>
      <w:r w:rsidRPr="00965EBB">
        <w:tab/>
      </w:r>
      <w:r w:rsidRPr="00965EBB">
        <w:tab/>
        <w:t>Partial Least Squares</w:t>
      </w:r>
    </w:p>
    <w:p w:rsidR="001442E3" w:rsidRPr="00965EBB" w:rsidRDefault="001442E3" w:rsidP="001442E3">
      <w:r w:rsidRPr="00965EBB">
        <w:t>SPC</w:t>
      </w:r>
      <w:r w:rsidRPr="00965EBB">
        <w:tab/>
      </w:r>
      <w:r w:rsidRPr="00965EBB">
        <w:tab/>
      </w:r>
      <w:r w:rsidRPr="00965EBB">
        <w:tab/>
        <w:t>statistical process control</w:t>
      </w:r>
    </w:p>
    <w:p w:rsidR="001442E3" w:rsidRPr="00965EBB" w:rsidRDefault="001442E3" w:rsidP="001442E3">
      <m:oMath>
        <m:r>
          <w:rPr>
            <w:rFonts w:ascii="Cambria Math" w:hAnsi="Cambria Math"/>
          </w:rPr>
          <m:t>SPE</m:t>
        </m:r>
      </m:oMath>
      <w:r w:rsidRPr="00965EBB">
        <w:rPr>
          <w:rFonts w:eastAsiaTheme="minorEastAsia"/>
        </w:rPr>
        <w:tab/>
      </w:r>
      <w:r w:rsidRPr="00965EBB">
        <w:tab/>
      </w:r>
      <w:r w:rsidRPr="00965EBB">
        <w:tab/>
      </w:r>
      <w:proofErr w:type="gramStart"/>
      <w:r w:rsidRPr="00965EBB">
        <w:t>squared</w:t>
      </w:r>
      <w:proofErr w:type="gramEnd"/>
      <w:r w:rsidRPr="00965EBB">
        <w:t xml:space="preserve"> prediction error</w:t>
      </w:r>
    </w:p>
    <w:p w:rsidR="001442E3" w:rsidRPr="00965EBB" w:rsidRDefault="001442E3" w:rsidP="001442E3">
      <w:r w:rsidRPr="00965EBB">
        <w:t>SQ</w:t>
      </w:r>
      <w:r w:rsidRPr="00965EBB">
        <w:tab/>
      </w:r>
      <w:r w:rsidRPr="00965EBB">
        <w:tab/>
      </w:r>
      <w:r w:rsidRPr="00965EBB">
        <w:tab/>
        <w:t>Significant Quantity</w:t>
      </w:r>
    </w:p>
    <w:p w:rsidR="001442E3" w:rsidRPr="00965EBB" w:rsidRDefault="001442E3" w:rsidP="001442E3">
      <w:r w:rsidRPr="00965EBB">
        <w:t>SVD</w:t>
      </w:r>
      <w:r w:rsidRPr="00965EBB">
        <w:tab/>
      </w:r>
      <w:r w:rsidRPr="00965EBB">
        <w:tab/>
      </w:r>
      <w:r w:rsidRPr="00965EBB">
        <w:tab/>
        <w:t>singular value decomposition</w:t>
      </w:r>
    </w:p>
    <w:p w:rsidR="001442E3" w:rsidRPr="00965EBB" w:rsidRDefault="001442E3" w:rsidP="001442E3">
      <w:r w:rsidRPr="00965EBB">
        <w:t>TBP</w:t>
      </w:r>
      <w:r w:rsidRPr="00965EBB">
        <w:tab/>
      </w:r>
      <w:r w:rsidRPr="00965EBB">
        <w:tab/>
      </w:r>
      <w:r w:rsidRPr="00965EBB">
        <w:tab/>
      </w:r>
      <w:proofErr w:type="spellStart"/>
      <w:r w:rsidRPr="00965EBB">
        <w:t>tributyl</w:t>
      </w:r>
      <w:proofErr w:type="spellEnd"/>
      <w:r w:rsidRPr="00965EBB">
        <w:t xml:space="preserve"> phosphate</w:t>
      </w:r>
    </w:p>
    <w:p w:rsidR="001442E3" w:rsidRPr="00965EBB" w:rsidRDefault="001442E3" w:rsidP="001442E3">
      <w:r w:rsidRPr="00965EBB">
        <w:t>UF</w:t>
      </w:r>
      <w:r w:rsidRPr="00965EBB">
        <w:rPr>
          <w:vertAlign w:val="subscript"/>
        </w:rPr>
        <w:t>4</w:t>
      </w:r>
      <w:r w:rsidRPr="00965EBB">
        <w:tab/>
      </w:r>
      <w:r w:rsidRPr="00965EBB">
        <w:tab/>
      </w:r>
      <w:r w:rsidRPr="00965EBB">
        <w:tab/>
        <w:t xml:space="preserve">uranium </w:t>
      </w:r>
      <w:proofErr w:type="spellStart"/>
      <w:r w:rsidRPr="00965EBB">
        <w:t>tetrafluoride</w:t>
      </w:r>
      <w:proofErr w:type="spellEnd"/>
    </w:p>
    <w:p w:rsidR="001442E3" w:rsidRPr="00965EBB" w:rsidRDefault="001442E3" w:rsidP="001442E3">
      <w:r w:rsidRPr="00965EBB">
        <w:t>UF</w:t>
      </w:r>
      <w:r w:rsidRPr="00965EBB">
        <w:rPr>
          <w:vertAlign w:val="subscript"/>
        </w:rPr>
        <w:t>6</w:t>
      </w:r>
      <w:r w:rsidRPr="00965EBB">
        <w:tab/>
      </w:r>
      <w:r w:rsidRPr="00965EBB">
        <w:tab/>
      </w:r>
      <w:r w:rsidRPr="00965EBB">
        <w:tab/>
        <w:t>uranium hexafluoride</w:t>
      </w:r>
    </w:p>
    <w:p w:rsidR="001442E3" w:rsidRPr="00965EBB" w:rsidRDefault="001442E3" w:rsidP="001442E3">
      <w:r w:rsidRPr="00965EBB">
        <w:t>UOC</w:t>
      </w:r>
      <w:r w:rsidRPr="00965EBB">
        <w:tab/>
      </w:r>
      <w:r w:rsidRPr="00965EBB">
        <w:tab/>
      </w:r>
      <w:r w:rsidRPr="00965EBB">
        <w:tab/>
        <w:t>uranium ore concentrate</w:t>
      </w:r>
    </w:p>
    <w:p w:rsidR="001442E3" w:rsidRPr="00965EBB" w:rsidRDefault="001442E3" w:rsidP="001442E3">
      <w:r w:rsidRPr="00965EBB">
        <w:t>UO</w:t>
      </w:r>
      <w:r w:rsidRPr="00965EBB">
        <w:rPr>
          <w:vertAlign w:val="subscript"/>
        </w:rPr>
        <w:t>2</w:t>
      </w:r>
      <w:r w:rsidRPr="00965EBB">
        <w:tab/>
      </w:r>
      <w:r w:rsidRPr="00965EBB">
        <w:tab/>
      </w:r>
      <w:r w:rsidRPr="00965EBB">
        <w:tab/>
        <w:t>uranium dioxide</w:t>
      </w:r>
    </w:p>
    <w:p w:rsidR="001442E3" w:rsidRPr="00965EBB" w:rsidRDefault="001442E3" w:rsidP="001442E3">
      <w:proofErr w:type="gramStart"/>
      <w:r w:rsidRPr="00965EBB">
        <w:t>UO</w:t>
      </w:r>
      <w:r w:rsidRPr="00965EBB">
        <w:rPr>
          <w:vertAlign w:val="subscript"/>
        </w:rPr>
        <w:t>2</w:t>
      </w:r>
      <w:r w:rsidRPr="00965EBB">
        <w:t>(</w:t>
      </w:r>
      <w:proofErr w:type="gramEnd"/>
      <w:r w:rsidRPr="00965EBB">
        <w:t>NO</w:t>
      </w:r>
      <w:r w:rsidRPr="00965EBB">
        <w:rPr>
          <w:vertAlign w:val="subscript"/>
        </w:rPr>
        <w:t>3</w:t>
      </w:r>
      <w:r w:rsidRPr="00965EBB">
        <w:t>)</w:t>
      </w:r>
      <w:r w:rsidRPr="00965EBB">
        <w:rPr>
          <w:vertAlign w:val="subscript"/>
        </w:rPr>
        <w:t>2</w:t>
      </w:r>
      <w:r w:rsidRPr="00965EBB">
        <w:t xml:space="preserve"> </w:t>
      </w:r>
      <w:r w:rsidRPr="00965EBB">
        <w:tab/>
      </w:r>
      <w:r w:rsidRPr="00965EBB">
        <w:tab/>
        <w:t>uranyl nitrate (UN)</w:t>
      </w:r>
    </w:p>
    <w:p w:rsidR="001442E3" w:rsidRPr="00965EBB" w:rsidRDefault="001442E3" w:rsidP="001442E3">
      <w:r w:rsidRPr="00965EBB">
        <w:t>UO</w:t>
      </w:r>
      <w:r w:rsidRPr="00965EBB">
        <w:rPr>
          <w:vertAlign w:val="subscript"/>
        </w:rPr>
        <w:t>3</w:t>
      </w:r>
      <w:r w:rsidRPr="00965EBB">
        <w:tab/>
      </w:r>
      <w:r w:rsidRPr="00965EBB">
        <w:tab/>
      </w:r>
      <w:r w:rsidRPr="00965EBB">
        <w:tab/>
        <w:t>uranium trioxide</w:t>
      </w:r>
    </w:p>
    <w:p w:rsidR="001442E3" w:rsidRPr="00965EBB" w:rsidRDefault="001442E3" w:rsidP="001442E3">
      <w:r w:rsidRPr="00965EBB">
        <w:t>UO</w:t>
      </w:r>
      <w:r w:rsidRPr="00965EBB">
        <w:rPr>
          <w:vertAlign w:val="subscript"/>
        </w:rPr>
        <w:t>4</w:t>
      </w:r>
      <w:r w:rsidRPr="00965EBB">
        <w:tab/>
      </w:r>
      <w:r w:rsidRPr="00965EBB">
        <w:tab/>
      </w:r>
      <w:r w:rsidRPr="00965EBB">
        <w:tab/>
        <w:t>uranyl peroxide</w:t>
      </w:r>
    </w:p>
    <w:p w:rsidR="001442E3" w:rsidRPr="00965EBB" w:rsidRDefault="001442E3" w:rsidP="001442E3">
      <w:r w:rsidRPr="00965EBB">
        <w:t>U</w:t>
      </w:r>
      <w:r w:rsidRPr="00965EBB">
        <w:rPr>
          <w:vertAlign w:val="subscript"/>
        </w:rPr>
        <w:t>3</w:t>
      </w:r>
      <w:r w:rsidRPr="00965EBB">
        <w:t>O</w:t>
      </w:r>
      <w:r w:rsidRPr="00965EBB">
        <w:rPr>
          <w:vertAlign w:val="subscript"/>
        </w:rPr>
        <w:t>8</w:t>
      </w:r>
      <w:r w:rsidRPr="00965EBB">
        <w:tab/>
      </w:r>
      <w:r w:rsidRPr="00965EBB">
        <w:tab/>
      </w:r>
      <w:r w:rsidRPr="00965EBB">
        <w:tab/>
      </w:r>
      <w:proofErr w:type="spellStart"/>
      <w:r w:rsidRPr="00965EBB">
        <w:t>triuranium</w:t>
      </w:r>
      <w:proofErr w:type="spellEnd"/>
      <w:r w:rsidRPr="00965EBB">
        <w:t xml:space="preserve"> </w:t>
      </w:r>
      <w:proofErr w:type="spellStart"/>
      <w:r w:rsidRPr="00965EBB">
        <w:t>octoxide</w:t>
      </w:r>
      <w:proofErr w:type="spellEnd"/>
    </w:p>
    <w:p w:rsidR="001442E3" w:rsidRPr="00965EBB" w:rsidRDefault="001442E3" w:rsidP="001442E3">
      <w:proofErr w:type="spellStart"/>
      <w:r w:rsidRPr="00965EBB">
        <w:t>Xss</w:t>
      </w:r>
      <w:proofErr w:type="spellEnd"/>
      <w:r w:rsidRPr="00965EBB">
        <w:tab/>
      </w:r>
      <w:r w:rsidRPr="00965EBB">
        <w:tab/>
      </w:r>
      <w:r w:rsidRPr="00965EBB">
        <w:tab/>
      </w:r>
      <w:r w:rsidR="00D5612B">
        <w:t xml:space="preserve">steady-state value of a </w:t>
      </w:r>
      <w:r w:rsidR="00D5612B" w:rsidRPr="00965EBB">
        <w:t>state variable</w:t>
      </w:r>
    </w:p>
    <w:p w:rsidR="00402C43" w:rsidRPr="00402C43" w:rsidRDefault="00402C43" w:rsidP="00402C43"/>
    <w:p w:rsidR="00402C43" w:rsidRDefault="00402C43" w:rsidP="00402C43">
      <w:pPr>
        <w:tabs>
          <w:tab w:val="left" w:leader="dot" w:pos="8640"/>
        </w:tabs>
      </w:pPr>
    </w:p>
    <w:p w:rsidR="00402C43" w:rsidRDefault="00402C43" w:rsidP="00402C43">
      <w:pPr>
        <w:tabs>
          <w:tab w:val="left" w:leader="dot" w:pos="8640"/>
        </w:tabs>
      </w:pPr>
    </w:p>
    <w:p w:rsidR="003D664B" w:rsidRDefault="003D664B" w:rsidP="003477BF">
      <w:pPr>
        <w:tabs>
          <w:tab w:val="left" w:leader="dot" w:pos="8640"/>
        </w:tabs>
      </w:pPr>
    </w:p>
    <w:p w:rsidR="00402C43" w:rsidRDefault="00402C43" w:rsidP="003477BF">
      <w:pPr>
        <w:tabs>
          <w:tab w:val="left" w:leader="dot" w:pos="8640"/>
        </w:tabs>
      </w:pPr>
    </w:p>
    <w:p w:rsidR="00402C43" w:rsidRDefault="00402C43" w:rsidP="003477BF">
      <w:pPr>
        <w:tabs>
          <w:tab w:val="left" w:leader="dot" w:pos="8640"/>
        </w:tabs>
      </w:pPr>
    </w:p>
    <w:p w:rsidR="00402C43" w:rsidRDefault="00402C43" w:rsidP="003477BF">
      <w:pPr>
        <w:tabs>
          <w:tab w:val="left" w:leader="dot" w:pos="8640"/>
        </w:tabs>
        <w:sectPr w:rsidR="00402C43" w:rsidSect="00696884">
          <w:headerReference w:type="first" r:id="rId11"/>
          <w:footerReference w:type="first" r:id="rId12"/>
          <w:pgSz w:w="12240" w:h="15840" w:code="1"/>
          <w:pgMar w:top="1440" w:right="1440" w:bottom="1440" w:left="1440" w:header="1440" w:footer="1440" w:gutter="0"/>
          <w:pgNumType w:fmt="lowerRoman"/>
          <w:cols w:space="720"/>
          <w:noEndnote/>
          <w:titlePg/>
          <w:docGrid w:linePitch="299"/>
        </w:sectPr>
      </w:pPr>
    </w:p>
    <w:p w:rsidR="00E664E4" w:rsidRPr="00FF099B" w:rsidRDefault="00E664E4" w:rsidP="00E664E4">
      <w:pPr>
        <w:jc w:val="center"/>
        <w:rPr>
          <w:rFonts w:asciiTheme="majorHAnsi" w:hAnsiTheme="majorHAnsi"/>
          <w:b/>
          <w:caps/>
        </w:rPr>
      </w:pPr>
      <w:r w:rsidRPr="00FF099B">
        <w:rPr>
          <w:rFonts w:asciiTheme="majorHAnsi" w:hAnsiTheme="majorHAnsi"/>
          <w:b/>
          <w:caps/>
        </w:rPr>
        <w:lastRenderedPageBreak/>
        <w:t>1. Introduction</w:t>
      </w:r>
    </w:p>
    <w:p w:rsidR="00E664E4" w:rsidRDefault="00E664E4" w:rsidP="00E664E4">
      <w:pPr>
        <w:rPr>
          <w:highlight w:val="yellow"/>
        </w:rPr>
      </w:pPr>
    </w:p>
    <w:p w:rsidR="00E664E4" w:rsidRPr="00FF099B" w:rsidRDefault="00CB5268" w:rsidP="00E664E4">
      <w:r w:rsidRPr="007D43E5">
        <w:t xml:space="preserve">The objective of this </w:t>
      </w:r>
      <w:r w:rsidR="00BC7C3C" w:rsidRPr="007D43E5">
        <w:t xml:space="preserve">work </w:t>
      </w:r>
      <w:r w:rsidR="00BC7C3C">
        <w:t>is</w:t>
      </w:r>
      <w:r w:rsidR="00BC7C3C" w:rsidRPr="007D43E5">
        <w:t xml:space="preserve"> </w:t>
      </w:r>
      <w:r w:rsidR="00BC7C3C">
        <w:t>the development of an</w:t>
      </w:r>
      <w:r w:rsidR="00BC7C3C" w:rsidRPr="007D43E5">
        <w:t xml:space="preserve"> </w:t>
      </w:r>
      <w:r>
        <w:t>on-line</w:t>
      </w:r>
      <w:r w:rsidRPr="007D43E5">
        <w:t xml:space="preserve"> monitoring and data analysis framework that w</w:t>
      </w:r>
      <w:r w:rsidR="00BC7C3C">
        <w:t>ould</w:t>
      </w:r>
      <w:r w:rsidRPr="007D43E5">
        <w:t xml:space="preserve"> </w:t>
      </w:r>
      <w:r>
        <w:t xml:space="preserve">be capable of </w:t>
      </w:r>
      <w:r w:rsidRPr="007D43E5">
        <w:t>detect</w:t>
      </w:r>
      <w:r>
        <w:t>ing</w:t>
      </w:r>
      <w:r w:rsidRPr="007D43E5">
        <w:t xml:space="preserve"> the dive</w:t>
      </w:r>
      <w:r>
        <w:t>rsion or introduction of intermediate products</w:t>
      </w:r>
      <w:r w:rsidR="00E664E4" w:rsidRPr="007D43E5">
        <w:t xml:space="preserve"> [</w:t>
      </w:r>
      <w:r w:rsidR="00E664E4">
        <w:t xml:space="preserve">e.g., </w:t>
      </w:r>
      <w:r w:rsidR="00E664E4" w:rsidRPr="007D43E5">
        <w:t>uranium dioxide (UO</w:t>
      </w:r>
      <w:r w:rsidR="00E664E4" w:rsidRPr="007D43E5">
        <w:rPr>
          <w:vertAlign w:val="subscript"/>
        </w:rPr>
        <w:t>2</w:t>
      </w:r>
      <w:r w:rsidR="00E664E4" w:rsidRPr="007D43E5">
        <w:t xml:space="preserve">), uranium </w:t>
      </w:r>
      <w:proofErr w:type="spellStart"/>
      <w:r w:rsidR="00E664E4" w:rsidRPr="007D43E5">
        <w:t>tetrafluoride</w:t>
      </w:r>
      <w:proofErr w:type="spellEnd"/>
      <w:r w:rsidR="00E664E4" w:rsidRPr="007D43E5">
        <w:t xml:space="preserve"> (UF</w:t>
      </w:r>
      <w:r w:rsidR="00E664E4" w:rsidRPr="007D43E5">
        <w:rPr>
          <w:vertAlign w:val="subscript"/>
        </w:rPr>
        <w:t>4</w:t>
      </w:r>
      <w:r w:rsidR="00E664E4" w:rsidRPr="007D43E5">
        <w:t>), and uranium hexafluoride (UF</w:t>
      </w:r>
      <w:r w:rsidR="00E664E4" w:rsidRPr="007D43E5">
        <w:rPr>
          <w:vertAlign w:val="subscript"/>
        </w:rPr>
        <w:t>6</w:t>
      </w:r>
      <w:r w:rsidR="00E664E4">
        <w:t>)] in a</w:t>
      </w:r>
      <w:r w:rsidR="00E664E4" w:rsidRPr="007D43E5">
        <w:t xml:space="preserve"> </w:t>
      </w:r>
      <w:r w:rsidR="00E664E4">
        <w:t>natural uranium conversion plant (</w:t>
      </w:r>
      <w:r w:rsidR="00E664E4" w:rsidRPr="007D43E5">
        <w:t>NUCP</w:t>
      </w:r>
      <w:r w:rsidR="00E664E4">
        <w:t>)</w:t>
      </w:r>
      <w:r w:rsidR="00E664E4" w:rsidRPr="007D43E5">
        <w:t xml:space="preserve"> using a multivariate statistical approach.</w:t>
      </w:r>
      <w:r w:rsidR="00E664E4">
        <w:t xml:space="preserve"> </w:t>
      </w:r>
      <w:r w:rsidR="00E664E4" w:rsidRPr="007D43E5">
        <w:t xml:space="preserve">The decision framework developed in this research could be used to determine whether or not a diversion of material has occurred at an NUCP. This monitoring framework can be used by the </w:t>
      </w:r>
      <w:r w:rsidR="00E664E4">
        <w:t>International Atomic Energy Agency (</w:t>
      </w:r>
      <w:r w:rsidR="00E664E4" w:rsidRPr="007D43E5">
        <w:t>IAEA</w:t>
      </w:r>
      <w:r w:rsidR="00E664E4">
        <w:t>)</w:t>
      </w:r>
      <w:r w:rsidR="00E664E4" w:rsidRPr="007D43E5">
        <w:t xml:space="preserve"> in a safeguards system.</w:t>
      </w:r>
      <w:r w:rsidR="00E664E4">
        <w:t xml:space="preserve"> This study </w:t>
      </w:r>
      <w:r w:rsidR="004D2F80">
        <w:t xml:space="preserve">was developed for </w:t>
      </w:r>
      <w:r w:rsidR="00E664E4">
        <w:t>a 100 metric ton of uranium per year (</w:t>
      </w:r>
      <w:r w:rsidR="00E664E4" w:rsidRPr="007D43E5">
        <w:t>MTU/</w:t>
      </w:r>
      <w:proofErr w:type="spellStart"/>
      <w:r w:rsidR="00E664E4" w:rsidRPr="007D43E5">
        <w:t>yr</w:t>
      </w:r>
      <w:proofErr w:type="spellEnd"/>
      <w:r w:rsidR="00E664E4">
        <w:t>)</w:t>
      </w:r>
      <w:r w:rsidR="00E664E4" w:rsidRPr="007D43E5">
        <w:t xml:space="preserve"> NUCP using the wet solvent extraction method for the purification of uranium ore concentrate</w:t>
      </w:r>
      <w:r w:rsidR="008E6F8C">
        <w:t xml:space="preserve">. </w:t>
      </w:r>
    </w:p>
    <w:p w:rsidR="00E664E4" w:rsidRPr="00FF099B" w:rsidRDefault="00E664E4" w:rsidP="00E664E4"/>
    <w:p w:rsidR="00E664E4" w:rsidRPr="00FF099B" w:rsidRDefault="00E664E4" w:rsidP="00E664E4">
      <w:pPr>
        <w:rPr>
          <w:rFonts w:asciiTheme="majorHAnsi" w:hAnsiTheme="majorHAnsi"/>
          <w:b/>
          <w:caps/>
        </w:rPr>
      </w:pPr>
      <w:r w:rsidRPr="00FF099B">
        <w:rPr>
          <w:rFonts w:asciiTheme="majorHAnsi" w:hAnsiTheme="majorHAnsi"/>
          <w:b/>
          <w:caps/>
        </w:rPr>
        <w:t>1.1 Background and Motivation</w:t>
      </w:r>
    </w:p>
    <w:p w:rsidR="00E664E4" w:rsidRDefault="00E664E4" w:rsidP="00E664E4">
      <w:r w:rsidRPr="00FF099B">
        <w:t xml:space="preserve">This section provides the background necessary to understand the motivation of the research discussed in this dissertation. </w:t>
      </w:r>
      <w:r>
        <w:t>Included in t</w:t>
      </w:r>
      <w:r w:rsidRPr="00FF099B">
        <w:t xml:space="preserve">his section </w:t>
      </w:r>
      <w:r>
        <w:t xml:space="preserve">is </w:t>
      </w:r>
      <w:r w:rsidRPr="00FF099B">
        <w:t xml:space="preserve">a brief overview of the nuclear fuel cycle, methods for the conversion of uranium ore concentrate to uranium hexafluoride, </w:t>
      </w:r>
      <w:r>
        <w:t xml:space="preserve">and the </w:t>
      </w:r>
      <w:r w:rsidRPr="00FF099B">
        <w:t>current IAEA safeguards policy</w:t>
      </w:r>
      <w:r>
        <w:t xml:space="preserve"> for natural uranium conversion plants</w:t>
      </w:r>
      <w:r w:rsidRPr="004B0781">
        <w:t>.</w:t>
      </w:r>
      <w:r w:rsidRPr="00FF099B">
        <w:t xml:space="preserve"> </w:t>
      </w:r>
    </w:p>
    <w:p w:rsidR="00E664E4" w:rsidRDefault="00E664E4" w:rsidP="00E664E4"/>
    <w:p w:rsidR="00E664E4" w:rsidRPr="00EC23A9" w:rsidRDefault="00E664E4" w:rsidP="00E664E4">
      <w:pPr>
        <w:rPr>
          <w:rFonts w:asciiTheme="majorHAnsi" w:hAnsiTheme="majorHAnsi"/>
          <w:b/>
        </w:rPr>
      </w:pPr>
      <w:r w:rsidRPr="00EC23A9">
        <w:rPr>
          <w:rFonts w:asciiTheme="majorHAnsi" w:hAnsiTheme="majorHAnsi"/>
          <w:b/>
        </w:rPr>
        <w:t>1.1.1 Overview of the Nuclear Fuel Cycle</w:t>
      </w:r>
    </w:p>
    <w:p w:rsidR="00E664E4" w:rsidRPr="00E85255" w:rsidRDefault="00E664E4" w:rsidP="00E664E4">
      <w:r w:rsidRPr="00E85255">
        <w:t>The work discussed here applies to the upstream conversion process of the nuclear fuel cycle of which the final product is UF</w:t>
      </w:r>
      <w:r w:rsidRPr="00EC23A9">
        <w:rPr>
          <w:vertAlign w:val="subscript"/>
        </w:rPr>
        <w:t>6</w:t>
      </w:r>
      <w:r w:rsidRPr="00E85255">
        <w:t>. A short overview of the nuclear fuel cycle is provided</w:t>
      </w:r>
      <w:r>
        <w:t xml:space="preserve"> to describe where in the cycle conversion takes place</w:t>
      </w:r>
      <w:r w:rsidRPr="00E85255">
        <w:t xml:space="preserve">. </w:t>
      </w:r>
    </w:p>
    <w:p w:rsidR="00E664E4" w:rsidRDefault="00E664E4" w:rsidP="00E664E4">
      <w:r w:rsidRPr="00E85255">
        <w:t>The nuclear fuel cycle is a series of industrial processes in which uranium is recovered from the earth for use in nuclear reactors for power production or for the production of nuclear weapons. The activities associated with the nuclear fuel cycle (Fig</w:t>
      </w:r>
      <w:r>
        <w:t>ure</w:t>
      </w:r>
      <w:r w:rsidRPr="00E85255">
        <w:t xml:space="preserve"> 1</w:t>
      </w:r>
      <w:r>
        <w:t>.1</w:t>
      </w:r>
      <w:r w:rsidRPr="00E85255">
        <w:t xml:space="preserve">) include: uranium mining and milling, conversion of </w:t>
      </w:r>
      <w:proofErr w:type="spellStart"/>
      <w:r>
        <w:t>triuranium</w:t>
      </w:r>
      <w:proofErr w:type="spellEnd"/>
      <w:r>
        <w:t xml:space="preserve"> </w:t>
      </w:r>
      <w:proofErr w:type="spellStart"/>
      <w:r>
        <w:t>octoxide</w:t>
      </w:r>
      <w:proofErr w:type="spellEnd"/>
      <w:r>
        <w:t xml:space="preserve"> (</w:t>
      </w:r>
      <w:r w:rsidRPr="00E85255">
        <w:t>U</w:t>
      </w:r>
      <w:r w:rsidRPr="00DF4CA2">
        <w:rPr>
          <w:vertAlign w:val="subscript"/>
        </w:rPr>
        <w:t>3</w:t>
      </w:r>
      <w:r w:rsidRPr="00E85255">
        <w:t>O</w:t>
      </w:r>
      <w:r w:rsidRPr="00DF4CA2">
        <w:rPr>
          <w:vertAlign w:val="subscript"/>
        </w:rPr>
        <w:t>8</w:t>
      </w:r>
      <w:r>
        <w:t>)</w:t>
      </w:r>
      <w:r w:rsidRPr="00E85255">
        <w:t xml:space="preserve"> to gaseous </w:t>
      </w:r>
      <w:r>
        <w:t>uranium hexafluoride (</w:t>
      </w:r>
      <w:r w:rsidRPr="00E85255">
        <w:t>UF</w:t>
      </w:r>
      <w:r w:rsidRPr="00DF4CA2">
        <w:rPr>
          <w:vertAlign w:val="subscript"/>
        </w:rPr>
        <w:t>6</w:t>
      </w:r>
      <w:r>
        <w:t>)</w:t>
      </w:r>
      <w:r w:rsidRPr="00E85255">
        <w:t xml:space="preserve">, enrichment in the </w:t>
      </w:r>
      <w:r w:rsidRPr="00DF4CA2">
        <w:rPr>
          <w:vertAlign w:val="superscript"/>
        </w:rPr>
        <w:t>235</w:t>
      </w:r>
      <w:r w:rsidRPr="00E85255">
        <w:t>U isotope, fuel fabrication, energy production at power reactors, spent fuel storage, and finally direct disposal or reprocessing and recycling of the spent fuel. The nuclear fuel cycle is well known and discussed in detail by Benedict</w:t>
      </w:r>
      <w:r>
        <w:t xml:space="preserve">, </w:t>
      </w:r>
      <w:proofErr w:type="spellStart"/>
      <w:r>
        <w:t>Pigford</w:t>
      </w:r>
      <w:proofErr w:type="spellEnd"/>
      <w:r>
        <w:t xml:space="preserve">, and Levi </w:t>
      </w:r>
      <w:r w:rsidRPr="00E85255">
        <w:t>1981</w:t>
      </w:r>
      <w:r>
        <w:t>;</w:t>
      </w:r>
      <w:r w:rsidRPr="00E85255">
        <w:t xml:space="preserve"> Cochran and </w:t>
      </w:r>
      <w:proofErr w:type="spellStart"/>
      <w:r w:rsidRPr="00E85255">
        <w:t>Tsoulfanidis</w:t>
      </w:r>
      <w:proofErr w:type="spellEnd"/>
      <w:r w:rsidRPr="00E85255">
        <w:t xml:space="preserve"> 1990</w:t>
      </w:r>
      <w:r>
        <w:t>;</w:t>
      </w:r>
      <w:r w:rsidRPr="00E85255">
        <w:t xml:space="preserve"> and </w:t>
      </w:r>
      <w:proofErr w:type="spellStart"/>
      <w:r w:rsidRPr="00D77D8A">
        <w:t>Moghissi</w:t>
      </w:r>
      <w:proofErr w:type="spellEnd"/>
      <w:r w:rsidRPr="00D77D8A">
        <w:t xml:space="preserve">, </w:t>
      </w:r>
      <w:proofErr w:type="spellStart"/>
      <w:r w:rsidRPr="00D77D8A">
        <w:t>Godbee</w:t>
      </w:r>
      <w:proofErr w:type="spellEnd"/>
      <w:r w:rsidRPr="00D77D8A">
        <w:t xml:space="preserve">, and </w:t>
      </w:r>
      <w:proofErr w:type="spellStart"/>
      <w:r w:rsidRPr="00D77D8A">
        <w:t>Hobert</w:t>
      </w:r>
      <w:proofErr w:type="spellEnd"/>
      <w:r>
        <w:t xml:space="preserve"> 1992</w:t>
      </w:r>
      <w:r w:rsidRPr="00E85255">
        <w:t xml:space="preserve">. </w:t>
      </w:r>
    </w:p>
    <w:p w:rsidR="00E664E4" w:rsidRDefault="00E664E4" w:rsidP="00E664E4">
      <w:pPr>
        <w:jc w:val="center"/>
      </w:pPr>
      <w:r>
        <w:rPr>
          <w:noProof/>
        </w:rPr>
        <w:lastRenderedPageBreak/>
        <w:drawing>
          <wp:inline distT="0" distB="0" distL="0" distR="0" wp14:anchorId="1D662C17" wp14:editId="73B63562">
            <wp:extent cx="4076191" cy="4066667"/>
            <wp:effectExtent l="19050" t="0" r="509" b="0"/>
            <wp:docPr id="1" name="Picture 0" descr="IAEA_FuelCycl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AEA_FuelCycle.bmp"/>
                    <pic:cNvPicPr/>
                  </pic:nvPicPr>
                  <pic:blipFill>
                    <a:blip r:embed="rId13" cstate="print"/>
                    <a:stretch>
                      <a:fillRect/>
                    </a:stretch>
                  </pic:blipFill>
                  <pic:spPr>
                    <a:xfrm>
                      <a:off x="0" y="0"/>
                      <a:ext cx="4076191" cy="4066667"/>
                    </a:xfrm>
                    <a:prstGeom prst="rect">
                      <a:avLst/>
                    </a:prstGeom>
                  </pic:spPr>
                </pic:pic>
              </a:graphicData>
            </a:graphic>
          </wp:inline>
        </w:drawing>
      </w:r>
    </w:p>
    <w:p w:rsidR="00E664E4" w:rsidRDefault="00E664E4" w:rsidP="00E664E4">
      <w:pPr>
        <w:rPr>
          <w:sz w:val="20"/>
          <w:szCs w:val="20"/>
        </w:rPr>
      </w:pPr>
      <w:proofErr w:type="gramStart"/>
      <w:r w:rsidRPr="007821D3">
        <w:rPr>
          <w:b/>
          <w:sz w:val="20"/>
          <w:szCs w:val="20"/>
        </w:rPr>
        <w:t>Figure 1.</w:t>
      </w:r>
      <w:r>
        <w:rPr>
          <w:b/>
          <w:sz w:val="20"/>
          <w:szCs w:val="20"/>
        </w:rPr>
        <w:t>1.</w:t>
      </w:r>
      <w:proofErr w:type="gramEnd"/>
      <w:r w:rsidRPr="007821D3">
        <w:rPr>
          <w:b/>
          <w:sz w:val="20"/>
          <w:szCs w:val="20"/>
        </w:rPr>
        <w:t xml:space="preserve"> </w:t>
      </w:r>
      <w:proofErr w:type="gramStart"/>
      <w:r w:rsidRPr="007821D3">
        <w:rPr>
          <w:b/>
          <w:sz w:val="20"/>
          <w:szCs w:val="20"/>
        </w:rPr>
        <w:t>The Nuclear Fuel Cycle.</w:t>
      </w:r>
      <w:proofErr w:type="gramEnd"/>
      <w:r w:rsidRPr="007821D3">
        <w:rPr>
          <w:sz w:val="20"/>
          <w:szCs w:val="20"/>
        </w:rPr>
        <w:t xml:space="preserve"> The step where safeguarding is being discussed here is the ‘Conversion’ process</w:t>
      </w:r>
      <w:r>
        <w:rPr>
          <w:sz w:val="20"/>
          <w:szCs w:val="20"/>
        </w:rPr>
        <w:t xml:space="preserve">. </w:t>
      </w:r>
      <w:r w:rsidRPr="007821D3">
        <w:rPr>
          <w:sz w:val="20"/>
          <w:szCs w:val="20"/>
        </w:rPr>
        <w:t xml:space="preserve">(Source: </w:t>
      </w:r>
      <w:r>
        <w:rPr>
          <w:sz w:val="20"/>
          <w:szCs w:val="20"/>
        </w:rPr>
        <w:t>International Atomic Energy Agency (</w:t>
      </w:r>
      <w:r w:rsidRPr="007821D3">
        <w:rPr>
          <w:sz w:val="20"/>
          <w:szCs w:val="20"/>
        </w:rPr>
        <w:t>IAEA</w:t>
      </w:r>
      <w:r>
        <w:rPr>
          <w:sz w:val="20"/>
          <w:szCs w:val="20"/>
        </w:rPr>
        <w:t>)</w:t>
      </w:r>
      <w:r w:rsidRPr="007821D3">
        <w:rPr>
          <w:sz w:val="20"/>
          <w:szCs w:val="20"/>
        </w:rPr>
        <w:t xml:space="preserve">, </w:t>
      </w:r>
      <w:hyperlink r:id="rId14" w:history="1">
        <w:r w:rsidRPr="007821D3">
          <w:rPr>
            <w:rStyle w:val="Hyperlink"/>
            <w:sz w:val="20"/>
            <w:szCs w:val="20"/>
          </w:rPr>
          <w:t>http://www.iaea.org/OurWork/ST/NE/NEFW/Technical_Areas/NFC/home.html</w:t>
        </w:r>
      </w:hyperlink>
      <w:r w:rsidRPr="007821D3">
        <w:rPr>
          <w:sz w:val="20"/>
          <w:szCs w:val="20"/>
        </w:rPr>
        <w:t>).</w:t>
      </w:r>
    </w:p>
    <w:p w:rsidR="00E664E4" w:rsidRDefault="00E664E4" w:rsidP="00E664E4">
      <w:pPr>
        <w:rPr>
          <w:sz w:val="20"/>
          <w:szCs w:val="20"/>
        </w:rPr>
      </w:pPr>
    </w:p>
    <w:p w:rsidR="00E664E4" w:rsidRPr="00C43289" w:rsidRDefault="00E664E4" w:rsidP="00E664E4">
      <w:pPr>
        <w:rPr>
          <w:rFonts w:asciiTheme="majorHAnsi" w:hAnsiTheme="majorHAnsi"/>
          <w:b/>
        </w:rPr>
      </w:pPr>
      <w:r w:rsidRPr="00C43289">
        <w:rPr>
          <w:rFonts w:asciiTheme="majorHAnsi" w:hAnsiTheme="majorHAnsi"/>
          <w:b/>
        </w:rPr>
        <w:t>1.1.2 Methods of Converting Uranium Ore to Uranium Hexafluoride</w:t>
      </w:r>
    </w:p>
    <w:p w:rsidR="00E664E4" w:rsidRPr="009C0F8C" w:rsidRDefault="00E664E4" w:rsidP="00E664E4">
      <w:r w:rsidRPr="009C0F8C">
        <w:t>The uranium oxide product of the uranium mining and milling process is not directly usable for enrichment or fuel fabrication and must undergo additional processing. Conversion plants purify the uranium ore received from the mining and milling operation of the nuclear fuel cycle and then convert it to a gaseous form prior to shipment to an enrichment plant. According to the IAEA Nuclear Fuel Cycle Information System (</w:t>
      </w:r>
      <w:hyperlink r:id="rId15" w:history="1">
        <w:r w:rsidRPr="009C0F8C">
          <w:rPr>
            <w:rStyle w:val="Hyperlink"/>
          </w:rPr>
          <w:t>http://www-nfcis.iaea.org</w:t>
        </w:r>
      </w:hyperlink>
      <w:r w:rsidRPr="009C0F8C">
        <w:t xml:space="preserve">), </w:t>
      </w:r>
      <w:r>
        <w:t xml:space="preserve">operating </w:t>
      </w:r>
      <w:r w:rsidRPr="009C0F8C">
        <w:t xml:space="preserve">conversion plants are located worldwide with a </w:t>
      </w:r>
      <w:r>
        <w:t xml:space="preserve">total </w:t>
      </w:r>
      <w:r w:rsidRPr="009C0F8C">
        <w:t>estimated design capacity of ~</w:t>
      </w:r>
      <w:r>
        <w:t>1</w:t>
      </w:r>
      <w:r w:rsidRPr="009C0F8C">
        <w:t>75,000</w:t>
      </w:r>
      <w:r>
        <w:t xml:space="preserve"> MTU/yr. The </w:t>
      </w:r>
      <w:r w:rsidRPr="009C0F8C">
        <w:t xml:space="preserve">actual production rate is </w:t>
      </w:r>
      <w:r>
        <w:t>less than half the design capacity</w:t>
      </w:r>
      <w:r w:rsidRPr="009C0F8C">
        <w:t xml:space="preserve"> which supports more than 400 nuclear power plants. Conversion plants can be classified into three categories based on production capacity: small (100 MTU/</w:t>
      </w:r>
      <w:proofErr w:type="spellStart"/>
      <w:r w:rsidRPr="009C0F8C">
        <w:t>yr</w:t>
      </w:r>
      <w:proofErr w:type="spellEnd"/>
      <w:r w:rsidRPr="009C0F8C">
        <w:t>), medium (1</w:t>
      </w:r>
      <w:r>
        <w:t>,</w:t>
      </w:r>
      <w:r w:rsidRPr="009C0F8C">
        <w:t>000 MTU/</w:t>
      </w:r>
      <w:proofErr w:type="spellStart"/>
      <w:r w:rsidRPr="009C0F8C">
        <w:t>yr</w:t>
      </w:r>
      <w:proofErr w:type="spellEnd"/>
      <w:r w:rsidRPr="009C0F8C">
        <w:t>), or large (10,000 MTU/</w:t>
      </w:r>
      <w:proofErr w:type="spellStart"/>
      <w:r w:rsidRPr="009C0F8C">
        <w:t>yr</w:t>
      </w:r>
      <w:proofErr w:type="spellEnd"/>
      <w:r w:rsidRPr="009C0F8C">
        <w:t>). These plants use some variation of the two processes discussed in this section. The work reported here is focused specifically on a 100 MTU/</w:t>
      </w:r>
      <w:proofErr w:type="spellStart"/>
      <w:r w:rsidRPr="009C0F8C">
        <w:t>yr</w:t>
      </w:r>
      <w:proofErr w:type="spellEnd"/>
      <w:r w:rsidRPr="009C0F8C">
        <w:t xml:space="preserve"> NUCP using the wet solvent extraction process.</w:t>
      </w:r>
    </w:p>
    <w:p w:rsidR="00E664E4" w:rsidRPr="00BE292D" w:rsidRDefault="00E664E4" w:rsidP="00E664E4">
      <w:r w:rsidRPr="009C0F8C">
        <w:lastRenderedPageBreak/>
        <w:t xml:space="preserve">The following is a review of common conversion methods used in various NUCPs. </w:t>
      </w:r>
      <w:proofErr w:type="spellStart"/>
      <w:r w:rsidRPr="00D77D8A">
        <w:t>Moghissi</w:t>
      </w:r>
      <w:proofErr w:type="spellEnd"/>
      <w:r w:rsidRPr="00D77D8A">
        <w:t xml:space="preserve">, </w:t>
      </w:r>
      <w:proofErr w:type="spellStart"/>
      <w:r w:rsidRPr="00D77D8A">
        <w:t>Godbee</w:t>
      </w:r>
      <w:proofErr w:type="spellEnd"/>
      <w:r w:rsidRPr="00D77D8A">
        <w:t xml:space="preserve">, and </w:t>
      </w:r>
      <w:proofErr w:type="spellStart"/>
      <w:r w:rsidRPr="00D77D8A">
        <w:t>Hobert</w:t>
      </w:r>
      <w:proofErr w:type="spellEnd"/>
      <w:r>
        <w:t xml:space="preserve"> 1992 </w:t>
      </w:r>
      <w:r w:rsidRPr="009C0F8C">
        <w:t xml:space="preserve">states that the reason </w:t>
      </w:r>
      <w:r>
        <w:t>for conversion is</w:t>
      </w:r>
      <w:r w:rsidRPr="009C0F8C">
        <w:t xml:space="preserve"> “uranium concentrate from milling operations is free of the bulk of the ore components, but is still far from pure enough for use in fuel.” The uranium ore concentrate (UOC) </w:t>
      </w:r>
      <w:r>
        <w:t xml:space="preserve">from the mining and milling operation </w:t>
      </w:r>
      <w:r w:rsidRPr="009C0F8C">
        <w:t xml:space="preserve">contains </w:t>
      </w:r>
      <w:r>
        <w:t xml:space="preserve">at least </w:t>
      </w:r>
      <w:r w:rsidRPr="009C0F8C">
        <w:t>75% U</w:t>
      </w:r>
      <w:r w:rsidRPr="00BE292D">
        <w:rPr>
          <w:vertAlign w:val="subscript"/>
        </w:rPr>
        <w:t>3</w:t>
      </w:r>
      <w:r w:rsidRPr="009C0F8C">
        <w:t>O</w:t>
      </w:r>
      <w:r w:rsidRPr="00BE292D">
        <w:rPr>
          <w:vertAlign w:val="subscript"/>
        </w:rPr>
        <w:t>8</w:t>
      </w:r>
      <w:r w:rsidRPr="009C0F8C">
        <w:t>. The UOC becomes the feed material to a conversion plant. At the conversion plant the UOC is submitted to a series of operations which remove impurities and eventually convert the U</w:t>
      </w:r>
      <w:r w:rsidRPr="00BE292D">
        <w:rPr>
          <w:vertAlign w:val="subscript"/>
        </w:rPr>
        <w:t>3</w:t>
      </w:r>
      <w:r w:rsidRPr="009C0F8C">
        <w:t>O</w:t>
      </w:r>
      <w:r w:rsidRPr="00BE292D">
        <w:rPr>
          <w:vertAlign w:val="subscript"/>
        </w:rPr>
        <w:t>8</w:t>
      </w:r>
      <w:r w:rsidRPr="009C0F8C">
        <w:t xml:space="preserve"> to gaseous UF</w:t>
      </w:r>
      <w:r w:rsidRPr="00BE292D">
        <w:rPr>
          <w:vertAlign w:val="subscript"/>
        </w:rPr>
        <w:t>6</w:t>
      </w:r>
      <w:r w:rsidRPr="009C0F8C">
        <w:t xml:space="preserve"> which is then in the necessary form for subsequent isotopic enrichment by the gaseous diffusion or gas centrifuge process (</w:t>
      </w:r>
      <w:proofErr w:type="spellStart"/>
      <w:r w:rsidRPr="00D77D8A">
        <w:t>Moghissi</w:t>
      </w:r>
      <w:proofErr w:type="spellEnd"/>
      <w:r w:rsidRPr="00D77D8A">
        <w:t xml:space="preserve">, </w:t>
      </w:r>
      <w:proofErr w:type="spellStart"/>
      <w:r w:rsidRPr="00D77D8A">
        <w:t>Godbee</w:t>
      </w:r>
      <w:proofErr w:type="spellEnd"/>
      <w:r w:rsidRPr="00D77D8A">
        <w:t xml:space="preserve">, and </w:t>
      </w:r>
      <w:proofErr w:type="spellStart"/>
      <w:r w:rsidRPr="00D77D8A">
        <w:t>Hobert</w:t>
      </w:r>
      <w:proofErr w:type="spellEnd"/>
      <w:r>
        <w:t xml:space="preserve"> 1992</w:t>
      </w:r>
      <w:r w:rsidRPr="009C0F8C">
        <w:t xml:space="preserve">). Two methods are available for purification from the uranium ore concentrate (dry </w:t>
      </w:r>
      <w:proofErr w:type="spellStart"/>
      <w:r w:rsidRPr="009C0F8C">
        <w:t>hydrofluor</w:t>
      </w:r>
      <w:proofErr w:type="spellEnd"/>
      <w:r w:rsidRPr="009C0F8C">
        <w:t xml:space="preserve"> process or wet solvent extraction process). The wet solvent extraction method is the most common method and will be </w:t>
      </w:r>
      <w:r w:rsidRPr="00BE292D">
        <w:t>discussed below.</w:t>
      </w:r>
    </w:p>
    <w:p w:rsidR="00E664E4" w:rsidRPr="00BE292D" w:rsidRDefault="00E664E4" w:rsidP="00E664E4">
      <w:r w:rsidRPr="00BE292D">
        <w:t>The wet process uses solvent extraction to purify the U</w:t>
      </w:r>
      <w:r w:rsidRPr="00BE292D">
        <w:rPr>
          <w:vertAlign w:val="subscript"/>
        </w:rPr>
        <w:t>3</w:t>
      </w:r>
      <w:r w:rsidRPr="00BE292D">
        <w:t>O</w:t>
      </w:r>
      <w:r w:rsidRPr="00BE292D">
        <w:rPr>
          <w:vertAlign w:val="subscript"/>
        </w:rPr>
        <w:t>8</w:t>
      </w:r>
      <w:r w:rsidRPr="00BE292D">
        <w:t xml:space="preserve"> feed material before eventual conversion to UF</w:t>
      </w:r>
      <w:r w:rsidRPr="00BE292D">
        <w:rPr>
          <w:vertAlign w:val="subscript"/>
        </w:rPr>
        <w:t>6</w:t>
      </w:r>
      <w:r w:rsidRPr="00BE292D">
        <w:t>. This method separates impurities by preferentially extracting the uranium into an organic solvent, leaving other constituents in the aqueous phase. The method generally consists of the following operations:</w:t>
      </w:r>
    </w:p>
    <w:p w:rsidR="00E664E4" w:rsidRPr="00BE292D" w:rsidRDefault="00E664E4" w:rsidP="00E664E4">
      <w:pPr>
        <w:pStyle w:val="ListParagraph"/>
        <w:numPr>
          <w:ilvl w:val="0"/>
          <w:numId w:val="2"/>
        </w:numPr>
      </w:pPr>
      <w:r w:rsidRPr="00BE292D">
        <w:t>Preprocess handling, weighing, sampling, and storage;</w:t>
      </w:r>
    </w:p>
    <w:p w:rsidR="00E664E4" w:rsidRPr="00BE292D" w:rsidRDefault="00E664E4" w:rsidP="00E664E4">
      <w:pPr>
        <w:pStyle w:val="ListParagraph"/>
        <w:numPr>
          <w:ilvl w:val="0"/>
          <w:numId w:val="2"/>
        </w:numPr>
      </w:pPr>
      <w:r w:rsidRPr="00BE292D">
        <w:t>Digestion in hot nitric acid;</w:t>
      </w:r>
    </w:p>
    <w:p w:rsidR="00E664E4" w:rsidRPr="00BE292D" w:rsidRDefault="00E664E4" w:rsidP="00E664E4">
      <w:pPr>
        <w:pStyle w:val="ListParagraph"/>
        <w:numPr>
          <w:ilvl w:val="0"/>
          <w:numId w:val="2"/>
        </w:numPr>
      </w:pPr>
      <w:r w:rsidRPr="00BE292D">
        <w:t xml:space="preserve">Countercurrent solvent extraction with </w:t>
      </w:r>
      <w:proofErr w:type="spellStart"/>
      <w:r w:rsidRPr="00BE292D">
        <w:t>tributyl</w:t>
      </w:r>
      <w:proofErr w:type="spellEnd"/>
      <w:r w:rsidRPr="00BE292D">
        <w:t xml:space="preserve"> phosphate (TBP) in kerosene;</w:t>
      </w:r>
    </w:p>
    <w:p w:rsidR="00E664E4" w:rsidRPr="00BE292D" w:rsidRDefault="00E664E4" w:rsidP="00E664E4">
      <w:pPr>
        <w:pStyle w:val="ListParagraph"/>
        <w:numPr>
          <w:ilvl w:val="0"/>
          <w:numId w:val="2"/>
        </w:numPr>
      </w:pPr>
      <w:proofErr w:type="spellStart"/>
      <w:r w:rsidRPr="00BE292D">
        <w:t>Reextraction</w:t>
      </w:r>
      <w:proofErr w:type="spellEnd"/>
      <w:r w:rsidRPr="00BE292D">
        <w:t xml:space="preserve"> of uran</w:t>
      </w:r>
      <w:r>
        <w:t>ium as uranyl nitrate solution [</w:t>
      </w:r>
      <w:r w:rsidRPr="00BE292D">
        <w:t>UO</w:t>
      </w:r>
      <w:r w:rsidRPr="00BE292D">
        <w:rPr>
          <w:vertAlign w:val="subscript"/>
        </w:rPr>
        <w:t>2</w:t>
      </w:r>
      <w:r w:rsidRPr="00BE292D">
        <w:t>(NO</w:t>
      </w:r>
      <w:r w:rsidRPr="00BE292D">
        <w:rPr>
          <w:vertAlign w:val="subscript"/>
        </w:rPr>
        <w:t>3</w:t>
      </w:r>
      <w:r w:rsidRPr="00BE292D">
        <w:t>)</w:t>
      </w:r>
      <w:r w:rsidRPr="00BE292D">
        <w:rPr>
          <w:vertAlign w:val="subscript"/>
        </w:rPr>
        <w:t>2</w:t>
      </w:r>
      <w:r>
        <w:t>]</w:t>
      </w:r>
      <w:r w:rsidRPr="00BE292D">
        <w:t>;</w:t>
      </w:r>
    </w:p>
    <w:p w:rsidR="00E664E4" w:rsidRPr="00BE292D" w:rsidRDefault="00E664E4" w:rsidP="00E664E4">
      <w:pPr>
        <w:pStyle w:val="ListParagraph"/>
        <w:numPr>
          <w:ilvl w:val="0"/>
          <w:numId w:val="2"/>
        </w:numPr>
      </w:pPr>
      <w:r w:rsidRPr="00BE292D">
        <w:t xml:space="preserve">Calcination to </w:t>
      </w:r>
      <w:r>
        <w:t>uranium trioxide (</w:t>
      </w:r>
      <w:r w:rsidRPr="00BE292D">
        <w:t>UO</w:t>
      </w:r>
      <w:r w:rsidRPr="00BE292D">
        <w:rPr>
          <w:vertAlign w:val="subscript"/>
        </w:rPr>
        <w:t>3</w:t>
      </w:r>
      <w:r>
        <w:t xml:space="preserve">), precipitation of ammonium </w:t>
      </w:r>
      <w:proofErr w:type="spellStart"/>
      <w:r>
        <w:t>diuranate</w:t>
      </w:r>
      <w:proofErr w:type="spellEnd"/>
      <w:r>
        <w:t xml:space="preserve"> (ADU), or precipitation of ammonium uranyl carbonate (AUC);</w:t>
      </w:r>
    </w:p>
    <w:p w:rsidR="00E664E4" w:rsidRPr="00BE292D" w:rsidRDefault="00E664E4" w:rsidP="00E664E4">
      <w:pPr>
        <w:pStyle w:val="ListParagraph"/>
        <w:numPr>
          <w:ilvl w:val="0"/>
          <w:numId w:val="2"/>
        </w:numPr>
      </w:pPr>
      <w:r w:rsidRPr="00BE292D">
        <w:t>Fluidized-bed reduction with hydrogen from cracked ammonia to UO</w:t>
      </w:r>
      <w:r w:rsidRPr="00BE292D">
        <w:rPr>
          <w:vertAlign w:val="subscript"/>
        </w:rPr>
        <w:t>2</w:t>
      </w:r>
      <w:r w:rsidRPr="00BE292D">
        <w:t>;</w:t>
      </w:r>
    </w:p>
    <w:p w:rsidR="00E664E4" w:rsidRPr="00BE292D" w:rsidRDefault="00E664E4" w:rsidP="00E664E4">
      <w:pPr>
        <w:pStyle w:val="ListParagraph"/>
        <w:numPr>
          <w:ilvl w:val="0"/>
          <w:numId w:val="2"/>
        </w:numPr>
      </w:pPr>
      <w:r w:rsidRPr="00BE292D">
        <w:t xml:space="preserve">Fluidized-bed </w:t>
      </w:r>
      <w:proofErr w:type="spellStart"/>
      <w:r w:rsidRPr="00BE292D">
        <w:t>hydrofluorination</w:t>
      </w:r>
      <w:proofErr w:type="spellEnd"/>
      <w:r w:rsidRPr="00BE292D">
        <w:t xml:space="preserve"> in a two-stage countercurrent reactor to form UF</w:t>
      </w:r>
      <w:r w:rsidRPr="00BE292D">
        <w:rPr>
          <w:vertAlign w:val="subscript"/>
        </w:rPr>
        <w:t>4</w:t>
      </w:r>
      <w:r w:rsidRPr="00BE292D">
        <w:t xml:space="preserve"> using anhydrous </w:t>
      </w:r>
      <w:r>
        <w:t>hydrogen fluoride (</w:t>
      </w:r>
      <w:r w:rsidRPr="00BE292D">
        <w:t>HF</w:t>
      </w:r>
      <w:r>
        <w:t>)</w:t>
      </w:r>
      <w:r w:rsidRPr="00BE292D">
        <w:t>; and</w:t>
      </w:r>
    </w:p>
    <w:p w:rsidR="00E664E4" w:rsidRPr="00BE292D" w:rsidRDefault="00E664E4" w:rsidP="00E664E4">
      <w:pPr>
        <w:pStyle w:val="ListParagraph"/>
        <w:numPr>
          <w:ilvl w:val="0"/>
          <w:numId w:val="2"/>
        </w:numPr>
      </w:pPr>
      <w:r w:rsidRPr="00BE292D">
        <w:t>Flame reactor fluorination to UF</w:t>
      </w:r>
      <w:r w:rsidRPr="00BE292D">
        <w:rPr>
          <w:vertAlign w:val="subscript"/>
        </w:rPr>
        <w:t>6</w:t>
      </w:r>
      <w:r w:rsidRPr="00BE292D">
        <w:t xml:space="preserve"> by reaction with fluorine gas</w:t>
      </w:r>
      <w:r>
        <w:t xml:space="preserve"> (F</w:t>
      </w:r>
      <w:r w:rsidRPr="00DE1220">
        <w:rPr>
          <w:vertAlign w:val="subscript"/>
        </w:rPr>
        <w:t>2</w:t>
      </w:r>
      <w:r>
        <w:t>)</w:t>
      </w:r>
      <w:r w:rsidRPr="00BE292D">
        <w:t xml:space="preserve"> (</w:t>
      </w:r>
      <w:proofErr w:type="spellStart"/>
      <w:r w:rsidRPr="00D77D8A">
        <w:t>Moghissi</w:t>
      </w:r>
      <w:proofErr w:type="spellEnd"/>
      <w:r w:rsidRPr="00D77D8A">
        <w:t xml:space="preserve">, </w:t>
      </w:r>
      <w:proofErr w:type="spellStart"/>
      <w:r w:rsidRPr="00D77D8A">
        <w:t>Godbee</w:t>
      </w:r>
      <w:proofErr w:type="spellEnd"/>
      <w:r w:rsidRPr="00D77D8A">
        <w:t xml:space="preserve">, and </w:t>
      </w:r>
      <w:proofErr w:type="spellStart"/>
      <w:r w:rsidRPr="00D77D8A">
        <w:t>Hobert</w:t>
      </w:r>
      <w:proofErr w:type="spellEnd"/>
      <w:r>
        <w:t xml:space="preserve"> 1992</w:t>
      </w:r>
      <w:r w:rsidRPr="00BE292D">
        <w:t>).</w:t>
      </w:r>
    </w:p>
    <w:p w:rsidR="00E664E4" w:rsidRDefault="00E664E4" w:rsidP="00E664E4">
      <w:r w:rsidRPr="00BE292D">
        <w:t xml:space="preserve">The actual wet conversion method employed by an NUCP is based on the size of the plant. Figure </w:t>
      </w:r>
      <w:r>
        <w:t>1.</w:t>
      </w:r>
      <w:r w:rsidRPr="00BE292D">
        <w:t xml:space="preserve">2 shows a simplified flow diagram of the conversion process; the left side represents the processing steps most frequently used in small-scale chemical conversion plants while the right side shows the processes used in medium and large plants. A generic production process for natural uranium conversion using the wet method begins with yellowcake dissolution with nitric acid, followed by purification using solvent extraction techniques, and then evaporation to produce a concentrated, purified uranyl nitrate solution. For small plants, ammonia or </w:t>
      </w:r>
      <w:r>
        <w:t>ammonium hydroxide/</w:t>
      </w:r>
      <w:r w:rsidRPr="00BE292D">
        <w:t xml:space="preserve">carbon </w:t>
      </w:r>
      <w:proofErr w:type="gramStart"/>
      <w:r w:rsidRPr="00BE292D">
        <w:t>dioxide are</w:t>
      </w:r>
      <w:proofErr w:type="gramEnd"/>
      <w:r w:rsidRPr="00BE292D">
        <w:t xml:space="preserve"> used to convert uranyl nitrate to a precipitate of ADU or AUC, respectively. After precipitation, calcination in the presence of hydrogen produces UO</w:t>
      </w:r>
      <w:r w:rsidRPr="006A7BA3">
        <w:rPr>
          <w:vertAlign w:val="subscript"/>
        </w:rPr>
        <w:t>2</w:t>
      </w:r>
      <w:r w:rsidRPr="00BE292D">
        <w:t xml:space="preserve"> powder. Precipitation processes can be operated in a continuous mode, but are well suited to batch production techniques typical of small</w:t>
      </w:r>
      <w:r w:rsidRPr="00BE292D">
        <w:noBreakHyphen/>
        <w:t xml:space="preserve">scale plants. Medium and large plants typically utilize a </w:t>
      </w:r>
      <w:proofErr w:type="spellStart"/>
      <w:r w:rsidRPr="00BE292D">
        <w:t>denitration</w:t>
      </w:r>
      <w:proofErr w:type="spellEnd"/>
      <w:r w:rsidRPr="00BE292D">
        <w:t xml:space="preserve"> process which is more commonly used in continuous operations where higher production capabilities are required. The </w:t>
      </w:r>
      <w:proofErr w:type="spellStart"/>
      <w:r w:rsidRPr="00BE292D">
        <w:t>denitration</w:t>
      </w:r>
      <w:proofErr w:type="spellEnd"/>
      <w:r w:rsidRPr="00BE292D">
        <w:t xml:space="preserve"> process uses heat to dehydrate and </w:t>
      </w:r>
      <w:proofErr w:type="spellStart"/>
      <w:r w:rsidRPr="00BE292D">
        <w:t>denitrate</w:t>
      </w:r>
      <w:proofErr w:type="spellEnd"/>
      <w:r w:rsidRPr="00BE292D">
        <w:t xml:space="preserve"> the </w:t>
      </w:r>
      <w:r w:rsidRPr="00BE292D">
        <w:lastRenderedPageBreak/>
        <w:t>purified uranyl nitrate solution and produce UO</w:t>
      </w:r>
      <w:r w:rsidRPr="006A7BA3">
        <w:rPr>
          <w:vertAlign w:val="subscript"/>
        </w:rPr>
        <w:t>3</w:t>
      </w:r>
      <w:r w:rsidRPr="00BE292D">
        <w:t>, followed by oxide reduction with hydrogen to produce UO</w:t>
      </w:r>
      <w:r w:rsidRPr="006A7BA3">
        <w:rPr>
          <w:vertAlign w:val="subscript"/>
        </w:rPr>
        <w:t>2</w:t>
      </w:r>
      <w:r w:rsidRPr="00BE292D">
        <w:t>. Then irrespective of the size of the plant, the UO</w:t>
      </w:r>
      <w:r w:rsidRPr="006A7BA3">
        <w:rPr>
          <w:vertAlign w:val="subscript"/>
        </w:rPr>
        <w:t>2</w:t>
      </w:r>
      <w:r w:rsidRPr="00BE292D">
        <w:t xml:space="preserve"> is </w:t>
      </w:r>
      <w:proofErr w:type="spellStart"/>
      <w:r w:rsidRPr="00BE292D">
        <w:t>hydrofluorinated</w:t>
      </w:r>
      <w:proofErr w:type="spellEnd"/>
      <w:r w:rsidRPr="00BE292D">
        <w:t xml:space="preserve"> to UF</w:t>
      </w:r>
      <w:r w:rsidRPr="006A7BA3">
        <w:rPr>
          <w:vertAlign w:val="subscript"/>
        </w:rPr>
        <w:t>4</w:t>
      </w:r>
      <w:r w:rsidRPr="00BE292D">
        <w:t xml:space="preserve"> using HF. The UF</w:t>
      </w:r>
      <w:r w:rsidRPr="006A7BA3">
        <w:rPr>
          <w:vertAlign w:val="subscript"/>
        </w:rPr>
        <w:t>4</w:t>
      </w:r>
      <w:r w:rsidRPr="00BE292D">
        <w:t xml:space="preserve"> can then be fluorinated into UF</w:t>
      </w:r>
      <w:r w:rsidRPr="006A7BA3">
        <w:rPr>
          <w:vertAlign w:val="subscript"/>
        </w:rPr>
        <w:t>6</w:t>
      </w:r>
      <w:r w:rsidRPr="00BE292D">
        <w:t xml:space="preserve"> using F</w:t>
      </w:r>
      <w:r w:rsidRPr="006A7BA3">
        <w:rPr>
          <w:vertAlign w:val="subscript"/>
        </w:rPr>
        <w:t>2</w:t>
      </w:r>
      <w:r>
        <w:t xml:space="preserve">. However, </w:t>
      </w:r>
      <w:r w:rsidRPr="00BE292D">
        <w:t>the UF</w:t>
      </w:r>
      <w:r w:rsidRPr="006A7BA3">
        <w:rPr>
          <w:vertAlign w:val="subscript"/>
        </w:rPr>
        <w:t>4</w:t>
      </w:r>
      <w:r w:rsidRPr="00BE292D">
        <w:t xml:space="preserve"> can also be reduced to uranium metal using </w:t>
      </w:r>
      <w:r>
        <w:t xml:space="preserve">magnesium or calcium </w:t>
      </w:r>
      <w:r w:rsidRPr="00BE292D">
        <w:t>and heat (</w:t>
      </w:r>
      <w:r>
        <w:t>Faulkner et al.</w:t>
      </w:r>
      <w:r w:rsidRPr="00BE292D">
        <w:t xml:space="preserve"> 2004). </w:t>
      </w:r>
      <w:r>
        <w:t xml:space="preserve">Additionally, other intermediate materials could be diverted from the process or </w:t>
      </w:r>
      <w:r w:rsidRPr="00D644E7">
        <w:t>clandestinely</w:t>
      </w:r>
      <w:r w:rsidRPr="00BE292D">
        <w:t xml:space="preserve"> produced</w:t>
      </w:r>
      <w:r>
        <w:t xml:space="preserve"> and/or obtained material could be substituted into the process. For example, </w:t>
      </w:r>
      <w:r w:rsidRPr="00D644E7">
        <w:t>as shown in Figure 1.2, clandestinely</w:t>
      </w:r>
      <w:r w:rsidRPr="00BE292D">
        <w:t xml:space="preserve"> produced UF</w:t>
      </w:r>
      <w:r w:rsidRPr="006A7BA3">
        <w:rPr>
          <w:vertAlign w:val="subscript"/>
        </w:rPr>
        <w:t>6</w:t>
      </w:r>
      <w:r w:rsidRPr="00BE292D">
        <w:t xml:space="preserve"> (green arrow) could be fed into the process at the precipitation step or UO</w:t>
      </w:r>
      <w:r w:rsidRPr="006A7BA3">
        <w:rPr>
          <w:vertAlign w:val="subscript"/>
        </w:rPr>
        <w:t>2</w:t>
      </w:r>
      <w:r w:rsidRPr="00BE292D">
        <w:t xml:space="preserve"> from the calcination or oxide reduction steps could be diverted for reactor fuel production</w:t>
      </w:r>
      <w:r w:rsidR="008E6F8C">
        <w:t xml:space="preserve">. </w:t>
      </w:r>
    </w:p>
    <w:p w:rsidR="00BD31C2" w:rsidRDefault="00BD31C2" w:rsidP="00E664E4"/>
    <w:p w:rsidR="00BD31C2" w:rsidRPr="003A1BC5" w:rsidRDefault="00BD31C2" w:rsidP="00BD31C2">
      <w:pPr>
        <w:rPr>
          <w:rFonts w:asciiTheme="majorHAnsi" w:hAnsiTheme="majorHAnsi"/>
          <w:b/>
        </w:rPr>
      </w:pPr>
      <w:r w:rsidRPr="003A1BC5">
        <w:rPr>
          <w:rFonts w:asciiTheme="majorHAnsi" w:hAnsiTheme="majorHAnsi"/>
          <w:b/>
        </w:rPr>
        <w:t>1.1.3 Current IAEA Safeguards Policy for Conversion Plants</w:t>
      </w:r>
    </w:p>
    <w:p w:rsidR="00BD31C2" w:rsidRPr="003A1BC5" w:rsidRDefault="00BD31C2" w:rsidP="00BD31C2">
      <w:r w:rsidRPr="003A1BC5">
        <w:t>The objective of IAEA safeguards is outlined in paragraph 28 of INFCIRC/153 (corrected) (IAEA 1972).</w:t>
      </w:r>
    </w:p>
    <w:p w:rsidR="00BD31C2" w:rsidRPr="003A1BC5" w:rsidRDefault="00BD31C2" w:rsidP="00BD31C2">
      <w:pPr>
        <w:ind w:left="720" w:right="720"/>
        <w:jc w:val="both"/>
      </w:pPr>
      <w:r w:rsidRPr="003A1BC5">
        <w:t xml:space="preserve">The objective of safeguards is the timely detection of diversion of significant quantities of </w:t>
      </w:r>
      <w:r w:rsidRPr="003A1BC5">
        <w:rPr>
          <w:i/>
        </w:rPr>
        <w:t>nuclear material</w:t>
      </w:r>
      <w:r w:rsidRPr="003A1BC5">
        <w:t xml:space="preserve"> from peaceful nuclear activities to the manufacture of nuclear weapons or of other nuclear explosive devices or for purposes unknown, and deterrence of such diversion by the risk of early detection.</w:t>
      </w:r>
    </w:p>
    <w:p w:rsidR="00BD31C2" w:rsidRDefault="00BD31C2" w:rsidP="00BD31C2">
      <w:r w:rsidRPr="003A1BC5">
        <w:t xml:space="preserve">Operating in accordance with international agreements, the IAEA has had limited ability to monitor the front end of the nuclear fuel cycle because safeguards programs </w:t>
      </w:r>
      <w:r>
        <w:t xml:space="preserve">have been </w:t>
      </w:r>
      <w:r w:rsidRPr="003A1BC5">
        <w:t>constrained to control nuclear materials at the start of the uranium enrichment processes, with UF</w:t>
      </w:r>
      <w:r w:rsidRPr="005031F2">
        <w:rPr>
          <w:vertAlign w:val="subscript"/>
        </w:rPr>
        <w:t>6</w:t>
      </w:r>
      <w:r w:rsidRPr="003A1BC5">
        <w:t xml:space="preserve"> as its feedstock and </w:t>
      </w:r>
      <w:r w:rsidRPr="001E0FED">
        <w:t>designated as the chemical form of interest (</w:t>
      </w:r>
      <w:proofErr w:type="spellStart"/>
      <w:r>
        <w:t>Ferrada</w:t>
      </w:r>
      <w:proofErr w:type="spellEnd"/>
      <w:r>
        <w:t xml:space="preserve"> 2004</w:t>
      </w:r>
      <w:r w:rsidRPr="001E0FED">
        <w:t>). Since the</w:t>
      </w:r>
      <w:r w:rsidRPr="003A1BC5">
        <w:t xml:space="preserve"> final product of an NUCP is UF</w:t>
      </w:r>
      <w:r w:rsidRPr="005031F2">
        <w:rPr>
          <w:vertAlign w:val="subscript"/>
        </w:rPr>
        <w:t>6</w:t>
      </w:r>
      <w:r w:rsidRPr="003A1BC5">
        <w:t>, IAEA accountability data begins at the final step of the NUCP process when the product is declared. Without information to ascertain a uranium mass balance between the yellowcake feed stock and the final product, there are no assurances that the declared product was the tot</w:t>
      </w:r>
      <w:r>
        <w:t xml:space="preserve">al </w:t>
      </w:r>
      <w:r w:rsidR="00CB5268">
        <w:t xml:space="preserve">possible </w:t>
      </w:r>
      <w:r>
        <w:t xml:space="preserve">uranium produced by an NUCP. </w:t>
      </w:r>
    </w:p>
    <w:p w:rsidR="00BD31C2" w:rsidRDefault="00BD31C2" w:rsidP="00BD31C2">
      <w:r w:rsidRPr="00703A04">
        <w:t>Traditionally, only the final product materials (UO</w:t>
      </w:r>
      <w:r w:rsidRPr="00765D02">
        <w:rPr>
          <w:vertAlign w:val="subscript"/>
        </w:rPr>
        <w:t>2</w:t>
      </w:r>
      <w:r w:rsidRPr="00703A04">
        <w:t>, UF</w:t>
      </w:r>
      <w:r w:rsidRPr="00765D02">
        <w:rPr>
          <w:vertAlign w:val="subscript"/>
        </w:rPr>
        <w:t>6</w:t>
      </w:r>
      <w:r>
        <w:t xml:space="preserve">, </w:t>
      </w:r>
      <w:r w:rsidRPr="00703A04">
        <w:t>and U metal) of the NUCPs, and not</w:t>
      </w:r>
      <w:r>
        <w:t xml:space="preserve"> </w:t>
      </w:r>
      <w:r w:rsidRPr="00703A04">
        <w:t>intermediate materials, have been considered as being materials subject to the full safeguards</w:t>
      </w:r>
      <w:r>
        <w:t xml:space="preserve"> procedures. </w:t>
      </w:r>
      <w:r w:rsidRPr="00703A04">
        <w:t>However, IAEA policy in this area was</w:t>
      </w:r>
      <w:r>
        <w:t xml:space="preserve"> recently revised. </w:t>
      </w:r>
      <w:r w:rsidRPr="003A1BC5">
        <w:t>IAEA now considers all highly purified uranium compounds as candidates for safeguarding which includes the inter</w:t>
      </w:r>
      <w:r>
        <w:t>mediate products of an NUCP (</w:t>
      </w:r>
      <w:r w:rsidRPr="003A1BC5">
        <w:t xml:space="preserve">Doo et al. 2003). </w:t>
      </w:r>
      <w:r w:rsidRPr="00703A04">
        <w:t>This</w:t>
      </w:r>
      <w:r>
        <w:t xml:space="preserve"> </w:t>
      </w:r>
      <w:r w:rsidRPr="00703A04">
        <w:t>revised policy gives the IAEA the possibility of detecting a diversion or undeclared production of</w:t>
      </w:r>
      <w:r>
        <w:t xml:space="preserve"> </w:t>
      </w:r>
      <w:r w:rsidRPr="00703A04">
        <w:t>nuclear material for clandestine uranium enrichment or plutonium production facilities at the</w:t>
      </w:r>
      <w:r>
        <w:t xml:space="preserve"> </w:t>
      </w:r>
      <w:r w:rsidRPr="00703A04">
        <w:t>NUCP.</w:t>
      </w:r>
      <w:r>
        <w:t xml:space="preserve"> </w:t>
      </w:r>
      <w:r w:rsidRPr="003A1BC5">
        <w:t xml:space="preserve">The following provides an overview of the current safeguards policy as it applies to </w:t>
      </w:r>
      <w:r>
        <w:t>NUCPs</w:t>
      </w:r>
      <w:r w:rsidRPr="003A1BC5">
        <w:t xml:space="preserve">. </w:t>
      </w:r>
    </w:p>
    <w:p w:rsidR="00BD31C2" w:rsidRDefault="00BD31C2">
      <w:r w:rsidRPr="003A1BC5">
        <w:t xml:space="preserve">Doo et al. 2003 outlines a new approach developed by the IAEA for safeguards at NUCPs. Current IAEA policy, as stated in paragraph 34(c) of INFCIRC/153 (corrected) (IAEA 1972), considers any purified aqueous uranium solution or any purified uranium oxides to be </w:t>
      </w:r>
      <w:r>
        <w:t xml:space="preserve">considered </w:t>
      </w:r>
      <w:r w:rsidRPr="003A1BC5">
        <w:t>nuclear material of a</w:t>
      </w:r>
      <w:r>
        <w:br w:type="page"/>
      </w:r>
    </w:p>
    <w:p w:rsidR="00E664E4" w:rsidRPr="00BE292D" w:rsidRDefault="00E664E4" w:rsidP="00E664E4">
      <w:pPr>
        <w:jc w:val="center"/>
      </w:pPr>
      <w:r w:rsidRPr="006A7BA3">
        <w:rPr>
          <w:noProof/>
        </w:rPr>
        <w:lastRenderedPageBreak/>
        <w:drawing>
          <wp:inline distT="0" distB="0" distL="0" distR="0" wp14:anchorId="302AF84C" wp14:editId="7B8453A6">
            <wp:extent cx="5486400" cy="4982688"/>
            <wp:effectExtent l="0" t="0" r="0" b="889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5486400" cy="4982688"/>
                    </a:xfrm>
                    <a:prstGeom prst="rect">
                      <a:avLst/>
                    </a:prstGeom>
                    <a:noFill/>
                    <a:ln w="9525">
                      <a:noFill/>
                      <a:miter lim="800000"/>
                      <a:headEnd/>
                      <a:tailEnd/>
                    </a:ln>
                  </pic:spPr>
                </pic:pic>
              </a:graphicData>
            </a:graphic>
          </wp:inline>
        </w:drawing>
      </w:r>
    </w:p>
    <w:p w:rsidR="00E664E4" w:rsidRDefault="00E664E4" w:rsidP="00E664E4">
      <w:pPr>
        <w:rPr>
          <w:sz w:val="20"/>
          <w:szCs w:val="20"/>
        </w:rPr>
      </w:pPr>
      <w:bookmarkStart w:id="1" w:name="_Toc167084974"/>
      <w:bookmarkStart w:id="2" w:name="_Toc167085078"/>
      <w:proofErr w:type="gramStart"/>
      <w:r w:rsidRPr="006A7BA3">
        <w:rPr>
          <w:b/>
          <w:sz w:val="20"/>
          <w:szCs w:val="20"/>
        </w:rPr>
        <w:t xml:space="preserve">Figure </w:t>
      </w:r>
      <w:r>
        <w:rPr>
          <w:b/>
          <w:sz w:val="20"/>
          <w:szCs w:val="20"/>
        </w:rPr>
        <w:t>1.</w:t>
      </w:r>
      <w:r w:rsidR="00A659DE">
        <w:rPr>
          <w:b/>
          <w:sz w:val="20"/>
          <w:szCs w:val="20"/>
        </w:rPr>
        <w:t>2.</w:t>
      </w:r>
      <w:proofErr w:type="gramEnd"/>
      <w:r w:rsidR="00A659DE">
        <w:rPr>
          <w:b/>
          <w:sz w:val="20"/>
          <w:szCs w:val="20"/>
        </w:rPr>
        <w:t xml:space="preserve"> Simplified F</w:t>
      </w:r>
      <w:r w:rsidRPr="006A7BA3">
        <w:rPr>
          <w:b/>
          <w:sz w:val="20"/>
          <w:szCs w:val="20"/>
        </w:rPr>
        <w:t xml:space="preserve">low </w:t>
      </w:r>
      <w:r w:rsidR="00A659DE">
        <w:rPr>
          <w:b/>
          <w:sz w:val="20"/>
          <w:szCs w:val="20"/>
        </w:rPr>
        <w:t>D</w:t>
      </w:r>
      <w:r w:rsidRPr="006A7BA3">
        <w:rPr>
          <w:b/>
          <w:sz w:val="20"/>
          <w:szCs w:val="20"/>
        </w:rPr>
        <w:t xml:space="preserve">iagram of the </w:t>
      </w:r>
      <w:r w:rsidR="00A659DE">
        <w:rPr>
          <w:b/>
          <w:sz w:val="20"/>
          <w:szCs w:val="20"/>
        </w:rPr>
        <w:t>W</w:t>
      </w:r>
      <w:r w:rsidRPr="006A7BA3">
        <w:rPr>
          <w:b/>
          <w:sz w:val="20"/>
          <w:szCs w:val="20"/>
        </w:rPr>
        <w:t xml:space="preserve">et </w:t>
      </w:r>
      <w:r w:rsidR="00A659DE">
        <w:rPr>
          <w:b/>
          <w:sz w:val="20"/>
          <w:szCs w:val="20"/>
        </w:rPr>
        <w:t>S</w:t>
      </w:r>
      <w:r w:rsidRPr="006A7BA3">
        <w:rPr>
          <w:b/>
          <w:sz w:val="20"/>
          <w:szCs w:val="20"/>
        </w:rPr>
        <w:t xml:space="preserve">olvent </w:t>
      </w:r>
      <w:r w:rsidR="00A659DE">
        <w:rPr>
          <w:b/>
          <w:sz w:val="20"/>
          <w:szCs w:val="20"/>
        </w:rPr>
        <w:t>E</w:t>
      </w:r>
      <w:r w:rsidRPr="006A7BA3">
        <w:rPr>
          <w:b/>
          <w:sz w:val="20"/>
          <w:szCs w:val="20"/>
        </w:rPr>
        <w:t xml:space="preserve">xtraction </w:t>
      </w:r>
      <w:r w:rsidR="00A659DE">
        <w:rPr>
          <w:b/>
          <w:sz w:val="20"/>
          <w:szCs w:val="20"/>
        </w:rPr>
        <w:t>P</w:t>
      </w:r>
      <w:r w:rsidRPr="006A7BA3">
        <w:rPr>
          <w:b/>
          <w:sz w:val="20"/>
          <w:szCs w:val="20"/>
        </w:rPr>
        <w:t xml:space="preserve">rocess </w:t>
      </w:r>
      <w:r w:rsidR="00A659DE">
        <w:rPr>
          <w:b/>
          <w:sz w:val="20"/>
          <w:szCs w:val="20"/>
        </w:rPr>
        <w:t>U</w:t>
      </w:r>
      <w:r w:rsidRPr="006A7BA3">
        <w:rPr>
          <w:b/>
          <w:sz w:val="20"/>
          <w:szCs w:val="20"/>
        </w:rPr>
        <w:t xml:space="preserve">sed to </w:t>
      </w:r>
      <w:r w:rsidR="00A659DE">
        <w:rPr>
          <w:b/>
          <w:sz w:val="20"/>
          <w:szCs w:val="20"/>
        </w:rPr>
        <w:t>C</w:t>
      </w:r>
      <w:r w:rsidRPr="006A7BA3">
        <w:rPr>
          <w:b/>
          <w:sz w:val="20"/>
          <w:szCs w:val="20"/>
        </w:rPr>
        <w:t xml:space="preserve">onvert </w:t>
      </w:r>
      <w:r w:rsidR="00A659DE">
        <w:rPr>
          <w:b/>
          <w:sz w:val="20"/>
          <w:szCs w:val="20"/>
        </w:rPr>
        <w:t>Y</w:t>
      </w:r>
      <w:r w:rsidRPr="006A7BA3">
        <w:rPr>
          <w:b/>
          <w:sz w:val="20"/>
          <w:szCs w:val="20"/>
        </w:rPr>
        <w:t>ellowcake to UF</w:t>
      </w:r>
      <w:r w:rsidRPr="004B0781">
        <w:rPr>
          <w:b/>
          <w:sz w:val="20"/>
          <w:szCs w:val="20"/>
          <w:vertAlign w:val="subscript"/>
        </w:rPr>
        <w:t>6</w:t>
      </w:r>
      <w:r w:rsidRPr="006A7BA3">
        <w:rPr>
          <w:b/>
          <w:sz w:val="20"/>
          <w:szCs w:val="20"/>
        </w:rPr>
        <w:t xml:space="preserve"> or U </w:t>
      </w:r>
      <w:r w:rsidR="00A659DE">
        <w:rPr>
          <w:b/>
          <w:sz w:val="20"/>
          <w:szCs w:val="20"/>
        </w:rPr>
        <w:t>M</w:t>
      </w:r>
      <w:r w:rsidRPr="006A7BA3">
        <w:rPr>
          <w:b/>
          <w:sz w:val="20"/>
          <w:szCs w:val="20"/>
        </w:rPr>
        <w:t>etal</w:t>
      </w:r>
      <w:r>
        <w:rPr>
          <w:b/>
          <w:sz w:val="20"/>
          <w:szCs w:val="20"/>
        </w:rPr>
        <w:t>.</w:t>
      </w:r>
      <w:r w:rsidRPr="006A7BA3">
        <w:rPr>
          <w:sz w:val="20"/>
          <w:szCs w:val="20"/>
        </w:rPr>
        <w:t xml:space="preserve"> Note that the left side represents the processing steps most frequently used in small</w:t>
      </w:r>
      <w:r w:rsidRPr="006A7BA3">
        <w:rPr>
          <w:sz w:val="20"/>
          <w:szCs w:val="20"/>
        </w:rPr>
        <w:noBreakHyphen/>
        <w:t xml:space="preserve">scale chemical conversion plants. (Source: R. L. Faulkner, J. M. </w:t>
      </w:r>
      <w:proofErr w:type="spellStart"/>
      <w:r w:rsidRPr="006A7BA3">
        <w:rPr>
          <w:sz w:val="20"/>
          <w:szCs w:val="20"/>
        </w:rPr>
        <w:t>Begovich</w:t>
      </w:r>
      <w:proofErr w:type="spellEnd"/>
      <w:r w:rsidRPr="006A7BA3">
        <w:rPr>
          <w:sz w:val="20"/>
          <w:szCs w:val="20"/>
        </w:rPr>
        <w:t xml:space="preserve">, J. J. </w:t>
      </w:r>
      <w:proofErr w:type="spellStart"/>
      <w:r w:rsidRPr="006A7BA3">
        <w:rPr>
          <w:sz w:val="20"/>
          <w:szCs w:val="20"/>
        </w:rPr>
        <w:t>Ferrada</w:t>
      </w:r>
      <w:proofErr w:type="spellEnd"/>
      <w:r w:rsidRPr="006A7BA3">
        <w:rPr>
          <w:sz w:val="20"/>
          <w:szCs w:val="20"/>
        </w:rPr>
        <w:t xml:space="preserve">, R. D. Spence, J. M. Whitaker, W. J. </w:t>
      </w:r>
      <w:proofErr w:type="spellStart"/>
      <w:r w:rsidRPr="006A7BA3">
        <w:rPr>
          <w:sz w:val="20"/>
          <w:szCs w:val="20"/>
        </w:rPr>
        <w:t>Bicha</w:t>
      </w:r>
      <w:proofErr w:type="spellEnd"/>
      <w:r w:rsidRPr="006A7BA3">
        <w:rPr>
          <w:sz w:val="20"/>
          <w:szCs w:val="20"/>
        </w:rPr>
        <w:t xml:space="preserve">, and L. G. </w:t>
      </w:r>
      <w:proofErr w:type="spellStart"/>
      <w:r w:rsidRPr="006A7BA3">
        <w:rPr>
          <w:sz w:val="20"/>
          <w:szCs w:val="20"/>
        </w:rPr>
        <w:t>Loden</w:t>
      </w:r>
      <w:proofErr w:type="spellEnd"/>
      <w:r w:rsidRPr="006A7BA3">
        <w:rPr>
          <w:sz w:val="20"/>
          <w:szCs w:val="20"/>
        </w:rPr>
        <w:t xml:space="preserve">. 2004. “Oak Ridge Efforts to Enhance Conversion Plant Safeguards.” </w:t>
      </w:r>
      <w:r w:rsidRPr="006A7BA3">
        <w:rPr>
          <w:i/>
          <w:sz w:val="20"/>
          <w:szCs w:val="20"/>
        </w:rPr>
        <w:t>Proceedings 45th Annual Meeting of Institute of Nuclear Materials Management (INMM)</w:t>
      </w:r>
      <w:r w:rsidRPr="006A7BA3">
        <w:rPr>
          <w:sz w:val="20"/>
          <w:szCs w:val="20"/>
        </w:rPr>
        <w:t>, July 18–22, 2004, Orlando.)</w:t>
      </w:r>
      <w:bookmarkEnd w:id="1"/>
      <w:bookmarkEnd w:id="2"/>
    </w:p>
    <w:p w:rsidR="00E664E4" w:rsidRDefault="00E664E4" w:rsidP="00E664E4">
      <w:pPr>
        <w:rPr>
          <w:rFonts w:asciiTheme="majorHAnsi" w:hAnsiTheme="majorHAnsi"/>
          <w:b/>
        </w:rPr>
      </w:pPr>
    </w:p>
    <w:p w:rsidR="00BD31C2" w:rsidRDefault="00BD31C2">
      <w:r>
        <w:br w:type="page"/>
      </w:r>
    </w:p>
    <w:p w:rsidR="00E664E4" w:rsidRPr="003A1BC5" w:rsidRDefault="00E664E4" w:rsidP="00E664E4">
      <w:proofErr w:type="gramStart"/>
      <w:r w:rsidRPr="003A1BC5">
        <w:lastRenderedPageBreak/>
        <w:t>composition</w:t>
      </w:r>
      <w:proofErr w:type="gramEnd"/>
      <w:r w:rsidRPr="003A1BC5">
        <w:t xml:space="preserve"> and purity suitable for isotopic enrichment or fuel fabrication, respectively</w:t>
      </w:r>
      <w:r>
        <w:t>;</w:t>
      </w:r>
      <w:r w:rsidRPr="003A1BC5">
        <w:t xml:space="preserve"> </w:t>
      </w:r>
    </w:p>
    <w:p w:rsidR="00E664E4" w:rsidRPr="003A1BC5" w:rsidRDefault="00E664E4" w:rsidP="00E664E4">
      <w:pPr>
        <w:ind w:left="720" w:right="720"/>
        <w:jc w:val="both"/>
      </w:pPr>
      <w:r w:rsidRPr="003A1BC5">
        <w:t xml:space="preserve">When any </w:t>
      </w:r>
      <w:r w:rsidRPr="005031F2">
        <w:rPr>
          <w:i/>
        </w:rPr>
        <w:t>nuclear material</w:t>
      </w:r>
      <w:r w:rsidRPr="003A1BC5">
        <w:t xml:space="preserve"> of a composition and purity suitable for fuel fabrication or for being </w:t>
      </w:r>
      <w:proofErr w:type="spellStart"/>
      <w:r w:rsidRPr="003A1BC5">
        <w:t>isotopically</w:t>
      </w:r>
      <w:proofErr w:type="spellEnd"/>
      <w:r w:rsidRPr="003A1BC5">
        <w:t xml:space="preserve"> enriched leaves the plant or the process stage in which it has been produced, or when such </w:t>
      </w:r>
      <w:r w:rsidRPr="005031F2">
        <w:rPr>
          <w:i/>
        </w:rPr>
        <w:t>nuclear material</w:t>
      </w:r>
      <w:r w:rsidRPr="003A1BC5">
        <w:t xml:space="preserve">, or any other </w:t>
      </w:r>
      <w:r w:rsidRPr="005031F2">
        <w:rPr>
          <w:i/>
        </w:rPr>
        <w:t>nuclear material</w:t>
      </w:r>
      <w:r w:rsidRPr="003A1BC5">
        <w:t xml:space="preserve"> produced at a later stage in the nuclear fuel cycle, is imported into the State, the </w:t>
      </w:r>
      <w:r w:rsidRPr="005031F2">
        <w:rPr>
          <w:i/>
        </w:rPr>
        <w:t>nuclear material</w:t>
      </w:r>
      <w:r w:rsidRPr="003A1BC5">
        <w:t xml:space="preserve"> shall become subject to the other safeguards procedures specified in the Agreement. </w:t>
      </w:r>
    </w:p>
    <w:p w:rsidR="001546C1" w:rsidRDefault="00E664E4" w:rsidP="00E664E4">
      <w:r>
        <w:t>Additionally, p</w:t>
      </w:r>
      <w:r w:rsidRPr="00703A04">
        <w:t>aragraph 34(c) of INFCIRC/153 (corrected) requires that full</w:t>
      </w:r>
      <w:r>
        <w:t xml:space="preserve"> </w:t>
      </w:r>
      <w:r w:rsidRPr="00703A04">
        <w:t>safeguards procedures should be applied no later than the first point in the conversion process at</w:t>
      </w:r>
      <w:r>
        <w:t xml:space="preserve"> </w:t>
      </w:r>
      <w:r w:rsidRPr="00703A04">
        <w:t xml:space="preserve">which such material leaves the process stage or the plant in which it is produced. </w:t>
      </w:r>
      <w:r>
        <w:t>This may not be practicable or economical. I</w:t>
      </w:r>
      <w:r w:rsidRPr="00703A04">
        <w:t>n such cases, the procedures should be applied at the first</w:t>
      </w:r>
      <w:r>
        <w:t xml:space="preserve"> </w:t>
      </w:r>
      <w:r w:rsidRPr="00703A04">
        <w:t>practicable point earlier (i.e., “upstream”</w:t>
      </w:r>
      <w:r>
        <w:t xml:space="preserve">) in the plant which could be as early as the </w:t>
      </w:r>
      <w:r w:rsidRPr="00703A04">
        <w:t>UOC input at the beginning of the conversion process.</w:t>
      </w:r>
      <w:r>
        <w:t xml:space="preserve"> </w:t>
      </w:r>
      <w:r w:rsidR="00BC7C3C">
        <w:t>However, the IAEA has</w:t>
      </w:r>
      <w:r w:rsidRPr="003A1BC5">
        <w:t xml:space="preserve"> not been consistent with the technical interpretation of this requirement or the implementation of safeguards at NUCPs.</w:t>
      </w:r>
    </w:p>
    <w:p w:rsidR="00E664E4" w:rsidRPr="002D2C33" w:rsidRDefault="001546C1" w:rsidP="002D2C33">
      <w:r w:rsidRPr="002D2C33">
        <w:t xml:space="preserve">Additional information about IAEA </w:t>
      </w:r>
      <w:r w:rsidR="002D2C33" w:rsidRPr="002D2C33">
        <w:t>safeguards can be found in “IAEA Safeguards Glossary, 2001 Edition” (IAEA 200</w:t>
      </w:r>
      <w:r w:rsidR="002D2C33">
        <w:t>2</w:t>
      </w:r>
      <w:r w:rsidR="002D2C33" w:rsidRPr="002D2C33">
        <w:t>), “Safeguards Techniques and Equipment, 2003 Edition”</w:t>
      </w:r>
      <w:r w:rsidR="002D2C33">
        <w:t xml:space="preserve"> (IAEA 2003), and </w:t>
      </w:r>
      <w:r w:rsidR="002D2C33" w:rsidRPr="002D2C33">
        <w:t>“IAEA Safeguards: Staying Ahead of the Game”</w:t>
      </w:r>
      <w:r w:rsidR="002D2C33">
        <w:t xml:space="preserve"> (IAEA 2007).</w:t>
      </w:r>
    </w:p>
    <w:p w:rsidR="00E664E4" w:rsidRPr="002D2C33" w:rsidRDefault="00E664E4" w:rsidP="002D2C33"/>
    <w:p w:rsidR="00E664E4" w:rsidRPr="0088744F" w:rsidRDefault="00E664E4" w:rsidP="00E664E4">
      <w:pPr>
        <w:rPr>
          <w:rFonts w:asciiTheme="majorHAnsi" w:hAnsiTheme="majorHAnsi"/>
          <w:b/>
        </w:rPr>
      </w:pPr>
      <w:r w:rsidRPr="0088744F">
        <w:rPr>
          <w:rFonts w:asciiTheme="majorHAnsi" w:hAnsiTheme="majorHAnsi"/>
          <w:b/>
        </w:rPr>
        <w:t>1.1.4 Motivation</w:t>
      </w:r>
    </w:p>
    <w:p w:rsidR="00E664E4" w:rsidRPr="00B85E97" w:rsidRDefault="00E664E4" w:rsidP="00E664E4">
      <w:r>
        <w:t>Due to the revision in IAEA policy for uranium conversion plants, t</w:t>
      </w:r>
      <w:r w:rsidRPr="00B85E97">
        <w:t>he U.S. Department of Energy (DOE) is interested in developing instruments, tools, strategies, and methods that</w:t>
      </w:r>
      <w:r>
        <w:t xml:space="preserve"> </w:t>
      </w:r>
      <w:r w:rsidRPr="00B85E97">
        <w:t>could be of use to the IAEA in the application of safeguards to the front end of the fuel cycle</w:t>
      </w:r>
      <w:r>
        <w:t xml:space="preserve"> (Boyer et al. 2004, Faulkner et al. 2004)</w:t>
      </w:r>
      <w:r w:rsidRPr="00B85E97">
        <w:t>.</w:t>
      </w:r>
      <w:r>
        <w:t xml:space="preserve"> Some of the DOE studies are discussed in Chapter 2. According to Boyer et al. 2004, </w:t>
      </w:r>
      <w:r w:rsidRPr="00B85E97">
        <w:t>DOE’s Office of International Safeguards is using a systematic approach to identify the functions</w:t>
      </w:r>
      <w:r>
        <w:t xml:space="preserve"> </w:t>
      </w:r>
      <w:r w:rsidRPr="00B85E97">
        <w:t>of a safeguards system needed for NUCPs having a range of</w:t>
      </w:r>
      <w:r>
        <w:t xml:space="preserve"> </w:t>
      </w:r>
      <w:r w:rsidRPr="00B85E97">
        <w:t>throughputs, the safeguards that could be applied, the attractive diversion possibilities, and the</w:t>
      </w:r>
      <w:r>
        <w:t xml:space="preserve"> </w:t>
      </w:r>
      <w:r w:rsidRPr="00B85E97">
        <w:t>effectiveness of the safeguards system.</w:t>
      </w:r>
    </w:p>
    <w:p w:rsidR="00E664E4" w:rsidRPr="00B85E97" w:rsidRDefault="00E664E4" w:rsidP="00E664E4">
      <w:r>
        <w:t xml:space="preserve">The work discussed in this dissertation could be applied if </w:t>
      </w:r>
      <w:r w:rsidR="00CB5268">
        <w:t xml:space="preserve">on-line </w:t>
      </w:r>
      <w:r>
        <w:t xml:space="preserve">process monitoring is utilized for safeguarding uranium conversion plants. </w:t>
      </w:r>
      <w:r w:rsidRPr="003A1BC5">
        <w:t xml:space="preserve">Although a simple accounting system for assessing uranium inputs and outputs will provide some assurance that undeclared material is not leaving an NUCP, the use of </w:t>
      </w:r>
      <w:r w:rsidR="00CB5268">
        <w:t>on-line</w:t>
      </w:r>
      <w:r w:rsidRPr="003A1BC5">
        <w:t xml:space="preserve"> monitoring instruments can validate accountability data and significant</w:t>
      </w:r>
      <w:r>
        <w:t xml:space="preserve">ly improve a safeguards program. </w:t>
      </w:r>
      <w:r w:rsidR="00CB5268">
        <w:t>On-line</w:t>
      </w:r>
      <w:r w:rsidRPr="00B85E97">
        <w:t xml:space="preserve"> monitoring methods </w:t>
      </w:r>
      <w:r w:rsidR="00CB5268">
        <w:t xml:space="preserve">also </w:t>
      </w:r>
      <w:r w:rsidRPr="00B85E97">
        <w:t>offer a</w:t>
      </w:r>
      <w:r>
        <w:t>n</w:t>
      </w:r>
      <w:r w:rsidRPr="00B85E97">
        <w:t xml:space="preserve"> effective means for detecting the</w:t>
      </w:r>
      <w:r>
        <w:t xml:space="preserve"> </w:t>
      </w:r>
      <w:r w:rsidRPr="00B85E97">
        <w:t xml:space="preserve">processing of undeclared materials in </w:t>
      </w:r>
      <w:r>
        <w:t xml:space="preserve">a </w:t>
      </w:r>
      <w:r w:rsidRPr="00B85E97">
        <w:t>model NUCP.</w:t>
      </w:r>
      <w:r>
        <w:t xml:space="preserve"> </w:t>
      </w:r>
      <w:r w:rsidRPr="00B85E97">
        <w:t xml:space="preserve">The purpose of </w:t>
      </w:r>
      <w:r w:rsidR="00CB5268">
        <w:t xml:space="preserve">on-line </w:t>
      </w:r>
      <w:r w:rsidRPr="00B85E97">
        <w:t>monitoring is to determine the uranium flow</w:t>
      </w:r>
      <w:r>
        <w:t xml:space="preserve"> </w:t>
      </w:r>
      <w:r w:rsidRPr="00B85E97">
        <w:t>through a particular process stage.</w:t>
      </w:r>
    </w:p>
    <w:p w:rsidR="00BD31C2" w:rsidRDefault="00BD31C2">
      <w:pPr>
        <w:rPr>
          <w:rFonts w:asciiTheme="majorHAnsi" w:hAnsiTheme="majorHAnsi"/>
          <w:b/>
          <w:caps/>
        </w:rPr>
      </w:pPr>
    </w:p>
    <w:p w:rsidR="00E664E4" w:rsidRPr="007D43E5" w:rsidRDefault="00E664E4" w:rsidP="00E664E4">
      <w:pPr>
        <w:rPr>
          <w:rFonts w:asciiTheme="majorHAnsi" w:hAnsiTheme="majorHAnsi"/>
          <w:b/>
          <w:caps/>
        </w:rPr>
      </w:pPr>
      <w:r w:rsidRPr="007D43E5">
        <w:rPr>
          <w:rFonts w:asciiTheme="majorHAnsi" w:hAnsiTheme="majorHAnsi"/>
          <w:b/>
          <w:caps/>
        </w:rPr>
        <w:lastRenderedPageBreak/>
        <w:t>1.2 Problem Statement and Objectives</w:t>
      </w:r>
    </w:p>
    <w:p w:rsidR="00E664E4" w:rsidRDefault="00E664E4" w:rsidP="00E664E4">
      <w:r>
        <w:t xml:space="preserve">This section outlines the purpose, the importance, and the scope and limitations of the study. </w:t>
      </w:r>
    </w:p>
    <w:p w:rsidR="00E664E4" w:rsidRDefault="00E664E4" w:rsidP="00E664E4"/>
    <w:p w:rsidR="00E664E4" w:rsidRDefault="00E664E4" w:rsidP="00E664E4">
      <w:pPr>
        <w:rPr>
          <w:rFonts w:asciiTheme="majorHAnsi" w:hAnsiTheme="majorHAnsi"/>
          <w:b/>
        </w:rPr>
      </w:pPr>
      <w:r w:rsidRPr="004B0781">
        <w:rPr>
          <w:rFonts w:asciiTheme="majorHAnsi" w:hAnsiTheme="majorHAnsi"/>
          <w:b/>
        </w:rPr>
        <w:t>1.2.1 Purpose of the Study</w:t>
      </w:r>
    </w:p>
    <w:p w:rsidR="00E664E4" w:rsidRPr="007D43E5" w:rsidRDefault="00E664E4" w:rsidP="00E664E4">
      <w:r w:rsidRPr="007D43E5">
        <w:t>The objective of this work was to develop a</w:t>
      </w:r>
      <w:r w:rsidR="00CB5268">
        <w:t>n on-line</w:t>
      </w:r>
      <w:r w:rsidRPr="007D43E5">
        <w:t xml:space="preserve"> monitoring and data analysis framework that will </w:t>
      </w:r>
      <w:r w:rsidR="00CB5268">
        <w:t xml:space="preserve">be capable of </w:t>
      </w:r>
      <w:r w:rsidRPr="007D43E5">
        <w:t>detect</w:t>
      </w:r>
      <w:r w:rsidR="00CB5268">
        <w:t>ing</w:t>
      </w:r>
      <w:r w:rsidRPr="007D43E5">
        <w:t xml:space="preserve"> the dive</w:t>
      </w:r>
      <w:r>
        <w:t xml:space="preserve">rsion </w:t>
      </w:r>
      <w:r w:rsidR="00CB5268">
        <w:t xml:space="preserve">or introduction </w:t>
      </w:r>
      <w:r>
        <w:t xml:space="preserve">of intermediate products (e.g., </w:t>
      </w:r>
      <w:r w:rsidRPr="007D43E5">
        <w:t>UO</w:t>
      </w:r>
      <w:r w:rsidRPr="007D43E5">
        <w:rPr>
          <w:vertAlign w:val="subscript"/>
        </w:rPr>
        <w:t>2</w:t>
      </w:r>
      <w:r w:rsidRPr="007D43E5">
        <w:t>, UF</w:t>
      </w:r>
      <w:r w:rsidRPr="007D43E5">
        <w:rPr>
          <w:vertAlign w:val="subscript"/>
        </w:rPr>
        <w:t>4</w:t>
      </w:r>
      <w:r w:rsidRPr="007D43E5">
        <w:t>, and UF</w:t>
      </w:r>
      <w:r w:rsidRPr="007D43E5">
        <w:rPr>
          <w:vertAlign w:val="subscript"/>
        </w:rPr>
        <w:t>6</w:t>
      </w:r>
      <w:r>
        <w:t>)</w:t>
      </w:r>
      <w:r w:rsidRPr="007D43E5">
        <w:t xml:space="preserve"> in an NUCP using a multivariate statistical approach. The intermediate products are of interest for international safeguards because the products are all suitable uranium feed stocks for producing special nuclear materials</w:t>
      </w:r>
      <w:r w:rsidR="008E6F8C">
        <w:t xml:space="preserve">. </w:t>
      </w:r>
      <w:r w:rsidRPr="007D43E5">
        <w:t xml:space="preserve">Under current safeguards procedures, these intermediate </w:t>
      </w:r>
      <w:r w:rsidR="00CB5268">
        <w:t xml:space="preserve">products could supply feed material for </w:t>
      </w:r>
      <w:r w:rsidRPr="007D43E5">
        <w:t>virtually any nuclear weapons program without detection by the IAEA, which has not historically begun safeguards until the purified UF</w:t>
      </w:r>
      <w:r w:rsidRPr="007D43E5">
        <w:rPr>
          <w:vertAlign w:val="subscript"/>
        </w:rPr>
        <w:t>6</w:t>
      </w:r>
      <w:r w:rsidRPr="007D43E5">
        <w:t xml:space="preserve"> product was declared as feed stock for enrichment plants (IAEA 1968). According to </w:t>
      </w:r>
      <w:r w:rsidRPr="00601E70">
        <w:t>Faulkner et al</w:t>
      </w:r>
      <w:r w:rsidRPr="007D43E5">
        <w:t xml:space="preserve"> 200</w:t>
      </w:r>
      <w:r>
        <w:t>4</w:t>
      </w:r>
      <w:r w:rsidRPr="007D43E5">
        <w:t>, “</w:t>
      </w:r>
      <w:r w:rsidRPr="00601E70">
        <w:t>The function of a safeguards system at a uranium chemical conversion plant is in general terms to verify that no useful nuclear material is being diverted for use in a nuclear weapons program</w:t>
      </w:r>
      <w:r>
        <w:t xml:space="preserve">.” </w:t>
      </w:r>
      <w:r w:rsidRPr="007D43E5">
        <w:t>The IAEA now considers all highly purified uranium compounds as candidates for safeguarding (Doo et al. 2003).</w:t>
      </w:r>
    </w:p>
    <w:p w:rsidR="00E664E4" w:rsidRPr="004B0781" w:rsidRDefault="00E664E4" w:rsidP="00E664E4"/>
    <w:p w:rsidR="00E664E4" w:rsidRDefault="00E664E4" w:rsidP="00E664E4">
      <w:pPr>
        <w:rPr>
          <w:rFonts w:asciiTheme="majorHAnsi" w:hAnsiTheme="majorHAnsi"/>
          <w:b/>
        </w:rPr>
      </w:pPr>
      <w:r w:rsidRPr="004B0781">
        <w:rPr>
          <w:rFonts w:asciiTheme="majorHAnsi" w:hAnsiTheme="majorHAnsi"/>
          <w:b/>
        </w:rPr>
        <w:t>1.2.</w:t>
      </w:r>
      <w:r>
        <w:rPr>
          <w:rFonts w:asciiTheme="majorHAnsi" w:hAnsiTheme="majorHAnsi"/>
          <w:b/>
        </w:rPr>
        <w:t>2</w:t>
      </w:r>
      <w:r w:rsidRPr="004B0781">
        <w:rPr>
          <w:rFonts w:asciiTheme="majorHAnsi" w:hAnsiTheme="majorHAnsi"/>
          <w:b/>
        </w:rPr>
        <w:t xml:space="preserve"> Importance of the Study</w:t>
      </w:r>
    </w:p>
    <w:p w:rsidR="00E664E4" w:rsidRPr="007D43E5" w:rsidRDefault="00E664E4" w:rsidP="00E664E4">
      <w:r w:rsidRPr="007D43E5">
        <w:t xml:space="preserve">The </w:t>
      </w:r>
      <w:r w:rsidR="00CB5268">
        <w:t xml:space="preserve">monitoring and </w:t>
      </w:r>
      <w:r w:rsidRPr="007D43E5">
        <w:t xml:space="preserve">decision framework developed in this research could be used to determine whether or not a diversion </w:t>
      </w:r>
      <w:r w:rsidR="00CB5268">
        <w:t xml:space="preserve">or addition </w:t>
      </w:r>
      <w:r w:rsidRPr="007D43E5">
        <w:t xml:space="preserve">of material has occurred at an NUCP. This monitoring framework can be used by the IAEA in a safeguards system. The work reported here </w:t>
      </w:r>
      <w:r w:rsidR="00CB5268">
        <w:t xml:space="preserve">can also be </w:t>
      </w:r>
      <w:r w:rsidRPr="007D43E5">
        <w:t xml:space="preserve">used to determine </w:t>
      </w:r>
      <w:r w:rsidR="00CB5268">
        <w:t xml:space="preserve">optimum </w:t>
      </w:r>
      <w:r w:rsidRPr="007D43E5">
        <w:t xml:space="preserve">sensor placement to provide the best possible safeguards monitoring system and to determine sensitivity of certain measurements </w:t>
      </w:r>
      <w:r w:rsidR="001B03DA">
        <w:t>to changes in concentrations of intermediate compounds</w:t>
      </w:r>
      <w:r w:rsidRPr="007D43E5">
        <w:t xml:space="preserve">. The goal of IAEA safeguards is the timely detection of a diversion of a significant quantity (SQ) of nuclear material. For facilities that process only natural uranium, the IAEA has declared that 10 MT of natural uranium is a SQ with a timeliness period of one year and a detection probability of 50%. </w:t>
      </w:r>
      <w:r>
        <w:t xml:space="preserve">In other words, the IAEA goal for NUCPs is to have a 50% probability of detecting the diversion of 10 MTU over a period of one year. </w:t>
      </w:r>
      <w:r w:rsidR="001B03DA">
        <w:t>The goal of the monitoring and decision framework reported here was set at 10% based on t</w:t>
      </w:r>
      <w:r w:rsidRPr="007D43E5">
        <w:t>h</w:t>
      </w:r>
      <w:r w:rsidR="001B03DA">
        <w:t>e</w:t>
      </w:r>
      <w:r w:rsidRPr="007D43E5">
        <w:t xml:space="preserve"> IAEA limit</w:t>
      </w:r>
      <w:r w:rsidR="001B03DA">
        <w:t xml:space="preserve"> discussed above</w:t>
      </w:r>
      <w:r w:rsidRPr="007D43E5">
        <w:t xml:space="preserve">. </w:t>
      </w:r>
    </w:p>
    <w:p w:rsidR="00E664E4" w:rsidRPr="004B0781" w:rsidRDefault="00E664E4" w:rsidP="00E664E4"/>
    <w:p w:rsidR="00E664E4" w:rsidRDefault="00E664E4" w:rsidP="00E664E4">
      <w:pPr>
        <w:rPr>
          <w:rFonts w:asciiTheme="majorHAnsi" w:hAnsiTheme="majorHAnsi"/>
          <w:b/>
        </w:rPr>
      </w:pPr>
      <w:r w:rsidRPr="004B0781">
        <w:rPr>
          <w:rFonts w:asciiTheme="majorHAnsi" w:hAnsiTheme="majorHAnsi"/>
          <w:b/>
        </w:rPr>
        <w:t>1.2.</w:t>
      </w:r>
      <w:r>
        <w:rPr>
          <w:rFonts w:asciiTheme="majorHAnsi" w:hAnsiTheme="majorHAnsi"/>
          <w:b/>
        </w:rPr>
        <w:t>3</w:t>
      </w:r>
      <w:r w:rsidRPr="004B0781">
        <w:rPr>
          <w:rFonts w:asciiTheme="majorHAnsi" w:hAnsiTheme="majorHAnsi"/>
          <w:b/>
        </w:rPr>
        <w:t xml:space="preserve"> Scope and Limitations</w:t>
      </w:r>
    </w:p>
    <w:p w:rsidR="00E664E4" w:rsidRDefault="00E664E4" w:rsidP="00E664E4">
      <w:r>
        <w:t xml:space="preserve">This was an initial effort to determine the feasibility of this approach for safeguards. </w:t>
      </w:r>
      <w:r w:rsidRPr="007D43E5">
        <w:t xml:space="preserve">This study </w:t>
      </w:r>
      <w:r>
        <w:t>wa</w:t>
      </w:r>
      <w:r w:rsidRPr="007D43E5">
        <w:t xml:space="preserve">s </w:t>
      </w:r>
      <w:r w:rsidR="004D2F80">
        <w:t xml:space="preserve">developed for </w:t>
      </w:r>
      <w:r w:rsidRPr="007D43E5">
        <w:t>a 100 MTU/</w:t>
      </w:r>
      <w:proofErr w:type="spellStart"/>
      <w:r w:rsidRPr="007D43E5">
        <w:t>yr</w:t>
      </w:r>
      <w:proofErr w:type="spellEnd"/>
      <w:r w:rsidRPr="007D43E5">
        <w:t xml:space="preserve"> NUCP using the wet solvent extraction method for the purification of </w:t>
      </w:r>
      <w:r>
        <w:t>UOC</w:t>
      </w:r>
      <w:r w:rsidRPr="007D43E5">
        <w:t xml:space="preserve">. The data needed for the decision model was obtained from subject matter experts in uranium </w:t>
      </w:r>
      <w:r w:rsidRPr="007D43E5">
        <w:lastRenderedPageBreak/>
        <w:t>processing and conversion plant operations. Ideal</w:t>
      </w:r>
      <w:r>
        <w:t xml:space="preserve"> and </w:t>
      </w:r>
      <w:r w:rsidRPr="007D43E5">
        <w:t xml:space="preserve">steady-state operation was </w:t>
      </w:r>
      <w:r w:rsidRPr="006D4089">
        <w:t xml:space="preserve">assumed. All intermediate process variables were assumed to be available where required. Principal </w:t>
      </w:r>
      <w:r>
        <w:t>C</w:t>
      </w:r>
      <w:r w:rsidRPr="006D4089">
        <w:t xml:space="preserve">omponent </w:t>
      </w:r>
      <w:r>
        <w:t>A</w:t>
      </w:r>
      <w:r w:rsidRPr="006D4089">
        <w:t xml:space="preserve">nalysis </w:t>
      </w:r>
      <w:r>
        <w:t xml:space="preserve">(PCA) </w:t>
      </w:r>
      <w:r w:rsidRPr="006D4089">
        <w:t xml:space="preserve">methodology was used to </w:t>
      </w:r>
      <w:r w:rsidR="007E5C48">
        <w:t xml:space="preserve">analyze the process data to </w:t>
      </w:r>
      <w:r w:rsidRPr="006D4089">
        <w:t xml:space="preserve">develop </w:t>
      </w:r>
      <w:r w:rsidR="007E5C48">
        <w:t xml:space="preserve">an empirical </w:t>
      </w:r>
      <w:r w:rsidRPr="006D4089">
        <w:t xml:space="preserve">model; and </w:t>
      </w:r>
      <w:r w:rsidR="007E5C48">
        <w:t xml:space="preserve">various </w:t>
      </w:r>
      <w:r w:rsidRPr="006D4089">
        <w:t xml:space="preserve">multivariate diagnostic plots were developed for monitoring and analysis. </w:t>
      </w:r>
      <w:r w:rsidR="00D5612B">
        <w:t>In future work, relaxing the requirement of on-line accessibility of all intermediate process variable values will be investigated.  Since all state variables are correlated, only a small subset of the variable values need to be known at all time to provide the necessary operating data for analysis.</w:t>
      </w:r>
    </w:p>
    <w:p w:rsidR="00E664E4" w:rsidRDefault="00E664E4" w:rsidP="00E664E4">
      <w:r>
        <w:t>The small-sized plant (100 MTU/</w:t>
      </w:r>
      <w:proofErr w:type="spellStart"/>
      <w:r>
        <w:t>yr</w:t>
      </w:r>
      <w:proofErr w:type="spellEnd"/>
      <w:r>
        <w:t xml:space="preserve">) was selected since a diversion of </w:t>
      </w:r>
      <w:r w:rsidRPr="009C69BD">
        <w:t>10</w:t>
      </w:r>
      <w:r>
        <w:t> </w:t>
      </w:r>
      <w:proofErr w:type="spellStart"/>
      <w:r w:rsidRPr="009C69BD">
        <w:t>wt</w:t>
      </w:r>
      <w:proofErr w:type="spellEnd"/>
      <w:r>
        <w:t xml:space="preserve">-% uranium throughput is </w:t>
      </w:r>
      <w:r w:rsidRPr="009C69BD">
        <w:t>significant</w:t>
      </w:r>
      <w:r>
        <w:t xml:space="preserve">. Additionally, medium and large size plants use the </w:t>
      </w:r>
      <w:proofErr w:type="spellStart"/>
      <w:r>
        <w:t>denitration</w:t>
      </w:r>
      <w:proofErr w:type="spellEnd"/>
      <w:r>
        <w:t xml:space="preserve"> method as opposed to precipitation. However, this approach would work no matter the throughput of the model plant. Additionally, this work assumes that the plant was operating continuously and was at steady-state. </w:t>
      </w:r>
      <w:r w:rsidR="007E5C48">
        <w:t xml:space="preserve">If the plant is experiencing transient dynamics, one should wait until the operation has reached stead state before monitoring continues. </w:t>
      </w:r>
      <w:r>
        <w:t xml:space="preserve">Small-sized plants typically operate in a batch-wise manner but larger plants operate continuously. The throughput was chosen for the detection limit not the operating style. Again, this approach </w:t>
      </w:r>
      <w:r w:rsidR="007E5C48">
        <w:t>sh</w:t>
      </w:r>
      <w:r>
        <w:t xml:space="preserve">ould work on </w:t>
      </w:r>
      <w:r w:rsidR="007E5C48">
        <w:t xml:space="preserve">plant with </w:t>
      </w:r>
      <w:r>
        <w:t>larger throughputs as well.</w:t>
      </w:r>
    </w:p>
    <w:p w:rsidR="00E664E4" w:rsidRDefault="00E664E4" w:rsidP="00E664E4"/>
    <w:p w:rsidR="00E664E4" w:rsidRDefault="00E664E4" w:rsidP="00E664E4">
      <w:pPr>
        <w:rPr>
          <w:rFonts w:asciiTheme="majorHAnsi" w:hAnsiTheme="majorHAnsi"/>
          <w:b/>
          <w:caps/>
        </w:rPr>
      </w:pPr>
      <w:r w:rsidRPr="004B0781">
        <w:rPr>
          <w:rFonts w:asciiTheme="majorHAnsi" w:hAnsiTheme="majorHAnsi"/>
          <w:b/>
          <w:caps/>
        </w:rPr>
        <w:t>1.3 Original Contributions</w:t>
      </w:r>
    </w:p>
    <w:p w:rsidR="00E664E4" w:rsidRDefault="00E664E4" w:rsidP="00E664E4">
      <w:r w:rsidRPr="00E3127D">
        <w:t xml:space="preserve">To date, no report of the application of </w:t>
      </w:r>
      <w:r w:rsidR="007E5C48">
        <w:t xml:space="preserve">multivariate statistical methodology, such as </w:t>
      </w:r>
      <w:r w:rsidRPr="00E3127D">
        <w:t>PCA</w:t>
      </w:r>
      <w:r w:rsidR="007E5C48">
        <w:t>,</w:t>
      </w:r>
      <w:r w:rsidRPr="00E3127D">
        <w:t xml:space="preserve"> in an NUCP operation or as a safeguards monitoring approach has bee</w:t>
      </w:r>
      <w:r w:rsidR="007E5C48">
        <w:t>n found in the open literature. Work and results reported here are among the first attempts of this kind.</w:t>
      </w:r>
    </w:p>
    <w:p w:rsidR="00390FD4" w:rsidRDefault="00E664E4" w:rsidP="00E664E4">
      <w:r w:rsidRPr="00723169">
        <w:t xml:space="preserve">Multivariate statistical process </w:t>
      </w:r>
      <w:r w:rsidR="007E5C48">
        <w:t>monitoring and fault detection</w:t>
      </w:r>
      <w:r w:rsidRPr="00723169">
        <w:t xml:space="preserve"> began to gain attention in the early 1990s. Some recent applications of PCA include process monitoring</w:t>
      </w:r>
      <w:r w:rsidR="00F116B2">
        <w:t>,</w:t>
      </w:r>
      <w:r w:rsidRPr="00723169">
        <w:t xml:space="preserve"> fault diagnostics, gross error detection, multivariate statistical process control, data rectification, disturbance detection and isolation, gene expression analysis, facial </w:t>
      </w:r>
      <w:proofErr w:type="gramStart"/>
      <w:r w:rsidR="00F116B2" w:rsidRPr="00723169">
        <w:t>recognition</w:t>
      </w:r>
      <w:r w:rsidR="00F116B2">
        <w:t>,</w:t>
      </w:r>
      <w:proofErr w:type="gramEnd"/>
      <w:r w:rsidRPr="00723169">
        <w:t xml:space="preserve"> signal processing, factor analysis, </w:t>
      </w:r>
      <w:proofErr w:type="spellStart"/>
      <w:r w:rsidRPr="00723169">
        <w:t>chemometrics</w:t>
      </w:r>
      <w:proofErr w:type="spellEnd"/>
      <w:r w:rsidRPr="00723169">
        <w:t>, and chemi</w:t>
      </w:r>
      <w:r>
        <w:t>cal processes data analysis (</w:t>
      </w:r>
      <w:proofErr w:type="spellStart"/>
      <w:r w:rsidRPr="00723169">
        <w:t>Brauner</w:t>
      </w:r>
      <w:proofErr w:type="spellEnd"/>
      <w:r w:rsidRPr="00723169">
        <w:t xml:space="preserve"> and </w:t>
      </w:r>
      <w:proofErr w:type="spellStart"/>
      <w:r w:rsidRPr="00723169">
        <w:t>Shacham</w:t>
      </w:r>
      <w:proofErr w:type="spellEnd"/>
      <w:r w:rsidRPr="00723169">
        <w:t xml:space="preserve"> 2000</w:t>
      </w:r>
      <w:r>
        <w:t xml:space="preserve">; </w:t>
      </w:r>
      <w:r w:rsidRPr="00723169">
        <w:t>Valle</w:t>
      </w:r>
      <w:r>
        <w:t>, Li, and Qin</w:t>
      </w:r>
      <w:r w:rsidRPr="00723169">
        <w:t xml:space="preserve"> 1999; </w:t>
      </w:r>
      <w:proofErr w:type="spellStart"/>
      <w:r w:rsidRPr="00723169">
        <w:t>Bakshi</w:t>
      </w:r>
      <w:proofErr w:type="spellEnd"/>
      <w:r w:rsidRPr="00723169">
        <w:t xml:space="preserve"> 1998). In chemical engineering, PCA is used to monitor batch and continuous processes</w:t>
      </w:r>
      <w:r w:rsidR="007E5C48">
        <w:t xml:space="preserve"> to</w:t>
      </w:r>
      <w:r w:rsidRPr="00723169">
        <w:t xml:space="preserve"> monitor product quality control, missing value replacement, identify and reconstruct sensor and/or process faults, and </w:t>
      </w:r>
      <w:r w:rsidRPr="00390FD4">
        <w:t>detect disturbances (Valle, Li, and Qin 1999).</w:t>
      </w:r>
      <w:r w:rsidR="00390FD4" w:rsidRPr="00390FD4">
        <w:t xml:space="preserve"> PCA is also being applied to nuclear processes (Hines, </w:t>
      </w:r>
      <w:proofErr w:type="spellStart"/>
      <w:r w:rsidR="00390FD4" w:rsidRPr="00390FD4">
        <w:t>Upadhyaya</w:t>
      </w:r>
      <w:proofErr w:type="spellEnd"/>
      <w:r w:rsidR="00390FD4" w:rsidRPr="00390FD4">
        <w:t>, and Henkel 2008) and to nuclear forensics (</w:t>
      </w:r>
      <w:proofErr w:type="spellStart"/>
      <w:r w:rsidR="00390FD4" w:rsidRPr="00390FD4">
        <w:t>Robel</w:t>
      </w:r>
      <w:proofErr w:type="spellEnd"/>
      <w:r w:rsidR="00390FD4" w:rsidRPr="00390FD4">
        <w:t xml:space="preserve">, </w:t>
      </w:r>
      <w:proofErr w:type="spellStart"/>
      <w:r w:rsidR="00390FD4" w:rsidRPr="00390FD4">
        <w:t>Kristo</w:t>
      </w:r>
      <w:proofErr w:type="spellEnd"/>
      <w:r w:rsidR="00390FD4" w:rsidRPr="00390FD4">
        <w:t>, and Heller 2009).</w:t>
      </w:r>
      <w:r w:rsidR="00390FD4">
        <w:rPr>
          <w:rFonts w:ascii="TimesNewRoman" w:hAnsi="TimesNewRoman" w:cs="TimesNewRoman"/>
          <w:sz w:val="24"/>
          <w:szCs w:val="24"/>
        </w:rPr>
        <w:t xml:space="preserve"> </w:t>
      </w:r>
    </w:p>
    <w:p w:rsidR="00E664E4" w:rsidRDefault="00E664E4" w:rsidP="00E664E4">
      <w:r>
        <w:t xml:space="preserve">There have been significant research efforts in safeguarding uranium conversion plants since the change in the IAEA policy. Much of this work has focused on </w:t>
      </w:r>
      <w:r w:rsidR="007E5C48">
        <w:t xml:space="preserve">development and placement of </w:t>
      </w:r>
      <w:r>
        <w:t xml:space="preserve">instrumentation. </w:t>
      </w:r>
    </w:p>
    <w:p w:rsidR="00E664E4" w:rsidRDefault="00E664E4" w:rsidP="00E664E4"/>
    <w:p w:rsidR="00D5612B" w:rsidRDefault="00D5612B" w:rsidP="00E664E4"/>
    <w:p w:rsidR="00E664E4" w:rsidRPr="006D4089" w:rsidRDefault="00E664E4" w:rsidP="00E664E4">
      <w:pPr>
        <w:rPr>
          <w:rFonts w:asciiTheme="majorHAnsi" w:hAnsiTheme="majorHAnsi"/>
          <w:b/>
          <w:caps/>
        </w:rPr>
      </w:pPr>
      <w:r w:rsidRPr="006D4089">
        <w:rPr>
          <w:rFonts w:asciiTheme="majorHAnsi" w:hAnsiTheme="majorHAnsi"/>
          <w:b/>
          <w:caps/>
        </w:rPr>
        <w:lastRenderedPageBreak/>
        <w:t>1.4 Organization of Dissertation</w:t>
      </w:r>
    </w:p>
    <w:p w:rsidR="00E664E4" w:rsidRPr="006D4089" w:rsidRDefault="00E664E4" w:rsidP="00E664E4">
      <w:r w:rsidRPr="006D4089">
        <w:t>This work is described in the next four chapters. Chapter two provides a literature survey which includes background information related to process monitoring along with fault and diversion detection</w:t>
      </w:r>
      <w:r>
        <w:t xml:space="preserve">, as well as provides </w:t>
      </w:r>
      <w:r w:rsidRPr="006D4089">
        <w:t>additional information on current efforts for safeguarding conversion plants</w:t>
      </w:r>
      <w:r>
        <w:t xml:space="preserve">. Chapter two also presents </w:t>
      </w:r>
      <w:r w:rsidRPr="006D4089">
        <w:t>an overview of PCA</w:t>
      </w:r>
      <w:r>
        <w:t xml:space="preserve">, </w:t>
      </w:r>
      <w:r w:rsidR="00BC7C3C">
        <w:t>the</w:t>
      </w:r>
      <w:r w:rsidRPr="00D447F6">
        <w:t xml:space="preserve"> workhorse of the multivariate statistical method</w:t>
      </w:r>
      <w:r w:rsidRPr="006D4089">
        <w:t xml:space="preserve">. </w:t>
      </w:r>
      <w:r>
        <w:t>Additionally, Chapter two provides an</w:t>
      </w:r>
      <w:r w:rsidRPr="006D4089">
        <w:t xml:space="preserve"> overview of previous research related to these fields. Chapter</w:t>
      </w:r>
      <w:r>
        <w:t xml:space="preserve"> three presents a description of the methodology used to develop and test the monitoring framework. </w:t>
      </w:r>
      <w:r w:rsidRPr="006D4089">
        <w:t>Chapter four presents the detailed results of the</w:t>
      </w:r>
      <w:r>
        <w:t xml:space="preserve"> development of the base case model with sensitivity analysis. Chapter four also details the results of the monitoring framework’s ability to detect the diversion scenarios selected for testing. </w:t>
      </w:r>
      <w:r w:rsidRPr="006D4089">
        <w:t>Chapter five presents the conclusions reached during this</w:t>
      </w:r>
      <w:r>
        <w:t xml:space="preserve"> </w:t>
      </w:r>
      <w:r w:rsidRPr="006D4089">
        <w:t>research and recommendations for future work.</w:t>
      </w:r>
    </w:p>
    <w:p w:rsidR="00E664E4" w:rsidRPr="006D4089" w:rsidRDefault="00E664E4" w:rsidP="00E664E4"/>
    <w:p w:rsidR="00DD2D97" w:rsidRPr="000C148F" w:rsidRDefault="00DD2D97" w:rsidP="000C148F"/>
    <w:p w:rsidR="00871E7A" w:rsidRPr="006D4089" w:rsidRDefault="00871E7A" w:rsidP="00871E7A"/>
    <w:p w:rsidR="00AD46F7" w:rsidRDefault="00AD46F7" w:rsidP="00AD46F7"/>
    <w:p w:rsidR="00AD46F7" w:rsidRDefault="00AD46F7" w:rsidP="00AD46F7">
      <w:pPr>
        <w:sectPr w:rsidR="00AD46F7" w:rsidSect="002A316A">
          <w:headerReference w:type="first" r:id="rId17"/>
          <w:footerReference w:type="first" r:id="rId18"/>
          <w:pgSz w:w="12240" w:h="15840"/>
          <w:pgMar w:top="1440" w:right="1440" w:bottom="1440" w:left="1440" w:header="1440" w:footer="1440" w:gutter="0"/>
          <w:pgNumType w:start="1"/>
          <w:cols w:space="720"/>
          <w:docGrid w:linePitch="360"/>
        </w:sectPr>
      </w:pPr>
    </w:p>
    <w:p w:rsidR="00E664E4" w:rsidRPr="00852595" w:rsidRDefault="00E664E4" w:rsidP="00E664E4">
      <w:pPr>
        <w:jc w:val="center"/>
        <w:rPr>
          <w:rFonts w:asciiTheme="majorHAnsi" w:hAnsiTheme="majorHAnsi"/>
          <w:b/>
          <w:caps/>
        </w:rPr>
      </w:pPr>
      <w:r w:rsidRPr="00852595">
        <w:rPr>
          <w:rFonts w:asciiTheme="majorHAnsi" w:hAnsiTheme="majorHAnsi"/>
          <w:b/>
          <w:caps/>
        </w:rPr>
        <w:lastRenderedPageBreak/>
        <w:t>2. Literature Review</w:t>
      </w:r>
    </w:p>
    <w:p w:rsidR="00E664E4" w:rsidRPr="00121256" w:rsidRDefault="00E664E4" w:rsidP="00E664E4"/>
    <w:p w:rsidR="00E664E4" w:rsidRPr="00121256" w:rsidRDefault="00E664E4" w:rsidP="00E664E4">
      <w:r>
        <w:t xml:space="preserve">This chapter provides a review of the literature pertinent to this research effort. This section is broken down into three subsections. Each subsection provides an overview of the topic and a review of the historical and current efforts related to that subject area. Since the </w:t>
      </w:r>
      <w:r w:rsidRPr="007D43E5">
        <w:t xml:space="preserve">objective of </w:t>
      </w:r>
      <w:r w:rsidR="00BC7C3C" w:rsidRPr="007D43E5">
        <w:t xml:space="preserve">this work </w:t>
      </w:r>
      <w:r w:rsidR="00BC7C3C">
        <w:t>is</w:t>
      </w:r>
      <w:r w:rsidR="00BC7C3C" w:rsidRPr="007D43E5">
        <w:t xml:space="preserve"> </w:t>
      </w:r>
      <w:r w:rsidR="00BC7C3C">
        <w:t>the development of an</w:t>
      </w:r>
      <w:r w:rsidR="00BC7C3C" w:rsidRPr="007D43E5">
        <w:t xml:space="preserve"> </w:t>
      </w:r>
      <w:r w:rsidR="00BC7C3C">
        <w:t>on-line</w:t>
      </w:r>
      <w:r w:rsidR="00BC7C3C" w:rsidRPr="007D43E5">
        <w:t xml:space="preserve"> monitoring and data analysis</w:t>
      </w:r>
      <w:r w:rsidRPr="007D43E5">
        <w:t xml:space="preserve"> framework that w</w:t>
      </w:r>
      <w:r w:rsidR="00BC7C3C">
        <w:t>ould</w:t>
      </w:r>
      <w:r w:rsidRPr="007D43E5">
        <w:t xml:space="preserve"> detect the diversion of intermediate products </w:t>
      </w:r>
      <w:r>
        <w:t>from a</w:t>
      </w:r>
      <w:r w:rsidRPr="007D43E5">
        <w:t xml:space="preserve"> </w:t>
      </w:r>
      <w:r>
        <w:t>natural uranium conversion plant (</w:t>
      </w:r>
      <w:r w:rsidRPr="007D43E5">
        <w:t>NUCP</w:t>
      </w:r>
      <w:r>
        <w:t>)</w:t>
      </w:r>
      <w:r w:rsidRPr="007D43E5">
        <w:t xml:space="preserve"> using </w:t>
      </w:r>
      <w:r w:rsidRPr="006D4089">
        <w:t xml:space="preserve">Principal </w:t>
      </w:r>
      <w:r>
        <w:t>C</w:t>
      </w:r>
      <w:r w:rsidRPr="006D4089">
        <w:t xml:space="preserve">omponent </w:t>
      </w:r>
      <w:r>
        <w:t>A</w:t>
      </w:r>
      <w:r w:rsidRPr="006D4089">
        <w:t xml:space="preserve">nalysis </w:t>
      </w:r>
      <w:r>
        <w:t>(PCA), those subsections cover process monitoring and fault detection, safeguards and diversion in conversion plants, and PCA.</w:t>
      </w:r>
      <w:r w:rsidRPr="00121256">
        <w:t xml:space="preserve"> </w:t>
      </w:r>
    </w:p>
    <w:p w:rsidR="00E664E4" w:rsidRPr="00121256" w:rsidRDefault="00E664E4" w:rsidP="00E664E4"/>
    <w:p w:rsidR="00E664E4" w:rsidRDefault="00E664E4" w:rsidP="00E664E4">
      <w:pPr>
        <w:rPr>
          <w:rFonts w:asciiTheme="majorHAnsi" w:hAnsiTheme="majorHAnsi"/>
          <w:b/>
          <w:caps/>
        </w:rPr>
      </w:pPr>
      <w:r w:rsidRPr="00852595">
        <w:rPr>
          <w:rFonts w:asciiTheme="majorHAnsi" w:hAnsiTheme="majorHAnsi"/>
          <w:b/>
          <w:caps/>
        </w:rPr>
        <w:t>2.1 Process Monitoring</w:t>
      </w:r>
      <w:r>
        <w:rPr>
          <w:rFonts w:asciiTheme="majorHAnsi" w:hAnsiTheme="majorHAnsi"/>
          <w:b/>
          <w:caps/>
        </w:rPr>
        <w:t xml:space="preserve"> and Fault Detection</w:t>
      </w:r>
    </w:p>
    <w:p w:rsidR="00E664E4" w:rsidRDefault="00E664E4" w:rsidP="00E664E4">
      <w:r>
        <w:t>This section discusses both process monitoring and the use of multivariate statistical process control (MSPC) for fault detection.</w:t>
      </w:r>
    </w:p>
    <w:p w:rsidR="00E664E4" w:rsidRDefault="00E664E4" w:rsidP="00E664E4">
      <w:proofErr w:type="spellStart"/>
      <w:r w:rsidRPr="001A14F6">
        <w:t>MacGregor</w:t>
      </w:r>
      <w:proofErr w:type="spellEnd"/>
      <w:r w:rsidRPr="001A14F6">
        <w:t xml:space="preserve"> and </w:t>
      </w:r>
      <w:proofErr w:type="spellStart"/>
      <w:r w:rsidRPr="001A14F6">
        <w:t>Kourti</w:t>
      </w:r>
      <w:proofErr w:type="spellEnd"/>
      <w:r w:rsidRPr="001A14F6">
        <w:t xml:space="preserve"> 1995 </w:t>
      </w:r>
      <w:r>
        <w:t>presented</w:t>
      </w:r>
      <w:r w:rsidRPr="001A14F6">
        <w:t xml:space="preserve"> a</w:t>
      </w:r>
      <w:r>
        <w:t>n</w:t>
      </w:r>
      <w:r w:rsidRPr="001A14F6">
        <w:t xml:space="preserve"> </w:t>
      </w:r>
      <w:r w:rsidRPr="0009038B">
        <w:t>overview on both traditional and</w:t>
      </w:r>
      <w:r>
        <w:t xml:space="preserve"> MSPC</w:t>
      </w:r>
      <w:r w:rsidRPr="0009038B">
        <w:t xml:space="preserve"> methods for monitoring and</w:t>
      </w:r>
      <w:r>
        <w:t xml:space="preserve"> </w:t>
      </w:r>
      <w:r w:rsidRPr="0009038B">
        <w:t>diagnosing process operating performance.</w:t>
      </w:r>
      <w:r>
        <w:t xml:space="preserve"> MSPC </w:t>
      </w:r>
      <w:r w:rsidRPr="00AC445B">
        <w:t>began to ga</w:t>
      </w:r>
      <w:r>
        <w:t xml:space="preserve">in attention in the early 1990s. As computers continued to increase in power, speed, and storage capacity, process computers were routinely collecting </w:t>
      </w:r>
      <w:r w:rsidRPr="001A14F6">
        <w:t>measurements on large numbers of</w:t>
      </w:r>
      <w:r>
        <w:t xml:space="preserve"> </w:t>
      </w:r>
      <w:r w:rsidRPr="001A14F6">
        <w:t>process variables</w:t>
      </w:r>
      <w:r>
        <w:t xml:space="preserve">. This data led to the development of </w:t>
      </w:r>
      <w:r w:rsidRPr="001A14F6">
        <w:t>multivariate statistical methods for the analysis, monitoring</w:t>
      </w:r>
      <w:r>
        <w:t>,</w:t>
      </w:r>
      <w:r w:rsidRPr="001A14F6">
        <w:t xml:space="preserve"> and diagnosis of</w:t>
      </w:r>
      <w:r>
        <w:t xml:space="preserve"> </w:t>
      </w:r>
      <w:r w:rsidRPr="001A14F6">
        <w:t>process operating performance</w:t>
      </w:r>
      <w:r>
        <w:t xml:space="preserve">. Manufacturers used these methods to improve process performance, reduce downtime, and reduce costs. The objective of statistical process control (SPC) is </w:t>
      </w:r>
      <w:r w:rsidRPr="00512C06">
        <w:t>to monitor the</w:t>
      </w:r>
      <w:r>
        <w:t xml:space="preserve"> </w:t>
      </w:r>
      <w:r w:rsidRPr="00512C06">
        <w:t>performance of a process over time in order to verify</w:t>
      </w:r>
      <w:r>
        <w:t xml:space="preserve"> </w:t>
      </w:r>
      <w:r w:rsidRPr="00512C06">
        <w:t>that</w:t>
      </w:r>
      <w:r>
        <w:t xml:space="preserve"> the process is remaining in a </w:t>
      </w:r>
      <w:r w:rsidRPr="00512C06">
        <w:t>state of statistical</w:t>
      </w:r>
      <w:r>
        <w:t xml:space="preserve"> </w:t>
      </w:r>
      <w:r w:rsidRPr="00512C06">
        <w:t xml:space="preserve">control. </w:t>
      </w:r>
      <w:r>
        <w:t xml:space="preserve">That is when </w:t>
      </w:r>
      <w:r w:rsidRPr="00512C06">
        <w:t>certain</w:t>
      </w:r>
      <w:r>
        <w:t xml:space="preserve"> </w:t>
      </w:r>
      <w:r w:rsidRPr="00512C06">
        <w:t>process or product variable</w:t>
      </w:r>
      <w:r>
        <w:t>s</w:t>
      </w:r>
      <w:r w:rsidRPr="00512C06">
        <w:t xml:space="preserve"> remain close to the desired</w:t>
      </w:r>
      <w:r>
        <w:t xml:space="preserve"> </w:t>
      </w:r>
      <w:r w:rsidRPr="00512C06">
        <w:t xml:space="preserve">values and the only source of variation is </w:t>
      </w:r>
      <w:r>
        <w:t xml:space="preserve">the normal </w:t>
      </w:r>
      <w:r w:rsidRPr="00512C06">
        <w:t>variation which affects the</w:t>
      </w:r>
      <w:r>
        <w:t xml:space="preserve"> </w:t>
      </w:r>
      <w:r w:rsidRPr="00512C06">
        <w:t xml:space="preserve">process all </w:t>
      </w:r>
      <w:r>
        <w:t xml:space="preserve">of </w:t>
      </w:r>
      <w:r w:rsidRPr="00512C06">
        <w:t>the time and is essentially unavoidable within</w:t>
      </w:r>
      <w:r>
        <w:t xml:space="preserve"> </w:t>
      </w:r>
      <w:r w:rsidRPr="00512C06">
        <w:t>the current process.</w:t>
      </w:r>
      <w:r>
        <w:t xml:space="preserve"> In the case of this work, that is the base case model which allows for a set amount of variation in the input variables. </w:t>
      </w:r>
    </w:p>
    <w:p w:rsidR="00E664E4" w:rsidRDefault="00E664E4" w:rsidP="00E664E4">
      <w:r>
        <w:t xml:space="preserve">SPC </w:t>
      </w:r>
      <w:r w:rsidRPr="00512C06">
        <w:t>charts are used to monitor key</w:t>
      </w:r>
      <w:r>
        <w:t xml:space="preserve"> </w:t>
      </w:r>
      <w:r w:rsidRPr="00512C06">
        <w:t>product variables in order to detect the occurrence of</w:t>
      </w:r>
      <w:r>
        <w:t xml:space="preserve"> </w:t>
      </w:r>
      <w:r w:rsidRPr="00512C06">
        <w:t xml:space="preserve">any event </w:t>
      </w:r>
      <w:r>
        <w:t xml:space="preserve">that </w:t>
      </w:r>
      <w:r w:rsidRPr="00AF61EE">
        <w:t xml:space="preserve">is “off-normal” or having a “special” or “assignable” cause. </w:t>
      </w:r>
      <w:proofErr w:type="gramStart"/>
      <w:r w:rsidR="00AF61EE">
        <w:t>“</w:t>
      </w:r>
      <w:r w:rsidRPr="00512C06">
        <w:t>By</w:t>
      </w:r>
      <w:r>
        <w:t xml:space="preserve"> </w:t>
      </w:r>
      <w:r w:rsidRPr="00512C06">
        <w:t>finding</w:t>
      </w:r>
      <w:r>
        <w:t xml:space="preserve"> assignable causes, long-term im</w:t>
      </w:r>
      <w:r w:rsidRPr="00512C06">
        <w:t>provements in</w:t>
      </w:r>
      <w:r>
        <w:t xml:space="preserve"> </w:t>
      </w:r>
      <w:r w:rsidRPr="00512C06">
        <w:t>the process and in product quality can be achieved by</w:t>
      </w:r>
      <w:r>
        <w:t xml:space="preserve"> </w:t>
      </w:r>
      <w:r w:rsidRPr="00512C06">
        <w:t>eliminating the causes or improving the process or its</w:t>
      </w:r>
      <w:r>
        <w:t xml:space="preserve"> </w:t>
      </w:r>
      <w:r w:rsidRPr="00512C06">
        <w:t>operating procedures</w:t>
      </w:r>
      <w:r w:rsidR="00AF61EE">
        <w:t>” (</w:t>
      </w:r>
      <w:proofErr w:type="spellStart"/>
      <w:r w:rsidR="00AF61EE" w:rsidRPr="001A14F6">
        <w:t>MacGregor</w:t>
      </w:r>
      <w:proofErr w:type="spellEnd"/>
      <w:r w:rsidR="00AF61EE" w:rsidRPr="001A14F6">
        <w:t xml:space="preserve"> and </w:t>
      </w:r>
      <w:proofErr w:type="spellStart"/>
      <w:r w:rsidR="00AF61EE" w:rsidRPr="001A14F6">
        <w:t>Kourti</w:t>
      </w:r>
      <w:proofErr w:type="spellEnd"/>
      <w:r w:rsidR="00AF61EE" w:rsidRPr="001A14F6">
        <w:t xml:space="preserve"> 1995</w:t>
      </w:r>
      <w:r w:rsidR="00AF61EE">
        <w:t>)</w:t>
      </w:r>
      <w:r w:rsidRPr="00512C06">
        <w:t>.</w:t>
      </w:r>
      <w:proofErr w:type="gramEnd"/>
      <w:r>
        <w:t xml:space="preserve"> </w:t>
      </w:r>
      <w:r w:rsidRPr="009627E1">
        <w:t xml:space="preserve">In most industries, traditional </w:t>
      </w:r>
      <w:proofErr w:type="spellStart"/>
      <w:r w:rsidRPr="009627E1">
        <w:t>univariate</w:t>
      </w:r>
      <w:proofErr w:type="spellEnd"/>
      <w:r w:rsidRPr="009627E1">
        <w:t xml:space="preserve"> control charts</w:t>
      </w:r>
      <w:r>
        <w:t xml:space="preserve"> such as, </w:t>
      </w:r>
      <w:proofErr w:type="spellStart"/>
      <w:r w:rsidRPr="009627E1">
        <w:t>Shewhart</w:t>
      </w:r>
      <w:proofErr w:type="spellEnd"/>
      <w:r w:rsidRPr="009627E1">
        <w:t>, CUSUM</w:t>
      </w:r>
      <w:r>
        <w:t>,</w:t>
      </w:r>
      <w:r w:rsidRPr="009627E1">
        <w:t xml:space="preserve"> and EWMA</w:t>
      </w:r>
      <w:r>
        <w:t xml:space="preserve">, </w:t>
      </w:r>
      <w:r w:rsidRPr="009627E1">
        <w:t xml:space="preserve">are used </w:t>
      </w:r>
      <w:r>
        <w:t xml:space="preserve">to </w:t>
      </w:r>
      <w:r w:rsidRPr="009627E1">
        <w:t>separately monitor key</w:t>
      </w:r>
      <w:r>
        <w:t xml:space="preserve"> </w:t>
      </w:r>
      <w:r w:rsidRPr="009627E1">
        <w:t>measurements on the final product which in some way</w:t>
      </w:r>
      <w:r>
        <w:t xml:space="preserve"> </w:t>
      </w:r>
      <w:r w:rsidRPr="009627E1">
        <w:t>define the quality of that product. The</w:t>
      </w:r>
      <w:r>
        <w:t xml:space="preserve"> problem </w:t>
      </w:r>
      <w:r w:rsidRPr="009627E1">
        <w:t>with</w:t>
      </w:r>
      <w:r>
        <w:t xml:space="preserve"> a </w:t>
      </w:r>
      <w:proofErr w:type="spellStart"/>
      <w:r>
        <w:t>univariate</w:t>
      </w:r>
      <w:proofErr w:type="spellEnd"/>
      <w:r>
        <w:t xml:space="preserve"> a</w:t>
      </w:r>
      <w:r w:rsidRPr="009627E1">
        <w:t>pproach is that the</w:t>
      </w:r>
      <w:r>
        <w:t xml:space="preserve"> </w:t>
      </w:r>
      <w:r w:rsidRPr="009627E1">
        <w:t>variables are not</w:t>
      </w:r>
      <w:r>
        <w:t xml:space="preserve"> </w:t>
      </w:r>
      <w:r w:rsidRPr="009627E1">
        <w:t>independent</w:t>
      </w:r>
      <w:r>
        <w:t xml:space="preserve"> and </w:t>
      </w:r>
      <w:r w:rsidRPr="009627E1">
        <w:t>any one of them</w:t>
      </w:r>
      <w:r>
        <w:t xml:space="preserve"> alone cannot </w:t>
      </w:r>
      <w:r w:rsidRPr="009627E1">
        <w:t>adequately define product quality. Product</w:t>
      </w:r>
      <w:r>
        <w:t xml:space="preserve"> </w:t>
      </w:r>
      <w:r w:rsidRPr="009627E1">
        <w:t>quality</w:t>
      </w:r>
      <w:r>
        <w:t xml:space="preserve"> </w:t>
      </w:r>
      <w:r w:rsidRPr="009627E1">
        <w:t>is only defined by the correct simultaneous</w:t>
      </w:r>
      <w:r>
        <w:t xml:space="preserve"> </w:t>
      </w:r>
      <w:r w:rsidRPr="009627E1">
        <w:t xml:space="preserve">values of all the measured properties </w:t>
      </w:r>
      <w:r>
        <w:t xml:space="preserve">and is therefore </w:t>
      </w:r>
      <w:r w:rsidRPr="009627E1">
        <w:t>a</w:t>
      </w:r>
      <w:r>
        <w:t xml:space="preserve"> </w:t>
      </w:r>
      <w:r w:rsidRPr="009627E1">
        <w:t>multivariate property.</w:t>
      </w:r>
      <w:r>
        <w:t xml:space="preserve"> </w:t>
      </w:r>
    </w:p>
    <w:p w:rsidR="00E664E4" w:rsidRDefault="00E664E4" w:rsidP="00E664E4">
      <w:r>
        <w:lastRenderedPageBreak/>
        <w:t xml:space="preserve">PCA is one of the multivariate statistical projection methods presented in </w:t>
      </w:r>
      <w:proofErr w:type="spellStart"/>
      <w:r w:rsidRPr="001A14F6">
        <w:t>MacGregor</w:t>
      </w:r>
      <w:proofErr w:type="spellEnd"/>
      <w:r w:rsidRPr="001A14F6">
        <w:t xml:space="preserve"> and </w:t>
      </w:r>
      <w:proofErr w:type="spellStart"/>
      <w:r w:rsidRPr="001A14F6">
        <w:t>Kourti</w:t>
      </w:r>
      <w:proofErr w:type="spellEnd"/>
      <w:r w:rsidRPr="001A14F6">
        <w:t xml:space="preserve"> 1995</w:t>
      </w:r>
      <w:r>
        <w:t xml:space="preserve">. (The mathematical basis of PCA is presented in Section 2.3.) </w:t>
      </w:r>
      <w:r w:rsidRPr="0003085C">
        <w:t>When the number of measured quality variables is</w:t>
      </w:r>
      <w:r>
        <w:t xml:space="preserve"> </w:t>
      </w:r>
      <w:r w:rsidRPr="0003085C">
        <w:t>large</w:t>
      </w:r>
      <w:r w:rsidR="00E376F8">
        <w:t xml:space="preserve">, then the </w:t>
      </w:r>
      <w:r>
        <w:t xml:space="preserve">variables </w:t>
      </w:r>
      <w:r w:rsidRPr="0003085C">
        <w:t xml:space="preserve">are </w:t>
      </w:r>
      <w:r w:rsidR="00E376F8">
        <w:t xml:space="preserve">likely </w:t>
      </w:r>
      <w:r w:rsidRPr="0003085C">
        <w:t>highly correlated with</w:t>
      </w:r>
      <w:r>
        <w:t xml:space="preserve"> </w:t>
      </w:r>
      <w:r w:rsidRPr="0003085C">
        <w:t>one another and their covariance matrix is nearly</w:t>
      </w:r>
      <w:r>
        <w:t xml:space="preserve"> </w:t>
      </w:r>
      <w:r w:rsidRPr="0003085C">
        <w:t>singular. A common procedure for reducing the dimensionality of the quality variable</w:t>
      </w:r>
      <w:r w:rsidR="00E376F8">
        <w:t>s</w:t>
      </w:r>
      <w:r w:rsidRPr="0003085C">
        <w:t xml:space="preserve"> is PCA.</w:t>
      </w:r>
      <w:r>
        <w:t xml:space="preserve"> </w:t>
      </w:r>
      <w:r w:rsidR="00E376F8">
        <w:t>M</w:t>
      </w:r>
      <w:r w:rsidR="00E376F8" w:rsidRPr="0003085C">
        <w:t>ost of the variability in the data is</w:t>
      </w:r>
      <w:r w:rsidR="00E376F8">
        <w:t xml:space="preserve"> </w:t>
      </w:r>
      <w:r w:rsidR="00E376F8" w:rsidRPr="0003085C">
        <w:t xml:space="preserve">captured in the first few </w:t>
      </w:r>
      <w:r w:rsidR="00E376F8">
        <w:t xml:space="preserve">principal components, so two or three principal </w:t>
      </w:r>
      <w:r w:rsidR="00E376F8" w:rsidRPr="0003085C">
        <w:t>components are often sufficient to explain most of the predictable variations in the product.</w:t>
      </w:r>
      <w:r w:rsidR="00E376F8">
        <w:t xml:space="preserve"> </w:t>
      </w:r>
      <w:r w:rsidR="00E376F8" w:rsidRPr="0003085C">
        <w:t>Multivariate control</w:t>
      </w:r>
      <w:r w:rsidR="00E376F8">
        <w:t xml:space="preserve"> </w:t>
      </w:r>
      <w:r w:rsidR="00E376F8" w:rsidRPr="0003085C">
        <w:t xml:space="preserve">charts </w:t>
      </w:r>
      <w:r w:rsidR="00E376F8">
        <w:t xml:space="preserve">are </w:t>
      </w:r>
      <w:r w:rsidR="00E376F8" w:rsidRPr="0003085C">
        <w:t>based on</w:t>
      </w:r>
      <w:r w:rsidR="00E376F8">
        <w:t xml:space="preserve"> </w:t>
      </w:r>
      <w:proofErr w:type="spellStart"/>
      <w:proofErr w:type="gramStart"/>
      <w:r w:rsidR="00E376F8">
        <w:t>Hotelling's</w:t>
      </w:r>
      <w:proofErr w:type="spellEnd"/>
      <w:r w:rsidR="00E376F8">
        <w:t xml:space="preserve"> </w:t>
      </w:r>
      <w:proofErr w:type="gramEnd"/>
      <m:oMath>
        <m:sSup>
          <m:sSupPr>
            <m:ctrlPr>
              <w:rPr>
                <w:rFonts w:ascii="Cambria Math" w:hAnsi="Cambria Math"/>
                <w:i/>
              </w:rPr>
            </m:ctrlPr>
          </m:sSupPr>
          <m:e>
            <m:r>
              <w:rPr>
                <w:rFonts w:ascii="Cambria Math" w:hAnsi="Cambria Math"/>
              </w:rPr>
              <m:t>T</m:t>
            </m:r>
          </m:e>
          <m:sup>
            <m:r>
              <w:rPr>
                <w:rFonts w:ascii="Cambria Math" w:hAnsi="Cambria Math"/>
              </w:rPr>
              <m:t>2</m:t>
            </m:r>
          </m:sup>
        </m:sSup>
      </m:oMath>
      <w:r w:rsidR="00E376F8">
        <w:t xml:space="preserve">. </w:t>
      </w:r>
      <w:r w:rsidR="00E376F8" w:rsidRPr="00095B36">
        <w:t xml:space="preserve">However, monitoring product quality via </w:t>
      </w:r>
      <m:oMath>
        <m:sSubSup>
          <m:sSubSupPr>
            <m:ctrlPr>
              <w:rPr>
                <w:rFonts w:ascii="Cambria Math" w:hAnsi="Cambria Math"/>
                <w:i/>
              </w:rPr>
            </m:ctrlPr>
          </m:sSubSupPr>
          <m:e>
            <m:r>
              <w:rPr>
                <w:rFonts w:ascii="Cambria Math" w:hAnsi="Cambria Math"/>
              </w:rPr>
              <m:t>T</m:t>
            </m:r>
          </m:e>
          <m:sub>
            <m:r>
              <w:rPr>
                <w:rFonts w:ascii="Cambria Math" w:hAnsi="Cambria Math"/>
              </w:rPr>
              <m:t>A</m:t>
            </m:r>
          </m:sub>
          <m:sup>
            <m:r>
              <w:rPr>
                <w:rFonts w:ascii="Cambria Math" w:hAnsi="Cambria Math"/>
              </w:rPr>
              <m:t>2</m:t>
            </m:r>
          </m:sup>
        </m:sSubSup>
      </m:oMath>
      <w:r w:rsidR="00E376F8">
        <w:t xml:space="preserve"> </w:t>
      </w:r>
      <w:r w:rsidR="00E376F8" w:rsidRPr="00095B36">
        <w:t>based on</w:t>
      </w:r>
      <w:r w:rsidR="00E376F8">
        <w:t xml:space="preserve"> </w:t>
      </w:r>
      <w:r w:rsidR="00E376F8" w:rsidRPr="00095B36">
        <w:t xml:space="preserve">the first </w:t>
      </w:r>
      <w:r w:rsidR="00E376F8">
        <w:t>few (</w:t>
      </w:r>
      <m:oMath>
        <m:r>
          <w:rPr>
            <w:rFonts w:ascii="Cambria Math" w:hAnsi="Cambria Math"/>
          </w:rPr>
          <m:t>A</m:t>
        </m:r>
      </m:oMath>
      <w:r w:rsidR="00E376F8">
        <w:t>)</w:t>
      </w:r>
      <w:r w:rsidR="00E376F8" w:rsidRPr="00095B36">
        <w:t xml:space="preserve"> </w:t>
      </w:r>
      <w:r w:rsidR="00E376F8">
        <w:t>principal components</w:t>
      </w:r>
      <w:r w:rsidR="00E376F8" w:rsidRPr="00095B36">
        <w:t xml:space="preserve"> is not sufficient</w:t>
      </w:r>
      <w:r w:rsidR="00E376F8">
        <w:t xml:space="preserve"> as t</w:t>
      </w:r>
      <w:r w:rsidR="00E376F8" w:rsidRPr="00095B36">
        <w:t>his will only detect</w:t>
      </w:r>
      <w:r w:rsidR="00E376F8">
        <w:t xml:space="preserve"> </w:t>
      </w:r>
      <w:r w:rsidR="00E376F8" w:rsidRPr="00095B36">
        <w:t xml:space="preserve">whether or not the variation in the quality variables </w:t>
      </w:r>
      <w:r w:rsidR="00E376F8">
        <w:t xml:space="preserve">represented by </w:t>
      </w:r>
      <w:r w:rsidR="00E376F8" w:rsidRPr="00095B36">
        <w:t xml:space="preserve">the first </w:t>
      </w:r>
      <m:oMath>
        <m:r>
          <w:rPr>
            <w:rFonts w:ascii="Cambria Math" w:hAnsi="Cambria Math"/>
          </w:rPr>
          <m:t>A</m:t>
        </m:r>
      </m:oMath>
      <w:r w:rsidR="00E376F8" w:rsidRPr="00095B36">
        <w:t xml:space="preserve"> </w:t>
      </w:r>
      <w:r w:rsidR="00E376F8">
        <w:t>principal components</w:t>
      </w:r>
      <w:r w:rsidR="00E376F8" w:rsidRPr="00095B36">
        <w:t xml:space="preserve"> is greater than can be</w:t>
      </w:r>
      <w:r w:rsidR="00E376F8">
        <w:t xml:space="preserve"> </w:t>
      </w:r>
      <w:r w:rsidR="00E376F8" w:rsidRPr="00095B36">
        <w:t xml:space="preserve">explained by </w:t>
      </w:r>
      <w:r w:rsidR="00E376F8">
        <w:t>normal variation</w:t>
      </w:r>
      <w:r w:rsidR="00E376F8" w:rsidRPr="00095B36">
        <w:t>.</w:t>
      </w:r>
      <w:r w:rsidR="00E376F8">
        <w:t xml:space="preserve"> </w:t>
      </w:r>
      <w:r w:rsidR="00E376F8" w:rsidRPr="00095B36">
        <w:t xml:space="preserve">If a </w:t>
      </w:r>
      <w:r w:rsidR="00E376F8">
        <w:t xml:space="preserve">completely </w:t>
      </w:r>
      <w:r w:rsidR="00E376F8" w:rsidRPr="00095B36">
        <w:t>new type of</w:t>
      </w:r>
      <w:r w:rsidR="00E376F8">
        <w:t xml:space="preserve"> fault</w:t>
      </w:r>
      <w:r w:rsidR="00E376F8" w:rsidRPr="00095B36">
        <w:t xml:space="preserve"> occurs which was not present in the</w:t>
      </w:r>
      <w:r w:rsidR="00E376F8">
        <w:t xml:space="preserve"> </w:t>
      </w:r>
      <w:r w:rsidR="00E376F8" w:rsidRPr="00095B36">
        <w:t>reference data used to develop the PCA</w:t>
      </w:r>
      <w:r w:rsidR="00E376F8">
        <w:t xml:space="preserve"> </w:t>
      </w:r>
      <w:r w:rsidR="00E376F8" w:rsidRPr="00095B36">
        <w:t xml:space="preserve">model, then new </w:t>
      </w:r>
      <w:r w:rsidR="00E376F8">
        <w:t>principal components</w:t>
      </w:r>
      <w:r w:rsidR="00E376F8" w:rsidRPr="00095B36">
        <w:t xml:space="preserve"> will appear and the new observations</w:t>
      </w:r>
      <w:r w:rsidR="00E376F8">
        <w:t xml:space="preserve"> w</w:t>
      </w:r>
      <w:r w:rsidR="00E376F8" w:rsidRPr="00095B36">
        <w:t>ill move off the plane</w:t>
      </w:r>
      <w:r w:rsidR="00E376F8">
        <w:t xml:space="preserve">. This new faults </w:t>
      </w:r>
      <w:r w:rsidR="00E376F8" w:rsidRPr="00095B36">
        <w:t>can be detected by computing the squared prediction</w:t>
      </w:r>
      <w:r w:rsidR="00E376F8">
        <w:t xml:space="preserve"> </w:t>
      </w:r>
      <w:r w:rsidR="00E376F8" w:rsidRPr="00095B36">
        <w:t>error (</w:t>
      </w:r>
      <m:oMath>
        <m:r>
          <w:rPr>
            <w:rFonts w:ascii="Cambria Math" w:hAnsi="Cambria Math"/>
          </w:rPr>
          <m:t>SPE</m:t>
        </m:r>
      </m:oMath>
      <w:r w:rsidR="00E376F8" w:rsidRPr="00095B36">
        <w:t xml:space="preserve">) of the residuals of </w:t>
      </w:r>
      <w:r w:rsidR="00D5612B" w:rsidRPr="00095B36">
        <w:t>new observations</w:t>
      </w:r>
      <w:r w:rsidR="00D5612B">
        <w:t xml:space="preserve"> when fitted with the PCA model developed for ‘normal’ operation</w:t>
      </w:r>
      <w:r w:rsidR="00E376F8">
        <w:t xml:space="preserve">. </w:t>
      </w:r>
      <w:r w:rsidRPr="00095B36">
        <w:t>This statistic is al</w:t>
      </w:r>
      <w:r>
        <w:t xml:space="preserve">so referred to as the </w:t>
      </w:r>
      <m:oMath>
        <m:r>
          <w:rPr>
            <w:rFonts w:ascii="Cambria Math" w:hAnsi="Cambria Math"/>
          </w:rPr>
          <m:t>Q</m:t>
        </m:r>
      </m:oMath>
      <w:r>
        <w:noBreakHyphen/>
      </w:r>
      <w:r w:rsidRPr="00095B36">
        <w:t>statistic</w:t>
      </w:r>
      <w:r>
        <w:t xml:space="preserve"> </w:t>
      </w:r>
      <w:r w:rsidRPr="00095B36">
        <w:t>or distance to the model</w:t>
      </w:r>
      <w:r w:rsidR="00E376F8">
        <w:t>, and i</w:t>
      </w:r>
      <w:r w:rsidRPr="00095B36">
        <w:t>t represents</w:t>
      </w:r>
      <w:r>
        <w:t xml:space="preserve"> </w:t>
      </w:r>
      <w:r w:rsidRPr="00095B36">
        <w:t>the squared perpendicular distance of a new multivariate</w:t>
      </w:r>
      <w:r>
        <w:t xml:space="preserve"> </w:t>
      </w:r>
      <w:r w:rsidRPr="00095B36">
        <w:t xml:space="preserve">observation from the </w:t>
      </w:r>
      <w:r w:rsidR="00E376F8">
        <w:t xml:space="preserve">reference </w:t>
      </w:r>
      <w:proofErr w:type="spellStart"/>
      <w:r w:rsidR="00D5612B">
        <w:t>hyper</w:t>
      </w:r>
      <w:r w:rsidRPr="00095B36">
        <w:t>plane</w:t>
      </w:r>
      <w:proofErr w:type="spellEnd"/>
      <w:r w:rsidRPr="00095B36">
        <w:t>. When the process is</w:t>
      </w:r>
      <w:r>
        <w:t xml:space="preserve"> </w:t>
      </w:r>
      <w:r w:rsidR="00E376F8">
        <w:t>operating under normal conditions</w:t>
      </w:r>
      <w:r w:rsidRPr="00095B36">
        <w:t>, th</w:t>
      </w:r>
      <w:r w:rsidR="00D766C2">
        <w:t>e</w:t>
      </w:r>
      <w:r w:rsidRPr="00095B36">
        <w:t xml:space="preserve"> value of </w:t>
      </w:r>
      <m:oMath>
        <m:r>
          <w:rPr>
            <w:rFonts w:ascii="Cambria Math" w:hAnsi="Cambria Math"/>
          </w:rPr>
          <m:t>SPE</m:t>
        </m:r>
      </m:oMath>
      <w:r>
        <w:t xml:space="preserve"> </w:t>
      </w:r>
      <w:r w:rsidRPr="00095B36">
        <w:t xml:space="preserve">or </w:t>
      </w:r>
      <m:oMath>
        <m:r>
          <w:rPr>
            <w:rFonts w:ascii="Cambria Math" w:hAnsi="Cambria Math"/>
          </w:rPr>
          <m:t>Q</m:t>
        </m:r>
      </m:oMath>
      <w:r w:rsidRPr="00095B36">
        <w:t xml:space="preserve"> should be small</w:t>
      </w:r>
      <w:r>
        <w:t xml:space="preserve">. Under normal operating conditions, </w:t>
      </w:r>
      <m:oMath>
        <m:r>
          <w:rPr>
            <w:rFonts w:ascii="Cambria Math" w:hAnsi="Cambria Math"/>
          </w:rPr>
          <m:t>SPE</m:t>
        </m:r>
      </m:oMath>
      <w:r>
        <w:rPr>
          <w:rFonts w:eastAsiaTheme="minorEastAsia"/>
        </w:rPr>
        <w:t xml:space="preserve"> represents </w:t>
      </w:r>
      <w:r w:rsidRPr="00095B36">
        <w:t>unstructured fluc</w:t>
      </w:r>
      <w:r>
        <w:t xml:space="preserve">tuations (noise) that cannot be </w:t>
      </w:r>
      <w:r w:rsidRPr="00095B36">
        <w:t>accounted for by the model.</w:t>
      </w:r>
      <w:r>
        <w:t xml:space="preserve"> </w:t>
      </w:r>
      <w:proofErr w:type="gramStart"/>
      <w:r>
        <w:t>A</w:t>
      </w:r>
      <w:r w:rsidRPr="00A90EDE">
        <w:t xml:space="preserve"> high</w:t>
      </w:r>
      <w:r>
        <w:t xml:space="preserve"> </w:t>
      </w:r>
      <w:r w:rsidRPr="00A90EDE">
        <w:t xml:space="preserve">value of </w:t>
      </w:r>
      <m:oMath>
        <m:r>
          <w:rPr>
            <w:rFonts w:ascii="Cambria Math" w:hAnsi="Cambria Math"/>
          </w:rPr>
          <m:t>SPE</m:t>
        </m:r>
      </m:oMath>
      <w:r w:rsidRPr="00A90EDE">
        <w:t xml:space="preserve"> means that the projection model is not valid for that observation.</w:t>
      </w:r>
      <w:proofErr w:type="gramEnd"/>
      <w:r w:rsidRPr="00A90EDE">
        <w:t xml:space="preserve"> </w:t>
      </w:r>
      <w:r>
        <w:t>Therefore, a</w:t>
      </w:r>
      <w:r w:rsidRPr="00A90EDE">
        <w:t xml:space="preserve"> very effective set of</w:t>
      </w:r>
      <w:r>
        <w:t xml:space="preserve"> </w:t>
      </w:r>
      <w:r w:rsidRPr="00A90EDE">
        <w:t xml:space="preserve">multivariate control charts is a </w:t>
      </w:r>
      <m:oMath>
        <m:sSup>
          <m:sSupPr>
            <m:ctrlPr>
              <w:rPr>
                <w:rFonts w:ascii="Cambria Math" w:hAnsi="Cambria Math"/>
                <w:i/>
              </w:rPr>
            </m:ctrlPr>
          </m:sSupPr>
          <m:e>
            <m:r>
              <w:rPr>
                <w:rFonts w:ascii="Cambria Math" w:hAnsi="Cambria Math"/>
              </w:rPr>
              <m:t>T</m:t>
            </m:r>
          </m:e>
          <m:sup>
            <m:r>
              <w:rPr>
                <w:rFonts w:ascii="Cambria Math" w:hAnsi="Cambria Math"/>
              </w:rPr>
              <m:t>2</m:t>
            </m:r>
          </m:sup>
        </m:sSup>
      </m:oMath>
      <w:r w:rsidRPr="00A90EDE">
        <w:t xml:space="preserve"> chart on the</w:t>
      </w:r>
      <w:r>
        <w:t xml:space="preserve"> </w:t>
      </w:r>
      <m:oMath>
        <m:r>
          <w:rPr>
            <w:rFonts w:ascii="Cambria Math" w:hAnsi="Cambria Math"/>
          </w:rPr>
          <m:t>A</m:t>
        </m:r>
      </m:oMath>
      <w:r w:rsidRPr="00A90EDE">
        <w:t xml:space="preserve"> dominant orthogonal </w:t>
      </w:r>
      <w:r>
        <w:t xml:space="preserve">principal components </w:t>
      </w:r>
      <w:r w:rsidRPr="00A90EDE">
        <w:t xml:space="preserve">plus a </w:t>
      </w:r>
      <m:oMath>
        <m:r>
          <w:rPr>
            <w:rFonts w:ascii="Cambria Math" w:hAnsi="Cambria Math"/>
          </w:rPr>
          <m:t>SPE</m:t>
        </m:r>
      </m:oMath>
      <w:r w:rsidRPr="00A90EDE">
        <w:t xml:space="preserve"> chart.</w:t>
      </w:r>
      <w:r w:rsidR="00D766C2">
        <w:t xml:space="preserve"> </w:t>
      </w:r>
      <w:r w:rsidR="00D766C2" w:rsidRPr="00985F61">
        <w:t>Control</w:t>
      </w:r>
      <w:r w:rsidR="00D766C2">
        <w:t xml:space="preserve"> </w:t>
      </w:r>
      <w:r w:rsidR="00D766C2" w:rsidRPr="00985F61">
        <w:t xml:space="preserve">limits for </w:t>
      </w:r>
      <w:r w:rsidR="00D766C2">
        <w:t xml:space="preserve">both charts are </w:t>
      </w:r>
      <w:r w:rsidR="00D5612B">
        <w:t>developed from the ‘normal’ operation data profile.</w:t>
      </w:r>
    </w:p>
    <w:p w:rsidR="00E664E4" w:rsidRDefault="00E664E4" w:rsidP="00E664E4">
      <w:r>
        <w:t xml:space="preserve">According to </w:t>
      </w:r>
      <w:proofErr w:type="spellStart"/>
      <w:r w:rsidRPr="001A14F6">
        <w:t>MacGregor</w:t>
      </w:r>
      <w:proofErr w:type="spellEnd"/>
      <w:r w:rsidRPr="001A14F6">
        <w:t xml:space="preserve"> and </w:t>
      </w:r>
      <w:proofErr w:type="spellStart"/>
      <w:r w:rsidRPr="001A14F6">
        <w:t>Kourti</w:t>
      </w:r>
      <w:proofErr w:type="spellEnd"/>
      <w:r w:rsidRPr="001A14F6">
        <w:t xml:space="preserve"> 1995</w:t>
      </w:r>
      <w:r>
        <w:t xml:space="preserve">, </w:t>
      </w:r>
      <w:r w:rsidR="00D5612B">
        <w:t xml:space="preserve">traditionally, </w:t>
      </w:r>
      <w:r w:rsidRPr="00FC31AF">
        <w:t>massive amounts of process data are being</w:t>
      </w:r>
      <w:r>
        <w:t xml:space="preserve"> </w:t>
      </w:r>
      <w:r w:rsidRPr="00FC31AF">
        <w:t>collected and stored in databases for most industrial</w:t>
      </w:r>
      <w:r>
        <w:t xml:space="preserve"> processes, but </w:t>
      </w:r>
      <w:r w:rsidRPr="00FC31AF">
        <w:t>very little analysis and interpretation of these</w:t>
      </w:r>
      <w:r>
        <w:t xml:space="preserve"> data are</w:t>
      </w:r>
      <w:r w:rsidRPr="00FC31AF">
        <w:t xml:space="preserve"> being performed. </w:t>
      </w:r>
      <w:r>
        <w:t xml:space="preserve">The lack of analysis is due to the </w:t>
      </w:r>
      <w:r w:rsidRPr="00FC31AF">
        <w:t>overwhelming</w:t>
      </w:r>
      <w:r>
        <w:t xml:space="preserve"> </w:t>
      </w:r>
      <w:r w:rsidRPr="00FC31AF">
        <w:t>size of the databases and the very ill</w:t>
      </w:r>
      <w:r>
        <w:noBreakHyphen/>
      </w:r>
      <w:r w:rsidRPr="00FC31AF">
        <w:t>conditioned</w:t>
      </w:r>
      <w:r>
        <w:t xml:space="preserve"> </w:t>
      </w:r>
      <w:r w:rsidRPr="00FC31AF">
        <w:t>nature of the routine operating data being</w:t>
      </w:r>
      <w:r>
        <w:t xml:space="preserve"> </w:t>
      </w:r>
      <w:r w:rsidRPr="00FC31AF">
        <w:t xml:space="preserve">collected. </w:t>
      </w:r>
      <w:r>
        <w:t xml:space="preserve">Additionally, </w:t>
      </w:r>
      <w:r w:rsidRPr="00FC31AF">
        <w:t>the signal</w:t>
      </w:r>
      <w:r>
        <w:t>-</w:t>
      </w:r>
      <w:r w:rsidRPr="00FC31AF">
        <w:t xml:space="preserve">to-noise ratio </w:t>
      </w:r>
      <w:r>
        <w:t xml:space="preserve">can be </w:t>
      </w:r>
      <w:r w:rsidRPr="00FC31AF">
        <w:t>poor in these data, and there are often significant</w:t>
      </w:r>
      <w:r>
        <w:t xml:space="preserve"> </w:t>
      </w:r>
      <w:r w:rsidRPr="00FC31AF">
        <w:t>amounts of missing data. However, all</w:t>
      </w:r>
      <w:r>
        <w:t xml:space="preserve"> of </w:t>
      </w:r>
      <w:r w:rsidRPr="00FC31AF">
        <w:t>these problems</w:t>
      </w:r>
      <w:r>
        <w:t xml:space="preserve"> can be </w:t>
      </w:r>
      <w:r w:rsidRPr="00FC31AF">
        <w:t>addressed by multivariate statistical projection</w:t>
      </w:r>
      <w:r>
        <w:t xml:space="preserve"> </w:t>
      </w:r>
      <w:r w:rsidRPr="00FC31AF">
        <w:t>methods</w:t>
      </w:r>
      <w:r>
        <w:t>, such as PCA. Uranium conversion plants also collect large amounts of routine process data which may or may not be available to IAEA inspectors. If the detection framework developed in this work was extended to be used as part of a monitoring system</w:t>
      </w:r>
      <w:r w:rsidR="00770D99">
        <w:t xml:space="preserve"> for safeguards</w:t>
      </w:r>
      <w:r>
        <w:t xml:space="preserve">, additional instrumentation would be required to monitor the plant operations. </w:t>
      </w:r>
    </w:p>
    <w:p w:rsidR="00E664E4" w:rsidRPr="00C15495" w:rsidRDefault="00E664E4" w:rsidP="00E664E4">
      <w:r w:rsidRPr="006215ED">
        <w:t>The main approach of statistical quality control methods developed throughout the statistical literature</w:t>
      </w:r>
      <w:r>
        <w:t xml:space="preserve"> </w:t>
      </w:r>
      <w:r w:rsidRPr="006215ED">
        <w:t>has been to monitor only product quality data</w:t>
      </w:r>
      <w:r>
        <w:t xml:space="preserve"> while ignoring </w:t>
      </w:r>
      <w:r w:rsidRPr="006215ED">
        <w:t>all of the data on the</w:t>
      </w:r>
      <w:r>
        <w:t xml:space="preserve"> </w:t>
      </w:r>
      <w:r w:rsidRPr="006215ED">
        <w:t xml:space="preserve">process variables. </w:t>
      </w:r>
      <w:r>
        <w:t>For SPC</w:t>
      </w:r>
      <w:r w:rsidRPr="006215ED">
        <w:t xml:space="preserve">, </w:t>
      </w:r>
      <w:r>
        <w:t xml:space="preserve">both process data and quality data must be considered. </w:t>
      </w:r>
      <w:r w:rsidRPr="006215ED">
        <w:t>There are often</w:t>
      </w:r>
      <w:r>
        <w:t xml:space="preserve"> </w:t>
      </w:r>
      <w:r w:rsidRPr="006215ED">
        <w:t>hundreds of process variables</w:t>
      </w:r>
      <w:r>
        <w:t xml:space="preserve"> which are </w:t>
      </w:r>
      <w:r w:rsidRPr="006215ED">
        <w:t>measured</w:t>
      </w:r>
      <w:r>
        <w:t xml:space="preserve"> </w:t>
      </w:r>
      <w:r w:rsidRPr="006215ED">
        <w:t>much more frequently and usually more accurately</w:t>
      </w:r>
      <w:r>
        <w:t xml:space="preserve"> than the product quality data</w:t>
      </w:r>
      <w:r w:rsidRPr="006215ED">
        <w:t xml:space="preserve">. </w:t>
      </w:r>
      <w:r>
        <w:t xml:space="preserve">Additionally, </w:t>
      </w:r>
      <w:r w:rsidRPr="006215ED">
        <w:t>any</w:t>
      </w:r>
      <w:r>
        <w:t xml:space="preserve"> faults that o</w:t>
      </w:r>
      <w:r w:rsidRPr="006215ED">
        <w:t>ccur will also</w:t>
      </w:r>
      <w:r>
        <w:t xml:space="preserve"> impact the process data. In the case of this work, product quality could be thought of as the uranium concentration or the uranium assay. </w:t>
      </w:r>
      <w:r w:rsidRPr="00C15495">
        <w:t xml:space="preserve">The most practical approaches to </w:t>
      </w:r>
      <w:r>
        <w:t xml:space="preserve">MSPC </w:t>
      </w:r>
      <w:r w:rsidRPr="00C15495">
        <w:t>appear to be those based on multivariate statistical</w:t>
      </w:r>
      <w:r>
        <w:t xml:space="preserve"> </w:t>
      </w:r>
      <w:r w:rsidRPr="00C15495">
        <w:t>pro</w:t>
      </w:r>
      <w:r>
        <w:t xml:space="preserve">jection methods </w:t>
      </w:r>
      <w:r>
        <w:lastRenderedPageBreak/>
        <w:t>such as PCA and Partial Least Squares (PLS)</w:t>
      </w:r>
      <w:r w:rsidRPr="00C15495">
        <w:t>. The</w:t>
      </w:r>
      <w:r>
        <w:t>se</w:t>
      </w:r>
      <w:r w:rsidRPr="00C15495">
        <w:t xml:space="preserve"> methods</w:t>
      </w:r>
      <w:r>
        <w:t xml:space="preserve"> </w:t>
      </w:r>
      <w:r w:rsidRPr="00C15495">
        <w:t>are ideal for handling the large number of highly</w:t>
      </w:r>
      <w:r>
        <w:t xml:space="preserve"> </w:t>
      </w:r>
      <w:r w:rsidRPr="00C15495">
        <w:t>correlated and noisy process variable measurements that</w:t>
      </w:r>
      <w:r>
        <w:t xml:space="preserve"> </w:t>
      </w:r>
      <w:r w:rsidRPr="00C15495">
        <w:t>are being collected by process computers on a routine</w:t>
      </w:r>
      <w:r>
        <w:t xml:space="preserve"> basis, and </w:t>
      </w:r>
      <w:r w:rsidRPr="00C15495">
        <w:t>these methods can also handle missing data.</w:t>
      </w:r>
    </w:p>
    <w:p w:rsidR="007049C4" w:rsidRDefault="00E664E4" w:rsidP="00E664E4">
      <w:proofErr w:type="spellStart"/>
      <w:r w:rsidRPr="001A14F6">
        <w:t>MacGregor</w:t>
      </w:r>
      <w:proofErr w:type="spellEnd"/>
      <w:r w:rsidRPr="001A14F6">
        <w:t xml:space="preserve"> and </w:t>
      </w:r>
      <w:proofErr w:type="spellStart"/>
      <w:r w:rsidRPr="001A14F6">
        <w:t>Kourti</w:t>
      </w:r>
      <w:proofErr w:type="spellEnd"/>
      <w:r w:rsidRPr="001A14F6">
        <w:t xml:space="preserve"> 1995</w:t>
      </w:r>
      <w:r>
        <w:t xml:space="preserve"> provided the following overview for monitoring processes using MSPC. </w:t>
      </w:r>
      <w:proofErr w:type="spellStart"/>
      <w:r>
        <w:t>Kourti</w:t>
      </w:r>
      <w:proofErr w:type="spellEnd"/>
      <w:r>
        <w:t xml:space="preserve"> 2002 presents additional information on process analysis techniques and the use of MSPC for fault detection. </w:t>
      </w:r>
      <w:proofErr w:type="spellStart"/>
      <w:r w:rsidR="007049C4" w:rsidRPr="001A14F6">
        <w:t>MacGregor</w:t>
      </w:r>
      <w:proofErr w:type="spellEnd"/>
      <w:r w:rsidR="007049C4" w:rsidRPr="001A14F6">
        <w:t xml:space="preserve"> and </w:t>
      </w:r>
      <w:proofErr w:type="spellStart"/>
      <w:r w:rsidR="007049C4" w:rsidRPr="001A14F6">
        <w:t>Kourti</w:t>
      </w:r>
      <w:proofErr w:type="spellEnd"/>
      <w:r w:rsidR="007049C4" w:rsidRPr="001A14F6">
        <w:t xml:space="preserve"> 1995</w:t>
      </w:r>
      <w:r w:rsidR="007049C4">
        <w:t xml:space="preserve"> state that a</w:t>
      </w:r>
      <w:r w:rsidRPr="00985F61">
        <w:t xml:space="preserve">n essential part of </w:t>
      </w:r>
      <w:r>
        <w:t xml:space="preserve">SPC </w:t>
      </w:r>
      <w:r w:rsidRPr="00985F61">
        <w:t>is to establish multivariate</w:t>
      </w:r>
      <w:r>
        <w:t xml:space="preserve"> </w:t>
      </w:r>
      <w:r w:rsidRPr="00985F61">
        <w:t>control charts to detect special events</w:t>
      </w:r>
      <w:r w:rsidR="007049C4">
        <w:t xml:space="preserve"> or faults </w:t>
      </w:r>
      <w:r w:rsidRPr="00985F61">
        <w:t>and</w:t>
      </w:r>
      <w:r>
        <w:t xml:space="preserve"> </w:t>
      </w:r>
      <w:r w:rsidRPr="00985F61">
        <w:t>to diagnose possible causes</w:t>
      </w:r>
      <w:r w:rsidR="007049C4">
        <w:t xml:space="preserve">. These are referred to as diagnostic plots in this work. </w:t>
      </w:r>
      <w:r w:rsidRPr="00985F61">
        <w:t xml:space="preserve">The philosophy </w:t>
      </w:r>
      <w:r w:rsidR="007049C4" w:rsidRPr="00985F61">
        <w:t xml:space="preserve">used for the </w:t>
      </w:r>
      <w:proofErr w:type="spellStart"/>
      <w:r w:rsidR="007049C4" w:rsidRPr="00985F61">
        <w:t>univariate</w:t>
      </w:r>
      <w:proofErr w:type="spellEnd"/>
      <w:r w:rsidR="007049C4" w:rsidRPr="00985F61">
        <w:t xml:space="preserve"> or</w:t>
      </w:r>
      <w:r w:rsidR="007049C4">
        <w:t xml:space="preserve"> </w:t>
      </w:r>
      <w:r w:rsidR="007049C4" w:rsidRPr="00985F61">
        <w:t xml:space="preserve">multivariate </w:t>
      </w:r>
      <w:proofErr w:type="spellStart"/>
      <w:r w:rsidR="007049C4" w:rsidRPr="00985F61">
        <w:t>Shewhart</w:t>
      </w:r>
      <w:proofErr w:type="spellEnd"/>
      <w:r w:rsidR="007049C4" w:rsidRPr="00985F61">
        <w:t xml:space="preserve"> charts</w:t>
      </w:r>
      <w:r w:rsidR="007049C4">
        <w:t xml:space="preserve"> can be used for the development of </w:t>
      </w:r>
      <w:r>
        <w:t xml:space="preserve">MSPC </w:t>
      </w:r>
      <w:r w:rsidRPr="00985F61">
        <w:t>procedures based on projection</w:t>
      </w:r>
      <w:r>
        <w:t xml:space="preserve"> </w:t>
      </w:r>
      <w:r w:rsidR="007049C4">
        <w:t xml:space="preserve">methods. This philosophy starts with choosing an </w:t>
      </w:r>
      <w:r w:rsidRPr="00985F61">
        <w:t>appropriate reference</w:t>
      </w:r>
      <w:r>
        <w:t xml:space="preserve"> </w:t>
      </w:r>
      <w:r w:rsidRPr="00985F61">
        <w:t>set which defines the normal operating conditions</w:t>
      </w:r>
      <w:r>
        <w:t xml:space="preserve"> </w:t>
      </w:r>
      <w:r w:rsidRPr="00985F61">
        <w:t xml:space="preserve">for </w:t>
      </w:r>
      <w:r w:rsidR="007049C4">
        <w:t xml:space="preserve">the </w:t>
      </w:r>
      <w:r w:rsidRPr="00985F61">
        <w:t>particular process</w:t>
      </w:r>
      <w:r w:rsidR="00D766C2">
        <w:t xml:space="preserve"> of interest</w:t>
      </w:r>
      <w:r w:rsidRPr="00985F61">
        <w:t xml:space="preserve">. </w:t>
      </w:r>
      <w:r w:rsidR="00D766C2">
        <w:t xml:space="preserve">Therefore, </w:t>
      </w:r>
      <w:r w:rsidRPr="00985F61">
        <w:t>a PCA</w:t>
      </w:r>
      <w:r>
        <w:t xml:space="preserve"> </w:t>
      </w:r>
      <w:r w:rsidRPr="00985F61">
        <w:t xml:space="preserve">model is built based </w:t>
      </w:r>
      <w:r w:rsidR="00D766C2">
        <w:t>data collected during normal process operations and a</w:t>
      </w:r>
      <w:r w:rsidRPr="00985F61">
        <w:t xml:space="preserve">ny periods containing </w:t>
      </w:r>
      <w:r w:rsidR="00D766C2">
        <w:t xml:space="preserve">abnormal </w:t>
      </w:r>
      <w:r w:rsidRPr="00985F61">
        <w:t xml:space="preserve">variations </w:t>
      </w:r>
      <w:r w:rsidR="00D766C2" w:rsidRPr="00985F61">
        <w:t>that one would like to detect in the</w:t>
      </w:r>
      <w:r w:rsidR="00D766C2">
        <w:t xml:space="preserve"> </w:t>
      </w:r>
      <w:r w:rsidR="00D766C2" w:rsidRPr="00985F61">
        <w:t>future are omitted</w:t>
      </w:r>
      <w:r w:rsidRPr="00985F61">
        <w:t xml:space="preserve">. </w:t>
      </w:r>
      <w:r w:rsidR="00D766C2">
        <w:t xml:space="preserve">It is of critical importance </w:t>
      </w:r>
      <w:r w:rsidR="00D766C2" w:rsidRPr="00985F61">
        <w:t>to the successful application of</w:t>
      </w:r>
      <w:r w:rsidR="00D766C2">
        <w:t xml:space="preserve"> </w:t>
      </w:r>
      <w:r w:rsidR="00D766C2" w:rsidRPr="00985F61">
        <w:t>th</w:t>
      </w:r>
      <w:r w:rsidR="00D766C2">
        <w:t>is</w:t>
      </w:r>
      <w:r w:rsidR="00D766C2" w:rsidRPr="00985F61">
        <w:t xml:space="preserve"> procedure</w:t>
      </w:r>
      <w:r w:rsidR="00D766C2">
        <w:t xml:space="preserve"> that an appropriate reference set be selected. This work follows the same philosophy; a PCA model was built based on normal operating conditions and was used to test abnormal conditions using the </w:t>
      </w:r>
      <m:oMath>
        <m:sSup>
          <m:sSupPr>
            <m:ctrlPr>
              <w:rPr>
                <w:rFonts w:ascii="Cambria Math" w:hAnsi="Cambria Math"/>
                <w:i/>
              </w:rPr>
            </m:ctrlPr>
          </m:sSupPr>
          <m:e>
            <m:r>
              <w:rPr>
                <w:rFonts w:ascii="Cambria Math" w:hAnsi="Cambria Math"/>
              </w:rPr>
              <m:t>T</m:t>
            </m:r>
          </m:e>
          <m:sup>
            <m:r>
              <w:rPr>
                <w:rFonts w:ascii="Cambria Math" w:hAnsi="Cambria Math"/>
              </w:rPr>
              <m:t>2</m:t>
            </m:r>
          </m:sup>
        </m:sSup>
      </m:oMath>
      <w:r w:rsidR="00D766C2">
        <w:rPr>
          <w:rFonts w:eastAsiaTheme="minorEastAsia"/>
        </w:rPr>
        <w:t xml:space="preserve"> and </w:t>
      </w:r>
      <m:oMath>
        <m:r>
          <w:rPr>
            <w:rFonts w:ascii="Cambria Math" w:eastAsiaTheme="minorEastAsia" w:hAnsi="Cambria Math"/>
          </w:rPr>
          <m:t>SPE</m:t>
        </m:r>
      </m:oMath>
      <w:r w:rsidR="00D766C2">
        <w:rPr>
          <w:rFonts w:eastAsiaTheme="minorEastAsia"/>
        </w:rPr>
        <w:t xml:space="preserve"> charts.</w:t>
      </w:r>
    </w:p>
    <w:p w:rsidR="00E664E4" w:rsidRDefault="00E664E4" w:rsidP="00E664E4">
      <w:r>
        <w:t xml:space="preserve">According to Martin, Morris, and Zhang 1996, </w:t>
      </w:r>
      <w:r w:rsidRPr="009F7242">
        <w:t>SPC is a</w:t>
      </w:r>
      <w:r>
        <w:t xml:space="preserve"> </w:t>
      </w:r>
      <w:r w:rsidRPr="009F7242">
        <w:t>tool for achieving and maintaining product</w:t>
      </w:r>
      <w:r>
        <w:t xml:space="preserve"> </w:t>
      </w:r>
      <w:r w:rsidRPr="009F7242">
        <w:t xml:space="preserve">quality. Classical </w:t>
      </w:r>
      <w:proofErr w:type="spellStart"/>
      <w:r w:rsidRPr="009F7242">
        <w:t>univariate</w:t>
      </w:r>
      <w:proofErr w:type="spellEnd"/>
      <w:r w:rsidRPr="009F7242">
        <w:t xml:space="preserve"> statistical techniques</w:t>
      </w:r>
      <w:r>
        <w:t xml:space="preserve"> </w:t>
      </w:r>
      <w:r w:rsidRPr="009F7242">
        <w:t>monitor one quality</w:t>
      </w:r>
      <w:r>
        <w:t xml:space="preserve"> </w:t>
      </w:r>
      <w:r w:rsidRPr="009F7242">
        <w:t>variable at a time and are not appropriate for</w:t>
      </w:r>
      <w:r>
        <w:t xml:space="preserve"> </w:t>
      </w:r>
      <w:r w:rsidRPr="009F7242">
        <w:t>analyzing process data where variables</w:t>
      </w:r>
      <w:r>
        <w:t xml:space="preserve"> are highly correlated. This results in m</w:t>
      </w:r>
      <w:r w:rsidRPr="007431F5">
        <w:t xml:space="preserve">inimal information </w:t>
      </w:r>
      <w:r>
        <w:t xml:space="preserve">being </w:t>
      </w:r>
      <w:r w:rsidRPr="007431F5">
        <w:t>derived on the interactions between variables</w:t>
      </w:r>
      <w:r>
        <w:t xml:space="preserve"> </w:t>
      </w:r>
      <w:r w:rsidRPr="007431F5">
        <w:t xml:space="preserve">which are </w:t>
      </w:r>
      <w:r w:rsidR="0061794A">
        <w:t xml:space="preserve">very </w:t>
      </w:r>
      <w:r w:rsidRPr="007431F5">
        <w:t>im</w:t>
      </w:r>
      <w:r w:rsidR="0061794A">
        <w:t xml:space="preserve">portant in complex </w:t>
      </w:r>
      <w:r w:rsidRPr="007431F5">
        <w:t>processes.</w:t>
      </w:r>
      <w:r>
        <w:t xml:space="preserve"> </w:t>
      </w:r>
      <w:r w:rsidRPr="007431F5">
        <w:t xml:space="preserve">These limitations </w:t>
      </w:r>
      <w:r>
        <w:t xml:space="preserve">can be </w:t>
      </w:r>
      <w:r w:rsidRPr="007431F5">
        <w:t>addressed</w:t>
      </w:r>
      <w:r>
        <w:t xml:space="preserve"> </w:t>
      </w:r>
      <w:r w:rsidRPr="007431F5">
        <w:t>through the application of MSPC.</w:t>
      </w:r>
      <w:r>
        <w:t xml:space="preserve"> </w:t>
      </w:r>
      <w:r w:rsidRPr="009F7242">
        <w:t>The bases of MSPC are</w:t>
      </w:r>
      <w:r>
        <w:t xml:space="preserve"> </w:t>
      </w:r>
      <w:r w:rsidRPr="009F7242">
        <w:t xml:space="preserve">the projection techniques of </w:t>
      </w:r>
      <w:r>
        <w:t>PCA</w:t>
      </w:r>
      <w:r w:rsidRPr="009F7242">
        <w:t xml:space="preserve"> and projection to latent structures</w:t>
      </w:r>
      <w:r>
        <w:t xml:space="preserve"> since both approaches are used </w:t>
      </w:r>
      <w:r w:rsidRPr="009F7242">
        <w:t>to reduce</w:t>
      </w:r>
      <w:r>
        <w:t xml:space="preserve"> </w:t>
      </w:r>
      <w:r w:rsidRPr="009F7242">
        <w:t>the dimensionality of the problem by forming a</w:t>
      </w:r>
      <w:r>
        <w:t xml:space="preserve"> </w:t>
      </w:r>
      <w:r w:rsidRPr="009F7242">
        <w:t xml:space="preserve">new set of latent variables </w:t>
      </w:r>
      <w:r w:rsidR="0061794A">
        <w:t xml:space="preserve">(principal components) </w:t>
      </w:r>
      <w:r w:rsidRPr="009F7242">
        <w:t>to obtain an enhanced</w:t>
      </w:r>
      <w:r>
        <w:t xml:space="preserve"> </w:t>
      </w:r>
      <w:r w:rsidRPr="009F7242">
        <w:t xml:space="preserve">understanding of the process behavior. </w:t>
      </w:r>
    </w:p>
    <w:p w:rsidR="00A85241" w:rsidRDefault="00E664E4" w:rsidP="00E664E4">
      <w:r w:rsidRPr="006771C1">
        <w:t xml:space="preserve">Two types of information are </w:t>
      </w:r>
      <w:r>
        <w:t xml:space="preserve">typically </w:t>
      </w:r>
      <w:r w:rsidRPr="006771C1">
        <w:t>monitored on a process</w:t>
      </w:r>
      <w:r>
        <w:t xml:space="preserve">: (1) </w:t>
      </w:r>
      <w:r w:rsidRPr="006771C1">
        <w:t>quality measurements (e.g. color, texture,</w:t>
      </w:r>
      <w:r>
        <w:t xml:space="preserve"> </w:t>
      </w:r>
      <w:r w:rsidRPr="006771C1">
        <w:t>strength, weight, size, moisture content, material properties,</w:t>
      </w:r>
      <w:r>
        <w:t xml:space="preserve"> </w:t>
      </w:r>
      <w:r w:rsidRPr="006771C1">
        <w:t xml:space="preserve">etc.) and </w:t>
      </w:r>
      <w:r>
        <w:t xml:space="preserve">(2) </w:t>
      </w:r>
      <w:r w:rsidRPr="006771C1">
        <w:t>process information (e.g. temperature,</w:t>
      </w:r>
      <w:r>
        <w:t xml:space="preserve"> </w:t>
      </w:r>
      <w:r w:rsidRPr="006771C1">
        <w:t xml:space="preserve">pressure, flow rates, speed, etc.). </w:t>
      </w:r>
      <w:r w:rsidR="0061794A">
        <w:t>For this application, these would be the uranium content or assay (quality) and the process information (</w:t>
      </w:r>
      <w:r w:rsidR="0061794A" w:rsidRPr="006771C1">
        <w:t>e.g. temperature,</w:t>
      </w:r>
      <w:r w:rsidR="0061794A">
        <w:t xml:space="preserve"> </w:t>
      </w:r>
      <w:r w:rsidR="0061794A" w:rsidRPr="006771C1">
        <w:t>pressure, flow rates</w:t>
      </w:r>
      <w:r w:rsidR="0061794A">
        <w:t xml:space="preserve">, etc.). </w:t>
      </w:r>
      <w:r>
        <w:t>O</w:t>
      </w:r>
      <w:r w:rsidRPr="006771C1">
        <w:t>nly a limited number of quality</w:t>
      </w:r>
      <w:r>
        <w:t xml:space="preserve"> </w:t>
      </w:r>
      <w:r w:rsidRPr="006771C1">
        <w:t xml:space="preserve">variables are </w:t>
      </w:r>
      <w:r w:rsidR="0061794A">
        <w:t xml:space="preserve">taken at </w:t>
      </w:r>
      <w:r w:rsidRPr="006771C1">
        <w:t>a much lower frequency</w:t>
      </w:r>
      <w:r>
        <w:t xml:space="preserve"> compared to </w:t>
      </w:r>
      <w:r w:rsidR="0061794A">
        <w:t xml:space="preserve">the </w:t>
      </w:r>
      <w:r w:rsidRPr="006771C1">
        <w:t>large number of variables</w:t>
      </w:r>
      <w:r>
        <w:t xml:space="preserve"> that </w:t>
      </w:r>
      <w:r w:rsidRPr="006771C1">
        <w:t>are monitored</w:t>
      </w:r>
      <w:r>
        <w:t xml:space="preserve"> in process measurements</w:t>
      </w:r>
      <w:r w:rsidRPr="006771C1">
        <w:t>.</w:t>
      </w:r>
      <w:r>
        <w:t xml:space="preserve"> </w:t>
      </w:r>
      <w:r w:rsidR="0061794A">
        <w:t>According to Martin, Morris, and Zhang 1996, “</w:t>
      </w:r>
      <w:r w:rsidRPr="006B0B93">
        <w:t>MSPC</w:t>
      </w:r>
      <w:r>
        <w:t xml:space="preserve"> methods</w:t>
      </w:r>
      <w:r w:rsidRPr="006B0B93">
        <w:t xml:space="preserve"> address some of the limitations of </w:t>
      </w:r>
      <w:proofErr w:type="spellStart"/>
      <w:r w:rsidRPr="006B0B93">
        <w:t>univariate</w:t>
      </w:r>
      <w:proofErr w:type="spellEnd"/>
      <w:r>
        <w:t xml:space="preserve"> </w:t>
      </w:r>
      <w:r w:rsidRPr="006B0B93">
        <w:t>monitoring techniques by considering all the data</w:t>
      </w:r>
      <w:r>
        <w:t xml:space="preserve"> </w:t>
      </w:r>
      <w:r w:rsidRPr="006B0B93">
        <w:t>simultaneously and extracting information on the directionality of the process variations</w:t>
      </w:r>
      <w:r>
        <w:t xml:space="preserve">, that is </w:t>
      </w:r>
      <w:r w:rsidRPr="006B0B93">
        <w:t>the</w:t>
      </w:r>
      <w:r>
        <w:t xml:space="preserve"> </w:t>
      </w:r>
      <w:r w:rsidRPr="006B0B93">
        <w:t>behavior of one variable relative to the others.</w:t>
      </w:r>
      <w:r w:rsidR="0061794A">
        <w:t>”</w:t>
      </w:r>
      <w:r w:rsidRPr="006B0B93">
        <w:t xml:space="preserve"> </w:t>
      </w:r>
      <w:r w:rsidR="0061794A">
        <w:t>P</w:t>
      </w:r>
      <w:r w:rsidRPr="006B0B93">
        <w:t>rojection techniques</w:t>
      </w:r>
      <w:r w:rsidR="0061794A">
        <w:t xml:space="preserve">, such as PCA, </w:t>
      </w:r>
      <w:r w:rsidRPr="006B0B93">
        <w:t xml:space="preserve">allow </w:t>
      </w:r>
      <w:r w:rsidR="0061794A">
        <w:t xml:space="preserve">for </w:t>
      </w:r>
      <w:r w:rsidRPr="006B0B93">
        <w:t>the efficient handling of</w:t>
      </w:r>
      <w:r>
        <w:t xml:space="preserve"> </w:t>
      </w:r>
      <w:r w:rsidRPr="006B0B93">
        <w:t>large amounts of monitored p</w:t>
      </w:r>
      <w:r w:rsidR="00540F1D">
        <w:t>rocess</w:t>
      </w:r>
      <w:r w:rsidRPr="006B0B93">
        <w:t xml:space="preserve"> data which </w:t>
      </w:r>
      <w:r w:rsidR="00540F1D">
        <w:t xml:space="preserve">includes </w:t>
      </w:r>
      <w:r w:rsidRPr="006B0B93">
        <w:t>measurement errors</w:t>
      </w:r>
      <w:r w:rsidR="00540F1D">
        <w:t xml:space="preserve"> and is </w:t>
      </w:r>
      <w:r w:rsidRPr="006B0B93">
        <w:t>ill</w:t>
      </w:r>
      <w:r>
        <w:noBreakHyphen/>
      </w:r>
      <w:r w:rsidRPr="006B0B93">
        <w:t>conditioned</w:t>
      </w:r>
      <w:r>
        <w:t xml:space="preserve"> </w:t>
      </w:r>
      <w:r w:rsidRPr="006B0B93">
        <w:t xml:space="preserve">and </w:t>
      </w:r>
      <w:r>
        <w:t>highly correlated</w:t>
      </w:r>
      <w:r w:rsidRPr="006B0B93">
        <w:t>.</w:t>
      </w:r>
    </w:p>
    <w:p w:rsidR="00540F1D" w:rsidRDefault="00E664E4" w:rsidP="00E664E4">
      <w:r w:rsidRPr="00B1507F">
        <w:lastRenderedPageBreak/>
        <w:t xml:space="preserve">PCA reduces the dimensionality of the </w:t>
      </w:r>
      <w:r w:rsidR="00540F1D">
        <w:t xml:space="preserve">process data set </w:t>
      </w:r>
      <w:r w:rsidRPr="00B1507F">
        <w:t>by</w:t>
      </w:r>
      <w:r>
        <w:t xml:space="preserve"> </w:t>
      </w:r>
      <w:r w:rsidRPr="00B1507F">
        <w:t xml:space="preserve">defining a series of new variables, </w:t>
      </w:r>
      <w:r w:rsidR="00540F1D">
        <w:t xml:space="preserve">called </w:t>
      </w:r>
      <w:r w:rsidRPr="00B1507F">
        <w:t>principal components,</w:t>
      </w:r>
      <w:r>
        <w:t xml:space="preserve"> </w:t>
      </w:r>
      <w:r w:rsidR="00D5612B">
        <w:t xml:space="preserve">each of </w:t>
      </w:r>
      <w:r w:rsidRPr="00B1507F">
        <w:t xml:space="preserve">which </w:t>
      </w:r>
      <w:r w:rsidR="00D5612B">
        <w:t>is</w:t>
      </w:r>
      <w:r w:rsidRPr="00B1507F">
        <w:t xml:space="preserve"> a linear combination of the original</w:t>
      </w:r>
      <w:r>
        <w:t xml:space="preserve"> </w:t>
      </w:r>
      <w:r w:rsidRPr="00B1507F">
        <w:t xml:space="preserve">measured variables and </w:t>
      </w:r>
      <w:r w:rsidR="00D5612B">
        <w:t xml:space="preserve">would </w:t>
      </w:r>
      <w:r w:rsidRPr="00B1507F">
        <w:t>explain the maximal</w:t>
      </w:r>
      <w:r>
        <w:t xml:space="preserve"> </w:t>
      </w:r>
      <w:r w:rsidRPr="00B1507F">
        <w:t xml:space="preserve">amount of variability </w:t>
      </w:r>
      <w:r w:rsidR="00D5612B">
        <w:t xml:space="preserve">embedded </w:t>
      </w:r>
      <w:r w:rsidRPr="00B1507F">
        <w:t>in the data.</w:t>
      </w:r>
      <w:r>
        <w:t xml:space="preserve"> </w:t>
      </w:r>
      <w:r w:rsidR="00540F1D">
        <w:t xml:space="preserve">In other words, </w:t>
      </w:r>
      <w:r w:rsidR="00540F1D" w:rsidRPr="00B1507F">
        <w:t xml:space="preserve">PCA </w:t>
      </w:r>
      <w:r w:rsidR="00540F1D">
        <w:t>defines</w:t>
      </w:r>
      <w:r w:rsidR="00540F1D" w:rsidRPr="00B1507F">
        <w:t xml:space="preserve"> a few linear combinations</w:t>
      </w:r>
      <w:r w:rsidR="00540F1D">
        <w:t xml:space="preserve"> </w:t>
      </w:r>
      <w:r w:rsidR="00540F1D" w:rsidRPr="00B1507F">
        <w:t>which can be used to summari</w:t>
      </w:r>
      <w:r w:rsidR="00540F1D">
        <w:t>z</w:t>
      </w:r>
      <w:r w:rsidR="00540F1D" w:rsidRPr="00B1507F">
        <w:t>e the data with minimal</w:t>
      </w:r>
      <w:r w:rsidR="00540F1D">
        <w:t xml:space="preserve"> </w:t>
      </w:r>
      <w:r w:rsidR="00540F1D" w:rsidRPr="00B1507F">
        <w:t>loss of information.</w:t>
      </w:r>
      <w:r w:rsidR="00540F1D">
        <w:t xml:space="preserve"> “</w:t>
      </w:r>
      <w:r w:rsidRPr="00B1507F">
        <w:t xml:space="preserve">The primary objectives </w:t>
      </w:r>
      <w:r>
        <w:t xml:space="preserve">of </w:t>
      </w:r>
      <w:r w:rsidRPr="00B1507F">
        <w:t>PCA are data summari</w:t>
      </w:r>
      <w:r>
        <w:t>z</w:t>
      </w:r>
      <w:r w:rsidRPr="00B1507F">
        <w:t>ation, classification of variables,</w:t>
      </w:r>
      <w:r>
        <w:t xml:space="preserve"> </w:t>
      </w:r>
      <w:r w:rsidRPr="00B1507F">
        <w:t>outlier detection, early warning of potential</w:t>
      </w:r>
      <w:r>
        <w:t xml:space="preserve"> </w:t>
      </w:r>
      <w:r w:rsidRPr="00B1507F">
        <w:t>malfunctions and ‘fingerprinting’ for fault identification</w:t>
      </w:r>
      <w:r w:rsidR="00540F1D">
        <w:t>” (Martin, Morris, and Zhang 1996)</w:t>
      </w:r>
      <w:r w:rsidRPr="00B1507F">
        <w:t>.</w:t>
      </w:r>
      <w:r>
        <w:t xml:space="preserve"> </w:t>
      </w:r>
    </w:p>
    <w:p w:rsidR="00D5612B" w:rsidRDefault="00540F1D" w:rsidP="00D5612B">
      <w:r>
        <w:t xml:space="preserve">The </w:t>
      </w:r>
      <w:r w:rsidRPr="00B1507F">
        <w:t xml:space="preserve">variables </w:t>
      </w:r>
      <w:r>
        <w:t xml:space="preserve">that </w:t>
      </w:r>
      <w:r w:rsidRPr="00B1507F">
        <w:t xml:space="preserve">contribute the most to </w:t>
      </w:r>
      <w:r>
        <w:t xml:space="preserve">the </w:t>
      </w:r>
      <w:r w:rsidRPr="00B1507F">
        <w:t>individual principal components</w:t>
      </w:r>
      <w:r>
        <w:t xml:space="preserve"> are determined based on the </w:t>
      </w:r>
      <w:r w:rsidR="00D5612B" w:rsidRPr="00B1507F">
        <w:t>loadings</w:t>
      </w:r>
      <w:r w:rsidR="00D5612B">
        <w:t xml:space="preserve"> vectors, or the principal components</w:t>
      </w:r>
      <w:r>
        <w:t>. I</w:t>
      </w:r>
      <w:r w:rsidR="00E664E4" w:rsidRPr="00B1507F">
        <w:t>nformation on</w:t>
      </w:r>
      <w:r w:rsidR="00E664E4">
        <w:t xml:space="preserve"> </w:t>
      </w:r>
      <w:r w:rsidR="00E664E4" w:rsidRPr="00B1507F">
        <w:t>the clustering of the samples and the identification of</w:t>
      </w:r>
      <w:r w:rsidR="00E664E4">
        <w:t xml:space="preserve"> </w:t>
      </w:r>
      <w:r w:rsidR="00E664E4" w:rsidRPr="00B1507F">
        <w:t>transitions between different operating regimes is</w:t>
      </w:r>
      <w:r w:rsidR="00E664E4">
        <w:t xml:space="preserve"> </w:t>
      </w:r>
      <w:r w:rsidR="00E664E4" w:rsidRPr="00B1507F">
        <w:t xml:space="preserve">obtained from the </w:t>
      </w:r>
      <w:r w:rsidR="00D5612B" w:rsidRPr="00B1507F">
        <w:t>scores</w:t>
      </w:r>
      <w:r w:rsidR="00D5612B">
        <w:t>, or the projections of the samples onto the set of principal components</w:t>
      </w:r>
      <w:r w:rsidR="00D5612B" w:rsidRPr="00B1507F">
        <w:t>.</w:t>
      </w:r>
      <w:r w:rsidR="00D5612B">
        <w:t xml:space="preserve"> </w:t>
      </w:r>
    </w:p>
    <w:p w:rsidR="006E0136" w:rsidRDefault="00540F1D" w:rsidP="00E664E4">
      <w:r>
        <w:t>T</w:t>
      </w:r>
      <w:r w:rsidRPr="00B1507F">
        <w:t>he scales used to measure the variables</w:t>
      </w:r>
      <w:r>
        <w:t xml:space="preserve"> are a critical importance to </w:t>
      </w:r>
      <w:r w:rsidR="00E664E4">
        <w:t>PCA</w:t>
      </w:r>
      <w:r w:rsidR="00E664E4" w:rsidRPr="00B1507F">
        <w:t xml:space="preserve">. If a set of data </w:t>
      </w:r>
      <w:r w:rsidR="006E0136">
        <w:t xml:space="preserve">contains measurements of </w:t>
      </w:r>
      <w:r w:rsidR="00E664E4" w:rsidRPr="00B1507F">
        <w:t xml:space="preserve">completely different types </w:t>
      </w:r>
      <w:r w:rsidR="006E0136">
        <w:t xml:space="preserve">(e.g., </w:t>
      </w:r>
      <w:r w:rsidR="00E664E4" w:rsidRPr="00B1507F">
        <w:t>pressures</w:t>
      </w:r>
      <w:r w:rsidR="006E0136">
        <w:t>, temperatures, flow rates)</w:t>
      </w:r>
      <w:r w:rsidR="00E664E4" w:rsidRPr="00B1507F">
        <w:t>, then the structure</w:t>
      </w:r>
      <w:r w:rsidR="00E664E4">
        <w:t xml:space="preserve"> </w:t>
      </w:r>
      <w:r w:rsidR="00E664E4" w:rsidRPr="00B1507F">
        <w:t>of the principal components derived from this data</w:t>
      </w:r>
      <w:r w:rsidR="00E664E4">
        <w:t xml:space="preserve"> </w:t>
      </w:r>
      <w:r w:rsidR="00E664E4" w:rsidRPr="00B1507F">
        <w:t>set will depend essentially upon the arbitrary set of</w:t>
      </w:r>
      <w:r w:rsidR="00E664E4">
        <w:t xml:space="preserve"> </w:t>
      </w:r>
      <w:r w:rsidR="00E664E4" w:rsidRPr="00B1507F">
        <w:t xml:space="preserve">units of measurement. If there are large </w:t>
      </w:r>
      <w:r w:rsidR="00D5612B">
        <w:t>numerical</w:t>
      </w:r>
      <w:r w:rsidR="00D5612B" w:rsidRPr="00B1507F">
        <w:t xml:space="preserve"> </w:t>
      </w:r>
      <w:r w:rsidR="00E664E4" w:rsidRPr="00B1507F">
        <w:t>differences</w:t>
      </w:r>
      <w:r w:rsidR="00E664E4">
        <w:t xml:space="preserve"> </w:t>
      </w:r>
      <w:r w:rsidR="00E664E4" w:rsidRPr="00B1507F">
        <w:t xml:space="preserve">between the variances of </w:t>
      </w:r>
      <w:r w:rsidR="00E664E4">
        <w:t>the data</w:t>
      </w:r>
      <w:r w:rsidR="00E664E4" w:rsidRPr="00B1507F">
        <w:t>, those variables</w:t>
      </w:r>
      <w:r w:rsidR="00E664E4">
        <w:t xml:space="preserve"> </w:t>
      </w:r>
      <w:r w:rsidR="00E664E4" w:rsidRPr="00B1507F">
        <w:t>whose variances are large will tend to dominate</w:t>
      </w:r>
      <w:r w:rsidR="00E664E4">
        <w:t xml:space="preserve"> </w:t>
      </w:r>
      <w:r w:rsidR="00E664E4" w:rsidRPr="00B1507F">
        <w:t>the first few principal components</w:t>
      </w:r>
      <w:r w:rsidR="00E664E4">
        <w:t xml:space="preserve"> even if those variables are not actually important </w:t>
      </w:r>
      <w:r w:rsidR="00E664E4" w:rsidRPr="00B1507F">
        <w:t xml:space="preserve">in </w:t>
      </w:r>
      <w:r w:rsidR="00D5612B">
        <w:t xml:space="preserve">the </w:t>
      </w:r>
      <w:r w:rsidR="00E664E4" w:rsidRPr="00B1507F">
        <w:t>detecti</w:t>
      </w:r>
      <w:r w:rsidR="00D5612B">
        <w:t>o</w:t>
      </w:r>
      <w:r w:rsidR="00E664E4" w:rsidRPr="00B1507F">
        <w:t xml:space="preserve">n </w:t>
      </w:r>
      <w:r w:rsidR="00D5612B">
        <w:t xml:space="preserve">of </w:t>
      </w:r>
      <w:r w:rsidR="00E664E4" w:rsidRPr="00B1507F">
        <w:t xml:space="preserve">process malfunctions. </w:t>
      </w:r>
      <w:r w:rsidR="00E664E4">
        <w:t xml:space="preserve">Therefore, </w:t>
      </w:r>
      <w:r w:rsidR="00E664E4" w:rsidRPr="00B1507F">
        <w:t>care needs to be taken</w:t>
      </w:r>
      <w:r w:rsidR="00E664E4">
        <w:t xml:space="preserve"> </w:t>
      </w:r>
      <w:r w:rsidR="00E664E4" w:rsidRPr="00B1507F">
        <w:t>when scaling the data</w:t>
      </w:r>
      <w:r w:rsidR="00E664E4">
        <w:t>. Additionally, d</w:t>
      </w:r>
      <w:r w:rsidR="00E664E4" w:rsidRPr="00B1507F">
        <w:t xml:space="preserve">ifferent scaling </w:t>
      </w:r>
      <w:r w:rsidR="00D5612B">
        <w:t>of the process variables</w:t>
      </w:r>
      <w:r w:rsidR="00E664E4" w:rsidRPr="00B1507F">
        <w:t xml:space="preserve"> can</w:t>
      </w:r>
      <w:r w:rsidR="00E664E4">
        <w:t xml:space="preserve"> </w:t>
      </w:r>
      <w:r w:rsidR="00E664E4" w:rsidRPr="00B1507F">
        <w:t>produce different results</w:t>
      </w:r>
      <w:r w:rsidR="00D5612B" w:rsidRPr="00D5612B">
        <w:t xml:space="preserve"> </w:t>
      </w:r>
      <w:r w:rsidR="00D5612B">
        <w:t>thus interpretation of results.</w:t>
      </w:r>
      <w:r w:rsidR="00E664E4" w:rsidRPr="00B1507F">
        <w:t xml:space="preserve"> </w:t>
      </w:r>
    </w:p>
    <w:p w:rsidR="00944921" w:rsidRDefault="00944921" w:rsidP="00E664E4">
      <w:r>
        <w:t>According to Martin, Morris, and Zhang 1996, t</w:t>
      </w:r>
      <w:r w:rsidR="00E664E4">
        <w:t xml:space="preserve">here are </w:t>
      </w:r>
      <w:r>
        <w:t>“</w:t>
      </w:r>
      <w:r w:rsidR="00E664E4">
        <w:t>t</w:t>
      </w:r>
      <w:r w:rsidR="00E664E4" w:rsidRPr="00B1507F">
        <w:t>hree possible ways to scale</w:t>
      </w:r>
      <w:r w:rsidR="00E664E4">
        <w:t xml:space="preserve"> </w:t>
      </w:r>
      <w:r w:rsidR="00E664E4" w:rsidRPr="00B1507F">
        <w:t>the data: select ‘natural units’ by ensuring all the</w:t>
      </w:r>
      <w:r w:rsidR="00E664E4">
        <w:t xml:space="preserve"> </w:t>
      </w:r>
      <w:r w:rsidR="00E664E4" w:rsidRPr="00B1507F">
        <w:t>variables measured are of the same type; variables can</w:t>
      </w:r>
      <w:r w:rsidR="00E664E4">
        <w:t xml:space="preserve"> </w:t>
      </w:r>
      <w:r w:rsidR="00E664E4" w:rsidRPr="00B1507F">
        <w:t>be mean-cent</w:t>
      </w:r>
      <w:r w:rsidR="00E664E4">
        <w:t>e</w:t>
      </w:r>
      <w:r w:rsidR="00E664E4" w:rsidRPr="00B1507F">
        <w:t>red; or the variables can be scaled to zero</w:t>
      </w:r>
      <w:r w:rsidR="00E664E4">
        <w:t xml:space="preserve"> </w:t>
      </w:r>
      <w:r w:rsidR="00E664E4" w:rsidRPr="00B1507F">
        <w:t>mean and unit variance.</w:t>
      </w:r>
      <w:r>
        <w:t xml:space="preserve">” </w:t>
      </w:r>
      <w:r w:rsidR="00E664E4">
        <w:t>T</w:t>
      </w:r>
      <w:r w:rsidR="00E664E4" w:rsidRPr="00C51721">
        <w:t>he principal</w:t>
      </w:r>
      <w:r w:rsidR="00E664E4">
        <w:t xml:space="preserve"> </w:t>
      </w:r>
      <w:r w:rsidR="00E664E4" w:rsidRPr="00C51721">
        <w:t xml:space="preserve">components </w:t>
      </w:r>
      <w:r w:rsidR="00E664E4">
        <w:t xml:space="preserve">are then calculated </w:t>
      </w:r>
      <w:r w:rsidR="00E664E4" w:rsidRPr="00C51721">
        <w:t xml:space="preserve">based upon the </w:t>
      </w:r>
      <w:r>
        <w:t xml:space="preserve">new scaled </w:t>
      </w:r>
      <w:r w:rsidR="00E664E4" w:rsidRPr="00C51721">
        <w:t>matrix.</w:t>
      </w:r>
      <w:r w:rsidR="00E664E4">
        <w:t xml:space="preserve"> For this work, the </w:t>
      </w:r>
      <w:r>
        <w:t>third</w:t>
      </w:r>
      <w:r w:rsidR="00E664E4">
        <w:t xml:space="preserve"> scaling option was used. </w:t>
      </w:r>
      <w:r w:rsidR="00D5612B">
        <w:t>In addition, d</w:t>
      </w:r>
      <w:r>
        <w:t xml:space="preserve">ifferential weighted scaling was also applied in this work </w:t>
      </w:r>
      <w:r w:rsidR="00FA6E96">
        <w:t>to some of the key process variables to bring out the variations of these variables in the presence of a much larger set of intermediate process variables whose values are of less interest in monitoring.</w:t>
      </w:r>
    </w:p>
    <w:p w:rsidR="00F37C4F" w:rsidRDefault="00944921" w:rsidP="00E664E4">
      <w:proofErr w:type="gramStart"/>
      <w:r>
        <w:t>“</w:t>
      </w:r>
      <w:r w:rsidR="00E664E4" w:rsidRPr="00C51721">
        <w:t>One of the features of PCA is that the less important</w:t>
      </w:r>
      <w:r w:rsidR="00E664E4">
        <w:t xml:space="preserve"> </w:t>
      </w:r>
      <w:r w:rsidR="00E664E4" w:rsidRPr="00C51721">
        <w:t>components often describe the noise in the data</w:t>
      </w:r>
      <w:r>
        <w:t>” (Martin, Morris, and Zhang 1996)</w:t>
      </w:r>
      <w:r w:rsidR="00E664E4" w:rsidRPr="00C51721">
        <w:t>.</w:t>
      </w:r>
      <w:proofErr w:type="gramEnd"/>
      <w:r w:rsidR="00E664E4" w:rsidRPr="00C51721">
        <w:t xml:space="preserve"> </w:t>
      </w:r>
      <w:r w:rsidR="00E664E4">
        <w:t xml:space="preserve">Therefore, </w:t>
      </w:r>
      <w:r w:rsidR="00E664E4" w:rsidRPr="00C51721">
        <w:t>a</w:t>
      </w:r>
      <w:r w:rsidR="00E664E4">
        <w:t xml:space="preserve"> </w:t>
      </w:r>
      <w:r w:rsidR="00E664E4" w:rsidRPr="00C51721">
        <w:t>smaller number</w:t>
      </w:r>
      <w:r>
        <w:t xml:space="preserve"> (in comparison to the </w:t>
      </w:r>
      <w:r w:rsidRPr="00C51721">
        <w:t>original</w:t>
      </w:r>
      <w:r>
        <w:t xml:space="preserve"> </w:t>
      </w:r>
      <w:r w:rsidRPr="00C51721">
        <w:t>variables</w:t>
      </w:r>
      <w:r>
        <w:t>)</w:t>
      </w:r>
      <w:r w:rsidR="00E664E4" w:rsidRPr="00C51721">
        <w:t xml:space="preserve"> of principal components are required to explain the variability in the</w:t>
      </w:r>
      <w:r w:rsidR="00E664E4">
        <w:t xml:space="preserve"> </w:t>
      </w:r>
      <w:r>
        <w:t xml:space="preserve">data, and </w:t>
      </w:r>
      <w:r w:rsidR="00E664E4" w:rsidRPr="00C51721">
        <w:t xml:space="preserve">it is desirable to exclude these </w:t>
      </w:r>
      <w:r w:rsidR="00E664E4">
        <w:t xml:space="preserve">less important </w:t>
      </w:r>
      <w:r w:rsidR="00E664E4" w:rsidRPr="00C51721">
        <w:t>components.</w:t>
      </w:r>
      <w:r w:rsidR="00E664E4">
        <w:t xml:space="preserve"> </w:t>
      </w:r>
      <w:proofErr w:type="gramStart"/>
      <w:r w:rsidR="00F37C4F">
        <w:t>Also according to Martin, Morris, and Zhang 1996, “t</w:t>
      </w:r>
      <w:r w:rsidR="00E664E4" w:rsidRPr="00C51721">
        <w:t>he number of principal components that provide an</w:t>
      </w:r>
      <w:r w:rsidR="00E664E4">
        <w:t xml:space="preserve"> </w:t>
      </w:r>
      <w:r w:rsidR="00E664E4" w:rsidRPr="00C51721">
        <w:t>adequate description of the data can be assessed using</w:t>
      </w:r>
      <w:r w:rsidR="00E664E4">
        <w:t xml:space="preserve"> </w:t>
      </w:r>
      <w:r w:rsidR="00E664E4" w:rsidRPr="00C51721">
        <w:t>a number of techniques.</w:t>
      </w:r>
      <w:r w:rsidR="00F37C4F">
        <w:t>”</w:t>
      </w:r>
      <w:proofErr w:type="gramEnd"/>
      <w:r w:rsidR="00E664E4" w:rsidRPr="00C51721">
        <w:t xml:space="preserve"> </w:t>
      </w:r>
      <w:r w:rsidR="00E664E4">
        <w:t xml:space="preserve">In this work, a </w:t>
      </w:r>
      <w:proofErr w:type="spellStart"/>
      <w:r w:rsidR="00E664E4">
        <w:t>Scree</w:t>
      </w:r>
      <w:proofErr w:type="spellEnd"/>
      <w:r w:rsidR="00E664E4">
        <w:t xml:space="preserve"> test was applied. </w:t>
      </w:r>
      <w:r w:rsidR="00E664E4" w:rsidRPr="00C51721">
        <w:t>In practice two or three principal components</w:t>
      </w:r>
      <w:r w:rsidR="00E664E4">
        <w:t xml:space="preserve"> </w:t>
      </w:r>
      <w:r w:rsidR="00E664E4" w:rsidRPr="00C51721">
        <w:t>are</w:t>
      </w:r>
      <w:r w:rsidR="00E664E4">
        <w:t xml:space="preserve"> frequently sufficient for</w:t>
      </w:r>
      <w:r w:rsidR="00E664E4" w:rsidRPr="00C51721">
        <w:t xml:space="preserve"> </w:t>
      </w:r>
      <w:r w:rsidR="00E664E4">
        <w:t>M</w:t>
      </w:r>
      <w:r w:rsidR="00E664E4" w:rsidRPr="00C51721">
        <w:t>SPC</w:t>
      </w:r>
      <w:r w:rsidR="00E664E4">
        <w:t xml:space="preserve">. </w:t>
      </w:r>
    </w:p>
    <w:p w:rsidR="00F37C4F" w:rsidRDefault="00F37C4F" w:rsidP="00E664E4">
      <w:r>
        <w:t>As mentioned before, t</w:t>
      </w:r>
      <w:r w:rsidR="00E664E4" w:rsidRPr="00343C96">
        <w:t xml:space="preserve">he primary requirement for the development of </w:t>
      </w:r>
      <w:r w:rsidR="00E664E4">
        <w:t>M</w:t>
      </w:r>
      <w:r w:rsidR="00E664E4" w:rsidRPr="00343C96">
        <w:t>SPC charts is the acquisition of data that is representative</w:t>
      </w:r>
      <w:r w:rsidR="00E664E4">
        <w:t xml:space="preserve"> </w:t>
      </w:r>
      <w:r w:rsidR="00E664E4" w:rsidRPr="00343C96">
        <w:t>of no</w:t>
      </w:r>
      <w:r w:rsidR="00E664E4">
        <w:t>rmal</w:t>
      </w:r>
      <w:r w:rsidR="00E664E4" w:rsidRPr="00343C96">
        <w:t xml:space="preserve"> </w:t>
      </w:r>
      <w:r w:rsidR="00E664E4">
        <w:t>p</w:t>
      </w:r>
      <w:r w:rsidR="00E664E4" w:rsidRPr="00343C96">
        <w:t>rocess operation</w:t>
      </w:r>
      <w:r w:rsidR="00E664E4">
        <w:t xml:space="preserve">. </w:t>
      </w:r>
      <w:r w:rsidR="00E664E4" w:rsidRPr="00343C96">
        <w:t>Th</w:t>
      </w:r>
      <w:r>
        <w:t>is</w:t>
      </w:r>
      <w:r w:rsidR="00E664E4" w:rsidRPr="00343C96">
        <w:t xml:space="preserve"> </w:t>
      </w:r>
      <w:r>
        <w:t xml:space="preserve">‘normal operating’ </w:t>
      </w:r>
      <w:r w:rsidR="00E664E4" w:rsidRPr="00343C96">
        <w:t>data can be obtained from historical</w:t>
      </w:r>
      <w:r w:rsidR="00E664E4">
        <w:t xml:space="preserve"> </w:t>
      </w:r>
      <w:r w:rsidR="00E664E4" w:rsidRPr="00343C96">
        <w:t xml:space="preserve">databases or designed experiments. A </w:t>
      </w:r>
      <w:r w:rsidR="001D0EF6">
        <w:t xml:space="preserve">predictive </w:t>
      </w:r>
      <w:r w:rsidR="00E664E4" w:rsidRPr="00343C96">
        <w:t>model based on</w:t>
      </w:r>
      <w:r w:rsidR="00E664E4">
        <w:t xml:space="preserve"> </w:t>
      </w:r>
      <w:r>
        <w:t xml:space="preserve">normal operating data </w:t>
      </w:r>
      <w:r w:rsidR="00E664E4" w:rsidRPr="00343C96">
        <w:lastRenderedPageBreak/>
        <w:t xml:space="preserve">can be constructed using </w:t>
      </w:r>
      <w:r w:rsidR="00E664E4">
        <w:t>either</w:t>
      </w:r>
      <w:r w:rsidR="00E664E4" w:rsidRPr="00343C96">
        <w:t xml:space="preserve"> PCA</w:t>
      </w:r>
      <w:r w:rsidR="00E664E4">
        <w:t xml:space="preserve"> </w:t>
      </w:r>
      <w:r w:rsidR="00E664E4" w:rsidRPr="00343C96">
        <w:t xml:space="preserve">or PLS. Future behavior is then </w:t>
      </w:r>
      <w:r>
        <w:t xml:space="preserve">compared to </w:t>
      </w:r>
      <w:r w:rsidR="00E664E4" w:rsidRPr="00343C96">
        <w:t xml:space="preserve">this </w:t>
      </w:r>
      <w:r w:rsidR="00E664E4">
        <w:t>‘</w:t>
      </w:r>
      <w:r w:rsidR="00E664E4" w:rsidRPr="00343C96">
        <w:t>in-control</w:t>
      </w:r>
      <w:r w:rsidR="00E664E4">
        <w:t>’</w:t>
      </w:r>
      <w:r w:rsidR="00E664E4" w:rsidRPr="00343C96">
        <w:t xml:space="preserve"> model. </w:t>
      </w:r>
      <w:r>
        <w:t>“</w:t>
      </w:r>
      <w:r w:rsidR="00E664E4" w:rsidRPr="00343C96">
        <w:t>The basis of the</w:t>
      </w:r>
      <w:r w:rsidR="00E664E4">
        <w:t xml:space="preserve"> </w:t>
      </w:r>
      <w:r w:rsidR="00E664E4" w:rsidRPr="00343C96">
        <w:t>success of this approach is the recognition that many of</w:t>
      </w:r>
      <w:r w:rsidR="00E664E4">
        <w:t xml:space="preserve"> </w:t>
      </w:r>
      <w:r w:rsidR="00E664E4" w:rsidRPr="00343C96">
        <w:t>the measurements are highly correlated and thus different</w:t>
      </w:r>
      <w:r w:rsidR="00E664E4">
        <w:t xml:space="preserve"> </w:t>
      </w:r>
      <w:r w:rsidR="00E664E4" w:rsidRPr="00343C96">
        <w:t>combinations of the variables may define the same</w:t>
      </w:r>
      <w:r w:rsidR="00E664E4">
        <w:t xml:space="preserve"> </w:t>
      </w:r>
      <w:r w:rsidR="00E664E4" w:rsidRPr="00343C96">
        <w:t>underlying disturbances or events occurring in the</w:t>
      </w:r>
      <w:r w:rsidR="00E664E4">
        <w:t xml:space="preserve"> </w:t>
      </w:r>
      <w:r w:rsidR="00E664E4" w:rsidRPr="00343C96">
        <w:t>process</w:t>
      </w:r>
      <w:r>
        <w:t>” (Martin, Morris, and Zhang 1996)</w:t>
      </w:r>
      <w:r w:rsidR="00E664E4" w:rsidRPr="00343C96">
        <w:t xml:space="preserve">. </w:t>
      </w:r>
      <w:r>
        <w:t>Therefore, i</w:t>
      </w:r>
      <w:r w:rsidR="00E664E4" w:rsidRPr="00343C96">
        <w:t>t can be assumed that when the</w:t>
      </w:r>
      <w:r w:rsidR="00E664E4">
        <w:t xml:space="preserve"> </w:t>
      </w:r>
      <w:r w:rsidR="00E664E4" w:rsidRPr="00343C96">
        <w:t xml:space="preserve">process is </w:t>
      </w:r>
      <w:r>
        <w:t>operating within normal conditions</w:t>
      </w:r>
      <w:r w:rsidR="00E664E4" w:rsidRPr="00343C96">
        <w:t>, the dimensionality of the process can be</w:t>
      </w:r>
      <w:r w:rsidR="00E664E4">
        <w:t xml:space="preserve"> </w:t>
      </w:r>
      <w:r w:rsidR="00E664E4" w:rsidRPr="00343C96">
        <w:t xml:space="preserve">substantially reduced to a </w:t>
      </w:r>
      <w:r>
        <w:t>few principal components</w:t>
      </w:r>
      <w:r w:rsidR="00E664E4" w:rsidRPr="00343C96">
        <w:t xml:space="preserve">. </w:t>
      </w:r>
    </w:p>
    <w:p w:rsidR="00EF5D26" w:rsidRDefault="00F37C4F" w:rsidP="00F37C4F">
      <w:pPr>
        <w:rPr>
          <w:rFonts w:ascii="Times New Roman" w:hAnsi="Times New Roman" w:cs="Times New Roman"/>
          <w:sz w:val="19"/>
          <w:szCs w:val="19"/>
        </w:rPr>
      </w:pPr>
      <w:r>
        <w:t>T</w:t>
      </w:r>
      <w:r w:rsidRPr="00343C96">
        <w:t xml:space="preserve">his information is </w:t>
      </w:r>
      <w:r>
        <w:t xml:space="preserve">typically </w:t>
      </w:r>
      <w:r w:rsidRPr="00343C96">
        <w:t>presented graphically in terms</w:t>
      </w:r>
      <w:r>
        <w:t xml:space="preserve"> </w:t>
      </w:r>
      <w:r w:rsidRPr="00343C96">
        <w:t xml:space="preserve">of time series plots, </w:t>
      </w:r>
      <w:r>
        <w:t xml:space="preserve">as well as </w:t>
      </w:r>
      <w:r w:rsidRPr="00343C96">
        <w:t>two and three dimensional representations</w:t>
      </w:r>
      <w:r>
        <w:t xml:space="preserve"> </w:t>
      </w:r>
      <w:r w:rsidRPr="00343C96">
        <w:t xml:space="preserve">of the </w:t>
      </w:r>
      <w:r>
        <w:t>principal components</w:t>
      </w:r>
      <w:r w:rsidRPr="00343C96">
        <w:t xml:space="preserve">. </w:t>
      </w:r>
      <w:r>
        <w:t>According to Martin, Morris, and Zhang 1996, “t</w:t>
      </w:r>
      <w:r w:rsidRPr="00343C96">
        <w:t>he three most</w:t>
      </w:r>
      <w:r>
        <w:t xml:space="preserve"> </w:t>
      </w:r>
      <w:r w:rsidRPr="00343C96">
        <w:t>common forms of monitoring charts are those of the</w:t>
      </w:r>
      <w:r>
        <w:t xml:space="preserve"> </w:t>
      </w:r>
      <w:r w:rsidRPr="00343C96">
        <w:t>scores against time, two and three dimensional plots of</w:t>
      </w:r>
      <w:r>
        <w:t xml:space="preserve"> </w:t>
      </w:r>
      <w:r w:rsidRPr="00343C96">
        <w:t>the scores</w:t>
      </w:r>
      <w:r>
        <w:t>,</w:t>
      </w:r>
      <w:r w:rsidRPr="00343C96">
        <w:t xml:space="preserve"> and the squared prediction error</w:t>
      </w:r>
      <w:r>
        <w:t xml:space="preserve"> (</w:t>
      </w:r>
      <m:oMath>
        <m:r>
          <w:rPr>
            <w:rFonts w:ascii="Cambria Math" w:hAnsi="Cambria Math"/>
          </w:rPr>
          <m:t>SPE</m:t>
        </m:r>
      </m:oMath>
      <w:r>
        <w:rPr>
          <w:rFonts w:eastAsiaTheme="minorEastAsia"/>
        </w:rPr>
        <w:t>)</w:t>
      </w:r>
      <w:r w:rsidRPr="00343C96">
        <w:t>.</w:t>
      </w:r>
      <w:r w:rsidR="00EF5D26">
        <w:t xml:space="preserve"> </w:t>
      </w:r>
      <w:proofErr w:type="gramStart"/>
      <w:r w:rsidR="00EF5D26">
        <w:t xml:space="preserve">The </w:t>
      </w:r>
      <m:oMath>
        <m:r>
          <w:rPr>
            <w:rFonts w:ascii="Cambria Math" w:hAnsi="Cambria Math"/>
          </w:rPr>
          <m:t>SPE</m:t>
        </m:r>
      </m:oMath>
      <w:r w:rsidR="00EF5D26">
        <w:rPr>
          <w:rFonts w:eastAsiaTheme="minorEastAsia"/>
        </w:rPr>
        <w:t xml:space="preserve"> is</w:t>
      </w:r>
      <w:proofErr w:type="gramEnd"/>
      <w:r w:rsidR="00EF5D26">
        <w:rPr>
          <w:rFonts w:eastAsiaTheme="minorEastAsia"/>
        </w:rPr>
        <w:t xml:space="preserve"> sum of the </w:t>
      </w:r>
      <w:r w:rsidR="00EF5D26" w:rsidRPr="00A730F5">
        <w:t>squared difference between the</w:t>
      </w:r>
      <w:r w:rsidR="00EF5D26">
        <w:t xml:space="preserve"> </w:t>
      </w:r>
      <w:r w:rsidR="00EF5D26" w:rsidRPr="00A730F5">
        <w:t xml:space="preserve">observed values and the predicted values from the </w:t>
      </w:r>
      <w:r w:rsidR="00EF5D26">
        <w:t xml:space="preserve">reference model. </w:t>
      </w:r>
      <w:r w:rsidR="00EF5D26" w:rsidRPr="00A730F5">
        <w:t xml:space="preserve">The </w:t>
      </w:r>
      <m:oMath>
        <m:r>
          <w:rPr>
            <w:rFonts w:ascii="Cambria Math" w:hAnsi="Cambria Math"/>
          </w:rPr>
          <m:t>SPE</m:t>
        </m:r>
      </m:oMath>
      <w:r w:rsidR="00EF5D26">
        <w:t xml:space="preserve"> </w:t>
      </w:r>
      <w:r w:rsidR="00EF5D26" w:rsidRPr="00A730F5">
        <w:t xml:space="preserve">plot provides </w:t>
      </w:r>
      <w:r w:rsidR="00EF5D26">
        <w:t xml:space="preserve">a way </w:t>
      </w:r>
      <w:r w:rsidR="00EF5D26" w:rsidRPr="00A730F5">
        <w:t>to identify a previously unidentified</w:t>
      </w:r>
      <w:r w:rsidR="00EF5D26">
        <w:t xml:space="preserve"> </w:t>
      </w:r>
      <w:r w:rsidR="00EF5D26" w:rsidRPr="00A730F5">
        <w:t>event</w:t>
      </w:r>
      <w:r w:rsidR="00EF5D26">
        <w:t>, (i.e., a change that is not included in the model)</w:t>
      </w:r>
      <w:r w:rsidR="00EF5D26" w:rsidRPr="00A730F5">
        <w:t>.</w:t>
      </w:r>
      <w:r w:rsidR="00EF5D26">
        <w:t xml:space="preserve"> </w:t>
      </w:r>
      <w:r w:rsidR="00EF5D26" w:rsidRPr="00A730F5">
        <w:t>Typically,</w:t>
      </w:r>
      <w:r w:rsidR="00EF5D26">
        <w:t xml:space="preserve"> </w:t>
      </w:r>
      <w:r w:rsidR="00EF5D26" w:rsidRPr="00A730F5">
        <w:t>principal components</w:t>
      </w:r>
      <w:r w:rsidR="00EF5D26">
        <w:t xml:space="preserve"> </w:t>
      </w:r>
      <w:r w:rsidR="00EF5D26" w:rsidRPr="00A730F5">
        <w:t xml:space="preserve">one and two and the calculated value of </w:t>
      </w:r>
      <w:proofErr w:type="gramStart"/>
      <w:r w:rsidR="00EF5D26" w:rsidRPr="00A730F5">
        <w:t xml:space="preserve">the </w:t>
      </w:r>
      <m:oMath>
        <m:r>
          <w:rPr>
            <w:rFonts w:ascii="Cambria Math" w:hAnsi="Cambria Math"/>
          </w:rPr>
          <m:t>SPE</m:t>
        </m:r>
      </m:oMath>
      <w:r w:rsidR="00EF5D26" w:rsidRPr="00A730F5">
        <w:t xml:space="preserve"> are</w:t>
      </w:r>
      <w:proofErr w:type="gramEnd"/>
      <w:r w:rsidR="00EF5D26">
        <w:t xml:space="preserve"> </w:t>
      </w:r>
      <w:r w:rsidR="00EF5D26" w:rsidRPr="00A730F5">
        <w:t>plotted in a three-dimensional diagram.</w:t>
      </w:r>
    </w:p>
    <w:p w:rsidR="00E664E4" w:rsidRDefault="00EF5D26" w:rsidP="00E664E4">
      <w:r>
        <w:t>As stated by Martin, Morris, and Zhang 1996, “a</w:t>
      </w:r>
      <w:r w:rsidR="00E664E4" w:rsidRPr="002778CD">
        <w:t xml:space="preserve"> process malfunction can lead to one of the following</w:t>
      </w:r>
      <w:r w:rsidR="00E664E4">
        <w:t xml:space="preserve"> </w:t>
      </w:r>
      <w:r w:rsidR="00E664E4" w:rsidRPr="002778CD">
        <w:t>two situations.</w:t>
      </w:r>
      <w:r>
        <w:t>”</w:t>
      </w:r>
      <w:r w:rsidR="00E664E4" w:rsidRPr="002778CD">
        <w:t xml:space="preserve"> </w:t>
      </w:r>
      <w:r w:rsidR="00E664E4">
        <w:t>First, t</w:t>
      </w:r>
      <w:r w:rsidR="00E664E4" w:rsidRPr="002778CD">
        <w:t>he fault can</w:t>
      </w:r>
      <w:r w:rsidR="00E664E4">
        <w:t xml:space="preserve"> </w:t>
      </w:r>
      <w:r w:rsidR="00E664E4" w:rsidRPr="002778CD">
        <w:t xml:space="preserve">change the correlation structure </w:t>
      </w:r>
      <w:r w:rsidR="00E664E4">
        <w:t>between</w:t>
      </w:r>
      <w:r w:rsidR="00E664E4" w:rsidRPr="002778CD">
        <w:t xml:space="preserve"> the measured</w:t>
      </w:r>
      <w:r w:rsidR="00E664E4">
        <w:t xml:space="preserve"> </w:t>
      </w:r>
      <w:r w:rsidR="00E664E4" w:rsidRPr="002778CD">
        <w:t>process variables</w:t>
      </w:r>
      <w:r>
        <w:t xml:space="preserve"> meaning that the </w:t>
      </w:r>
      <w:r w:rsidR="00E664E4" w:rsidRPr="002778CD">
        <w:t>nominal PCA model</w:t>
      </w:r>
      <w:r w:rsidR="00E664E4">
        <w:t xml:space="preserve"> </w:t>
      </w:r>
      <w:r w:rsidR="00E664E4" w:rsidRPr="002778CD">
        <w:t>is no longer valid and significant prediction errors will</w:t>
      </w:r>
      <w:r w:rsidR="00E664E4">
        <w:t xml:space="preserve"> </w:t>
      </w:r>
      <w:r w:rsidR="00E664E4" w:rsidRPr="002778CD">
        <w:t>result</w:t>
      </w:r>
      <w:r>
        <w:t xml:space="preserve"> which </w:t>
      </w:r>
      <w:r w:rsidR="00E664E4" w:rsidRPr="002778CD">
        <w:t xml:space="preserve">can be detected from the </w:t>
      </w:r>
      <m:oMath>
        <m:r>
          <w:rPr>
            <w:rFonts w:ascii="Cambria Math" w:hAnsi="Cambria Math"/>
          </w:rPr>
          <m:t>SPE</m:t>
        </m:r>
      </m:oMath>
      <w:r w:rsidR="00E664E4" w:rsidRPr="002778CD">
        <w:t xml:space="preserve"> plot</w:t>
      </w:r>
      <w:r w:rsidR="00E664E4">
        <w:t>.</w:t>
      </w:r>
      <w:r w:rsidR="00E664E4" w:rsidRPr="002778CD">
        <w:t xml:space="preserve"> </w:t>
      </w:r>
      <w:r w:rsidR="00E664E4">
        <w:t xml:space="preserve">Second, </w:t>
      </w:r>
      <w:r w:rsidR="00E664E4" w:rsidRPr="002778CD">
        <w:t>the</w:t>
      </w:r>
      <w:r w:rsidR="00E664E4">
        <w:t xml:space="preserve"> </w:t>
      </w:r>
      <w:r w:rsidR="00E664E4" w:rsidRPr="002778CD">
        <w:t>process malfunction may not alter the correlation</w:t>
      </w:r>
      <w:r w:rsidR="00E664E4">
        <w:t xml:space="preserve"> </w:t>
      </w:r>
      <w:r w:rsidR="00E664E4" w:rsidRPr="002778CD">
        <w:t>structure among the process variables</w:t>
      </w:r>
      <w:r w:rsidR="00E664E4">
        <w:t xml:space="preserve">, in which case, </w:t>
      </w:r>
      <w:r w:rsidR="00E664E4" w:rsidRPr="002778CD">
        <w:t xml:space="preserve">the </w:t>
      </w:r>
      <m:oMath>
        <m:r>
          <w:rPr>
            <w:rFonts w:ascii="Cambria Math" w:hAnsi="Cambria Math"/>
          </w:rPr>
          <m:t>SPE</m:t>
        </m:r>
      </m:oMath>
      <w:r w:rsidR="00E664E4" w:rsidRPr="002778CD">
        <w:t xml:space="preserve"> will remain within the control limits but</w:t>
      </w:r>
      <w:r w:rsidR="00E664E4">
        <w:t xml:space="preserve"> </w:t>
      </w:r>
      <w:proofErr w:type="spellStart"/>
      <w:r w:rsidR="00E664E4" w:rsidRPr="002778CD">
        <w:t>the</w:t>
      </w:r>
      <w:proofErr w:type="spellEnd"/>
      <w:r w:rsidR="00E664E4" w:rsidRPr="002778CD">
        <w:t xml:space="preserve"> scores will move outside the </w:t>
      </w:r>
      <w:r>
        <w:t xml:space="preserve">boundary </w:t>
      </w:r>
      <w:r w:rsidR="00E664E4" w:rsidRPr="002778CD">
        <w:t>of no</w:t>
      </w:r>
      <w:r>
        <w:t>rmal</w:t>
      </w:r>
      <w:r w:rsidR="00E664E4">
        <w:t xml:space="preserve"> </w:t>
      </w:r>
      <w:r w:rsidR="00E664E4" w:rsidRPr="002778CD">
        <w:t xml:space="preserve">operation. </w:t>
      </w:r>
      <w:r w:rsidR="00E664E4" w:rsidRPr="00C3758A">
        <w:t>The variables which primarily determine the direction</w:t>
      </w:r>
      <w:r w:rsidR="00E664E4">
        <w:t xml:space="preserve"> </w:t>
      </w:r>
      <w:r w:rsidR="00E664E4" w:rsidRPr="00C3758A">
        <w:t>of the individual principal components are</w:t>
      </w:r>
      <w:r w:rsidR="00E664E4">
        <w:t xml:space="preserve"> </w:t>
      </w:r>
      <w:r>
        <w:t>those that</w:t>
      </w:r>
      <w:r w:rsidR="00E664E4" w:rsidRPr="00C3758A">
        <w:t xml:space="preserve"> have the largest absolute loadings</w:t>
      </w:r>
      <w:r>
        <w:t xml:space="preserve"> (i.e., those that contribute the heaviest to </w:t>
      </w:r>
      <w:r w:rsidRPr="00C3758A">
        <w:t xml:space="preserve">the </w:t>
      </w:r>
      <w:r>
        <w:t>individual principal components)</w:t>
      </w:r>
      <w:r w:rsidR="00E664E4" w:rsidRPr="00C3758A">
        <w:t>. If a</w:t>
      </w:r>
      <w:r w:rsidR="00E664E4">
        <w:t xml:space="preserve"> </w:t>
      </w:r>
      <w:r w:rsidR="00A17F5B">
        <w:t xml:space="preserve">fault </w:t>
      </w:r>
      <w:r w:rsidR="00E664E4" w:rsidRPr="00C3758A">
        <w:t>is identified, then the principal component</w:t>
      </w:r>
      <w:r w:rsidR="00E664E4">
        <w:t xml:space="preserve"> </w:t>
      </w:r>
      <w:r w:rsidR="00A17F5B">
        <w:t>that is no longer behaving as expected based on the reference model</w:t>
      </w:r>
      <w:r w:rsidR="00E664E4" w:rsidRPr="00C3758A">
        <w:t xml:space="preserve"> </w:t>
      </w:r>
      <w:r w:rsidR="00A17F5B">
        <w:t xml:space="preserve">may be used to determine </w:t>
      </w:r>
      <w:r w:rsidR="00E664E4" w:rsidRPr="00C3758A">
        <w:t xml:space="preserve">why </w:t>
      </w:r>
      <w:r w:rsidR="00A17F5B">
        <w:t>the</w:t>
      </w:r>
      <w:r w:rsidR="00E664E4" w:rsidRPr="00C3758A">
        <w:t xml:space="preserve"> process has moved</w:t>
      </w:r>
      <w:r w:rsidR="00E664E4">
        <w:t xml:space="preserve"> </w:t>
      </w:r>
      <w:r w:rsidR="00E664E4" w:rsidRPr="00C3758A">
        <w:t>away from the nominal operating region.</w:t>
      </w:r>
    </w:p>
    <w:p w:rsidR="00A85241" w:rsidRDefault="00E664E4" w:rsidP="00E664E4">
      <w:r>
        <w:t xml:space="preserve">Valle, Li, and Qin 1999 discussed the difficulties in selecting the correct number of principal components for a MSPC model and presented an overview and comparison of ten methods to determine the number of principal components, including the </w:t>
      </w:r>
      <w:proofErr w:type="spellStart"/>
      <w:r>
        <w:t>Scree</w:t>
      </w:r>
      <w:proofErr w:type="spellEnd"/>
      <w:r>
        <w:t xml:space="preserve"> test mentioned above as the method selected for this work. </w:t>
      </w:r>
      <w:r w:rsidRPr="00A65073">
        <w:t xml:space="preserve">A key issue in developing a PCA model is </w:t>
      </w:r>
      <w:r>
        <w:t xml:space="preserve">the selection of an </w:t>
      </w:r>
      <w:r w:rsidRPr="00A65073">
        <w:t xml:space="preserve">adequate number of </w:t>
      </w:r>
      <w:r>
        <w:t xml:space="preserve">principal components </w:t>
      </w:r>
      <w:r w:rsidRPr="00A65073">
        <w:t>to represent the system in</w:t>
      </w:r>
      <w:r>
        <w:t xml:space="preserve"> </w:t>
      </w:r>
      <w:r w:rsidRPr="00A65073">
        <w:t xml:space="preserve">an optimal way. If </w:t>
      </w:r>
      <w:r w:rsidR="00AB16FD">
        <w:t xml:space="preserve">too </w:t>
      </w:r>
      <w:r w:rsidRPr="00A65073">
        <w:t xml:space="preserve">few </w:t>
      </w:r>
      <w:r>
        <w:t xml:space="preserve">principal components </w:t>
      </w:r>
      <w:r w:rsidRPr="00A65073">
        <w:t>are selected</w:t>
      </w:r>
      <w:r w:rsidR="00AB16FD">
        <w:t xml:space="preserve">, </w:t>
      </w:r>
      <w:r w:rsidRPr="00A65073">
        <w:t xml:space="preserve">a poor model will be obtained </w:t>
      </w:r>
      <w:r w:rsidR="00AB16FD">
        <w:t xml:space="preserve">resulting in </w:t>
      </w:r>
      <w:r w:rsidRPr="00A65073">
        <w:t>an incomplete</w:t>
      </w:r>
      <w:r>
        <w:t xml:space="preserve"> </w:t>
      </w:r>
      <w:r w:rsidRPr="00A65073">
        <w:t>representation of the process. On the contrary,</w:t>
      </w:r>
      <w:r>
        <w:t xml:space="preserve"> </w:t>
      </w:r>
      <w:r w:rsidRPr="00A65073">
        <w:t>if</w:t>
      </w:r>
      <w:r w:rsidR="00AB16FD">
        <w:t xml:space="preserve"> too many</w:t>
      </w:r>
      <w:r w:rsidRPr="00A65073">
        <w:t xml:space="preserve"> </w:t>
      </w:r>
      <w:r>
        <w:t>principal components</w:t>
      </w:r>
      <w:r w:rsidRPr="00A65073">
        <w:t xml:space="preserve"> are selected, the model will</w:t>
      </w:r>
      <w:r>
        <w:t xml:space="preserve"> </w:t>
      </w:r>
      <w:r w:rsidRPr="00A65073">
        <w:t>be over</w:t>
      </w:r>
      <w:r w:rsidR="00697144">
        <w:noBreakHyphen/>
      </w:r>
      <w:r w:rsidRPr="00A65073">
        <w:t>parameterized and will include noise.</w:t>
      </w:r>
      <w:r>
        <w:t xml:space="preserve"> </w:t>
      </w:r>
      <w:r w:rsidRPr="00A65073">
        <w:t xml:space="preserve">The </w:t>
      </w:r>
      <w:r>
        <w:t>Scree</w:t>
      </w:r>
      <w:r w:rsidRPr="00A65073">
        <w:t xml:space="preserve"> test is an empirical procedure to</w:t>
      </w:r>
      <w:r>
        <w:t xml:space="preserve"> </w:t>
      </w:r>
      <w:r w:rsidR="008A7E51">
        <w:t xml:space="preserve">guide the selection of </w:t>
      </w:r>
      <w:r w:rsidRPr="00A65073">
        <w:t xml:space="preserve">the number of </w:t>
      </w:r>
      <w:r>
        <w:t xml:space="preserve">principal components </w:t>
      </w:r>
      <w:r w:rsidR="008A7E51">
        <w:t xml:space="preserve">to retain </w:t>
      </w:r>
      <w:r w:rsidRPr="00A65073">
        <w:t xml:space="preserve">using the </w:t>
      </w:r>
      <w:r>
        <w:t xml:space="preserve">cumulative percent variance. </w:t>
      </w:r>
      <w:r w:rsidRPr="00A65073">
        <w:t>The</w:t>
      </w:r>
      <w:r>
        <w:t xml:space="preserve"> </w:t>
      </w:r>
      <w:r w:rsidRPr="00A65073">
        <w:t xml:space="preserve">method looks for a </w:t>
      </w:r>
      <w:r>
        <w:t>“</w:t>
      </w:r>
      <w:r w:rsidRPr="00A65073">
        <w:t>knee</w:t>
      </w:r>
      <w:r>
        <w:t>” or “elbow”</w:t>
      </w:r>
      <w:r w:rsidRPr="00A65073">
        <w:t xml:space="preserve"> point in the </w:t>
      </w:r>
      <w:r>
        <w:t>cumulative</w:t>
      </w:r>
      <w:r w:rsidRPr="00A65073">
        <w:t xml:space="preserve"> percent</w:t>
      </w:r>
      <w:r>
        <w:t xml:space="preserve"> </w:t>
      </w:r>
      <w:r w:rsidRPr="00A65073">
        <w:t>variance plotted against the number of principal components.</w:t>
      </w:r>
      <w:r>
        <w:t xml:space="preserve"> The break </w:t>
      </w:r>
      <w:r w:rsidRPr="00A65073">
        <w:t>point corresponds to the number of principal components</w:t>
      </w:r>
      <w:r>
        <w:t xml:space="preserve"> </w:t>
      </w:r>
      <w:r w:rsidRPr="00A65073">
        <w:t xml:space="preserve">to represent the process. </w:t>
      </w:r>
    </w:p>
    <w:p w:rsidR="00E664E4" w:rsidRDefault="00E664E4" w:rsidP="00E664E4">
      <w:proofErr w:type="spellStart"/>
      <w:r>
        <w:lastRenderedPageBreak/>
        <w:t>Kourti</w:t>
      </w:r>
      <w:proofErr w:type="spellEnd"/>
      <w:r>
        <w:t xml:space="preserve"> 2002 reminded</w:t>
      </w:r>
      <w:r w:rsidRPr="0062235C">
        <w:t xml:space="preserve"> us “that these methods [PCA and PLS] will not be able to unequivocally identify the cause of any problem (because of the highly correlated and non-causal nature of the data). However, they can almost always identify unusual operating periods and can usually isolate the region of the plant and the group of process variables that are related to the problem. Thus, they are a powerful tool for focusing the attention of the operations engineers to a much smaller area, allowing them to better use their engineering knowledge to diagnose the cause of any abnormal situations and thereby improve the process.”</w:t>
      </w:r>
      <w:r>
        <w:t xml:space="preserve"> This same philosophy applies to using MSPC as a safeguards tool where it is IAEA inspectors who would be using the information to determine the location and cause of a fault and to determine if it resulted in a deliberate diversion of uranium.</w:t>
      </w:r>
      <w:r w:rsidRPr="0062235C">
        <w:t xml:space="preserve"> </w:t>
      </w:r>
    </w:p>
    <w:p w:rsidR="00C33DB3" w:rsidRPr="00C33DB3" w:rsidRDefault="00C33DB3" w:rsidP="00C33DB3">
      <w:r w:rsidRPr="00C33DB3">
        <w:t>Process monitoring is beginning to be applied to nuclear process</w:t>
      </w:r>
      <w:r w:rsidR="00390FD4">
        <w:t>es</w:t>
      </w:r>
      <w:r w:rsidRPr="00C33DB3">
        <w:t xml:space="preserve"> as discussed in Hines, </w:t>
      </w:r>
      <w:proofErr w:type="spellStart"/>
      <w:r w:rsidRPr="00C33DB3">
        <w:t>Upadhyaya</w:t>
      </w:r>
      <w:proofErr w:type="spellEnd"/>
      <w:r w:rsidRPr="00C33DB3">
        <w:t>, and Henkel 2008. The nuclear process applications have been mostly for on-line safety-related sensor calibration monitoring. Process monitoring for safeguards monitoring of a uranium enrichment facility has also be</w:t>
      </w:r>
      <w:r w:rsidR="00FA6E96">
        <w:t>en</w:t>
      </w:r>
      <w:r w:rsidRPr="00C33DB3">
        <w:t xml:space="preserve"> explored by Hines, </w:t>
      </w:r>
      <w:proofErr w:type="spellStart"/>
      <w:r w:rsidRPr="00C33DB3">
        <w:t>Upadhyaya</w:t>
      </w:r>
      <w:proofErr w:type="spellEnd"/>
      <w:r w:rsidRPr="00C33DB3">
        <w:t>, and Henkel 2008.</w:t>
      </w:r>
    </w:p>
    <w:p w:rsidR="00AB16FD" w:rsidRDefault="00AB16FD" w:rsidP="00E664E4"/>
    <w:p w:rsidR="00E664E4" w:rsidRDefault="00E664E4" w:rsidP="00E664E4">
      <w:pPr>
        <w:rPr>
          <w:rFonts w:asciiTheme="majorHAnsi" w:hAnsiTheme="majorHAnsi"/>
          <w:b/>
          <w:caps/>
        </w:rPr>
      </w:pPr>
      <w:r w:rsidRPr="00852595">
        <w:rPr>
          <w:rFonts w:asciiTheme="majorHAnsi" w:hAnsiTheme="majorHAnsi"/>
          <w:b/>
          <w:caps/>
        </w:rPr>
        <w:t>2.</w:t>
      </w:r>
      <w:r>
        <w:rPr>
          <w:rFonts w:asciiTheme="majorHAnsi" w:hAnsiTheme="majorHAnsi"/>
          <w:b/>
          <w:caps/>
        </w:rPr>
        <w:t>2</w:t>
      </w:r>
      <w:r w:rsidRPr="00852595">
        <w:rPr>
          <w:rFonts w:asciiTheme="majorHAnsi" w:hAnsiTheme="majorHAnsi"/>
          <w:b/>
          <w:caps/>
        </w:rPr>
        <w:t xml:space="preserve"> Safeguards </w:t>
      </w:r>
      <w:r>
        <w:rPr>
          <w:rFonts w:asciiTheme="majorHAnsi" w:hAnsiTheme="majorHAnsi"/>
          <w:b/>
          <w:caps/>
        </w:rPr>
        <w:t xml:space="preserve">and Diversion in </w:t>
      </w:r>
      <w:r w:rsidRPr="00852595">
        <w:rPr>
          <w:rFonts w:asciiTheme="majorHAnsi" w:hAnsiTheme="majorHAnsi"/>
          <w:b/>
          <w:caps/>
        </w:rPr>
        <w:t>Conversion Plants</w:t>
      </w:r>
    </w:p>
    <w:p w:rsidR="00E664E4" w:rsidRDefault="00E664E4" w:rsidP="00E664E4">
      <w:r>
        <w:t xml:space="preserve">As discussed in Chapter 1, the IAEA policy for safeguards in conversion plants has been revised. According to Doo et al. </w:t>
      </w:r>
      <w:r w:rsidRPr="003A1BC5">
        <w:t>2003</w:t>
      </w:r>
      <w:r>
        <w:t xml:space="preserve">, </w:t>
      </w:r>
      <w:r w:rsidRPr="003A1BC5">
        <w:t>IAEA now considers all highly purified uranium compounds as candidates for safeguarding which includes the intermediate products of an NUCP.</w:t>
      </w:r>
      <w:r>
        <w:t xml:space="preserve"> The revision of the safeguards policy resulted in significant amounts of research in the area of the application of safeguards to uranium conversion plants. Much of that research was conducted by the </w:t>
      </w:r>
      <w:r w:rsidRPr="00B85E97">
        <w:t>U.S. Department of Energy (DOE)</w:t>
      </w:r>
      <w:r>
        <w:t xml:space="preserve">, which </w:t>
      </w:r>
      <w:r w:rsidRPr="00B85E97">
        <w:t>is interested in developing instruments, tools, strategies, and methods that</w:t>
      </w:r>
      <w:r>
        <w:t xml:space="preserve"> </w:t>
      </w:r>
      <w:r w:rsidRPr="00B85E97">
        <w:t>could be of use to the IAEA in the application of safeguards to the front end of the fuel cycle</w:t>
      </w:r>
      <w:r>
        <w:t xml:space="preserve"> Boyer et al. 2004, Faulkner et al. 2004)</w:t>
      </w:r>
      <w:r w:rsidRPr="00B85E97">
        <w:t>.</w:t>
      </w:r>
      <w:r>
        <w:t xml:space="preserve"> The following is a review of the available literature on the studies in the area of </w:t>
      </w:r>
      <w:r w:rsidRPr="00B87233">
        <w:t>conversion plant safeguards</w:t>
      </w:r>
      <w:r>
        <w:t xml:space="preserve"> and diversion scenarios</w:t>
      </w:r>
      <w:r w:rsidRPr="00B87233">
        <w:t>.</w:t>
      </w:r>
    </w:p>
    <w:p w:rsidR="00E664E4" w:rsidRDefault="00E664E4" w:rsidP="00E664E4">
      <w:r>
        <w:t>Doo et al. 2003 identified the following as potential diversion pathways in an NUCP: “u</w:t>
      </w:r>
      <w:r w:rsidRPr="00030520">
        <w:t>ranium oxides, UF</w:t>
      </w:r>
      <w:r w:rsidRPr="00030520">
        <w:rPr>
          <w:vertAlign w:val="subscript"/>
        </w:rPr>
        <w:t>6</w:t>
      </w:r>
      <w:r w:rsidRPr="00030520">
        <w:t xml:space="preserve"> product or uranium intermediates at NUCPs may be produced without</w:t>
      </w:r>
      <w:r>
        <w:t xml:space="preserve"> </w:t>
      </w:r>
      <w:r w:rsidRPr="00030520">
        <w:t>declaration to the IAEA and diverted without efforts at concealment; or a diversion may be</w:t>
      </w:r>
      <w:r>
        <w:t xml:space="preserve"> </w:t>
      </w:r>
      <w:r w:rsidRPr="00030520">
        <w:t>concealed by falsification of records to understate feed, overstate process losses, or overstate in</w:t>
      </w:r>
      <w:r>
        <w:t>-</w:t>
      </w:r>
      <w:r w:rsidRPr="00030520">
        <w:t>process</w:t>
      </w:r>
      <w:r>
        <w:t xml:space="preserve"> </w:t>
      </w:r>
      <w:r w:rsidRPr="00030520">
        <w:t>inventories; or by substitution of dummy materials.</w:t>
      </w:r>
      <w:r>
        <w:t xml:space="preserve">” </w:t>
      </w:r>
    </w:p>
    <w:p w:rsidR="00E664E4" w:rsidRDefault="00E664E4" w:rsidP="00E664E4">
      <w:r w:rsidRPr="00B87233">
        <w:t>Four companion papers were presented at the 45</w:t>
      </w:r>
      <w:r w:rsidRPr="00F84F15">
        <w:rPr>
          <w:vertAlign w:val="superscript"/>
        </w:rPr>
        <w:t>th</w:t>
      </w:r>
      <w:r>
        <w:t xml:space="preserve"> </w:t>
      </w:r>
      <w:r w:rsidRPr="00B87233">
        <w:t>Annual Meeting of Institute of Nuclear Materials Management (INMM)</w:t>
      </w:r>
      <w:r>
        <w:t xml:space="preserve"> in 2004. The first paper authored by Boyer et al.</w:t>
      </w:r>
      <w:r w:rsidRPr="003A1BC5">
        <w:t xml:space="preserve"> </w:t>
      </w:r>
      <w:r>
        <w:t>2</w:t>
      </w:r>
      <w:r w:rsidRPr="003A1BC5">
        <w:t>004</w:t>
      </w:r>
      <w:r>
        <w:t xml:space="preserve"> discussed an international safeguards approach for an NUCP and suggested that o</w:t>
      </w:r>
      <w:r w:rsidRPr="00E41F86">
        <w:t xml:space="preserve">ne approach </w:t>
      </w:r>
      <w:r>
        <w:t xml:space="preserve">for safeguarding conversion plants </w:t>
      </w:r>
      <w:r w:rsidRPr="00E41F86">
        <w:t xml:space="preserve">could </w:t>
      </w:r>
      <w:r>
        <w:t xml:space="preserve">be the </w:t>
      </w:r>
      <w:r w:rsidRPr="00E41F86">
        <w:t xml:space="preserve">use </w:t>
      </w:r>
      <w:r>
        <w:t>of “</w:t>
      </w:r>
      <w:r w:rsidRPr="00E41F86">
        <w:t>unattended process</w:t>
      </w:r>
      <w:r>
        <w:t xml:space="preserve"> </w:t>
      </w:r>
      <w:r w:rsidRPr="00E41F86">
        <w:t>monitoring equipment to measure the flows of uranium through various unit processes.</w:t>
      </w:r>
      <w:r>
        <w:t xml:space="preserve">” In traditional safeguards, </w:t>
      </w:r>
      <w:r w:rsidRPr="00A70BBE">
        <w:t>the plant operator makes a declaration of the material balance for the plant and the</w:t>
      </w:r>
      <w:r>
        <w:t xml:space="preserve"> </w:t>
      </w:r>
      <w:r w:rsidRPr="00A70BBE">
        <w:t>IAEA verifies that declaration</w:t>
      </w:r>
      <w:r>
        <w:t xml:space="preserve"> through verification of </w:t>
      </w:r>
      <w:r w:rsidRPr="00A70BBE">
        <w:t xml:space="preserve">plant design </w:t>
      </w:r>
      <w:r w:rsidRPr="00A70BBE">
        <w:lastRenderedPageBreak/>
        <w:t>information, auditing of records and reports, and independent measurement of a portion</w:t>
      </w:r>
      <w:r>
        <w:t xml:space="preserve"> </w:t>
      </w:r>
      <w:r w:rsidRPr="00A70BBE">
        <w:t>of the nuclear materials that comprise the flows and inventories of the declared material balance.</w:t>
      </w:r>
      <w:r>
        <w:t xml:space="preserve"> However, </w:t>
      </w:r>
      <w:r w:rsidRPr="00A70BBE">
        <w:t xml:space="preserve">verification of the declared material balance </w:t>
      </w:r>
      <w:r>
        <w:t xml:space="preserve">has many limitations and </w:t>
      </w:r>
      <w:r w:rsidRPr="00A70BBE">
        <w:t>in general will not detect the</w:t>
      </w:r>
      <w:r>
        <w:t xml:space="preserve"> </w:t>
      </w:r>
      <w:r w:rsidRPr="00A70BBE">
        <w:t>processing of undeclared feed to produce undeclared product</w:t>
      </w:r>
      <w:r>
        <w:t xml:space="preserve">. </w:t>
      </w:r>
      <w:r w:rsidRPr="003A1BC5">
        <w:t>Therefore, additional safeguards measures are required to detect undeclared processing. Traditional IAEA methods (e.g., application of containment and surveillance measures) could provide some detection capability. The IAEA has revised their approach to NUCP safeguards to include more short notice random inspections during the year to gain more flexibility and unpredictability in conducting inspections. The IAEA has made increasing use of unattended monitoring to verify operations at safeguarded facilities, which could offer an effective method for detecting the processing of undeclared materials in an NUCP (</w:t>
      </w:r>
      <w:r>
        <w:t>Boyer</w:t>
      </w:r>
      <w:r w:rsidRPr="003A1BC5">
        <w:t xml:space="preserve"> et al. 2004).</w:t>
      </w:r>
    </w:p>
    <w:p w:rsidR="00E664E4" w:rsidRPr="003A1BC5" w:rsidRDefault="00E664E4" w:rsidP="00E664E4">
      <w:bookmarkStart w:id="3" w:name="OLE_LINK13"/>
      <w:bookmarkStart w:id="4" w:name="OLE_LINK14"/>
      <w:r w:rsidRPr="003A1BC5">
        <w:t>In an ideal situation, safeguards would involve the continuous presence of IAEA inspectors at the plant and the installation of unattended monitors</w:t>
      </w:r>
      <w:r>
        <w:t xml:space="preserve"> on each of the process vessels, but in practice, </w:t>
      </w:r>
      <w:r w:rsidRPr="003A1BC5">
        <w:t xml:space="preserve">such intensive and intrusive approaches are not feasible because of cost, shortage of IAEA manpower, difficulty in operator acceptance, and existing political constraints </w:t>
      </w:r>
      <w:bookmarkStart w:id="5" w:name="OLE_LINK3"/>
      <w:bookmarkStart w:id="6" w:name="OLE_LINK4"/>
      <w:r w:rsidRPr="003A1BC5">
        <w:t>(</w:t>
      </w:r>
      <w:r>
        <w:t>Boyer</w:t>
      </w:r>
      <w:r w:rsidRPr="003A1BC5">
        <w:t xml:space="preserve"> et al. 2004)</w:t>
      </w:r>
      <w:bookmarkEnd w:id="5"/>
      <w:bookmarkEnd w:id="6"/>
      <w:r w:rsidRPr="003A1BC5">
        <w:t xml:space="preserve">. </w:t>
      </w:r>
      <w:r>
        <w:t>Boyer et al. 2004 proposed that a</w:t>
      </w:r>
      <w:r w:rsidRPr="003A1BC5">
        <w:t xml:space="preserve"> safeguards approach capable of detecting the processing of undeclared materials in a small NUCP might include the following components:</w:t>
      </w:r>
    </w:p>
    <w:p w:rsidR="00E664E4" w:rsidRPr="003A1BC5" w:rsidRDefault="00E664E4" w:rsidP="00E664E4">
      <w:pPr>
        <w:pStyle w:val="ListParagraph"/>
        <w:numPr>
          <w:ilvl w:val="0"/>
          <w:numId w:val="3"/>
        </w:numPr>
      </w:pPr>
      <w:r w:rsidRPr="003A1BC5">
        <w:t>IAEA unattended monitoring instruments to measure the uranium content of intermediate process flow streams at key points in the process, primarily to detect the processing of undeclared feed;</w:t>
      </w:r>
    </w:p>
    <w:p w:rsidR="00E664E4" w:rsidRPr="003A1BC5" w:rsidRDefault="00E664E4" w:rsidP="00E664E4">
      <w:pPr>
        <w:pStyle w:val="ListParagraph"/>
        <w:numPr>
          <w:ilvl w:val="0"/>
          <w:numId w:val="3"/>
        </w:numPr>
      </w:pPr>
      <w:r w:rsidRPr="003A1BC5">
        <w:t xml:space="preserve">IAEA verification of the declared uranium balance, primarily to detect the diversion of declared uranium; and </w:t>
      </w:r>
    </w:p>
    <w:p w:rsidR="00E664E4" w:rsidRPr="003A1BC5" w:rsidRDefault="00E664E4" w:rsidP="00E664E4">
      <w:pPr>
        <w:pStyle w:val="ListParagraph"/>
        <w:numPr>
          <w:ilvl w:val="0"/>
          <w:numId w:val="3"/>
        </w:numPr>
      </w:pPr>
      <w:r w:rsidRPr="003A1BC5">
        <w:t>Operator declarations of specified nuclear material quantities and operating parameters on a daily basis.</w:t>
      </w:r>
    </w:p>
    <w:bookmarkEnd w:id="3"/>
    <w:bookmarkEnd w:id="4"/>
    <w:p w:rsidR="00E664E4" w:rsidRDefault="00E664E4" w:rsidP="00E664E4">
      <w:r>
        <w:t>Boyer et al.</w:t>
      </w:r>
      <w:r w:rsidRPr="003A1BC5">
        <w:t xml:space="preserve"> </w:t>
      </w:r>
      <w:r>
        <w:t>2</w:t>
      </w:r>
      <w:r w:rsidRPr="003A1BC5">
        <w:t>004</w:t>
      </w:r>
      <w:r>
        <w:t xml:space="preserve"> identified the </w:t>
      </w:r>
      <w:r w:rsidRPr="00E41F86">
        <w:t>two principal safeguards concerns at a</w:t>
      </w:r>
      <w:r>
        <w:t>n</w:t>
      </w:r>
      <w:r w:rsidRPr="00E41F86">
        <w:t xml:space="preserve"> NUCP </w:t>
      </w:r>
      <w:r>
        <w:t>as</w:t>
      </w:r>
      <w:r w:rsidRPr="00E41F86">
        <w:t xml:space="preserve">: </w:t>
      </w:r>
      <w:r>
        <w:t>“</w:t>
      </w:r>
      <w:r w:rsidRPr="00E41F86">
        <w:t>1) diversion of pure materials for further</w:t>
      </w:r>
      <w:r>
        <w:t xml:space="preserve"> </w:t>
      </w:r>
      <w:r w:rsidRPr="00E41F86">
        <w:t>processing or use elsewhere and 2) processing of undeclared feed to produce undeclared pure</w:t>
      </w:r>
      <w:r>
        <w:t xml:space="preserve"> </w:t>
      </w:r>
      <w:r w:rsidRPr="00E41F86">
        <w:t>products (e.g., UO</w:t>
      </w:r>
      <w:r w:rsidRPr="00E41F86">
        <w:rPr>
          <w:vertAlign w:val="subscript"/>
        </w:rPr>
        <w:t>2</w:t>
      </w:r>
      <w:r w:rsidRPr="00E41F86">
        <w:t>, UF</w:t>
      </w:r>
      <w:r w:rsidRPr="00E41F86">
        <w:rPr>
          <w:vertAlign w:val="subscript"/>
        </w:rPr>
        <w:t>6</w:t>
      </w:r>
      <w:r w:rsidRPr="00E41F86">
        <w:t>).</w:t>
      </w:r>
      <w:r>
        <w:t xml:space="preserve">” </w:t>
      </w:r>
      <w:r w:rsidRPr="00477A29">
        <w:t>Additionally, the paper list</w:t>
      </w:r>
      <w:r>
        <w:t>ed</w:t>
      </w:r>
      <w:r w:rsidRPr="00477A29">
        <w:t xml:space="preserve"> the following as the most important diversion and undeclared processing scenarios:</w:t>
      </w:r>
    </w:p>
    <w:p w:rsidR="00E664E4" w:rsidRDefault="00E664E4" w:rsidP="00E664E4">
      <w:pPr>
        <w:pStyle w:val="ListParagraph"/>
        <w:numPr>
          <w:ilvl w:val="0"/>
          <w:numId w:val="28"/>
        </w:numPr>
      </w:pPr>
      <w:r>
        <w:t>“</w:t>
      </w:r>
      <w:r w:rsidRPr="00477A29">
        <w:t>Diversion of uranium from the declared material balance;</w:t>
      </w:r>
    </w:p>
    <w:p w:rsidR="00E664E4" w:rsidRDefault="00E664E4" w:rsidP="00E664E4">
      <w:pPr>
        <w:pStyle w:val="ListParagraph"/>
        <w:numPr>
          <w:ilvl w:val="0"/>
          <w:numId w:val="28"/>
        </w:numPr>
      </w:pPr>
      <w:r w:rsidRPr="00477A29">
        <w:t>Processing of undeclared UOC through production of UF</w:t>
      </w:r>
      <w:r w:rsidRPr="00477A29">
        <w:rPr>
          <w:vertAlign w:val="subscript"/>
        </w:rPr>
        <w:t>6</w:t>
      </w:r>
      <w:r w:rsidRPr="00477A29">
        <w:t>;</w:t>
      </w:r>
    </w:p>
    <w:p w:rsidR="00E664E4" w:rsidRDefault="00E664E4" w:rsidP="00E664E4">
      <w:pPr>
        <w:pStyle w:val="ListParagraph"/>
        <w:numPr>
          <w:ilvl w:val="0"/>
          <w:numId w:val="28"/>
        </w:numPr>
      </w:pPr>
      <w:r w:rsidRPr="00477A29">
        <w:t>Processing of undeclared impure uranium feed materials (e.g., UOC or uranyl nitrate)</w:t>
      </w:r>
      <w:r>
        <w:t xml:space="preserve"> </w:t>
      </w:r>
      <w:r w:rsidRPr="00477A29">
        <w:t>through the solvent-extraction purification process and the production of purified uranyl</w:t>
      </w:r>
      <w:r>
        <w:t xml:space="preserve"> </w:t>
      </w:r>
      <w:r w:rsidRPr="00477A29">
        <w:t>nitrate; and</w:t>
      </w:r>
      <w:r>
        <w:t xml:space="preserve"> </w:t>
      </w:r>
    </w:p>
    <w:p w:rsidR="00E664E4" w:rsidRDefault="00E664E4" w:rsidP="00E664E4">
      <w:pPr>
        <w:pStyle w:val="ListParagraph"/>
        <w:numPr>
          <w:ilvl w:val="0"/>
          <w:numId w:val="28"/>
        </w:numPr>
      </w:pPr>
      <w:r w:rsidRPr="00477A29">
        <w:t>Processing of undeclared pure uranium feed materials (e.g., uranyl nitrate, uranium</w:t>
      </w:r>
      <w:r>
        <w:t xml:space="preserve"> </w:t>
      </w:r>
      <w:r w:rsidRPr="00477A29">
        <w:t>precipitant, UO</w:t>
      </w:r>
      <w:r w:rsidRPr="00477A29">
        <w:rPr>
          <w:vertAlign w:val="subscript"/>
        </w:rPr>
        <w:t>2</w:t>
      </w:r>
      <w:r w:rsidRPr="00477A29">
        <w:t>, or UF</w:t>
      </w:r>
      <w:r w:rsidRPr="00477A29">
        <w:rPr>
          <w:vertAlign w:val="subscript"/>
        </w:rPr>
        <w:t>4</w:t>
      </w:r>
      <w:r w:rsidRPr="00477A29">
        <w:t>) through the UF</w:t>
      </w:r>
      <w:r w:rsidRPr="00477A29">
        <w:rPr>
          <w:vertAlign w:val="subscript"/>
        </w:rPr>
        <w:t>6</w:t>
      </w:r>
      <w:r w:rsidRPr="00477A29">
        <w:t xml:space="preserve"> production step</w:t>
      </w:r>
      <w:r>
        <w:t>” (Boyer et al. 2004).</w:t>
      </w:r>
    </w:p>
    <w:p w:rsidR="00E664E4" w:rsidRDefault="00E664E4" w:rsidP="00E664E4">
      <w:r>
        <w:t xml:space="preserve">The second INMM paper was authored by Faulkner et al. 2004 and discussed the Oak Ridge National Laboratory (ORNL) efforts to enhance conversion plant safeguards. The ORNL work was </w:t>
      </w:r>
      <w:r w:rsidRPr="00B97AED">
        <w:t xml:space="preserve">focused on </w:t>
      </w:r>
      <w:r w:rsidRPr="00B97AED">
        <w:lastRenderedPageBreak/>
        <w:t>defining generic conversion facilities</w:t>
      </w:r>
      <w:r>
        <w:t xml:space="preserve"> as well as </w:t>
      </w:r>
      <w:r w:rsidRPr="00B97AED">
        <w:t>review</w:t>
      </w:r>
      <w:r>
        <w:t>ing</w:t>
      </w:r>
      <w:r w:rsidRPr="00B97AED">
        <w:t xml:space="preserve"> various natural</w:t>
      </w:r>
      <w:r>
        <w:t xml:space="preserve"> </w:t>
      </w:r>
      <w:r w:rsidRPr="00B97AED">
        <w:t xml:space="preserve">uranium conversion plants and process </w:t>
      </w:r>
      <w:proofErr w:type="spellStart"/>
      <w:r w:rsidRPr="00B97AED">
        <w:t>flowsheets</w:t>
      </w:r>
      <w:proofErr w:type="spellEnd"/>
      <w:r w:rsidRPr="00B97AED">
        <w:t xml:space="preserve"> in order to create a technical basis for selecting an</w:t>
      </w:r>
      <w:r>
        <w:t xml:space="preserve"> </w:t>
      </w:r>
      <w:r w:rsidRPr="00B97AED">
        <w:t xml:space="preserve">effective safeguard program. </w:t>
      </w:r>
      <w:r>
        <w:t xml:space="preserve">Additionally, Oak Ridge used the </w:t>
      </w:r>
      <w:r w:rsidRPr="00B97AED">
        <w:t>most appropriate process configurations</w:t>
      </w:r>
      <w:r>
        <w:t xml:space="preserve"> </w:t>
      </w:r>
      <w:r w:rsidRPr="00B97AED">
        <w:t>to constitute a set of</w:t>
      </w:r>
      <w:r>
        <w:t xml:space="preserve"> </w:t>
      </w:r>
      <w:r w:rsidRPr="00B97AED">
        <w:t>process models</w:t>
      </w:r>
      <w:r>
        <w:t xml:space="preserve"> that were used to determine</w:t>
      </w:r>
      <w:r w:rsidRPr="00B97AED">
        <w:t xml:space="preserve"> logical locations for </w:t>
      </w:r>
      <w:r w:rsidRPr="00401A18">
        <w:t xml:space="preserve">mass balance evaluations. </w:t>
      </w:r>
      <w:r>
        <w:t xml:space="preserve">ORNL also </w:t>
      </w:r>
      <w:r w:rsidRPr="00401A18">
        <w:t>completed</w:t>
      </w:r>
      <w:r>
        <w:t xml:space="preserve"> in-depth analyses of diversion scenarios which will be summarized below.</w:t>
      </w:r>
    </w:p>
    <w:p w:rsidR="00E664E4" w:rsidRDefault="00E664E4" w:rsidP="00E664E4">
      <w:r w:rsidRPr="00586C21">
        <w:t>According to Faulkner et al. 2004, “a clear understanding of the chemical conversion process is essential in selecting an appropriate set of safeguard controls.”  However, traditional IAEA inventory controls do not begin until the last step of an NUCP when the UF</w:t>
      </w:r>
      <w:r w:rsidRPr="00777E08">
        <w:rPr>
          <w:vertAlign w:val="subscript"/>
        </w:rPr>
        <w:t>6</w:t>
      </w:r>
      <w:r w:rsidRPr="00586C21">
        <w:t xml:space="preserve"> product is certified for use as feed to an enrichment facility. Faulkner et al. 2004 state</w:t>
      </w:r>
      <w:r>
        <w:t>s</w:t>
      </w:r>
      <w:r w:rsidRPr="00586C21">
        <w:t xml:space="preserve"> the reasoning behind safeguarding NUCPs: “Each NUCP processing step increases the nuclear material attractiveness for diversion as the uranium is</w:t>
      </w:r>
      <w:r>
        <w:t xml:space="preserve"> </w:t>
      </w:r>
      <w:r w:rsidRPr="00586C21">
        <w:t>purified and as the chemical form is converted to one that is more suitable for use in a nuclear weapon</w:t>
      </w:r>
      <w:r>
        <w:t>[s]</w:t>
      </w:r>
      <w:r w:rsidRPr="00586C21">
        <w:t xml:space="preserve"> program. The quantity of uranium available, the ease of removal from the process, and the ability to obfuscate diversion were special considerations in the diversion analysis. Safeguard controls must include defense-in-depth approaches to achieve a reasonable level of detection capability.”</w:t>
      </w:r>
    </w:p>
    <w:p w:rsidR="00E664E4" w:rsidRDefault="00E664E4" w:rsidP="00E664E4">
      <w:r w:rsidRPr="00181D67">
        <w:t xml:space="preserve">Faulkner et al. 2004 performed a diversion analysis by analyzing the generic conversion process to determine potential diversion routes for intermediate products. After the uranium is in the form of a purified uranyl nitrate solution, it becomes attractive for use in a weapons </w:t>
      </w:r>
      <w:r>
        <w:t>program and therefore in need of safeguarding</w:t>
      </w:r>
      <w:r w:rsidRPr="00181D67">
        <w:t xml:space="preserve">. The purified uranyl nitrate solution can be </w:t>
      </w:r>
      <w:proofErr w:type="spellStart"/>
      <w:r w:rsidRPr="00181D67">
        <w:t>denitrated</w:t>
      </w:r>
      <w:proofErr w:type="spellEnd"/>
      <w:r w:rsidRPr="00181D67">
        <w:t xml:space="preserve"> to form UO</w:t>
      </w:r>
      <w:r w:rsidRPr="00181D67">
        <w:rPr>
          <w:vertAlign w:val="subscript"/>
        </w:rPr>
        <w:t>3</w:t>
      </w:r>
      <w:r w:rsidRPr="00181D67">
        <w:t xml:space="preserve"> or UO</w:t>
      </w:r>
      <w:r w:rsidRPr="00181D67">
        <w:rPr>
          <w:vertAlign w:val="subscript"/>
        </w:rPr>
        <w:t>2</w:t>
      </w:r>
      <w:r>
        <w:t>. E</w:t>
      </w:r>
      <w:r w:rsidRPr="00181D67">
        <w:t xml:space="preserve">ither of </w:t>
      </w:r>
      <w:r>
        <w:t xml:space="preserve">which </w:t>
      </w:r>
      <w:r w:rsidRPr="00181D67">
        <w:t>is well suited for production of UCl</w:t>
      </w:r>
      <w:r w:rsidRPr="00181D67">
        <w:rPr>
          <w:vertAlign w:val="subscript"/>
        </w:rPr>
        <w:t>4</w:t>
      </w:r>
      <w:r w:rsidRPr="00181D67">
        <w:t xml:space="preserve"> by chlorination, which is the preferred chemical form for an electromagnetic isotope separation (EMIS) enrichment process or for a chemical/ion exchange enrichment process. In addition, UO</w:t>
      </w:r>
      <w:r w:rsidRPr="00181D67">
        <w:rPr>
          <w:vertAlign w:val="subscript"/>
        </w:rPr>
        <w:t>2</w:t>
      </w:r>
      <w:r w:rsidRPr="00181D67">
        <w:t xml:space="preserve"> can be </w:t>
      </w:r>
      <w:proofErr w:type="spellStart"/>
      <w:r w:rsidRPr="00181D67">
        <w:t>hydrofluorinated</w:t>
      </w:r>
      <w:proofErr w:type="spellEnd"/>
      <w:r w:rsidRPr="00181D67">
        <w:t xml:space="preserve"> to produce UF</w:t>
      </w:r>
      <w:r w:rsidRPr="00181D67">
        <w:rPr>
          <w:vertAlign w:val="subscript"/>
        </w:rPr>
        <w:t>4</w:t>
      </w:r>
      <w:r w:rsidRPr="00181D67">
        <w:t xml:space="preserve">, which can be </w:t>
      </w:r>
      <w:proofErr w:type="spellStart"/>
      <w:r w:rsidRPr="00181D67">
        <w:t>metallothermically</w:t>
      </w:r>
      <w:proofErr w:type="spellEnd"/>
      <w:r w:rsidRPr="00181D67">
        <w:t xml:space="preserve"> reduced to uranium metal for use in an AVLIS enrichment process or in plutonium production. Moreover, uncertified UF</w:t>
      </w:r>
      <w:r w:rsidRPr="00181D67">
        <w:rPr>
          <w:vertAlign w:val="subscript"/>
        </w:rPr>
        <w:t>6</w:t>
      </w:r>
      <w:r w:rsidRPr="00181D67">
        <w:t xml:space="preserve"> is not currently monitored by IAEA safeguards and could be shipped to a clandestine site for fractional distillation prior to feeding to a gas centrifuge or gaseous diffusion enrichment plant. </w:t>
      </w:r>
      <w:r>
        <w:t>Figure 2.1</w:t>
      </w:r>
      <w:r w:rsidRPr="00D447F6">
        <w:t xml:space="preserve"> provides a pictorial view of the potential diversion paths for intermediate products from an NUCP. </w:t>
      </w:r>
    </w:p>
    <w:p w:rsidR="00BD31C2" w:rsidRPr="00181D67" w:rsidRDefault="00BD31C2" w:rsidP="00BD31C2">
      <w:r w:rsidRPr="00181D67">
        <w:t xml:space="preserve">Diversion scenarios also include other options such as, </w:t>
      </w:r>
    </w:p>
    <w:p w:rsidR="00BD31C2" w:rsidRPr="00181D67" w:rsidRDefault="00BD31C2" w:rsidP="00BD31C2">
      <w:pPr>
        <w:pStyle w:val="ListParagraph"/>
        <w:numPr>
          <w:ilvl w:val="0"/>
          <w:numId w:val="29"/>
        </w:numPr>
      </w:pPr>
      <w:r w:rsidRPr="00181D67">
        <w:t>Material substitution (substitution of feed materials that have higher uranium content than declared or the clandestine removal of uranium-bearing material in exchange for materials of similar characteristics but with less or no uranium content)</w:t>
      </w:r>
      <w:r w:rsidR="002F2D6C">
        <w:t xml:space="preserve"> (Faulty Cases 2 and 6)</w:t>
      </w:r>
      <w:r w:rsidRPr="00181D67">
        <w:t xml:space="preserve">, </w:t>
      </w:r>
    </w:p>
    <w:p w:rsidR="00BD31C2" w:rsidRPr="00181D67" w:rsidRDefault="00BD31C2" w:rsidP="00BD31C2">
      <w:pPr>
        <w:pStyle w:val="ListParagraph"/>
        <w:numPr>
          <w:ilvl w:val="0"/>
          <w:numId w:val="29"/>
        </w:numPr>
      </w:pPr>
      <w:r w:rsidRPr="00181D67">
        <w:t>Equipment alterations (addition of bypass piping, valves, or other equipment used to divert or introduce materials clandestinely; or modification to equipment (e.g., heating), resulting in incomplete conversions or inefficient operation with excess uranium in the waste or tails)</w:t>
      </w:r>
      <w:r w:rsidR="002F2D6C">
        <w:t xml:space="preserve"> (Faulty Cases 5, 8, 9, and 11)</w:t>
      </w:r>
      <w:r w:rsidRPr="00181D67">
        <w:t>,</w:t>
      </w:r>
    </w:p>
    <w:p w:rsidR="00BD31C2" w:rsidRDefault="00BD31C2" w:rsidP="00FA6E96">
      <w:pPr>
        <w:pStyle w:val="ListParagraph"/>
        <w:numPr>
          <w:ilvl w:val="0"/>
          <w:numId w:val="29"/>
        </w:numPr>
      </w:pPr>
      <w:r w:rsidRPr="00181D67">
        <w:t xml:space="preserve">Modified operations (intentionally operating processes inefficiently so that more uranium is contained in recycle, sample, or waste streams), </w:t>
      </w:r>
      <w:r w:rsidR="002F2D6C">
        <w:t xml:space="preserve">(Faulty Cases </w:t>
      </w:r>
      <w:r w:rsidR="00E82772">
        <w:t xml:space="preserve">3, 4, 7, and 10) </w:t>
      </w:r>
      <w:r>
        <w:t>and</w:t>
      </w:r>
      <w:r>
        <w:br w:type="page"/>
      </w:r>
    </w:p>
    <w:p w:rsidR="00E664E4" w:rsidRDefault="00E664E4" w:rsidP="00E664E4">
      <w:pPr>
        <w:jc w:val="center"/>
      </w:pPr>
      <w:r>
        <w:rPr>
          <w:noProof/>
        </w:rPr>
        <w:lastRenderedPageBreak/>
        <w:drawing>
          <wp:inline distT="0" distB="0" distL="0" distR="0" wp14:anchorId="78B01076" wp14:editId="1574813F">
            <wp:extent cx="5943600" cy="4454670"/>
            <wp:effectExtent l="1905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srcRect/>
                    <a:stretch>
                      <a:fillRect/>
                    </a:stretch>
                  </pic:blipFill>
                  <pic:spPr bwMode="auto">
                    <a:xfrm>
                      <a:off x="0" y="0"/>
                      <a:ext cx="5943600" cy="4454670"/>
                    </a:xfrm>
                    <a:prstGeom prst="rect">
                      <a:avLst/>
                    </a:prstGeom>
                    <a:noFill/>
                    <a:ln w="9525">
                      <a:noFill/>
                      <a:miter lim="800000"/>
                      <a:headEnd/>
                      <a:tailEnd/>
                    </a:ln>
                  </pic:spPr>
                </pic:pic>
              </a:graphicData>
            </a:graphic>
          </wp:inline>
        </w:drawing>
      </w:r>
    </w:p>
    <w:p w:rsidR="00E664E4" w:rsidRPr="00D57584" w:rsidRDefault="00A659DE" w:rsidP="00FA6E96">
      <w:pPr>
        <w:rPr>
          <w:sz w:val="20"/>
          <w:szCs w:val="20"/>
        </w:rPr>
      </w:pPr>
      <w:proofErr w:type="gramStart"/>
      <w:r>
        <w:rPr>
          <w:b/>
          <w:sz w:val="20"/>
          <w:szCs w:val="20"/>
        </w:rPr>
        <w:t>Figure 2.1.</w:t>
      </w:r>
      <w:proofErr w:type="gramEnd"/>
      <w:r>
        <w:rPr>
          <w:b/>
          <w:sz w:val="20"/>
          <w:szCs w:val="20"/>
        </w:rPr>
        <w:t xml:space="preserve"> </w:t>
      </w:r>
      <w:proofErr w:type="gramStart"/>
      <w:r>
        <w:rPr>
          <w:b/>
          <w:sz w:val="20"/>
          <w:szCs w:val="20"/>
        </w:rPr>
        <w:t>Pictorial V</w:t>
      </w:r>
      <w:r w:rsidR="00E664E4" w:rsidRPr="00181D67">
        <w:rPr>
          <w:b/>
          <w:sz w:val="20"/>
          <w:szCs w:val="20"/>
        </w:rPr>
        <w:t xml:space="preserve">iew of the </w:t>
      </w:r>
      <w:r>
        <w:rPr>
          <w:b/>
          <w:sz w:val="20"/>
          <w:szCs w:val="20"/>
        </w:rPr>
        <w:t>P</w:t>
      </w:r>
      <w:r w:rsidR="00E664E4" w:rsidRPr="00181D67">
        <w:rPr>
          <w:b/>
          <w:sz w:val="20"/>
          <w:szCs w:val="20"/>
        </w:rPr>
        <w:t xml:space="preserve">otential </w:t>
      </w:r>
      <w:r>
        <w:rPr>
          <w:b/>
          <w:sz w:val="20"/>
          <w:szCs w:val="20"/>
        </w:rPr>
        <w:t>D</w:t>
      </w:r>
      <w:r w:rsidR="00E664E4" w:rsidRPr="00181D67">
        <w:rPr>
          <w:b/>
          <w:sz w:val="20"/>
          <w:szCs w:val="20"/>
        </w:rPr>
        <w:t xml:space="preserve">iversion </w:t>
      </w:r>
      <w:r>
        <w:rPr>
          <w:b/>
          <w:sz w:val="20"/>
          <w:szCs w:val="20"/>
        </w:rPr>
        <w:t>P</w:t>
      </w:r>
      <w:r w:rsidR="00E664E4" w:rsidRPr="00181D67">
        <w:rPr>
          <w:b/>
          <w:sz w:val="20"/>
          <w:szCs w:val="20"/>
        </w:rPr>
        <w:t>ath</w:t>
      </w:r>
      <w:r>
        <w:rPr>
          <w:b/>
          <w:sz w:val="20"/>
          <w:szCs w:val="20"/>
        </w:rPr>
        <w:t>way</w:t>
      </w:r>
      <w:r w:rsidR="00E664E4" w:rsidRPr="00181D67">
        <w:rPr>
          <w:b/>
          <w:sz w:val="20"/>
          <w:szCs w:val="20"/>
        </w:rPr>
        <w:t xml:space="preserve">s for </w:t>
      </w:r>
      <w:r>
        <w:rPr>
          <w:b/>
          <w:sz w:val="20"/>
          <w:szCs w:val="20"/>
        </w:rPr>
        <w:t>I</w:t>
      </w:r>
      <w:r w:rsidR="00E664E4" w:rsidRPr="00181D67">
        <w:rPr>
          <w:b/>
          <w:sz w:val="20"/>
          <w:szCs w:val="20"/>
        </w:rPr>
        <w:t xml:space="preserve">ntermediate </w:t>
      </w:r>
      <w:r>
        <w:rPr>
          <w:b/>
          <w:sz w:val="20"/>
          <w:szCs w:val="20"/>
        </w:rPr>
        <w:t>P</w:t>
      </w:r>
      <w:r w:rsidR="00E664E4" w:rsidRPr="00181D67">
        <w:rPr>
          <w:b/>
          <w:sz w:val="20"/>
          <w:szCs w:val="20"/>
        </w:rPr>
        <w:t>roducts from an NUCP.</w:t>
      </w:r>
      <w:proofErr w:type="gramEnd"/>
      <w:r w:rsidR="00E664E4" w:rsidRPr="00181D67">
        <w:rPr>
          <w:sz w:val="20"/>
          <w:szCs w:val="20"/>
        </w:rPr>
        <w:t xml:space="preserve"> Note that the solid black arrows follow the steps in a typical uranium conversion process. The dashed black arrows denote alternate routes in the conversion process. The dashed red lines show attractive diversion paths. The dashed blue line shows the feed point for clandestinely obtained uranium. (Source: R. L. Faulkner, J. M. </w:t>
      </w:r>
      <w:proofErr w:type="spellStart"/>
      <w:r w:rsidR="00E664E4" w:rsidRPr="00181D67">
        <w:rPr>
          <w:sz w:val="20"/>
          <w:szCs w:val="20"/>
        </w:rPr>
        <w:t>Begovich</w:t>
      </w:r>
      <w:proofErr w:type="spellEnd"/>
      <w:r w:rsidR="00E664E4" w:rsidRPr="00181D67">
        <w:rPr>
          <w:sz w:val="20"/>
          <w:szCs w:val="20"/>
        </w:rPr>
        <w:t xml:space="preserve">, J. J. </w:t>
      </w:r>
      <w:proofErr w:type="spellStart"/>
      <w:r w:rsidR="00E664E4" w:rsidRPr="00181D67">
        <w:rPr>
          <w:sz w:val="20"/>
          <w:szCs w:val="20"/>
        </w:rPr>
        <w:t>Ferrada</w:t>
      </w:r>
      <w:proofErr w:type="spellEnd"/>
      <w:r w:rsidR="00E664E4" w:rsidRPr="00181D67">
        <w:rPr>
          <w:sz w:val="20"/>
          <w:szCs w:val="20"/>
        </w:rPr>
        <w:t xml:space="preserve">, R. D. Spence, J. M. Whitaker, W. J. </w:t>
      </w:r>
      <w:proofErr w:type="spellStart"/>
      <w:r w:rsidR="00E664E4" w:rsidRPr="00181D67">
        <w:rPr>
          <w:sz w:val="20"/>
          <w:szCs w:val="20"/>
        </w:rPr>
        <w:t>Bicha</w:t>
      </w:r>
      <w:proofErr w:type="spellEnd"/>
      <w:r w:rsidR="00E664E4" w:rsidRPr="00181D67">
        <w:rPr>
          <w:sz w:val="20"/>
          <w:szCs w:val="20"/>
        </w:rPr>
        <w:t xml:space="preserve">, and L. G. </w:t>
      </w:r>
      <w:proofErr w:type="spellStart"/>
      <w:r w:rsidR="00E664E4" w:rsidRPr="00181D67">
        <w:rPr>
          <w:sz w:val="20"/>
          <w:szCs w:val="20"/>
        </w:rPr>
        <w:t>Loden</w:t>
      </w:r>
      <w:proofErr w:type="spellEnd"/>
      <w:r w:rsidR="00E664E4" w:rsidRPr="00181D67">
        <w:rPr>
          <w:sz w:val="20"/>
          <w:szCs w:val="20"/>
        </w:rPr>
        <w:t xml:space="preserve">. 2004. “Oak Ridge Efforts to Enhance Conversion Plant Safeguards.” </w:t>
      </w:r>
      <w:r w:rsidR="00E664E4" w:rsidRPr="00181D67">
        <w:rPr>
          <w:i/>
          <w:sz w:val="20"/>
          <w:szCs w:val="20"/>
        </w:rPr>
        <w:t>Proceedings 45th Annual Meeting of Institute of Nuclear Materials Management (INMM)</w:t>
      </w:r>
      <w:r w:rsidR="00E664E4" w:rsidRPr="00181D67">
        <w:rPr>
          <w:sz w:val="20"/>
          <w:szCs w:val="20"/>
        </w:rPr>
        <w:t>, July 18–22, 2004, Orlando.)</w:t>
      </w:r>
    </w:p>
    <w:p w:rsidR="00697144" w:rsidRDefault="00697144"/>
    <w:p w:rsidR="00BD31C2" w:rsidRDefault="00BD31C2">
      <w:r>
        <w:br w:type="page"/>
      </w:r>
    </w:p>
    <w:p w:rsidR="00FA6E96" w:rsidRDefault="00FA6E96" w:rsidP="00FA6E96">
      <w:pPr>
        <w:pStyle w:val="ListParagraph"/>
        <w:numPr>
          <w:ilvl w:val="0"/>
          <w:numId w:val="29"/>
        </w:numPr>
      </w:pPr>
      <w:r w:rsidRPr="00181D67">
        <w:lastRenderedPageBreak/>
        <w:t>Data tampering (keeping two records of operation with one showing less throughput than actually processed; declaration of understated records to inspectors) (Faulkner et al. 2004).</w:t>
      </w:r>
    </w:p>
    <w:p w:rsidR="00697144" w:rsidRDefault="00FA6E96" w:rsidP="00FA6E96">
      <w:r w:rsidRPr="00D57584">
        <w:t>A safeguards system that uses a combination of accountability principles with unattended monitors to verify data would significantly enhance a diversion detection system. Faulkner et al. 2004 proposed that “the optimum system would include verifiable accountability data for feed and the withdrawal streams plus several inline detection systems.”  Eight points in an overall uranium conversion process were identified by Faulkner et al. 2004 for possible monitoring or accountability (</w:t>
      </w:r>
      <w:r>
        <w:t>Figure 2.2</w:t>
      </w:r>
      <w:r w:rsidRPr="00D57584">
        <w:t>). The first</w:t>
      </w:r>
      <w:r>
        <w:t xml:space="preserve"> </w:t>
      </w:r>
      <w:r w:rsidR="001442E3" w:rsidRPr="00D57584">
        <w:t>monitoring point is the accountability data for the declared yellowcake receipt at the plant inlet (</w:t>
      </w:r>
      <w:r w:rsidR="001442E3">
        <w:t>Figure 2.2</w:t>
      </w:r>
      <w:r w:rsidR="001442E3" w:rsidRPr="00D57584">
        <w:t>, Point 1). A comparison of the record of the rate and amount of uranium mass exiting the plant in the UF</w:t>
      </w:r>
      <w:r w:rsidR="001442E3" w:rsidRPr="007F112D">
        <w:rPr>
          <w:vertAlign w:val="subscript"/>
        </w:rPr>
        <w:t>6</w:t>
      </w:r>
      <w:r w:rsidR="001442E3">
        <w:t xml:space="preserve"> </w:t>
      </w:r>
      <w:r w:rsidR="001442E3" w:rsidRPr="00D57584">
        <w:t>product (</w:t>
      </w:r>
      <w:r w:rsidR="001442E3">
        <w:t>Figure 2.2</w:t>
      </w:r>
      <w:r w:rsidR="001442E3" w:rsidRPr="00D57584">
        <w:t>, Point 8) against that of a record of the uranium mass entering the plant in the feed provides the means for an overall plant uranium mass balance, minus the uranium leaving as waste. The yellowcake exiting the feed hopper into the dissolver (</w:t>
      </w:r>
      <w:r w:rsidR="001442E3">
        <w:t>Figure 2.2</w:t>
      </w:r>
      <w:r w:rsidR="001442E3" w:rsidRPr="00D57584">
        <w:t>, Point 2) is the first opportunity in the process to verify the uranium mass recorded in the accountability data for the yellowcake received at the NUCP. One possible location for inline monitoring is at the point just after dissolution, downstream of the uranyl nitrate tank (</w:t>
      </w:r>
      <w:r w:rsidR="001442E3">
        <w:t>Figure 2.2</w:t>
      </w:r>
      <w:r w:rsidR="001442E3" w:rsidRPr="00D57584">
        <w:t>, Point 3). This would be the first point where uranium is in solution. Both the aqueous stripping solution loaded with uranium (</w:t>
      </w:r>
      <w:r w:rsidR="001442E3">
        <w:t>Figure 2.2</w:t>
      </w:r>
      <w:r w:rsidR="001442E3" w:rsidRPr="00D57584">
        <w:t>, Point 4) and the organic solution</w:t>
      </w:r>
      <w:r w:rsidR="001442E3">
        <w:t xml:space="preserve"> </w:t>
      </w:r>
      <w:r w:rsidR="001442E3" w:rsidRPr="00D57584">
        <w:t>stripped of uranium exiting the strip column (</w:t>
      </w:r>
      <w:r w:rsidR="001442E3">
        <w:t>Figure 2.2</w:t>
      </w:r>
      <w:r w:rsidR="001442E3" w:rsidRPr="00D57584">
        <w:t>, Point 5) should be monitored. These points help to prevent inefficient stripping by the operator and provide a mass check after the purification of the uranium. The concentrated solution from the evaporator can be measured at one of two locations: (1) just out of the evaporator before the pump (</w:t>
      </w:r>
      <w:r w:rsidR="001442E3">
        <w:t>Figure 2.2</w:t>
      </w:r>
      <w:r w:rsidR="001442E3" w:rsidRPr="00D57584">
        <w:t>, Point 6a) or (2) downstream of the reflux lines and valves but before the cooler (</w:t>
      </w:r>
      <w:r w:rsidR="001442E3">
        <w:t>Figure 2.2</w:t>
      </w:r>
      <w:r w:rsidR="001442E3" w:rsidRPr="00D57584">
        <w:t>, Point 6b). Point 7</w:t>
      </w:r>
      <w:r w:rsidR="001442E3">
        <w:t xml:space="preserve"> </w:t>
      </w:r>
      <w:r w:rsidR="00697144" w:rsidRPr="00D57584">
        <w:t>(</w:t>
      </w:r>
      <w:r w:rsidR="00697144">
        <w:t>Figure 2.2</w:t>
      </w:r>
      <w:r w:rsidR="00697144" w:rsidRPr="00D57584">
        <w:t xml:space="preserve">), the last in-line process monitor, would be located at the end of the precipitation or </w:t>
      </w:r>
      <w:proofErr w:type="spellStart"/>
      <w:r w:rsidR="00697144" w:rsidRPr="00D57584">
        <w:t>denitration</w:t>
      </w:r>
      <w:proofErr w:type="spellEnd"/>
      <w:r w:rsidR="00697144" w:rsidRPr="00D57584">
        <w:t xml:space="preserve"> step. Point 7 (</w:t>
      </w:r>
      <w:r w:rsidR="00697144">
        <w:t>Figure 2.2</w:t>
      </w:r>
      <w:r w:rsidR="00697144" w:rsidRPr="00D57584">
        <w:t>) also helps to verify the uranium dissolved and purified. With two accountability points and six in-line monitors in place, it is possible that this defense-in-depth safeguards approach could detect a significant quantity of uranium diversion with a reasonably high probability of detection for the small-scale plant. A minimum case for the small-scale (100</w:t>
      </w:r>
      <w:r w:rsidR="00697144" w:rsidRPr="00D57584">
        <w:noBreakHyphen/>
        <w:t>MTU/</w:t>
      </w:r>
      <w:proofErr w:type="spellStart"/>
      <w:r w:rsidR="00697144" w:rsidRPr="00D57584">
        <w:t>yr</w:t>
      </w:r>
      <w:proofErr w:type="spellEnd"/>
      <w:r w:rsidR="00697144" w:rsidRPr="00D57584">
        <w:t>) plant is probably one in-line monitor, preferably at Point 4 (</w:t>
      </w:r>
      <w:r w:rsidR="00697144">
        <w:t>Figure 2.2</w:t>
      </w:r>
      <w:r w:rsidR="00697144" w:rsidRPr="00D57584">
        <w:t>), plus the accountability data at Points 1 and 8 (</w:t>
      </w:r>
      <w:r w:rsidR="00697144">
        <w:t>Figure 2.2</w:t>
      </w:r>
      <w:r w:rsidR="00697144" w:rsidRPr="00D57584">
        <w:t xml:space="preserve">) (Faulkner et al. 2004). </w:t>
      </w:r>
    </w:p>
    <w:p w:rsidR="00FA6E96" w:rsidRDefault="00697144">
      <w:proofErr w:type="spellStart"/>
      <w:r>
        <w:t>Ferrada</w:t>
      </w:r>
      <w:proofErr w:type="spellEnd"/>
      <w:r>
        <w:t xml:space="preserve"> 2004</w:t>
      </w:r>
      <w:r w:rsidRPr="007F112D">
        <w:t xml:space="preserve"> provide</w:t>
      </w:r>
      <w:r>
        <w:t>d</w:t>
      </w:r>
      <w:r w:rsidRPr="007F112D">
        <w:t xml:space="preserve"> the following information on possible monitors that could be used at the points shown in </w:t>
      </w:r>
      <w:r>
        <w:t>Figure</w:t>
      </w:r>
      <w:r w:rsidRPr="007F112D">
        <w:t xml:space="preserve"> 2.2. These monitoring points are mainly driven by mass balance principles. Therefore, the monitoring points should be supported by instrumentation that can verify mass balances. </w:t>
      </w:r>
      <w:proofErr w:type="spellStart"/>
      <w:r w:rsidRPr="007F112D">
        <w:t>Flowmeters</w:t>
      </w:r>
      <w:proofErr w:type="spellEnd"/>
      <w:r w:rsidRPr="007F112D">
        <w:t>, to measure flow of material, and instruments that measure concentration of uranium are ultimately required for this analysis. Real-time, inline monitoring may be practical for a uranium solution, after the uranium is extracted from the yellowcake and before the uranium is changed into a solid form (</w:t>
      </w:r>
      <w:r>
        <w:t>Figure</w:t>
      </w:r>
      <w:r w:rsidRPr="007F112D">
        <w:t xml:space="preserve"> 2.2, Points 3–6). This type of monitoring requires the liquid flow rate (typically volume per unit time) and uranium concentration (mass per unit volume). Volumetric </w:t>
      </w:r>
      <w:proofErr w:type="spellStart"/>
      <w:r w:rsidRPr="007F112D">
        <w:t>flowmeters</w:t>
      </w:r>
      <w:proofErr w:type="spellEnd"/>
      <w:r w:rsidRPr="007F112D">
        <w:t xml:space="preserve"> are readily available from commercial suppliers. Mass </w:t>
      </w:r>
      <w:proofErr w:type="spellStart"/>
      <w:r w:rsidRPr="007F112D">
        <w:t>flowmeters</w:t>
      </w:r>
      <w:proofErr w:type="spellEnd"/>
      <w:r w:rsidRPr="007F112D">
        <w:t xml:space="preserve"> are also available, many of which also measure density. Monitoring of liquid density can help verify the uranium concentration since density is a </w:t>
      </w:r>
      <w:r w:rsidR="00FA6E96">
        <w:br w:type="page"/>
      </w:r>
    </w:p>
    <w:p w:rsidR="00FA6E96" w:rsidRDefault="00FA6E96" w:rsidP="00FA6E96">
      <w:pPr>
        <w:jc w:val="center"/>
      </w:pPr>
      <w:r w:rsidRPr="007F112D">
        <w:rPr>
          <w:noProof/>
        </w:rPr>
        <w:lastRenderedPageBreak/>
        <w:drawing>
          <wp:inline distT="0" distB="0" distL="0" distR="0" wp14:anchorId="1A736C73" wp14:editId="59143B36">
            <wp:extent cx="5943600" cy="4403090"/>
            <wp:effectExtent l="19050" t="0" r="0" b="0"/>
            <wp:docPr id="5" name="Picture 2"/>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20" cstate="print"/>
                    <a:srcRect/>
                    <a:stretch>
                      <a:fillRect/>
                    </a:stretch>
                  </pic:blipFill>
                  <pic:spPr bwMode="auto">
                    <a:xfrm>
                      <a:off x="0" y="0"/>
                      <a:ext cx="5943600" cy="4403090"/>
                    </a:xfrm>
                    <a:prstGeom prst="rect">
                      <a:avLst/>
                    </a:prstGeom>
                    <a:noFill/>
                    <a:ln w="9525">
                      <a:noFill/>
                      <a:miter lim="800000"/>
                      <a:headEnd/>
                      <a:tailEnd/>
                    </a:ln>
                  </pic:spPr>
                </pic:pic>
              </a:graphicData>
            </a:graphic>
          </wp:inline>
        </w:drawing>
      </w:r>
    </w:p>
    <w:p w:rsidR="00FA6E96" w:rsidRPr="00D57584" w:rsidRDefault="00FA6E96" w:rsidP="00FA6E96">
      <w:pPr>
        <w:rPr>
          <w:sz w:val="20"/>
          <w:szCs w:val="20"/>
        </w:rPr>
      </w:pPr>
      <w:proofErr w:type="gramStart"/>
      <w:r>
        <w:rPr>
          <w:b/>
          <w:sz w:val="20"/>
          <w:szCs w:val="20"/>
        </w:rPr>
        <w:t>Figure 2.2.</w:t>
      </w:r>
      <w:proofErr w:type="gramEnd"/>
      <w:r>
        <w:rPr>
          <w:b/>
          <w:sz w:val="20"/>
          <w:szCs w:val="20"/>
        </w:rPr>
        <w:t xml:space="preserve"> Uranium C</w:t>
      </w:r>
      <w:r w:rsidRPr="00D57584">
        <w:rPr>
          <w:b/>
          <w:sz w:val="20"/>
          <w:szCs w:val="20"/>
        </w:rPr>
        <w:t xml:space="preserve">onversion </w:t>
      </w:r>
      <w:r>
        <w:rPr>
          <w:b/>
          <w:sz w:val="20"/>
          <w:szCs w:val="20"/>
        </w:rPr>
        <w:t>P</w:t>
      </w:r>
      <w:r w:rsidRPr="00D57584">
        <w:rPr>
          <w:b/>
          <w:sz w:val="20"/>
          <w:szCs w:val="20"/>
        </w:rPr>
        <w:t xml:space="preserve">rocess for a </w:t>
      </w:r>
      <w:r>
        <w:rPr>
          <w:b/>
          <w:sz w:val="20"/>
          <w:szCs w:val="20"/>
        </w:rPr>
        <w:t>S</w:t>
      </w:r>
      <w:r w:rsidRPr="00D57584">
        <w:rPr>
          <w:b/>
          <w:sz w:val="20"/>
          <w:szCs w:val="20"/>
        </w:rPr>
        <w:t xml:space="preserve">mall </w:t>
      </w:r>
      <w:r>
        <w:rPr>
          <w:b/>
          <w:sz w:val="20"/>
          <w:szCs w:val="20"/>
        </w:rPr>
        <w:t>S</w:t>
      </w:r>
      <w:r w:rsidRPr="00D57584">
        <w:rPr>
          <w:b/>
          <w:sz w:val="20"/>
          <w:szCs w:val="20"/>
        </w:rPr>
        <w:t xml:space="preserve">ize </w:t>
      </w:r>
      <w:r>
        <w:rPr>
          <w:b/>
          <w:sz w:val="20"/>
          <w:szCs w:val="20"/>
        </w:rPr>
        <w:t>P</w:t>
      </w:r>
      <w:r w:rsidRPr="00D57584">
        <w:rPr>
          <w:b/>
          <w:sz w:val="20"/>
          <w:szCs w:val="20"/>
        </w:rPr>
        <w:t xml:space="preserve">lant with </w:t>
      </w:r>
      <w:r>
        <w:rPr>
          <w:b/>
          <w:sz w:val="20"/>
          <w:szCs w:val="20"/>
        </w:rPr>
        <w:t>P</w:t>
      </w:r>
      <w:r w:rsidRPr="00D57584">
        <w:rPr>
          <w:b/>
          <w:sz w:val="20"/>
          <w:szCs w:val="20"/>
        </w:rPr>
        <w:t xml:space="preserve">roposed </w:t>
      </w:r>
      <w:r>
        <w:rPr>
          <w:b/>
          <w:sz w:val="20"/>
          <w:szCs w:val="20"/>
        </w:rPr>
        <w:t>S</w:t>
      </w:r>
      <w:r w:rsidRPr="00D57584">
        <w:rPr>
          <w:b/>
          <w:sz w:val="20"/>
          <w:szCs w:val="20"/>
        </w:rPr>
        <w:t xml:space="preserve">afeguards </w:t>
      </w:r>
      <w:r>
        <w:rPr>
          <w:b/>
          <w:sz w:val="20"/>
          <w:szCs w:val="20"/>
        </w:rPr>
        <w:t>M</w:t>
      </w:r>
      <w:r w:rsidRPr="00D57584">
        <w:rPr>
          <w:b/>
          <w:sz w:val="20"/>
          <w:szCs w:val="20"/>
        </w:rPr>
        <w:t xml:space="preserve">onitoring </w:t>
      </w:r>
      <w:r>
        <w:rPr>
          <w:b/>
          <w:sz w:val="20"/>
          <w:szCs w:val="20"/>
        </w:rPr>
        <w:t>P</w:t>
      </w:r>
      <w:r w:rsidRPr="00D57584">
        <w:rPr>
          <w:b/>
          <w:sz w:val="20"/>
          <w:szCs w:val="20"/>
        </w:rPr>
        <w:t xml:space="preserve">oints </w:t>
      </w:r>
      <w:r>
        <w:rPr>
          <w:b/>
          <w:sz w:val="20"/>
          <w:szCs w:val="20"/>
        </w:rPr>
        <w:t>I</w:t>
      </w:r>
      <w:r w:rsidRPr="00D57584">
        <w:rPr>
          <w:b/>
          <w:sz w:val="20"/>
          <w:szCs w:val="20"/>
        </w:rPr>
        <w:t>dentified.</w:t>
      </w:r>
      <w:r w:rsidRPr="00D57584">
        <w:rPr>
          <w:sz w:val="20"/>
          <w:szCs w:val="20"/>
        </w:rPr>
        <w:t xml:space="preserve"> Note: Points 1 and 8 are existing accountability data; Point 8 is also the traditional start of IAEA safeguards. The remaining points are proposed in-line process monitoring points; values at all 8 points are correlated through material balance constraints and process operating conditions. (Source: R. L. Faulkner, J. M. </w:t>
      </w:r>
      <w:proofErr w:type="spellStart"/>
      <w:r w:rsidRPr="00D57584">
        <w:rPr>
          <w:sz w:val="20"/>
          <w:szCs w:val="20"/>
        </w:rPr>
        <w:t>Begovich</w:t>
      </w:r>
      <w:proofErr w:type="spellEnd"/>
      <w:r w:rsidRPr="00D57584">
        <w:rPr>
          <w:sz w:val="20"/>
          <w:szCs w:val="20"/>
        </w:rPr>
        <w:t xml:space="preserve">, J. J. </w:t>
      </w:r>
      <w:proofErr w:type="spellStart"/>
      <w:r w:rsidRPr="00D57584">
        <w:rPr>
          <w:sz w:val="20"/>
          <w:szCs w:val="20"/>
        </w:rPr>
        <w:t>Ferrada</w:t>
      </w:r>
      <w:proofErr w:type="spellEnd"/>
      <w:r w:rsidRPr="00D57584">
        <w:rPr>
          <w:sz w:val="20"/>
          <w:szCs w:val="20"/>
        </w:rPr>
        <w:t xml:space="preserve">, R. D. Spence, J. M. Whitaker, W. J. </w:t>
      </w:r>
      <w:proofErr w:type="spellStart"/>
      <w:r w:rsidRPr="00D57584">
        <w:rPr>
          <w:sz w:val="20"/>
          <w:szCs w:val="20"/>
        </w:rPr>
        <w:t>Bicha</w:t>
      </w:r>
      <w:proofErr w:type="spellEnd"/>
      <w:r w:rsidRPr="00D57584">
        <w:rPr>
          <w:sz w:val="20"/>
          <w:szCs w:val="20"/>
        </w:rPr>
        <w:t xml:space="preserve">, and L. G. </w:t>
      </w:r>
      <w:proofErr w:type="spellStart"/>
      <w:r w:rsidRPr="00D57584">
        <w:rPr>
          <w:sz w:val="20"/>
          <w:szCs w:val="20"/>
        </w:rPr>
        <w:t>Loden</w:t>
      </w:r>
      <w:proofErr w:type="spellEnd"/>
      <w:r w:rsidRPr="00D57584">
        <w:rPr>
          <w:sz w:val="20"/>
          <w:szCs w:val="20"/>
        </w:rPr>
        <w:t xml:space="preserve">. 2004. “Oak Ridge Efforts to Enhance Conversion Plant Safeguards.” </w:t>
      </w:r>
      <w:r w:rsidRPr="00D57584">
        <w:rPr>
          <w:i/>
          <w:sz w:val="20"/>
          <w:szCs w:val="20"/>
        </w:rPr>
        <w:t>Proceedings 45th Annual Meeting of Institute of Nuclear Materials Management (INMM)</w:t>
      </w:r>
      <w:r w:rsidRPr="00D57584">
        <w:rPr>
          <w:sz w:val="20"/>
          <w:szCs w:val="20"/>
        </w:rPr>
        <w:t>, July 18–22, 2004, Orlando.)</w:t>
      </w:r>
    </w:p>
    <w:p w:rsidR="00FA6E96" w:rsidRDefault="00FA6E96">
      <w:r>
        <w:br w:type="page"/>
      </w:r>
    </w:p>
    <w:p w:rsidR="00BD31C2" w:rsidRDefault="00697144" w:rsidP="00E664E4">
      <w:proofErr w:type="gramStart"/>
      <w:r w:rsidRPr="007F112D">
        <w:lastRenderedPageBreak/>
        <w:t>function</w:t>
      </w:r>
      <w:proofErr w:type="gramEnd"/>
      <w:r w:rsidRPr="007F112D">
        <w:t xml:space="preserve"> of the uranium concentration. According to </w:t>
      </w:r>
      <w:proofErr w:type="spellStart"/>
      <w:r>
        <w:t>Ferrada</w:t>
      </w:r>
      <w:proofErr w:type="spellEnd"/>
      <w:r>
        <w:t xml:space="preserve"> 2004</w:t>
      </w:r>
      <w:r w:rsidRPr="007F112D">
        <w:t xml:space="preserve">, the primary monitoring should be direct measurement of the uranium concentration and flow rate and monitoring of density should be secondary to verify that the primary monitoring is working properly. Inline meters for measurement uranium concentration directly are more problematic. Low uranium concentrations result in impractical count times for the low-energy gamma from radio decay daughters. Photometric meters for inline measurement of uranium concentration exist, but matching safeguard needs with instrument capabilities has not been done. Picking monitoring points where higher concentrations are expected (e.g., after evaporators) would help. For a solid material stream, inline monitoring of uranium is impractical. Gravimetric feeding of solids accompanied by real-time recording of the mass fed per unit time is possible. However, it is necessary to know the uranium assay of the yellowcake being fed into the dissolver in order to obtain the uranium mass fed per unit time into the dissolver. In order to determine the uranium assay, grab samples would have to be taken at regular intervals followed by destructive analysis of the uranium concentration. Gamma spectroscopy of the low-energy gamma from the uranium decay daughters is being used with good success for qualitative, semi-quantitative, and even quantitative analysis, especially with regard to the relative ratio of </w:t>
      </w:r>
      <w:r w:rsidRPr="00F83A90">
        <w:rPr>
          <w:vertAlign w:val="superscript"/>
        </w:rPr>
        <w:t>235</w:t>
      </w:r>
      <w:r w:rsidRPr="007F112D">
        <w:t xml:space="preserve">U and </w:t>
      </w:r>
      <w:r w:rsidRPr="00F83A90">
        <w:rPr>
          <w:vertAlign w:val="superscript"/>
        </w:rPr>
        <w:t>238</w:t>
      </w:r>
      <w:r w:rsidRPr="007F112D">
        <w:t>U. However, it is questionable whether this technique or others will provide practical real-time monitoring of the uranium concentration in a process flow of a solid material with the precision and accuracy required for detecting undeclared production. A gravimetric feed and monitoring system may provide the total mass per unit time, but grab sampling and analysis would still be required to obtain the uranium mass per unit time. In addition, the facilities accountability records (e.g., number of drums and their weights with the date and time filled) can be verified using onsite monitoring (e.g., cameras), random checking of drum</w:t>
      </w:r>
      <w:r>
        <w:t xml:space="preserve"> </w:t>
      </w:r>
      <w:r w:rsidRPr="007F112D">
        <w:t>weight, and a sampling program for the uranium concentration. No mat</w:t>
      </w:r>
      <w:r>
        <w:t xml:space="preserve">ter the location in the plant, </w:t>
      </w:r>
      <w:r w:rsidRPr="007F112D">
        <w:t xml:space="preserve">real-time process monitors that can compare NUCP accountability data with actual process data can be </w:t>
      </w:r>
      <w:r w:rsidR="00BD31C2" w:rsidRPr="007F112D">
        <w:t>very useful, especially if the software can indicate trends in the relationship of accountability and actual data using statistical control charts to document anomalies (</w:t>
      </w:r>
      <w:proofErr w:type="spellStart"/>
      <w:r w:rsidR="00BD31C2">
        <w:t>Ferrada</w:t>
      </w:r>
      <w:proofErr w:type="spellEnd"/>
      <w:r w:rsidR="00BD31C2">
        <w:t xml:space="preserve"> 2004</w:t>
      </w:r>
      <w:r w:rsidR="00BD31C2" w:rsidRPr="007F112D">
        <w:t>).</w:t>
      </w:r>
    </w:p>
    <w:p w:rsidR="00E664E4" w:rsidRPr="00C26E4D" w:rsidRDefault="00E664E4" w:rsidP="00E664E4">
      <w:r>
        <w:t>The third INMM paper wa</w:t>
      </w:r>
      <w:r w:rsidRPr="00F84F15">
        <w:t xml:space="preserve">s authored by </w:t>
      </w:r>
      <w:proofErr w:type="spellStart"/>
      <w:r w:rsidRPr="00F84F15">
        <w:t>Elayat</w:t>
      </w:r>
      <w:proofErr w:type="spellEnd"/>
      <w:r>
        <w:t xml:space="preserve">, </w:t>
      </w:r>
      <w:r w:rsidRPr="00D77D8A">
        <w:t>Lambert, and O’Connell</w:t>
      </w:r>
      <w:r w:rsidRPr="00F84F15">
        <w:t xml:space="preserve"> 2004 and cover</w:t>
      </w:r>
      <w:r>
        <w:t>ed</w:t>
      </w:r>
      <w:r w:rsidRPr="00F84F15">
        <w:t xml:space="preserve"> </w:t>
      </w:r>
      <w:r>
        <w:t>s</w:t>
      </w:r>
      <w:r w:rsidRPr="00F84F15">
        <w:t xml:space="preserve">ystems </w:t>
      </w:r>
      <w:r>
        <w:t>a</w:t>
      </w:r>
      <w:r w:rsidRPr="00F84F15">
        <w:t>nalysis</w:t>
      </w:r>
      <w:r>
        <w:t xml:space="preserve">. As part of the multi-laboratory effort covered in the four companion INMM papers, </w:t>
      </w:r>
      <w:r w:rsidRPr="00F84F15">
        <w:t>Lawrence Livermore National Laboratory provid</w:t>
      </w:r>
      <w:r>
        <w:t>ed</w:t>
      </w:r>
      <w:r w:rsidRPr="00F84F15">
        <w:t xml:space="preserve"> systems modeling and analysis</w:t>
      </w:r>
      <w:r>
        <w:t xml:space="preserve"> </w:t>
      </w:r>
      <w:r w:rsidRPr="00F84F15">
        <w:t>of facility and safeguards operations, diversion path generation, and safeguards system effectiveness</w:t>
      </w:r>
      <w:r>
        <w:t xml:space="preserve"> u</w:t>
      </w:r>
      <w:r w:rsidRPr="00F84F15">
        <w:t>sing directed graphs (digraphs) and fault trees.</w:t>
      </w:r>
      <w:r>
        <w:t xml:space="preserve"> </w:t>
      </w:r>
      <w:r w:rsidRPr="00C26E4D">
        <w:t>The purpose of the d</w:t>
      </w:r>
      <w:r>
        <w:t>igraph-fault tree methodology was</w:t>
      </w:r>
      <w:r w:rsidRPr="00C26E4D">
        <w:t xml:space="preserve"> to systematically generate and analyze diversion</w:t>
      </w:r>
      <w:r>
        <w:t xml:space="preserve"> </w:t>
      </w:r>
      <w:r w:rsidRPr="00C26E4D">
        <w:t>scenarios.</w:t>
      </w:r>
      <w:r>
        <w:t xml:space="preserve"> The final </w:t>
      </w:r>
      <w:r w:rsidRPr="00F84F15">
        <w:t>INMM paper is authored by</w:t>
      </w:r>
      <w:r>
        <w:t xml:space="preserve"> Miller et al. 2004 and discussed nuclear source terms (neutron and gamma-ray) in support of the other papers. The fourth paper was not applicable to this effort and was not reviewed but is mentioned here for completeness. </w:t>
      </w:r>
    </w:p>
    <w:p w:rsidR="00E664E4" w:rsidRPr="003A1BC5" w:rsidRDefault="00E664E4" w:rsidP="00E664E4">
      <w:r w:rsidRPr="00401A18">
        <w:t>The work by Faulkner et al. 2004 was used as a starting point for defining the ideal plant modeled</w:t>
      </w:r>
      <w:r>
        <w:t xml:space="preserve"> in this effort. The faulty cases that were used to test the detection framework were based on the diversion scenario analyses by </w:t>
      </w:r>
      <w:r w:rsidRPr="00401A18">
        <w:t>Faulkner et al. 2004</w:t>
      </w:r>
      <w:r>
        <w:t>. In relation to the proposed approach by Boyer et al. 2004, t</w:t>
      </w:r>
      <w:r w:rsidRPr="003A1BC5">
        <w:t>he decision framework developed in this research could be expanded to provide the following for safeguarding conversion plants:</w:t>
      </w:r>
    </w:p>
    <w:p w:rsidR="00E664E4" w:rsidRPr="003A1BC5" w:rsidRDefault="00E664E4" w:rsidP="00E664E4">
      <w:pPr>
        <w:pStyle w:val="ListParagraph"/>
        <w:numPr>
          <w:ilvl w:val="0"/>
          <w:numId w:val="4"/>
        </w:numPr>
      </w:pPr>
      <w:r w:rsidRPr="003A1BC5">
        <w:lastRenderedPageBreak/>
        <w:t>An unattended system that could monitor key process parameters at specific locations within the plant and provide an alarm if a parameter varies outside a specified range;</w:t>
      </w:r>
    </w:p>
    <w:p w:rsidR="00E664E4" w:rsidRPr="003A1BC5" w:rsidRDefault="00E664E4" w:rsidP="00E664E4">
      <w:pPr>
        <w:pStyle w:val="ListParagraph"/>
        <w:numPr>
          <w:ilvl w:val="0"/>
          <w:numId w:val="4"/>
        </w:numPr>
      </w:pPr>
      <w:r w:rsidRPr="003A1BC5">
        <w:t>Provide verification that the declared uranium balance is concurrent with monitored process parameters; and</w:t>
      </w:r>
    </w:p>
    <w:p w:rsidR="00E664E4" w:rsidRDefault="00E664E4" w:rsidP="00E664E4">
      <w:pPr>
        <w:pStyle w:val="ListParagraph"/>
        <w:numPr>
          <w:ilvl w:val="0"/>
          <w:numId w:val="4"/>
        </w:numPr>
      </w:pPr>
      <w:r w:rsidRPr="003A1BC5">
        <w:t>Provide verification that operator declarations are reasonable based on monitored parameters.</w:t>
      </w:r>
    </w:p>
    <w:p w:rsidR="00FA6E96" w:rsidRPr="00FA6E96" w:rsidRDefault="00FA6E96" w:rsidP="00FA6E96"/>
    <w:p w:rsidR="00E664E4" w:rsidRPr="00852595" w:rsidRDefault="00E664E4" w:rsidP="00E664E4">
      <w:pPr>
        <w:rPr>
          <w:rFonts w:asciiTheme="majorHAnsi" w:hAnsiTheme="majorHAnsi"/>
          <w:b/>
          <w:caps/>
        </w:rPr>
      </w:pPr>
      <w:r w:rsidRPr="00852595">
        <w:rPr>
          <w:rFonts w:asciiTheme="majorHAnsi" w:hAnsiTheme="majorHAnsi"/>
          <w:b/>
          <w:caps/>
        </w:rPr>
        <w:t>2.</w:t>
      </w:r>
      <w:r>
        <w:rPr>
          <w:rFonts w:asciiTheme="majorHAnsi" w:hAnsiTheme="majorHAnsi"/>
          <w:b/>
          <w:caps/>
        </w:rPr>
        <w:t>3</w:t>
      </w:r>
      <w:r w:rsidRPr="00852595">
        <w:rPr>
          <w:rFonts w:asciiTheme="majorHAnsi" w:hAnsiTheme="majorHAnsi"/>
          <w:b/>
          <w:caps/>
        </w:rPr>
        <w:t xml:space="preserve"> Principal Component Analysis</w:t>
      </w:r>
    </w:p>
    <w:p w:rsidR="004A737C" w:rsidRPr="00A279CE" w:rsidRDefault="00E664E4" w:rsidP="004A737C">
      <w:r w:rsidRPr="00AC445B">
        <w:t>The core of t</w:t>
      </w:r>
      <w:r w:rsidR="005641B3">
        <w:t xml:space="preserve">he </w:t>
      </w:r>
      <w:r w:rsidRPr="00AC445B">
        <w:t xml:space="preserve">research </w:t>
      </w:r>
      <w:r w:rsidR="005641B3">
        <w:t xml:space="preserve">method applied in this study </w:t>
      </w:r>
      <w:r w:rsidRPr="00AC445B">
        <w:t xml:space="preserve">is the use of a multivariate statistical approach to analyze data to develop a </w:t>
      </w:r>
      <w:r w:rsidR="005641B3">
        <w:t xml:space="preserve">reduced dimensional </w:t>
      </w:r>
      <w:r w:rsidRPr="00AC445B">
        <w:t>framework that w</w:t>
      </w:r>
      <w:r>
        <w:t>ould</w:t>
      </w:r>
      <w:r w:rsidRPr="00AC445B">
        <w:t xml:space="preserve"> be able to detect the diversion of intermediate products in an NUCP. </w:t>
      </w:r>
      <w:r w:rsidR="005641B3">
        <w:t xml:space="preserve">One of the </w:t>
      </w:r>
      <w:r w:rsidRPr="00AC445B">
        <w:t>multivariate statistical methodology’s workhorse</w:t>
      </w:r>
      <w:r w:rsidR="005641B3">
        <w:t>s</w:t>
      </w:r>
      <w:r w:rsidRPr="00AC445B">
        <w:t xml:space="preserve"> is the PCA approach in analyzing data, establishing the base model, and monitoring future operations.</w:t>
      </w:r>
      <w:r>
        <w:t xml:space="preserve"> </w:t>
      </w:r>
      <w:r w:rsidRPr="00D447F6">
        <w:t xml:space="preserve">The implementation of PCA will be through the use of singular value decomposition (SVD) of the </w:t>
      </w:r>
      <w:r w:rsidR="005641B3">
        <w:t xml:space="preserve">base case </w:t>
      </w:r>
      <w:r w:rsidRPr="00D447F6">
        <w:t>data matrix</w:t>
      </w:r>
      <w:r w:rsidR="005641B3">
        <w:t xml:space="preserve">, </w:t>
      </w:r>
      <m:oMath>
        <m:r>
          <w:rPr>
            <w:rFonts w:ascii="Cambria Math" w:hAnsi="Cambria Math"/>
          </w:rPr>
          <m:t>X</m:t>
        </m:r>
      </m:oMath>
      <w:r w:rsidRPr="00D447F6">
        <w:t xml:space="preserve"> (</w:t>
      </w:r>
      <w:r>
        <w:t>Wang</w:t>
      </w:r>
      <w:r w:rsidRPr="00D447F6">
        <w:t xml:space="preserve"> 2006).</w:t>
      </w:r>
      <w:r w:rsidR="004A737C">
        <w:t xml:space="preserve"> </w:t>
      </w:r>
      <w:r w:rsidR="004A737C" w:rsidRPr="00A279CE">
        <w:t>Th</w:t>
      </w:r>
      <w:r w:rsidR="004A737C">
        <w:t>e</w:t>
      </w:r>
      <w:r w:rsidR="004A737C" w:rsidRPr="00A279CE">
        <w:t xml:space="preserve"> data</w:t>
      </w:r>
      <w:r w:rsidR="004A737C">
        <w:t xml:space="preserve"> matrix is </w:t>
      </w:r>
      <m:oMath>
        <m:r>
          <w:rPr>
            <w:rFonts w:ascii="Cambria Math" w:hAnsi="Cambria Math"/>
          </w:rPr>
          <m:t>m×n</m:t>
        </m:r>
      </m:oMath>
      <w:r w:rsidR="004A737C" w:rsidRPr="00A279CE">
        <w:t xml:space="preserve"> </w:t>
      </w:r>
      <w:r w:rsidR="004A737C">
        <w:t xml:space="preserve">where </w:t>
      </w:r>
      <w:r w:rsidR="004A737C" w:rsidRPr="00A279CE">
        <w:t>each row represents an observation and each column represents a</w:t>
      </w:r>
      <w:r w:rsidR="004A737C">
        <w:t xml:space="preserve"> state variable.</w:t>
      </w:r>
    </w:p>
    <w:p w:rsidR="004A737C" w:rsidRPr="00D447F6" w:rsidRDefault="004A737C" w:rsidP="004A737C">
      <w:pPr>
        <w:autoSpaceDE w:val="0"/>
        <w:autoSpaceDN w:val="0"/>
        <w:adjustRightInd w:val="0"/>
      </w:pPr>
      <m:oMathPara>
        <m:oMath>
          <m:r>
            <w:rPr>
              <w:rFonts w:ascii="Cambria Math" w:hAnsi="Cambria Math"/>
            </w:rPr>
            <m:t>X=</m:t>
          </m:r>
          <m:d>
            <m:dPr>
              <m:begChr m:val="["/>
              <m:endChr m:val="]"/>
              <m:ctrlPr>
                <w:rPr>
                  <w:rFonts w:ascii="Cambria Math" w:hAnsi="Cambria Math"/>
                  <w:i/>
                </w:rPr>
              </m:ctrlPr>
            </m:dPr>
            <m:e>
              <m:m>
                <m:mPr>
                  <m:mcs>
                    <m:mc>
                      <m:mcPr>
                        <m:count m:val="3"/>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x</m:t>
                        </m:r>
                      </m:e>
                      <m:sub>
                        <m:r>
                          <w:rPr>
                            <w:rFonts w:ascii="Cambria Math" w:hAnsi="Cambria Math"/>
                          </w:rPr>
                          <m:t>1,1</m:t>
                        </m:r>
                      </m:sub>
                    </m:sSub>
                  </m:e>
                  <m:e>
                    <m:r>
                      <w:rPr>
                        <w:rFonts w:ascii="Cambria Math" w:hAnsi="Cambria Math"/>
                      </w:rPr>
                      <m:t>⋯</m:t>
                    </m:r>
                  </m:e>
                  <m:e>
                    <m:sSub>
                      <m:sSubPr>
                        <m:ctrlPr>
                          <w:rPr>
                            <w:rFonts w:ascii="Cambria Math" w:hAnsi="Cambria Math"/>
                            <w:i/>
                          </w:rPr>
                        </m:ctrlPr>
                      </m:sSubPr>
                      <m:e>
                        <m:r>
                          <w:rPr>
                            <w:rFonts w:ascii="Cambria Math" w:hAnsi="Cambria Math"/>
                          </w:rPr>
                          <m:t>x</m:t>
                        </m:r>
                      </m:e>
                      <m:sub>
                        <m:r>
                          <w:rPr>
                            <w:rFonts w:ascii="Cambria Math" w:hAnsi="Cambria Math"/>
                          </w:rPr>
                          <m:t>n,1</m:t>
                        </m:r>
                      </m:sub>
                    </m:sSub>
                  </m:e>
                </m:mr>
                <m:mr>
                  <m:e>
                    <m:r>
                      <w:rPr>
                        <w:rFonts w:ascii="Cambria Math" w:hAnsi="Cambria Math"/>
                      </w:rPr>
                      <m:t>⋮</m:t>
                    </m:r>
                  </m:e>
                  <m:e>
                    <m:r>
                      <w:rPr>
                        <w:rFonts w:ascii="Cambria Math" w:hAnsi="Cambria Math"/>
                      </w:rPr>
                      <m:t>⋱</m:t>
                    </m:r>
                  </m:e>
                  <m:e>
                    <m:r>
                      <w:rPr>
                        <w:rFonts w:ascii="Cambria Math" w:hAnsi="Cambria Math"/>
                      </w:rPr>
                      <m:t>⋮</m:t>
                    </m:r>
                  </m:e>
                </m:mr>
                <m:mr>
                  <m:e>
                    <m:sSub>
                      <m:sSubPr>
                        <m:ctrlPr>
                          <w:rPr>
                            <w:rFonts w:ascii="Cambria Math" w:hAnsi="Cambria Math"/>
                            <w:i/>
                          </w:rPr>
                        </m:ctrlPr>
                      </m:sSubPr>
                      <m:e>
                        <m:r>
                          <w:rPr>
                            <w:rFonts w:ascii="Cambria Math" w:hAnsi="Cambria Math"/>
                          </w:rPr>
                          <m:t>x</m:t>
                        </m:r>
                      </m:e>
                      <m:sub>
                        <m:r>
                          <w:rPr>
                            <w:rFonts w:ascii="Cambria Math" w:hAnsi="Cambria Math"/>
                          </w:rPr>
                          <m:t>m,1</m:t>
                        </m:r>
                      </m:sub>
                    </m:sSub>
                  </m:e>
                  <m:e>
                    <m:r>
                      <w:rPr>
                        <w:rFonts w:ascii="Cambria Math" w:hAnsi="Cambria Math"/>
                      </w:rPr>
                      <m:t>…</m:t>
                    </m:r>
                  </m:e>
                  <m:e>
                    <m:sSub>
                      <m:sSubPr>
                        <m:ctrlPr>
                          <w:rPr>
                            <w:rFonts w:ascii="Cambria Math" w:hAnsi="Cambria Math"/>
                            <w:i/>
                          </w:rPr>
                        </m:ctrlPr>
                      </m:sSubPr>
                      <m:e>
                        <m:r>
                          <w:rPr>
                            <w:rFonts w:ascii="Cambria Math" w:hAnsi="Cambria Math"/>
                          </w:rPr>
                          <m:t>x</m:t>
                        </m:r>
                      </m:e>
                      <m:sub>
                        <m:r>
                          <w:rPr>
                            <w:rFonts w:ascii="Cambria Math" w:hAnsi="Cambria Math"/>
                          </w:rPr>
                          <m:t>m,n</m:t>
                        </m:r>
                      </m:sub>
                    </m:sSub>
                  </m:e>
                </m:mr>
              </m:m>
            </m:e>
          </m:d>
        </m:oMath>
      </m:oMathPara>
    </w:p>
    <w:p w:rsidR="00E664E4" w:rsidRDefault="00E664E4" w:rsidP="00E664E4">
      <w:pPr>
        <w:autoSpaceDE w:val="0"/>
        <w:autoSpaceDN w:val="0"/>
        <w:adjustRightInd w:val="0"/>
      </w:pPr>
      <w:r w:rsidRPr="00AC445B">
        <w:t>P</w:t>
      </w:r>
      <w:r>
        <w:t>rincipal component analysis</w:t>
      </w:r>
      <w:r w:rsidRPr="00AC445B">
        <w:t xml:space="preserve"> is a data analysis method used to reduce a correlated data set which consists of a large number of interrelated process variables by reducing the dimensionality while retaining as much of the variations present as possible (</w:t>
      </w:r>
      <w:proofErr w:type="spellStart"/>
      <w:r w:rsidRPr="00AC445B">
        <w:t>Jolliffe</w:t>
      </w:r>
      <w:proofErr w:type="spellEnd"/>
      <w:r w:rsidRPr="00AC445B">
        <w:t xml:space="preserve"> 1986). The discarded dimensionality corresponds to the last (</w:t>
      </w:r>
      <m:oMath>
        <m:r>
          <w:rPr>
            <w:rFonts w:ascii="Cambria Math" w:hAnsi="Cambria Math"/>
          </w:rPr>
          <m:t>n-r</m:t>
        </m:r>
      </m:oMath>
      <w:r w:rsidRPr="00AC445B">
        <w:t xml:space="preserve">) outer products of the SVD </w:t>
      </w:r>
      <w:proofErr w:type="gramStart"/>
      <w:r w:rsidRPr="00AC445B">
        <w:t xml:space="preserve">of </w:t>
      </w:r>
      <w:proofErr w:type="gramEnd"/>
      <m:oMath>
        <m:r>
          <w:rPr>
            <w:rFonts w:ascii="Cambria Math" w:hAnsi="Cambria Math"/>
          </w:rPr>
          <m:t>X</m:t>
        </m:r>
      </m:oMath>
      <w:r>
        <w:t xml:space="preserve">, where </w:t>
      </w:r>
      <m:oMath>
        <m:r>
          <w:rPr>
            <w:rFonts w:ascii="Cambria Math" w:hAnsi="Cambria Math"/>
          </w:rPr>
          <m:t>r</m:t>
        </m:r>
      </m:oMath>
      <w:r w:rsidRPr="00AC445B">
        <w:t xml:space="preserve"> is deemed the ‘true’ dimensionality of the process data</w:t>
      </w:r>
      <w:r w:rsidR="005641B3">
        <w:t xml:space="preserve"> matrix and </w:t>
      </w:r>
      <m:oMath>
        <m:r>
          <w:rPr>
            <w:rFonts w:ascii="Cambria Math" w:hAnsi="Cambria Math"/>
          </w:rPr>
          <m:t>n</m:t>
        </m:r>
      </m:oMath>
      <w:r w:rsidR="005641B3">
        <w:rPr>
          <w:rFonts w:eastAsiaTheme="minorEastAsia"/>
        </w:rPr>
        <w:t xml:space="preserve"> is the total number of original process variables</w:t>
      </w:r>
      <w:r w:rsidRPr="00AC445B">
        <w:t xml:space="preserve">. Sources for more information on PCA include </w:t>
      </w:r>
      <w:proofErr w:type="spellStart"/>
      <w:r w:rsidRPr="00AC445B">
        <w:t>Jolliffe</w:t>
      </w:r>
      <w:proofErr w:type="spellEnd"/>
      <w:r w:rsidRPr="00AC445B">
        <w:t xml:space="preserve"> 1986</w:t>
      </w:r>
      <w:r>
        <w:t xml:space="preserve">; Jackson 2003; </w:t>
      </w:r>
      <w:r w:rsidRPr="00AC445B">
        <w:t>Martin</w:t>
      </w:r>
      <w:r>
        <w:t xml:space="preserve">, </w:t>
      </w:r>
      <w:r w:rsidRPr="00D77D8A">
        <w:t>Morris, and Lane</w:t>
      </w:r>
      <w:r>
        <w:t xml:space="preserve"> </w:t>
      </w:r>
      <w:r w:rsidRPr="00AC445B">
        <w:t>2002</w:t>
      </w:r>
      <w:r>
        <w:t>;</w:t>
      </w:r>
      <w:r w:rsidRPr="00AC445B">
        <w:t xml:space="preserve"> and </w:t>
      </w:r>
      <w:r w:rsidRPr="00D77D8A">
        <w:t>Martin</w:t>
      </w:r>
      <w:r>
        <w:t xml:space="preserve">, </w:t>
      </w:r>
      <w:r w:rsidRPr="00D77D8A">
        <w:t>Morris, and Zhang</w:t>
      </w:r>
      <w:r>
        <w:t xml:space="preserve"> </w:t>
      </w:r>
      <w:r w:rsidRPr="00AC445B">
        <w:t xml:space="preserve">1996. PCA is used to reduce the dimensionality of a system by creating orthogonal latent variables (i.e., principal components) which correspond to the </w:t>
      </w:r>
      <m:oMath>
        <m:r>
          <w:rPr>
            <w:rFonts w:ascii="Cambria Math" w:hAnsi="Cambria Math"/>
          </w:rPr>
          <m:t>V</m:t>
        </m:r>
      </m:oMath>
      <w:r w:rsidRPr="00AC445B">
        <w:t xml:space="preserve"> vectors of the SVD of</w:t>
      </w:r>
      <w:r w:rsidR="005641B3">
        <w:t xml:space="preserve"> </w:t>
      </w:r>
      <w:proofErr w:type="spellStart"/>
      <w:r w:rsidR="005641B3">
        <w:t>the</w:t>
      </w:r>
      <w:proofErr w:type="spellEnd"/>
      <w:r w:rsidR="005641B3">
        <w:t xml:space="preserve"> process data matrix</w:t>
      </w:r>
      <w:proofErr w:type="gramStart"/>
      <w:r w:rsidR="005641B3">
        <w:t xml:space="preserve">, </w:t>
      </w:r>
      <w:proofErr w:type="gramEnd"/>
      <m:oMath>
        <m:r>
          <w:rPr>
            <w:rFonts w:ascii="Cambria Math" w:hAnsi="Cambria Math"/>
          </w:rPr>
          <m:t>X</m:t>
        </m:r>
      </m:oMath>
      <w:r>
        <w:rPr>
          <w:rFonts w:eastAsiaTheme="minorEastAsia"/>
        </w:rPr>
        <w:t xml:space="preserve">. </w:t>
      </w:r>
      <w:r w:rsidR="005641B3">
        <w:rPr>
          <w:rFonts w:eastAsiaTheme="minorEastAsia"/>
        </w:rPr>
        <w:t>Each of t</w:t>
      </w:r>
      <w:r w:rsidRPr="00AC445B">
        <w:t xml:space="preserve">hese principal components </w:t>
      </w:r>
      <w:r w:rsidR="005641B3">
        <w:t>is</w:t>
      </w:r>
      <w:r w:rsidRPr="00AC445B">
        <w:t xml:space="preserve"> a weighted, linear combination of the original process variables. PCA was first introduced in 1901 by Pearson and later independently developed by </w:t>
      </w:r>
      <w:proofErr w:type="spellStart"/>
      <w:r>
        <w:t>H</w:t>
      </w:r>
      <w:r w:rsidRPr="00AC445B">
        <w:t>otelling</w:t>
      </w:r>
      <w:proofErr w:type="spellEnd"/>
      <w:r w:rsidRPr="00AC445B">
        <w:t xml:space="preserve"> in 1933. </w:t>
      </w:r>
      <w:r>
        <w:t>As mentioned in the Introduction, s</w:t>
      </w:r>
      <w:r w:rsidRPr="00AC445B">
        <w:t xml:space="preserve">ome recent applications of PCA include process monitoring, fault diagnostics, gross error detection, multivariate statistical process control, data rectification, disturbance detection and isolation, gene expression analysis, facial recognition, signal processing, factor analysis, </w:t>
      </w:r>
      <w:proofErr w:type="spellStart"/>
      <w:r w:rsidRPr="00AC445B">
        <w:t>chemometrics</w:t>
      </w:r>
      <w:proofErr w:type="spellEnd"/>
      <w:r w:rsidRPr="00AC445B">
        <w:t>, and chemical processes data analysis (</w:t>
      </w:r>
      <w:proofErr w:type="spellStart"/>
      <w:r w:rsidRPr="00AC445B">
        <w:t>Brauner</w:t>
      </w:r>
      <w:proofErr w:type="spellEnd"/>
      <w:r w:rsidRPr="00AC445B">
        <w:t xml:space="preserve"> and </w:t>
      </w:r>
      <w:proofErr w:type="spellStart"/>
      <w:r w:rsidRPr="00AC445B">
        <w:t>Shacham</w:t>
      </w:r>
      <w:proofErr w:type="spellEnd"/>
      <w:r w:rsidRPr="00AC445B">
        <w:t xml:space="preserve"> 2000; </w:t>
      </w:r>
      <w:r w:rsidRPr="00D77D8A">
        <w:t>Valle, Li, and Qin</w:t>
      </w:r>
      <w:r>
        <w:t xml:space="preserve"> 1</w:t>
      </w:r>
      <w:r w:rsidRPr="00AC445B">
        <w:t xml:space="preserve">999; </w:t>
      </w:r>
      <w:proofErr w:type="spellStart"/>
      <w:r w:rsidRPr="00AC445B">
        <w:t>Bakshi</w:t>
      </w:r>
      <w:proofErr w:type="spellEnd"/>
      <w:r w:rsidRPr="00AC445B">
        <w:t>, 1998). In chemical engineering, PCA is used to monitor batch and continuous processes, monitor product quality control, missing value replacement, identify and reconstruct sensor and/or process fa</w:t>
      </w:r>
      <w:r>
        <w:t>ults, and detect disturbances (</w:t>
      </w:r>
      <w:r w:rsidRPr="00D77D8A">
        <w:t>Valle, Li, and Qin</w:t>
      </w:r>
      <w:r>
        <w:t xml:space="preserve"> 1</w:t>
      </w:r>
      <w:r w:rsidRPr="00AC445B">
        <w:t>999).</w:t>
      </w:r>
      <w:r w:rsidR="00390FD4">
        <w:t xml:space="preserve"> </w:t>
      </w:r>
      <w:r w:rsidR="00390FD4" w:rsidRPr="00390FD4">
        <w:t xml:space="preserve">PCA is also being applied to nuclear processes (Hines, </w:t>
      </w:r>
      <w:proofErr w:type="spellStart"/>
      <w:r w:rsidR="00390FD4" w:rsidRPr="00390FD4">
        <w:t>Upadhyaya</w:t>
      </w:r>
      <w:proofErr w:type="spellEnd"/>
      <w:r w:rsidR="00390FD4" w:rsidRPr="00390FD4">
        <w:t>, and Henkel 2008) and to nuclear forensics (</w:t>
      </w:r>
      <w:proofErr w:type="spellStart"/>
      <w:r w:rsidR="00390FD4" w:rsidRPr="00390FD4">
        <w:t>Robel</w:t>
      </w:r>
      <w:proofErr w:type="spellEnd"/>
      <w:r w:rsidR="00390FD4" w:rsidRPr="00390FD4">
        <w:t xml:space="preserve">, </w:t>
      </w:r>
      <w:proofErr w:type="spellStart"/>
      <w:r w:rsidR="00390FD4" w:rsidRPr="00390FD4">
        <w:t>Kristo</w:t>
      </w:r>
      <w:proofErr w:type="spellEnd"/>
      <w:r w:rsidR="00390FD4" w:rsidRPr="00390FD4">
        <w:t>, and Heller 2009).</w:t>
      </w:r>
    </w:p>
    <w:p w:rsidR="00E664E4" w:rsidRDefault="00E664E4" w:rsidP="00E664E4">
      <w:pPr>
        <w:autoSpaceDE w:val="0"/>
        <w:autoSpaceDN w:val="0"/>
        <w:adjustRightInd w:val="0"/>
      </w:pPr>
      <w:r w:rsidRPr="00AC445B">
        <w:lastRenderedPageBreak/>
        <w:t xml:space="preserve">Some relevant mathematical concepts </w:t>
      </w:r>
      <w:r>
        <w:t>will now be presented</w:t>
      </w:r>
      <w:r w:rsidRPr="00AC445B">
        <w:t>.</w:t>
      </w:r>
      <w:r>
        <w:t xml:space="preserve"> </w:t>
      </w:r>
      <w:r w:rsidRPr="00AC445B">
        <w:t>A ba</w:t>
      </w:r>
      <w:r>
        <w:t xml:space="preserve">sis for a linear vector space, </w:t>
      </w:r>
      <m:oMath>
        <m:r>
          <w:rPr>
            <w:rFonts w:ascii="Cambria Math" w:hAnsi="Cambria Math"/>
          </w:rPr>
          <m:t>S</m:t>
        </m:r>
      </m:oMath>
      <w:r w:rsidRPr="00AC445B">
        <w:t xml:space="preserve">, of dimension </w:t>
      </w:r>
      <m:oMath>
        <m:r>
          <w:rPr>
            <w:rFonts w:ascii="Cambria Math" w:hAnsi="Cambria Math"/>
          </w:rPr>
          <m:t>n</m:t>
        </m:r>
      </m:oMath>
      <w:r>
        <w:t xml:space="preserve"> is a set of </w:t>
      </w:r>
      <m:oMath>
        <m:r>
          <w:rPr>
            <w:rFonts w:ascii="Cambria Math" w:hAnsi="Cambria Math"/>
          </w:rPr>
          <m:t>n</m:t>
        </m:r>
      </m:oMath>
      <w:r w:rsidRPr="00AC445B">
        <w:t xml:space="preserve"> independent vectors</w:t>
      </w:r>
      <w:r>
        <w:t xml:space="preserve"> </w:t>
      </w:r>
      <m:oMath>
        <m:sSub>
          <m:sSubPr>
            <m:ctrlPr>
              <w:rPr>
                <w:rFonts w:ascii="Cambria Math" w:hAnsi="Cambria Math"/>
                <w:i/>
              </w:rPr>
            </m:ctrlPr>
          </m:sSubPr>
          <m:e>
            <m:r>
              <w:rPr>
                <w:rFonts w:ascii="Cambria Math" w:hAnsi="Cambria Math"/>
              </w:rPr>
              <m:t>w</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n</m:t>
            </m:r>
          </m:sub>
        </m:sSub>
      </m:oMath>
      <w:r w:rsidRPr="00AC445B">
        <w:t xml:space="preserve"> with the</w:t>
      </w:r>
      <w:r>
        <w:t xml:space="preserve"> property that every vector, </w:t>
      </w:r>
      <m:oMath>
        <m:r>
          <w:rPr>
            <w:rFonts w:ascii="Cambria Math" w:hAnsi="Cambria Math"/>
          </w:rPr>
          <m:t>x</m:t>
        </m:r>
      </m:oMath>
      <w:r>
        <w:t xml:space="preserve">, in the space, </w:t>
      </w:r>
      <m:oMath>
        <m:r>
          <w:rPr>
            <w:rFonts w:ascii="Cambria Math" w:hAnsi="Cambria Math"/>
          </w:rPr>
          <m:t>S</m:t>
        </m:r>
      </m:oMath>
      <w:r w:rsidRPr="00AC445B">
        <w:t>, can be expressed uniquely as a linear combination of these</w:t>
      </w:r>
      <w:r>
        <w:t xml:space="preserve"> basis vectors, i.e. for every </w:t>
      </w:r>
      <m:oMath>
        <m:r>
          <w:rPr>
            <w:rFonts w:ascii="Cambria Math" w:hAnsi="Cambria Math"/>
          </w:rPr>
          <m:t>x</m:t>
        </m:r>
      </m:oMath>
      <w:r w:rsidRPr="00AC445B">
        <w:t xml:space="preserve">, there exists a </w:t>
      </w:r>
      <w:r w:rsidR="00FA6E96">
        <w:t xml:space="preserve">unique </w:t>
      </w:r>
      <w:r w:rsidRPr="00AC445B">
        <w:t xml:space="preserve">set of </w:t>
      </w: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α</m:t>
                </m:r>
              </m:e>
              <m:sub>
                <m:r>
                  <w:rPr>
                    <w:rFonts w:ascii="Cambria Math" w:hAnsi="Cambria Math"/>
                  </w:rPr>
                  <m:t>i</m:t>
                </m:r>
              </m:sub>
            </m:sSub>
          </m:e>
        </m:d>
        <m:r>
          <w:rPr>
            <w:rFonts w:ascii="Cambria Math" w:hAnsi="Cambria Math"/>
          </w:rPr>
          <m:t xml:space="preserve"> </m:t>
        </m:r>
        <m:sSub>
          <m:sSubPr>
            <m:ctrlPr>
              <w:rPr>
                <w:rFonts w:ascii="Cambria Math" w:hAnsi="Cambria Math"/>
                <w:i/>
              </w:rPr>
            </m:ctrlPr>
          </m:sSubPr>
          <m:e>
            <m:r>
              <w:rPr>
                <w:rFonts w:ascii="Cambria Math" w:hAnsi="Cambria Math"/>
              </w:rPr>
              <m:t>α</m:t>
            </m:r>
          </m:e>
          <m:sub>
            <m:r>
              <w:rPr>
                <w:rFonts w:ascii="Cambria Math" w:hAnsi="Cambria Math"/>
              </w:rPr>
              <m:t>i</m:t>
            </m:r>
          </m:sub>
        </m:sSub>
        <m:r>
          <m:rPr>
            <m:scr m:val="double-struck"/>
          </m:rPr>
          <w:rPr>
            <w:rFonts w:ascii="Cambria Math" w:hAnsi="Cambria Math"/>
          </w:rPr>
          <m:t>∈R</m:t>
        </m:r>
      </m:oMath>
      <w:r>
        <w:t xml:space="preserve"> </w:t>
      </w:r>
      <w:r w:rsidRPr="00AC445B">
        <w:t>such that</w:t>
      </w:r>
      <w:r>
        <w:t xml:space="preserve"> </w:t>
      </w:r>
      <m:oMath>
        <m:r>
          <w:rPr>
            <w:rFonts w:ascii="Cambria Math" w:hAnsi="Cambria Math"/>
          </w:rPr>
          <m:t>x=</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α</m:t>
                </m:r>
              </m:e>
              <m:sub>
                <m:r>
                  <w:rPr>
                    <w:rFonts w:ascii="Cambria Math" w:hAnsi="Cambria Math"/>
                  </w:rPr>
                  <m:t>i</m:t>
                </m:r>
              </m:sub>
            </m:sSub>
            <m:sSub>
              <m:sSubPr>
                <m:ctrlPr>
                  <w:rPr>
                    <w:rFonts w:ascii="Cambria Math" w:hAnsi="Cambria Math"/>
                    <w:i/>
                  </w:rPr>
                </m:ctrlPr>
              </m:sSubPr>
              <m:e>
                <m:r>
                  <w:rPr>
                    <w:rFonts w:ascii="Cambria Math" w:hAnsi="Cambria Math"/>
                  </w:rPr>
                  <m:t>w</m:t>
                </m:r>
              </m:e>
              <m:sub>
                <m:r>
                  <w:rPr>
                    <w:rFonts w:ascii="Cambria Math" w:hAnsi="Cambria Math"/>
                  </w:rPr>
                  <m:t>i</m:t>
                </m:r>
              </m:sub>
            </m:sSub>
          </m:e>
        </m:nary>
      </m:oMath>
      <w:r>
        <w:rPr>
          <w:rFonts w:eastAsiaTheme="minorEastAsia"/>
        </w:rPr>
        <w:t xml:space="preserve"> for all </w:t>
      </w:r>
      <m:oMath>
        <m:r>
          <w:rPr>
            <w:rFonts w:ascii="Cambria Math" w:eastAsiaTheme="minorEastAsia" w:hAnsi="Cambria Math"/>
          </w:rPr>
          <m:t>x∈S</m:t>
        </m:r>
      </m:oMath>
      <w:r>
        <w:rPr>
          <w:rFonts w:eastAsiaTheme="minorEastAsia"/>
        </w:rPr>
        <w:t>.</w:t>
      </w:r>
      <w:r w:rsidRPr="00AC445B">
        <w:t xml:space="preserve"> One property of linear algebra of fundamental importance is the ability to transform </w:t>
      </w:r>
      <w:r w:rsidR="005641B3">
        <w:t xml:space="preserve">the </w:t>
      </w:r>
      <w:r w:rsidRPr="00AC445B">
        <w:t xml:space="preserve">representation of a vector from one basis to another. This is called a change of basis. Change of basis to a particularly convenient basis allows one to detect the relatively weak </w:t>
      </w:r>
      <w:r w:rsidR="001D0F58">
        <w:t>dimensions</w:t>
      </w:r>
      <w:r w:rsidRPr="00AC445B">
        <w:t xml:space="preserve"> of a data set; thus allowing one to reduce the dimension of a data matrix without losing </w:t>
      </w:r>
      <w:r w:rsidR="005641B3">
        <w:t>much</w:t>
      </w:r>
      <w:r w:rsidRPr="00AC445B">
        <w:t xml:space="preserve"> meaningful information. One can do a chan</w:t>
      </w:r>
      <w:r>
        <w:t>ge of basis for a data matrix</w:t>
      </w:r>
      <w:proofErr w:type="gramStart"/>
      <w:r>
        <w:t xml:space="preserve">, </w:t>
      </w:r>
      <w:proofErr w:type="gramEnd"/>
      <m:oMath>
        <m:r>
          <w:rPr>
            <w:rFonts w:ascii="Cambria Math" w:hAnsi="Cambria Math"/>
          </w:rPr>
          <m:t>X</m:t>
        </m:r>
      </m:oMath>
      <w:r w:rsidRPr="00AC445B">
        <w:t xml:space="preserve">, from one set of basis vectors, </w:t>
      </w:r>
      <m:oMath>
        <m:r>
          <w:rPr>
            <w:rFonts w:ascii="Cambria Math" w:hAnsi="Cambria Math"/>
          </w:rPr>
          <m:t>W</m:t>
        </m:r>
      </m:oMath>
      <w:r w:rsidRPr="00AC445B">
        <w:t xml:space="preserve">, to that of another, </w:t>
      </w:r>
      <w:r>
        <w:t xml:space="preserve">for instance </w:t>
      </w:r>
      <m:oMath>
        <m:r>
          <w:rPr>
            <w:rFonts w:ascii="Cambria Math" w:hAnsi="Cambria Math"/>
          </w:rPr>
          <m:t>V</m:t>
        </m:r>
      </m:oMath>
      <w:r w:rsidRPr="00AC445B">
        <w:t xml:space="preserve">, where all the vectors of </w:t>
      </w:r>
      <m:oMath>
        <m:r>
          <w:rPr>
            <w:rFonts w:ascii="Cambria Math" w:hAnsi="Cambria Math"/>
          </w:rPr>
          <m:t>V</m:t>
        </m:r>
      </m:oMath>
      <w:r w:rsidRPr="00AC445B">
        <w:t xml:space="preserve"> will come from the right </w:t>
      </w:r>
      <w:r>
        <w:t xml:space="preserve">singular vectors of the SVD of </w:t>
      </w:r>
      <m:oMath>
        <m:r>
          <w:rPr>
            <w:rFonts w:ascii="Cambria Math" w:hAnsi="Cambria Math"/>
          </w:rPr>
          <m:t>X</m:t>
        </m:r>
      </m:oMath>
      <w:r w:rsidRPr="00AC445B">
        <w:t xml:space="preserve"> (all the </w:t>
      </w:r>
      <m:oMath>
        <m:sSub>
          <m:sSubPr>
            <m:ctrlPr>
              <w:rPr>
                <w:rFonts w:ascii="Cambria Math" w:hAnsi="Cambria Math"/>
                <w:i/>
              </w:rPr>
            </m:ctrlPr>
          </m:sSubPr>
          <m:e>
            <m:r>
              <w:rPr>
                <w:rFonts w:ascii="Cambria Math" w:hAnsi="Cambria Math"/>
              </w:rPr>
              <m:t>V</m:t>
            </m:r>
          </m:e>
          <m:sub>
            <m:r>
              <w:rPr>
                <w:rFonts w:ascii="Cambria Math" w:hAnsi="Cambria Math"/>
              </w:rPr>
              <m:t>i</m:t>
            </m:r>
          </m:sub>
        </m:sSub>
      </m:oMath>
      <w:r w:rsidRPr="00AC445B">
        <w:t xml:space="preserve"> vectors chosen </w:t>
      </w:r>
      <w:r w:rsidR="005641B3">
        <w:t>are already</w:t>
      </w:r>
      <w:r w:rsidRPr="00AC445B">
        <w:t xml:space="preserve"> orthogonal to each other). Each row of the data matrix represents a measurement vector of the various process variables</w:t>
      </w:r>
      <w:r w:rsidR="005641B3">
        <w:t xml:space="preserve"> at a particular time point</w:t>
      </w:r>
      <w:r w:rsidRPr="00AC445B">
        <w:t xml:space="preserve">. If there is a strong correlation between the </w:t>
      </w:r>
      <m:oMath>
        <m:r>
          <w:rPr>
            <w:rFonts w:ascii="Cambria Math" w:hAnsi="Cambria Math"/>
          </w:rPr>
          <m:t>X</m:t>
        </m:r>
      </m:oMath>
      <w:r w:rsidRPr="00AC445B">
        <w:t xml:space="preserve"> variables, then the </w:t>
      </w:r>
      <w:r w:rsidR="00EA5FE7">
        <w:t xml:space="preserve">sum of the squares of the </w:t>
      </w:r>
      <w:r w:rsidRPr="00AC445B">
        <w:t xml:space="preserve">projection of </w:t>
      </w:r>
      <m:oMath>
        <m:r>
          <w:rPr>
            <w:rFonts w:ascii="Cambria Math" w:hAnsi="Cambria Math"/>
          </w:rPr>
          <m:t>X</m:t>
        </m:r>
      </m:oMath>
      <w:r w:rsidRPr="00AC445B">
        <w:t xml:space="preserve"> along the first </w:t>
      </w:r>
      <w:r w:rsidR="00EA5FE7">
        <w:t xml:space="preserve">singular </w:t>
      </w:r>
      <w:r w:rsidRPr="00AC445B">
        <w:t xml:space="preserve">vector of </w:t>
      </w:r>
      <m:oMath>
        <m:r>
          <w:rPr>
            <w:rFonts w:ascii="Cambria Math" w:hAnsi="Cambria Math"/>
          </w:rPr>
          <m:t>V</m:t>
        </m:r>
      </m:oMath>
      <w:r w:rsidRPr="00AC445B">
        <w:t xml:space="preserve"> (</w:t>
      </w:r>
      <m:oMath>
        <m:sSub>
          <m:sSubPr>
            <m:ctrlPr>
              <w:rPr>
                <w:rFonts w:ascii="Cambria Math" w:hAnsi="Cambria Math"/>
                <w:i/>
              </w:rPr>
            </m:ctrlPr>
          </m:sSubPr>
          <m:e>
            <m:r>
              <w:rPr>
                <w:rFonts w:ascii="Cambria Math" w:hAnsi="Cambria Math"/>
              </w:rPr>
              <m:t>V</m:t>
            </m:r>
          </m:e>
          <m:sub>
            <m:r>
              <w:rPr>
                <w:rFonts w:ascii="Cambria Math" w:hAnsi="Cambria Math"/>
              </w:rPr>
              <m:t>1</m:t>
            </m:r>
          </m:sub>
        </m:sSub>
      </m:oMath>
      <w:r w:rsidRPr="00AC445B">
        <w:t xml:space="preserve">) will be much greater than </w:t>
      </w:r>
      <m:oMath>
        <m:r>
          <w:rPr>
            <w:rFonts w:ascii="Cambria Math" w:hAnsi="Cambria Math"/>
          </w:rPr>
          <m:t>X</m:t>
        </m:r>
      </m:oMath>
      <w:r w:rsidRPr="00AC445B">
        <w:t xml:space="preserve"> along the second </w:t>
      </w:r>
      <w:r w:rsidR="00EA5FE7">
        <w:t xml:space="preserve">singular </w:t>
      </w:r>
      <w:r w:rsidRPr="00AC445B">
        <w:t xml:space="preserve">vector and any subsequent basis of </w:t>
      </w:r>
      <m:oMath>
        <m:r>
          <w:rPr>
            <w:rFonts w:ascii="Cambria Math" w:hAnsi="Cambria Math"/>
          </w:rPr>
          <m:t>V</m:t>
        </m:r>
      </m:oMath>
      <w:r w:rsidRPr="00AC445B">
        <w:t xml:space="preserve"> (</w:t>
      </w:r>
      <m:oMath>
        <m:sSub>
          <m:sSubPr>
            <m:ctrlPr>
              <w:rPr>
                <w:rFonts w:ascii="Cambria Math" w:hAnsi="Cambria Math"/>
                <w:i/>
              </w:rPr>
            </m:ctrlPr>
          </m:sSubPr>
          <m:e>
            <m:r>
              <w:rPr>
                <w:rFonts w:ascii="Cambria Math" w:hAnsi="Cambria Math"/>
              </w:rPr>
              <m:t>V</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r</m:t>
            </m:r>
          </m:sub>
        </m:sSub>
      </m:oMath>
      <w:r w:rsidRPr="00AC445B">
        <w:t xml:space="preserve">). Therefore, </w:t>
      </w:r>
      <m:oMath>
        <m:sSub>
          <m:sSubPr>
            <m:ctrlPr>
              <w:rPr>
                <w:rFonts w:ascii="Cambria Math" w:hAnsi="Cambria Math"/>
                <w:i/>
              </w:rPr>
            </m:ctrlPr>
          </m:sSubPr>
          <m:e>
            <m:r>
              <w:rPr>
                <w:rFonts w:ascii="Cambria Math" w:hAnsi="Cambria Math"/>
              </w:rPr>
              <m:t>V</m:t>
            </m:r>
          </m:e>
          <m:sub>
            <m:r>
              <w:rPr>
                <w:rFonts w:ascii="Cambria Math" w:hAnsi="Cambria Math"/>
              </w:rPr>
              <m:t>1</m:t>
            </m:r>
          </m:sub>
        </m:sSub>
      </m:oMath>
      <w:r w:rsidRPr="00AC445B">
        <w:t xml:space="preserve"> is the vector of all possible chosen vectors that maximizes the sum of squares of the pro</w:t>
      </w:r>
      <w:proofErr w:type="spellStart"/>
      <w:r w:rsidRPr="00AC445B">
        <w:t>jection</w:t>
      </w:r>
      <w:r w:rsidR="00EA5FE7">
        <w:t>s</w:t>
      </w:r>
      <w:proofErr w:type="spellEnd"/>
      <w:r w:rsidRPr="00AC445B">
        <w:t xml:space="preserve"> of the original data </w:t>
      </w:r>
      <w:r w:rsidR="001D0F58">
        <w:t xml:space="preserve">sample </w:t>
      </w:r>
      <w:proofErr w:type="gramStart"/>
      <w:r w:rsidRPr="00AC445B">
        <w:t>points.</w:t>
      </w:r>
      <w:proofErr w:type="gramEnd"/>
      <w:r w:rsidRPr="00AC445B">
        <w:t xml:space="preserve"> For instance, for a 2</w:t>
      </w:r>
      <w:r>
        <w:noBreakHyphen/>
        <w:t xml:space="preserve">dimensional </w:t>
      </w:r>
      <m:oMath>
        <m:r>
          <w:rPr>
            <w:rFonts w:ascii="Cambria Math" w:hAnsi="Cambria Math"/>
          </w:rPr>
          <m:t>X</m:t>
        </m:r>
      </m:oMath>
      <w:r w:rsidRPr="00AC445B">
        <w:t xml:space="preserve"> data matrix when the two </w:t>
      </w:r>
      <m:oMath>
        <m:r>
          <w:rPr>
            <w:rFonts w:ascii="Cambria Math" w:hAnsi="Cambria Math"/>
          </w:rPr>
          <m:t>x</m:t>
        </m:r>
      </m:oMath>
      <w:r w:rsidRPr="00AC445B">
        <w:t xml:space="preserve"> variables are highly correlated,</w:t>
      </w:r>
      <w:r>
        <w:t xml:space="preserve"> </w:t>
      </w:r>
      <m:oMath>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X</m:t>
                    </m:r>
                  </m:e>
                  <m:sub>
                    <m:sSub>
                      <m:sSubPr>
                        <m:ctrlPr>
                          <w:rPr>
                            <w:rFonts w:ascii="Cambria Math" w:hAnsi="Cambria Math"/>
                            <w:i/>
                          </w:rPr>
                        </m:ctrlPr>
                      </m:sSubPr>
                      <m:e>
                        <m:r>
                          <w:rPr>
                            <w:rFonts w:ascii="Cambria Math" w:hAnsi="Cambria Math"/>
                          </w:rPr>
                          <m:t>V</m:t>
                        </m:r>
                      </m:e>
                      <m:sub>
                        <m:r>
                          <w:rPr>
                            <w:rFonts w:ascii="Cambria Math" w:hAnsi="Cambria Math"/>
                          </w:rPr>
                          <m:t>2</m:t>
                        </m:r>
                      </m:sub>
                    </m:sSub>
                  </m:sub>
                </m:sSub>
              </m:e>
            </m:d>
          </m:e>
          <m:sub>
            <m:r>
              <w:rPr>
                <w:rFonts w:ascii="Cambria Math" w:hAnsi="Cambria Math"/>
              </w:rPr>
              <m:t>2</m:t>
            </m:r>
          </m:sub>
        </m:sSub>
      </m:oMath>
      <w:r>
        <w:rPr>
          <w:rFonts w:eastAsiaTheme="minorEastAsia"/>
        </w:rPr>
        <w:t xml:space="preserve"> will be much less </w:t>
      </w:r>
      <w:proofErr w:type="gramStart"/>
      <w:r>
        <w:rPr>
          <w:rFonts w:eastAsiaTheme="minorEastAsia"/>
        </w:rPr>
        <w:t xml:space="preserve">than </w:t>
      </w:r>
      <w:proofErr w:type="gramEnd"/>
      <m:oMath>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X</m:t>
                    </m:r>
                  </m:e>
                  <m:sub>
                    <m:sSub>
                      <m:sSubPr>
                        <m:ctrlPr>
                          <w:rPr>
                            <w:rFonts w:ascii="Cambria Math" w:hAnsi="Cambria Math"/>
                            <w:i/>
                          </w:rPr>
                        </m:ctrlPr>
                      </m:sSubPr>
                      <m:e>
                        <m:r>
                          <w:rPr>
                            <w:rFonts w:ascii="Cambria Math" w:hAnsi="Cambria Math"/>
                          </w:rPr>
                          <m:t>V</m:t>
                        </m:r>
                      </m:e>
                      <m:sub>
                        <m:r>
                          <w:rPr>
                            <w:rFonts w:ascii="Cambria Math" w:hAnsi="Cambria Math"/>
                          </w:rPr>
                          <m:t>1</m:t>
                        </m:r>
                      </m:sub>
                    </m:sSub>
                  </m:sub>
                </m:sSub>
              </m:e>
            </m:d>
          </m:e>
          <m:sub>
            <m:r>
              <w:rPr>
                <w:rFonts w:ascii="Cambria Math" w:hAnsi="Cambria Math"/>
              </w:rPr>
              <m:t>2</m:t>
            </m:r>
          </m:sub>
        </m:sSub>
      </m:oMath>
      <w:r>
        <w:rPr>
          <w:rFonts w:eastAsiaTheme="minorEastAsia"/>
        </w:rPr>
        <w:t xml:space="preserve">, where </w:t>
      </w:r>
      <m:oMath>
        <m:sSub>
          <m:sSubPr>
            <m:ctrlPr>
              <w:rPr>
                <w:rFonts w:ascii="Cambria Math" w:eastAsiaTheme="minorEastAsia" w:hAnsi="Cambria Math"/>
                <w:i/>
              </w:rPr>
            </m:ctrlPr>
          </m:sSubPr>
          <m:e>
            <m:d>
              <m:dPr>
                <m:begChr m:val="‖"/>
                <m:endChr m:val="‖"/>
                <m:ctrlPr>
                  <w:rPr>
                    <w:rFonts w:ascii="Cambria Math" w:eastAsiaTheme="minorEastAsia" w:hAnsi="Cambria Math"/>
                    <w:i/>
                  </w:rPr>
                </m:ctrlPr>
              </m:dPr>
              <m:e>
                <m:r>
                  <w:rPr>
                    <w:rFonts w:ascii="Cambria Math" w:eastAsiaTheme="minorEastAsia" w:hAnsi="Cambria Math"/>
                  </w:rPr>
                  <m:t xml:space="preserve"> </m:t>
                </m:r>
              </m:e>
            </m:d>
          </m:e>
          <m:sub>
            <m:r>
              <w:rPr>
                <w:rFonts w:ascii="Cambria Math" w:eastAsiaTheme="minorEastAsia" w:hAnsi="Cambria Math"/>
              </w:rPr>
              <m:t>2</m:t>
            </m:r>
          </m:sub>
        </m:sSub>
      </m:oMath>
      <w:r>
        <w:rPr>
          <w:rFonts w:eastAsiaTheme="minorEastAsia"/>
        </w:rPr>
        <w:t xml:space="preserve"> denotes the </w:t>
      </w:r>
      <w:r w:rsidR="00EA5FE7">
        <w:rPr>
          <w:rFonts w:eastAsiaTheme="minorEastAsia"/>
        </w:rPr>
        <w:t>2</w:t>
      </w:r>
      <w:r w:rsidR="00EA5FE7">
        <w:rPr>
          <w:rFonts w:eastAsiaTheme="minorEastAsia"/>
        </w:rPr>
        <w:noBreakHyphen/>
      </w:r>
      <w:r>
        <w:rPr>
          <w:rFonts w:eastAsiaTheme="minorEastAsia"/>
        </w:rPr>
        <w:t xml:space="preserve">norm of a vector. </w:t>
      </w:r>
      <w:r w:rsidRPr="00AC445B">
        <w:t xml:space="preserve">The components of </w:t>
      </w:r>
      <m:oMath>
        <m:r>
          <w:rPr>
            <w:rFonts w:ascii="Cambria Math" w:hAnsi="Cambria Math"/>
          </w:rPr>
          <m:t>X</m:t>
        </m:r>
      </m:oMath>
      <w:r w:rsidRPr="00AC445B">
        <w:t xml:space="preserve"> along </w:t>
      </w:r>
      <m:oMath>
        <m:sSub>
          <m:sSubPr>
            <m:ctrlPr>
              <w:rPr>
                <w:rFonts w:ascii="Cambria Math" w:hAnsi="Cambria Math"/>
                <w:i/>
              </w:rPr>
            </m:ctrlPr>
          </m:sSubPr>
          <m:e>
            <m:r>
              <w:rPr>
                <w:rFonts w:ascii="Cambria Math" w:hAnsi="Cambria Math"/>
              </w:rPr>
              <m:t>V</m:t>
            </m:r>
          </m:e>
          <m:sub>
            <m:r>
              <w:rPr>
                <w:rFonts w:ascii="Cambria Math" w:hAnsi="Cambria Math"/>
              </w:rPr>
              <m:t>2</m:t>
            </m:r>
          </m:sub>
        </m:sSub>
      </m:oMath>
      <w:r w:rsidRPr="00AC445B">
        <w:t xml:space="preserve"> can be considered to </w:t>
      </w:r>
      <w:r w:rsidR="0070214A">
        <w:t>come from</w:t>
      </w:r>
      <w:r w:rsidRPr="00AC445B">
        <w:t xml:space="preserve"> noise in nature and the system can be reduc</w:t>
      </w:r>
      <w:r>
        <w:t>ed from a 2</w:t>
      </w:r>
      <w:r>
        <w:noBreakHyphen/>
      </w:r>
      <w:r w:rsidRPr="00AC445B">
        <w:t>di</w:t>
      </w:r>
      <w:r>
        <w:t>mensional representation to a 1</w:t>
      </w:r>
      <w:r>
        <w:noBreakHyphen/>
      </w:r>
      <w:r w:rsidRPr="00AC445B">
        <w:t xml:space="preserve">dimensional representation of the original data without losing any meaningful information contained in the original data matrix. Therefore, a reduction of rank of the data matrix has occurred. The key to this approach is determining </w:t>
      </w:r>
      <w:r w:rsidR="00EA5FE7">
        <w:t xml:space="preserve">how many </w:t>
      </w:r>
      <w:r w:rsidRPr="00AC445B">
        <w:t xml:space="preserve">of </w:t>
      </w:r>
      <w:r w:rsidR="00EA5FE7">
        <w:t xml:space="preserve">the </w:t>
      </w:r>
      <w:r w:rsidRPr="00AC445B">
        <w:t xml:space="preserve">new basis vectors to transform </w:t>
      </w:r>
      <m:oMath>
        <m:r>
          <w:rPr>
            <w:rFonts w:ascii="Cambria Math" w:hAnsi="Cambria Math"/>
          </w:rPr>
          <m:t>X</m:t>
        </m:r>
      </m:oMath>
      <w:r w:rsidRPr="00AC445B">
        <w:t xml:space="preserve"> to and which vectors to project onto. Singular Value Decomposition (SVD) provides </w:t>
      </w:r>
      <w:r w:rsidR="00EA5FE7">
        <w:t>guidance</w:t>
      </w:r>
      <w:r w:rsidRPr="00AC445B">
        <w:t xml:space="preserve">. </w:t>
      </w:r>
    </w:p>
    <w:p w:rsidR="00E664E4" w:rsidRDefault="00E664E4" w:rsidP="00E664E4">
      <w:r w:rsidRPr="00AC445B">
        <w:t xml:space="preserve">SVD is used to determine the orthogonal basis vectors which best represent the original data where </w:t>
      </w:r>
      <w:r w:rsidR="0070214A">
        <w:t xml:space="preserve">the sum of squares of the </w:t>
      </w:r>
      <w:r w:rsidRPr="00AC445B">
        <w:t>projections of the original data onto e</w:t>
      </w:r>
      <w:r>
        <w:t xml:space="preserve">ach </w:t>
      </w:r>
      <w:r w:rsidR="0070214A">
        <w:t xml:space="preserve">successive </w:t>
      </w:r>
      <w:r>
        <w:t xml:space="preserve">orthogonal basis vector in </w:t>
      </w:r>
      <m:oMath>
        <m:r>
          <w:rPr>
            <w:rFonts w:ascii="Cambria Math" w:hAnsi="Cambria Math"/>
          </w:rPr>
          <m:t>V</m:t>
        </m:r>
      </m:oMath>
      <w:r w:rsidRPr="00AC445B">
        <w:t xml:space="preserve"> becom</w:t>
      </w:r>
      <w:proofErr w:type="spellStart"/>
      <w:r>
        <w:t>e</w:t>
      </w:r>
      <w:r w:rsidR="0070214A">
        <w:t>s</w:t>
      </w:r>
      <w:proofErr w:type="spellEnd"/>
      <w:r>
        <w:t xml:space="preserve"> less and less. </w:t>
      </w:r>
      <w:r w:rsidR="00E32784">
        <w:t>According to the theory of SVD, e</w:t>
      </w:r>
      <w:r>
        <w:t xml:space="preserve">very matrix, </w:t>
      </w:r>
      <m:oMath>
        <m:r>
          <w:rPr>
            <w:rFonts w:ascii="Cambria Math" w:hAnsi="Cambria Math"/>
          </w:rPr>
          <m:t>X</m:t>
        </m:r>
      </m:oMath>
      <w:r w:rsidRPr="00AC445B">
        <w:t xml:space="preserve"> (of </w:t>
      </w:r>
      <w:proofErr w:type="gramStart"/>
      <w:r w:rsidR="00697144" w:rsidRPr="00AC445B">
        <w:t>dimension</w:t>
      </w:r>
      <w:r w:rsidR="00697144">
        <w:t xml:space="preserve"> </w:t>
      </w:r>
      <w:proofErr w:type="gramEnd"/>
      <m:oMath>
        <m:r>
          <w:rPr>
            <w:rFonts w:ascii="Cambria Math" w:hAnsi="Cambria Math"/>
          </w:rPr>
          <m:t>m×n</m:t>
        </m:r>
      </m:oMath>
      <w:r w:rsidR="0070214A">
        <w:rPr>
          <w:rFonts w:eastAsiaTheme="minorEastAsia"/>
        </w:rPr>
        <w:t>)</w:t>
      </w:r>
      <w:r w:rsidRPr="00AC445B">
        <w:t xml:space="preserve">, can be </w:t>
      </w:r>
      <w:r>
        <w:t xml:space="preserve">decomposed into the product of three special matrices, </w:t>
      </w:r>
      <m:oMath>
        <m:r>
          <w:rPr>
            <w:rFonts w:ascii="Cambria Math" w:hAnsi="Cambria Math"/>
          </w:rPr>
          <m:t>U</m:t>
        </m:r>
      </m:oMath>
      <w:r w:rsidRPr="00AC445B">
        <w:t xml:space="preserve">, </w:t>
      </w:r>
      <m:oMath>
        <m:r>
          <m:rPr>
            <m:sty m:val="p"/>
          </m:rPr>
          <w:rPr>
            <w:rFonts w:ascii="Cambria Math" w:hAnsi="Cambria Math"/>
          </w:rPr>
          <m:t>Σ</m:t>
        </m:r>
      </m:oMath>
      <w:r w:rsidRPr="00AC445B">
        <w:t xml:space="preserve">, and </w:t>
      </w:r>
      <m:oMath>
        <m:r>
          <w:rPr>
            <w:rFonts w:ascii="Cambria Math" w:hAnsi="Cambria Math"/>
          </w:rPr>
          <m:t>V</m:t>
        </m:r>
      </m:oMath>
      <w:r w:rsidRPr="00AC445B">
        <w:t xml:space="preserve">, according to Eq. </w:t>
      </w:r>
      <w:r>
        <w:t>2.3.</w:t>
      </w:r>
      <w:r w:rsidRPr="00AC445B">
        <w:t>1 (</w:t>
      </w:r>
      <w:proofErr w:type="spellStart"/>
      <w:r w:rsidRPr="00AC445B">
        <w:t>Strang</w:t>
      </w:r>
      <w:proofErr w:type="spellEnd"/>
      <w:r>
        <w:t xml:space="preserve"> </w:t>
      </w:r>
      <w:r w:rsidRPr="00AC445B">
        <w:t>2006)</w:t>
      </w:r>
    </w:p>
    <w:p w:rsidR="00E664E4" w:rsidRPr="00AC445B" w:rsidRDefault="00E664E4" w:rsidP="00E664E4">
      <w:pPr>
        <w:jc w:val="right"/>
      </w:pPr>
      <m:oMath>
        <m:r>
          <w:rPr>
            <w:rFonts w:ascii="Cambria Math" w:hAnsi="Cambria Math"/>
          </w:rPr>
          <m:t>X=U</m:t>
        </m:r>
        <m:r>
          <m:rPr>
            <m:sty m:val="p"/>
          </m:rPr>
          <w:rPr>
            <w:rFonts w:ascii="Cambria Math" w:hAnsi="Cambria Math"/>
          </w:rPr>
          <m:t>Σ</m:t>
        </m:r>
        <m:r>
          <w:rPr>
            <w:rFonts w:ascii="Cambria Math" w:hAnsi="Cambria Math"/>
          </w:rPr>
          <m:t>V'</m:t>
        </m:r>
      </m:oMath>
      <w:r w:rsidRPr="00AC445B">
        <w:t xml:space="preserve"> </w:t>
      </w:r>
      <w:r>
        <w:tab/>
      </w:r>
      <w:r>
        <w:tab/>
      </w:r>
      <w:r>
        <w:tab/>
      </w:r>
      <w:r>
        <w:tab/>
      </w:r>
      <w:r>
        <w:tab/>
        <w:t>Eq. (2.3.</w:t>
      </w:r>
      <w:r w:rsidRPr="00AC445B">
        <w:t>1)</w:t>
      </w:r>
    </w:p>
    <w:p w:rsidR="00E664E4" w:rsidRDefault="00E664E4" w:rsidP="00E664E4">
      <w:proofErr w:type="gramStart"/>
      <w:r>
        <w:t>where</w:t>
      </w:r>
      <w:proofErr w:type="gramEnd"/>
      <w:r>
        <w:t xml:space="preserve"> </w:t>
      </w:r>
      <m:oMath>
        <m:r>
          <w:rPr>
            <w:rFonts w:ascii="Cambria Math" w:hAnsi="Cambria Math"/>
          </w:rPr>
          <m:t>U</m:t>
        </m:r>
      </m:oMath>
      <w:r w:rsidRPr="00AC445B">
        <w:t xml:space="preserve"> and </w:t>
      </w:r>
      <m:oMath>
        <m:r>
          <w:rPr>
            <w:rFonts w:ascii="Cambria Math" w:hAnsi="Cambria Math"/>
          </w:rPr>
          <m:t>V</m:t>
        </m:r>
      </m:oMath>
      <w:r w:rsidRPr="00AC445B">
        <w:t xml:space="preserve"> have orthonormal columns and </w:t>
      </w:r>
      <m:oMath>
        <m:r>
          <m:rPr>
            <m:sty m:val="p"/>
          </m:rPr>
          <w:rPr>
            <w:rFonts w:ascii="Cambria Math" w:hAnsi="Cambria Math"/>
          </w:rPr>
          <m:t>Σ</m:t>
        </m:r>
      </m:oMath>
      <w:r w:rsidRPr="00AC445B">
        <w:t xml:space="preserve"> is a diagonal matrix with positive elements (i.e., the singular values) arranged in a descending order. The columns of the </w:t>
      </w:r>
      <m:oMath>
        <m:r>
          <w:rPr>
            <w:rFonts w:ascii="Cambria Math" w:hAnsi="Cambria Math"/>
          </w:rPr>
          <m:t>V</m:t>
        </m:r>
      </m:oMath>
      <w:r w:rsidRPr="00AC445B">
        <w:t xml:space="preserve"> matrix, referred to as</w:t>
      </w:r>
      <w:r>
        <w:t xml:space="preserve"> the right singular vectors of </w:t>
      </w:r>
      <m:oMath>
        <m:r>
          <w:rPr>
            <w:rFonts w:ascii="Cambria Math" w:hAnsi="Cambria Math"/>
          </w:rPr>
          <m:t>X</m:t>
        </m:r>
      </m:oMath>
      <w:r w:rsidRPr="00AC445B">
        <w:t xml:space="preserve">, provide a new set of basis vectors such that the first column vector in </w:t>
      </w:r>
      <m:oMath>
        <m:r>
          <w:rPr>
            <w:rFonts w:ascii="Cambria Math" w:hAnsi="Cambria Math"/>
          </w:rPr>
          <m:t>V</m:t>
        </m:r>
      </m:oMath>
      <w:r w:rsidRPr="00AC445B">
        <w:t xml:space="preserve"> is </w:t>
      </w:r>
      <w:r w:rsidR="0070214A">
        <w:t xml:space="preserve">such that </w:t>
      </w:r>
      <w:r w:rsidRPr="00AC445B">
        <w:t xml:space="preserve">the sum of the squares of </w:t>
      </w:r>
      <w:r>
        <w:t xml:space="preserve">the projections of the rows of </w:t>
      </w:r>
      <m:oMath>
        <m:r>
          <w:rPr>
            <w:rFonts w:ascii="Cambria Math" w:hAnsi="Cambria Math"/>
          </w:rPr>
          <m:t>X</m:t>
        </m:r>
      </m:oMath>
      <w:r w:rsidRPr="00AC445B">
        <w:t xml:space="preserve"> onto it is maximum</w:t>
      </w:r>
      <w:r w:rsidR="005107A3">
        <w:t xml:space="preserve"> and is </w:t>
      </w:r>
      <w:r w:rsidR="0070214A">
        <w:t xml:space="preserve">referred to as </w:t>
      </w:r>
      <w:r w:rsidR="005107A3">
        <w:t>the first principal component</w:t>
      </w:r>
      <w:r w:rsidRPr="00AC445B">
        <w:t>; the sum of the projection</w:t>
      </w:r>
      <w:r w:rsidR="0070214A">
        <w:t>s</w:t>
      </w:r>
      <w:r w:rsidRPr="00AC445B">
        <w:t xml:space="preserve"> of the </w:t>
      </w:r>
      <w:r>
        <w:t xml:space="preserve">rows of </w:t>
      </w:r>
      <m:oMath>
        <m:r>
          <w:rPr>
            <w:rFonts w:ascii="Cambria Math" w:hAnsi="Cambria Math"/>
          </w:rPr>
          <m:t>X</m:t>
        </m:r>
      </m:oMath>
      <w:r w:rsidRPr="00AC445B">
        <w:t xml:space="preserve"> onto the second vector in </w:t>
      </w:r>
      <m:oMath>
        <m:r>
          <w:rPr>
            <w:rFonts w:ascii="Cambria Math" w:hAnsi="Cambria Math"/>
          </w:rPr>
          <m:t>V</m:t>
        </m:r>
      </m:oMath>
      <w:r>
        <w:t xml:space="preserve"> is the next maximum</w:t>
      </w:r>
      <w:r w:rsidR="005107A3">
        <w:t xml:space="preserve"> </w:t>
      </w:r>
      <w:r w:rsidR="0070214A">
        <w:t xml:space="preserve">and the second </w:t>
      </w:r>
      <m:oMath>
        <m:r>
          <w:rPr>
            <w:rFonts w:ascii="Cambria Math" w:hAnsi="Cambria Math"/>
          </w:rPr>
          <m:t>V</m:t>
        </m:r>
      </m:oMath>
      <w:r w:rsidR="0070214A">
        <w:t xml:space="preserve"> vector is referred to as </w:t>
      </w:r>
      <w:proofErr w:type="spellStart"/>
      <w:r w:rsidR="005107A3">
        <w:t>second</w:t>
      </w:r>
      <w:proofErr w:type="spellEnd"/>
      <w:r w:rsidR="005107A3">
        <w:t xml:space="preserve"> principal component</w:t>
      </w:r>
      <w:r>
        <w:t xml:space="preserve"> </w:t>
      </w:r>
      <w:r w:rsidRPr="00AC445B">
        <w:t>and so on with the rest</w:t>
      </w:r>
      <w:r>
        <w:t xml:space="preserve"> of the </w:t>
      </w:r>
      <w:r w:rsidR="00E32784">
        <w:t xml:space="preserve">singular </w:t>
      </w:r>
      <w:r>
        <w:t xml:space="preserve">vectors in </w:t>
      </w:r>
      <m:oMath>
        <m:r>
          <w:rPr>
            <w:rFonts w:ascii="Cambria Math" w:hAnsi="Cambria Math"/>
          </w:rPr>
          <m:t>V</m:t>
        </m:r>
      </m:oMath>
      <w:r w:rsidRPr="00AC445B">
        <w:t xml:space="preserve">. Therefore, the </w:t>
      </w:r>
      <w:proofErr w:type="gramStart"/>
      <w:r w:rsidRPr="00AC445B">
        <w:t xml:space="preserve">sum of squares of the projections onto the last few vectors of </w:t>
      </w:r>
      <m:oMath>
        <m:r>
          <w:rPr>
            <w:rFonts w:ascii="Cambria Math" w:hAnsi="Cambria Math"/>
          </w:rPr>
          <m:t>V</m:t>
        </m:r>
      </m:oMath>
      <w:r w:rsidRPr="00AC445B">
        <w:t xml:space="preserve"> are</w:t>
      </w:r>
      <w:proofErr w:type="gramEnd"/>
      <w:r w:rsidRPr="00AC445B">
        <w:t xml:space="preserve"> the least. And if the last few vectors of </w:t>
      </w:r>
      <m:oMath>
        <m:r>
          <w:rPr>
            <w:rFonts w:ascii="Cambria Math" w:hAnsi="Cambria Math"/>
          </w:rPr>
          <m:t>V</m:t>
        </m:r>
      </m:oMath>
      <w:r w:rsidRPr="00AC445B">
        <w:t xml:space="preserve"> </w:t>
      </w:r>
      <w:r w:rsidR="005107A3">
        <w:t xml:space="preserve">capture less variation </w:t>
      </w:r>
      <w:r w:rsidRPr="00AC445B">
        <w:t xml:space="preserve">than that of the first few, then </w:t>
      </w:r>
      <w:r w:rsidR="005107A3">
        <w:t xml:space="preserve">projections along these basis vectors are considered as to have come from </w:t>
      </w:r>
      <w:r w:rsidRPr="00AC445B">
        <w:t>noise</w:t>
      </w:r>
      <w:r w:rsidR="0070214A">
        <w:t xml:space="preserve"> and </w:t>
      </w:r>
      <w:r w:rsidR="0070214A">
        <w:lastRenderedPageBreak/>
        <w:t>uncertainty</w:t>
      </w:r>
      <w:r w:rsidRPr="00AC445B">
        <w:t xml:space="preserve"> associated with the measurement of the pr</w:t>
      </w:r>
      <w:r>
        <w:t xml:space="preserve">ocess variables represented in </w:t>
      </w:r>
      <m:oMath>
        <m:r>
          <w:rPr>
            <w:rFonts w:ascii="Cambria Math" w:hAnsi="Cambria Math"/>
          </w:rPr>
          <m:t>X</m:t>
        </m:r>
      </m:oMath>
      <w:r w:rsidRPr="00AC445B">
        <w:t>.</w:t>
      </w:r>
      <w:r>
        <w:t xml:space="preserve"> The </w:t>
      </w:r>
      <w:r w:rsidR="005107A3">
        <w:t xml:space="preserve">vector </w:t>
      </w:r>
      <w:r w:rsidR="0070214A">
        <w:t xml:space="preserve">of </w:t>
      </w:r>
      <w:r>
        <w:t>projection</w:t>
      </w:r>
      <w:r w:rsidR="005107A3">
        <w:t>s</w:t>
      </w:r>
      <w:r>
        <w:t xml:space="preserve"> of the rows of </w:t>
      </w:r>
      <m:oMath>
        <m:r>
          <w:rPr>
            <w:rFonts w:ascii="Cambria Math" w:hAnsi="Cambria Math"/>
          </w:rPr>
          <m:t>X</m:t>
        </m:r>
      </m:oMath>
      <w:r w:rsidRPr="00AC445B">
        <w:t xml:space="preserve"> along a particular basis vector</w:t>
      </w:r>
      <w:proofErr w:type="gramStart"/>
      <w:r w:rsidRPr="00AC445B">
        <w:t xml:space="preserve">, </w:t>
      </w:r>
      <w:proofErr w:type="gramEnd"/>
      <m:oMath>
        <m:sSub>
          <m:sSubPr>
            <m:ctrlPr>
              <w:rPr>
                <w:rFonts w:ascii="Cambria Math" w:hAnsi="Cambria Math"/>
                <w:i/>
              </w:rPr>
            </m:ctrlPr>
          </m:sSubPr>
          <m:e>
            <m:r>
              <w:rPr>
                <w:rFonts w:ascii="Cambria Math" w:hAnsi="Cambria Math"/>
              </w:rPr>
              <m:t>V</m:t>
            </m:r>
          </m:e>
          <m:sub>
            <m:r>
              <w:rPr>
                <w:rFonts w:ascii="Cambria Math" w:hAnsi="Cambria Math"/>
              </w:rPr>
              <m:t>i</m:t>
            </m:r>
          </m:sub>
        </m:sSub>
      </m:oMath>
      <w:r>
        <w:t xml:space="preserve">, </w:t>
      </w:r>
      <w:r w:rsidR="005107A3">
        <w:t>are called the scores and are</w:t>
      </w:r>
      <w:r>
        <w:t xml:space="preserve"> given by Eq. 2.3.</w:t>
      </w:r>
      <w:r w:rsidRPr="00AC445B">
        <w:t>2.</w:t>
      </w:r>
    </w:p>
    <w:p w:rsidR="00E664E4" w:rsidRPr="00AC445B" w:rsidRDefault="00C851DF" w:rsidP="00E664E4">
      <w:pPr>
        <w:jc w:val="right"/>
      </w:pPr>
      <m:oMath>
        <m:sSub>
          <m:sSubPr>
            <m:ctrlPr>
              <w:rPr>
                <w:rFonts w:ascii="Cambria Math" w:hAnsi="Cambria Math"/>
                <w:i/>
              </w:rPr>
            </m:ctrlPr>
          </m:sSubPr>
          <m:e>
            <m:r>
              <w:rPr>
                <w:rFonts w:ascii="Cambria Math" w:hAnsi="Cambria Math"/>
              </w:rPr>
              <m:t>X</m:t>
            </m:r>
          </m:e>
          <m:sub>
            <m:sSub>
              <m:sSubPr>
                <m:ctrlPr>
                  <w:rPr>
                    <w:rFonts w:ascii="Cambria Math" w:hAnsi="Cambria Math"/>
                    <w:i/>
                  </w:rPr>
                </m:ctrlPr>
              </m:sSubPr>
              <m:e>
                <m:r>
                  <w:rPr>
                    <w:rFonts w:ascii="Cambria Math" w:hAnsi="Cambria Math"/>
                  </w:rPr>
                  <m:t>V</m:t>
                </m:r>
              </m:e>
              <m:sub>
                <m:r>
                  <w:rPr>
                    <w:rFonts w:ascii="Cambria Math" w:hAnsi="Cambria Math"/>
                  </w:rPr>
                  <m:t>i</m:t>
                </m:r>
              </m:sub>
            </m:sSub>
          </m:sub>
        </m:sSub>
        <m:r>
          <w:rPr>
            <w:rFonts w:ascii="Cambria Math" w:hAnsi="Cambria Math"/>
          </w:rPr>
          <m:t>=X*</m:t>
        </m:r>
        <m:sSub>
          <m:sSubPr>
            <m:ctrlPr>
              <w:rPr>
                <w:rFonts w:ascii="Cambria Math" w:hAnsi="Cambria Math"/>
                <w:i/>
              </w:rPr>
            </m:ctrlPr>
          </m:sSubPr>
          <m:e>
            <m:r>
              <w:rPr>
                <w:rFonts w:ascii="Cambria Math" w:hAnsi="Cambria Math"/>
              </w:rPr>
              <m:t>V</m:t>
            </m:r>
          </m:e>
          <m:sub>
            <m:r>
              <w:rPr>
                <w:rFonts w:ascii="Cambria Math" w:hAnsi="Cambria Math"/>
              </w:rPr>
              <m:t>i</m:t>
            </m:r>
          </m:sub>
        </m:sSub>
      </m:oMath>
      <w:r w:rsidR="00E664E4">
        <w:rPr>
          <w:rFonts w:eastAsiaTheme="minorEastAsia"/>
        </w:rPr>
        <w:tab/>
      </w:r>
      <w:r w:rsidR="00E664E4">
        <w:rPr>
          <w:rFonts w:eastAsiaTheme="minorEastAsia"/>
        </w:rPr>
        <w:tab/>
      </w:r>
      <w:r w:rsidR="00E664E4">
        <w:rPr>
          <w:rFonts w:eastAsiaTheme="minorEastAsia"/>
        </w:rPr>
        <w:tab/>
      </w:r>
      <w:r w:rsidR="00E664E4">
        <w:rPr>
          <w:rFonts w:eastAsiaTheme="minorEastAsia"/>
        </w:rPr>
        <w:tab/>
      </w:r>
      <w:r w:rsidR="00E664E4">
        <w:tab/>
        <w:t>Eq. (2.3.</w:t>
      </w:r>
      <w:r w:rsidR="00E664E4" w:rsidRPr="00AC445B">
        <w:t>2)</w:t>
      </w:r>
    </w:p>
    <w:p w:rsidR="00E664E4" w:rsidRDefault="00E664E4" w:rsidP="00E664E4">
      <w:r w:rsidRPr="00AC445B">
        <w:t>Through the use of SVD, a data matrix can be decomposed into mutually orthogonal outer product components of decreasing significance as shown below</w:t>
      </w:r>
      <w:r>
        <w:t xml:space="preserve"> Eq. (2.3.3)</w:t>
      </w:r>
      <w:r w:rsidRPr="00AC445B">
        <w:t xml:space="preserve">; </w:t>
      </w:r>
    </w:p>
    <w:p w:rsidR="00505BBD" w:rsidRDefault="00505BBD" w:rsidP="00E664E4">
      <m:oMathPara>
        <m:oMath>
          <m:r>
            <w:rPr>
              <w:rFonts w:ascii="Cambria Math" w:hAnsi="Cambria Math"/>
            </w:rPr>
            <m:t>X=U</m:t>
          </m:r>
          <m:r>
            <m:rPr>
              <m:sty m:val="p"/>
            </m:rPr>
            <w:rPr>
              <w:rFonts w:ascii="Cambria Math" w:hAnsi="Cambria Math"/>
            </w:rPr>
            <m:t>Σ</m:t>
          </m:r>
          <m:sSup>
            <m:sSupPr>
              <m:ctrlPr>
                <w:rPr>
                  <w:rFonts w:ascii="Cambria Math" w:hAnsi="Cambria Math"/>
                  <w:i/>
                </w:rPr>
              </m:ctrlPr>
            </m:sSupPr>
            <m:e>
              <m:r>
                <w:rPr>
                  <w:rFonts w:ascii="Cambria Math" w:hAnsi="Cambria Math"/>
                </w:rPr>
                <m:t>V</m:t>
              </m:r>
            </m:e>
            <m:sup>
              <m:r>
                <w:rPr>
                  <w:rFonts w:ascii="Cambria Math" w:hAnsi="Cambria Math"/>
                </w:rPr>
                <m:t>'</m:t>
              </m:r>
            </m:sup>
          </m:sSup>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m>
                    <m:mPr>
                      <m:mcs>
                        <m:mc>
                          <m:mcPr>
                            <m:count m:val="2"/>
                            <m:mcJc m:val="center"/>
                          </m:mcPr>
                        </m:mc>
                      </m:mcs>
                      <m:ctrlPr>
                        <w:rPr>
                          <w:rFonts w:ascii="Cambria Math" w:hAnsi="Cambria Math"/>
                          <w:i/>
                        </w:rPr>
                      </m:ctrlPr>
                    </m:mPr>
                    <m:mr>
                      <m:e>
                        <m:r>
                          <w:rPr>
                            <w:rFonts w:ascii="Cambria Math" w:hAnsi="Cambria Math"/>
                          </w:rPr>
                          <m:t>⋮</m:t>
                        </m:r>
                      </m:e>
                      <m:e>
                        <m:r>
                          <w:rPr>
                            <w:rFonts w:ascii="Cambria Math" w:hAnsi="Cambria Math"/>
                          </w:rPr>
                          <m:t>⋮</m:t>
                        </m:r>
                      </m:e>
                    </m:mr>
                    <m:mr>
                      <m:e>
                        <m:sSub>
                          <m:sSubPr>
                            <m:ctrlPr>
                              <w:rPr>
                                <w:rFonts w:ascii="Cambria Math" w:hAnsi="Cambria Math"/>
                                <w:i/>
                              </w:rPr>
                            </m:ctrlPr>
                          </m:sSubPr>
                          <m:e>
                            <m:r>
                              <w:rPr>
                                <w:rFonts w:ascii="Cambria Math" w:hAnsi="Cambria Math"/>
                              </w:rPr>
                              <m:t>U</m:t>
                            </m:r>
                          </m:e>
                          <m:sub>
                            <m:r>
                              <w:rPr>
                                <w:rFonts w:ascii="Cambria Math" w:hAnsi="Cambria Math"/>
                              </w:rPr>
                              <m:t>1</m:t>
                            </m:r>
                          </m:sub>
                        </m:sSub>
                      </m:e>
                      <m:e>
                        <m:sSub>
                          <m:sSubPr>
                            <m:ctrlPr>
                              <w:rPr>
                                <w:rFonts w:ascii="Cambria Math" w:hAnsi="Cambria Math"/>
                                <w:i/>
                              </w:rPr>
                            </m:ctrlPr>
                          </m:sSubPr>
                          <m:e>
                            <m:r>
                              <w:rPr>
                                <w:rFonts w:ascii="Cambria Math" w:hAnsi="Cambria Math"/>
                              </w:rPr>
                              <m:t>U</m:t>
                            </m:r>
                          </m:e>
                          <m:sub>
                            <m:r>
                              <w:rPr>
                                <w:rFonts w:ascii="Cambria Math" w:hAnsi="Cambria Math"/>
                              </w:rPr>
                              <m:t>2</m:t>
                            </m:r>
                          </m:sub>
                        </m:sSub>
                      </m:e>
                    </m:mr>
                  </m:m>
                  <m:r>
                    <w:rPr>
                      <w:rFonts w:ascii="Cambria Math" w:hAnsi="Cambria Math"/>
                    </w:rPr>
                    <m:t xml:space="preserve">    </m:t>
                  </m:r>
                  <m:m>
                    <m:mPr>
                      <m:mcs>
                        <m:mc>
                          <m:mcPr>
                            <m:count m:val="2"/>
                            <m:mcJc m:val="center"/>
                          </m:mcPr>
                        </m:mc>
                      </m:mcs>
                      <m:ctrlPr>
                        <w:rPr>
                          <w:rFonts w:ascii="Cambria Math" w:hAnsi="Cambria Math"/>
                          <w:i/>
                        </w:rPr>
                      </m:ctrlPr>
                    </m:mPr>
                    <m:mr>
                      <m:e>
                        <m:r>
                          <w:rPr>
                            <w:rFonts w:ascii="Cambria Math" w:hAnsi="Cambria Math"/>
                          </w:rPr>
                          <m:t xml:space="preserve"> </m:t>
                        </m:r>
                      </m:e>
                      <m:e>
                        <m:r>
                          <w:rPr>
                            <w:rFonts w:ascii="Cambria Math" w:hAnsi="Cambria Math"/>
                          </w:rPr>
                          <m:t>⋮</m:t>
                        </m:r>
                      </m:e>
                    </m:mr>
                    <m:mr>
                      <m:e>
                        <m:r>
                          <w:rPr>
                            <w:rFonts w:ascii="Cambria Math" w:hAnsi="Cambria Math"/>
                          </w:rPr>
                          <m:t>…</m:t>
                        </m:r>
                      </m:e>
                      <m:e>
                        <m:sSub>
                          <m:sSubPr>
                            <m:ctrlPr>
                              <w:rPr>
                                <w:rFonts w:ascii="Cambria Math" w:hAnsi="Cambria Math"/>
                                <w:i/>
                              </w:rPr>
                            </m:ctrlPr>
                          </m:sSubPr>
                          <m:e>
                            <m:r>
                              <w:rPr>
                                <w:rFonts w:ascii="Cambria Math" w:hAnsi="Cambria Math"/>
                              </w:rPr>
                              <m:t>U</m:t>
                            </m:r>
                          </m:e>
                          <m:sub>
                            <m:r>
                              <w:rPr>
                                <w:rFonts w:ascii="Cambria Math" w:hAnsi="Cambria Math"/>
                              </w:rPr>
                              <m:t>n</m:t>
                            </m:r>
                          </m:sub>
                        </m:sSub>
                      </m:e>
                    </m:mr>
                  </m:m>
                </m:e>
                <m:e>
                  <m:m>
                    <m:mPr>
                      <m:mcs>
                        <m:mc>
                          <m:mcPr>
                            <m:count m:val="2"/>
                            <m:mcJc m:val="center"/>
                          </m:mcPr>
                        </m:mc>
                      </m:mcs>
                      <m:ctrlPr>
                        <w:rPr>
                          <w:rFonts w:ascii="Cambria Math" w:hAnsi="Cambria Math"/>
                          <w:i/>
                        </w:rPr>
                      </m:ctrlPr>
                    </m:mPr>
                    <m:mr>
                      <m:e>
                        <m:r>
                          <w:rPr>
                            <w:rFonts w:ascii="Cambria Math" w:hAnsi="Cambria Math"/>
                          </w:rPr>
                          <m:t>⋮</m:t>
                        </m:r>
                      </m:e>
                      <m:e>
                        <m:r>
                          <w:rPr>
                            <w:rFonts w:ascii="Cambria Math" w:hAnsi="Cambria Math"/>
                          </w:rPr>
                          <m:t xml:space="preserve">  ⋮</m:t>
                        </m:r>
                      </m:e>
                    </m:mr>
                    <m:mr>
                      <m:e>
                        <m:r>
                          <w:rPr>
                            <w:rFonts w:ascii="Cambria Math" w:hAnsi="Cambria Math"/>
                          </w:rPr>
                          <m:t>⋮</m:t>
                        </m:r>
                      </m:e>
                      <m:e>
                        <m:r>
                          <w:rPr>
                            <w:rFonts w:ascii="Cambria Math" w:hAnsi="Cambria Math"/>
                          </w:rPr>
                          <m:t xml:space="preserve">  ⋮</m:t>
                        </m:r>
                      </m:e>
                    </m:mr>
                  </m:m>
                  <m:r>
                    <w:rPr>
                      <w:rFonts w:ascii="Cambria Math" w:hAnsi="Cambria Math"/>
                    </w:rPr>
                    <m:t xml:space="preserve">        </m:t>
                  </m:r>
                  <m:m>
                    <m:mPr>
                      <m:mcs>
                        <m:mc>
                          <m:mcPr>
                            <m:count m:val="2"/>
                            <m:mcJc m:val="center"/>
                          </m:mcPr>
                        </m:mc>
                      </m:mcs>
                      <m:ctrlPr>
                        <w:rPr>
                          <w:rFonts w:ascii="Cambria Math" w:hAnsi="Cambria Math"/>
                          <w:i/>
                        </w:rPr>
                      </m:ctrlPr>
                    </m:mPr>
                    <m:mr>
                      <m:e>
                        <m:r>
                          <w:rPr>
                            <w:rFonts w:ascii="Cambria Math" w:hAnsi="Cambria Math"/>
                          </w:rPr>
                          <m:t xml:space="preserve"> </m:t>
                        </m:r>
                      </m:e>
                      <m:e>
                        <m:r>
                          <w:rPr>
                            <w:rFonts w:ascii="Cambria Math" w:hAnsi="Cambria Math"/>
                          </w:rPr>
                          <m:t xml:space="preserve">  ⋮</m:t>
                        </m:r>
                      </m:e>
                    </m:mr>
                    <m:mr>
                      <m:e>
                        <m:r>
                          <w:rPr>
                            <w:rFonts w:ascii="Cambria Math" w:hAnsi="Cambria Math"/>
                          </w:rPr>
                          <m:t xml:space="preserve"> </m:t>
                        </m:r>
                      </m:e>
                      <m:e>
                        <m:r>
                          <w:rPr>
                            <w:rFonts w:ascii="Cambria Math" w:hAnsi="Cambria Math"/>
                          </w:rPr>
                          <m:t xml:space="preserve">  ⋮</m:t>
                        </m:r>
                      </m:e>
                    </m:mr>
                  </m:m>
                </m:e>
              </m:eqArr>
            </m:e>
          </m:d>
          <m:d>
            <m:dPr>
              <m:begChr m:val="["/>
              <m:endChr m:val="]"/>
              <m:ctrlPr>
                <w:rPr>
                  <w:rFonts w:ascii="Cambria Math" w:hAnsi="Cambria Math"/>
                  <w:i/>
                </w:rPr>
              </m:ctrlPr>
            </m:dPr>
            <m:e>
              <m:eqArr>
                <m:eqArrPr>
                  <m:ctrlPr>
                    <w:rPr>
                      <w:rFonts w:ascii="Cambria Math" w:hAnsi="Cambria Math"/>
                      <w:i/>
                    </w:rPr>
                  </m:ctrlPr>
                </m:eqArrPr>
                <m:e>
                  <m:m>
                    <m:mPr>
                      <m:mcs>
                        <m:mc>
                          <m:mcPr>
                            <m:count m:val="3"/>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σ</m:t>
                            </m:r>
                          </m:e>
                          <m:sub>
                            <m:r>
                              <w:rPr>
                                <w:rFonts w:ascii="Cambria Math" w:hAnsi="Cambria Math"/>
                              </w:rPr>
                              <m:t>1</m:t>
                            </m:r>
                          </m:sub>
                        </m:sSub>
                      </m:e>
                      <m:e>
                        <m:r>
                          <w:rPr>
                            <w:rFonts w:ascii="Cambria Math" w:hAnsi="Cambria Math"/>
                          </w:rPr>
                          <m:t xml:space="preserve"> </m:t>
                        </m:r>
                      </m:e>
                      <m:e>
                        <m:r>
                          <w:rPr>
                            <w:rFonts w:ascii="Cambria Math" w:hAnsi="Cambria Math"/>
                          </w:rPr>
                          <m:t xml:space="preserve"> </m:t>
                        </m:r>
                      </m:e>
                    </m:mr>
                    <m:mr>
                      <m:e>
                        <m:r>
                          <w:rPr>
                            <w:rFonts w:ascii="Cambria Math" w:hAnsi="Cambria Math"/>
                          </w:rPr>
                          <m:t xml:space="preserve"> </m:t>
                        </m:r>
                      </m:e>
                      <m:e>
                        <m:r>
                          <w:rPr>
                            <w:rFonts w:ascii="Cambria Math" w:hAnsi="Cambria Math"/>
                          </w:rPr>
                          <m:t>⋱</m:t>
                        </m:r>
                      </m:e>
                      <m:e>
                        <m:r>
                          <w:rPr>
                            <w:rFonts w:ascii="Cambria Math" w:hAnsi="Cambria Math"/>
                          </w:rPr>
                          <m:t xml:space="preserve"> </m:t>
                        </m:r>
                      </m:e>
                    </m:mr>
                  </m:m>
                </m:e>
                <m:e>
                  <m:m>
                    <m:mPr>
                      <m:mcs>
                        <m:mc>
                          <m:mcPr>
                            <m:count m:val="3"/>
                            <m:mcJc m:val="center"/>
                          </m:mcPr>
                        </m:mc>
                      </m:mcs>
                      <m:ctrlPr>
                        <w:rPr>
                          <w:rFonts w:ascii="Cambria Math" w:hAnsi="Cambria Math"/>
                          <w:i/>
                        </w:rPr>
                      </m:ctrlPr>
                    </m:mPr>
                    <m:mr>
                      <m:e>
                        <m:r>
                          <w:rPr>
                            <w:rFonts w:ascii="Cambria Math" w:hAnsi="Cambria Math"/>
                          </w:rPr>
                          <m:t xml:space="preserve"> </m:t>
                        </m:r>
                      </m:e>
                      <m:e>
                        <m:r>
                          <w:rPr>
                            <w:rFonts w:ascii="Cambria Math" w:hAnsi="Cambria Math"/>
                          </w:rPr>
                          <m:t xml:space="preserve"> </m:t>
                        </m:r>
                      </m:e>
                      <m:e>
                        <m:r>
                          <w:rPr>
                            <w:rFonts w:ascii="Cambria Math" w:hAnsi="Cambria Math"/>
                          </w:rPr>
                          <m:t xml:space="preserve"> </m:t>
                        </m:r>
                      </m:e>
                    </m:mr>
                    <m:mr>
                      <m:e>
                        <m:r>
                          <w:rPr>
                            <w:rFonts w:ascii="Cambria Math" w:hAnsi="Cambria Math"/>
                          </w:rPr>
                          <m:t xml:space="preserve"> </m:t>
                        </m:r>
                      </m:e>
                      <m:e>
                        <m:r>
                          <w:rPr>
                            <w:rFonts w:ascii="Cambria Math" w:hAnsi="Cambria Math"/>
                          </w:rPr>
                          <m:t xml:space="preserve"> </m:t>
                        </m:r>
                      </m:e>
                      <m:e>
                        <m:sSub>
                          <m:sSubPr>
                            <m:ctrlPr>
                              <w:rPr>
                                <w:rFonts w:ascii="Cambria Math" w:hAnsi="Cambria Math"/>
                                <w:i/>
                              </w:rPr>
                            </m:ctrlPr>
                          </m:sSubPr>
                          <m:e>
                            <m:r>
                              <w:rPr>
                                <w:rFonts w:ascii="Cambria Math" w:hAnsi="Cambria Math"/>
                              </w:rPr>
                              <m:t>σ</m:t>
                            </m:r>
                          </m:e>
                          <m:sub>
                            <m:r>
                              <w:rPr>
                                <w:rFonts w:ascii="Cambria Math" w:hAnsi="Cambria Math"/>
                              </w:rPr>
                              <m:t>n</m:t>
                            </m:r>
                          </m:sub>
                        </m:sSub>
                      </m:e>
                    </m:mr>
                  </m:m>
                </m:e>
              </m:eqArr>
            </m:e>
          </m:d>
          <m:sSup>
            <m:sSupPr>
              <m:ctrlPr>
                <w:rPr>
                  <w:rFonts w:ascii="Cambria Math" w:hAnsi="Cambria Math"/>
                  <w:i/>
                </w:rPr>
              </m:ctrlPr>
            </m:sSupPr>
            <m:e>
              <m:d>
                <m:dPr>
                  <m:begChr m:val="["/>
                  <m:endChr m:val="]"/>
                  <m:ctrlPr>
                    <w:rPr>
                      <w:rFonts w:ascii="Cambria Math" w:hAnsi="Cambria Math"/>
                      <w:i/>
                    </w:rPr>
                  </m:ctrlPr>
                </m:dPr>
                <m:e>
                  <m:m>
                    <m:mPr>
                      <m:mcs>
                        <m:mc>
                          <m:mcPr>
                            <m:count m:val="2"/>
                            <m:mcJc m:val="center"/>
                          </m:mcPr>
                        </m:mc>
                      </m:mcs>
                      <m:ctrlPr>
                        <w:rPr>
                          <w:rFonts w:ascii="Cambria Math" w:hAnsi="Cambria Math"/>
                          <w:i/>
                        </w:rPr>
                      </m:ctrlPr>
                    </m:mPr>
                    <m:mr>
                      <m:e>
                        <m:r>
                          <w:rPr>
                            <w:rFonts w:ascii="Cambria Math" w:hAnsi="Cambria Math"/>
                          </w:rPr>
                          <m:t>⋮</m:t>
                        </m:r>
                      </m:e>
                      <m:e>
                        <m:r>
                          <w:rPr>
                            <w:rFonts w:ascii="Cambria Math" w:hAnsi="Cambria Math"/>
                          </w:rPr>
                          <m:t>⋮</m:t>
                        </m:r>
                      </m:e>
                    </m:mr>
                    <m:mr>
                      <m:e>
                        <m:sSub>
                          <m:sSubPr>
                            <m:ctrlPr>
                              <w:rPr>
                                <w:rFonts w:ascii="Cambria Math" w:hAnsi="Cambria Math"/>
                                <w:i/>
                              </w:rPr>
                            </m:ctrlPr>
                          </m:sSubPr>
                          <m:e>
                            <m:r>
                              <w:rPr>
                                <w:rFonts w:ascii="Cambria Math" w:hAnsi="Cambria Math"/>
                              </w:rPr>
                              <m:t>V</m:t>
                            </m:r>
                          </m:e>
                          <m:sub>
                            <m:r>
                              <w:rPr>
                                <w:rFonts w:ascii="Cambria Math" w:hAnsi="Cambria Math"/>
                              </w:rPr>
                              <m:t>1</m:t>
                            </m:r>
                          </m:sub>
                        </m:sSub>
                      </m:e>
                      <m:e>
                        <m:sSub>
                          <m:sSubPr>
                            <m:ctrlPr>
                              <w:rPr>
                                <w:rFonts w:ascii="Cambria Math" w:hAnsi="Cambria Math"/>
                                <w:i/>
                              </w:rPr>
                            </m:ctrlPr>
                          </m:sSubPr>
                          <m:e>
                            <m:r>
                              <w:rPr>
                                <w:rFonts w:ascii="Cambria Math" w:hAnsi="Cambria Math"/>
                              </w:rPr>
                              <m:t>V</m:t>
                            </m:r>
                          </m:e>
                          <m:sub>
                            <m:r>
                              <w:rPr>
                                <w:rFonts w:ascii="Cambria Math" w:hAnsi="Cambria Math"/>
                              </w:rPr>
                              <m:t>2</m:t>
                            </m:r>
                          </m:sub>
                        </m:sSub>
                      </m:e>
                    </m:mr>
                    <m:mr>
                      <m:e>
                        <m:r>
                          <w:rPr>
                            <w:rFonts w:ascii="Cambria Math" w:hAnsi="Cambria Math"/>
                          </w:rPr>
                          <m:t>⋮</m:t>
                        </m:r>
                      </m:e>
                      <m:e>
                        <m:r>
                          <w:rPr>
                            <w:rFonts w:ascii="Cambria Math" w:hAnsi="Cambria Math"/>
                          </w:rPr>
                          <m:t>⋮</m:t>
                        </m:r>
                      </m:e>
                    </m:mr>
                  </m:m>
                  <m:r>
                    <w:rPr>
                      <w:rFonts w:ascii="Cambria Math" w:hAnsi="Cambria Math"/>
                    </w:rPr>
                    <m:t xml:space="preserve">    </m:t>
                  </m:r>
                  <m:m>
                    <m:mPr>
                      <m:mcs>
                        <m:mc>
                          <m:mcPr>
                            <m:count m:val="2"/>
                            <m:mcJc m:val="center"/>
                          </m:mcPr>
                        </m:mc>
                      </m:mcs>
                      <m:ctrlPr>
                        <w:rPr>
                          <w:rFonts w:ascii="Cambria Math" w:hAnsi="Cambria Math"/>
                          <w:i/>
                        </w:rPr>
                      </m:ctrlPr>
                    </m:mPr>
                    <m:mr>
                      <m:e>
                        <m:r>
                          <w:rPr>
                            <w:rFonts w:ascii="Cambria Math" w:hAnsi="Cambria Math"/>
                          </w:rPr>
                          <m:t xml:space="preserve"> </m:t>
                        </m:r>
                      </m:e>
                      <m:e>
                        <m:r>
                          <w:rPr>
                            <w:rFonts w:ascii="Cambria Math" w:hAnsi="Cambria Math"/>
                          </w:rPr>
                          <m:t>⋮</m:t>
                        </m:r>
                      </m:e>
                    </m:mr>
                    <m:mr>
                      <m:e>
                        <m:r>
                          <w:rPr>
                            <w:rFonts w:ascii="Cambria Math" w:hAnsi="Cambria Math"/>
                          </w:rPr>
                          <m:t>…</m:t>
                        </m:r>
                      </m:e>
                      <m:e>
                        <m:sSub>
                          <m:sSubPr>
                            <m:ctrlPr>
                              <w:rPr>
                                <w:rFonts w:ascii="Cambria Math" w:hAnsi="Cambria Math"/>
                                <w:i/>
                              </w:rPr>
                            </m:ctrlPr>
                          </m:sSubPr>
                          <m:e>
                            <m:r>
                              <w:rPr>
                                <w:rFonts w:ascii="Cambria Math" w:hAnsi="Cambria Math"/>
                              </w:rPr>
                              <m:t>V</m:t>
                            </m:r>
                          </m:e>
                          <m:sub>
                            <m:r>
                              <w:rPr>
                                <w:rFonts w:ascii="Cambria Math" w:hAnsi="Cambria Math"/>
                              </w:rPr>
                              <m:t>n</m:t>
                            </m:r>
                          </m:sub>
                        </m:sSub>
                      </m:e>
                    </m:mr>
                    <m:mr>
                      <m:e>
                        <m:r>
                          <w:rPr>
                            <w:rFonts w:ascii="Cambria Math" w:hAnsi="Cambria Math"/>
                          </w:rPr>
                          <m:t xml:space="preserve"> </m:t>
                        </m:r>
                      </m:e>
                      <m:e>
                        <m:r>
                          <w:rPr>
                            <w:rFonts w:ascii="Cambria Math" w:hAnsi="Cambria Math"/>
                          </w:rPr>
                          <m:t>⋮</m:t>
                        </m:r>
                      </m:e>
                    </m:mr>
                  </m:m>
                </m:e>
              </m:d>
            </m:e>
            <m:sup>
              <m:r>
                <w:rPr>
                  <w:rFonts w:ascii="Cambria Math" w:hAnsi="Cambria Math"/>
                </w:rPr>
                <m:t>'</m:t>
              </m:r>
            </m:sup>
          </m:sSup>
        </m:oMath>
      </m:oMathPara>
    </w:p>
    <w:p w:rsidR="00E664E4" w:rsidRDefault="00E664E4" w:rsidP="00E664E4">
      <w:pPr>
        <w:jc w:val="right"/>
        <w:rPr>
          <w:rFonts w:eastAsiaTheme="minorEastAsia"/>
        </w:rPr>
      </w:pPr>
      <m:oMathPara>
        <m:oMath>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1</m:t>
              </m:r>
            </m:sub>
          </m:sSub>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 xml:space="preserve"> </m:t>
                    </m:r>
                  </m:e>
                </m:mr>
                <m:mr>
                  <m:e>
                    <m:sSub>
                      <m:sSubPr>
                        <m:ctrlPr>
                          <w:rPr>
                            <w:rFonts w:ascii="Cambria Math" w:hAnsi="Cambria Math"/>
                            <w:i/>
                          </w:rPr>
                        </m:ctrlPr>
                      </m:sSubPr>
                      <m:e>
                        <m:r>
                          <w:rPr>
                            <w:rFonts w:ascii="Cambria Math" w:hAnsi="Cambria Math"/>
                          </w:rPr>
                          <m:t>U</m:t>
                        </m:r>
                      </m:e>
                      <m:sub>
                        <m:r>
                          <w:rPr>
                            <w:rFonts w:ascii="Cambria Math" w:hAnsi="Cambria Math"/>
                          </w:rPr>
                          <m:t>1</m:t>
                        </m:r>
                      </m:sub>
                    </m:sSub>
                  </m:e>
                </m:mr>
                <m:mr>
                  <m:e>
                    <m:r>
                      <w:rPr>
                        <w:rFonts w:ascii="Cambria Math" w:hAnsi="Cambria Math"/>
                      </w:rPr>
                      <m:t xml:space="preserve"> </m:t>
                    </m:r>
                  </m:e>
                </m:mr>
              </m:m>
            </m:e>
          </m:d>
          <m:d>
            <m:dPr>
              <m:begChr m:val="["/>
              <m:endChr m:val="]"/>
              <m:ctrlPr>
                <w:rPr>
                  <w:rFonts w:ascii="Cambria Math" w:hAnsi="Cambria Math"/>
                  <w:i/>
                </w:rPr>
              </m:ctrlPr>
            </m:dPr>
            <m:e>
              <m:r>
                <w:rPr>
                  <w:rFonts w:ascii="Cambria Math" w:hAnsi="Cambria Math"/>
                </w:rPr>
                <m:t xml:space="preserve"> </m:t>
              </m:r>
              <m:m>
                <m:mPr>
                  <m:mcs>
                    <m:mc>
                      <m:mcPr>
                        <m:count m:val="3"/>
                        <m:mcJc m:val="center"/>
                      </m:mcPr>
                    </m:mc>
                  </m:mcs>
                  <m:ctrlPr>
                    <w:rPr>
                      <w:rFonts w:ascii="Cambria Math" w:hAnsi="Cambria Math"/>
                      <w:i/>
                    </w:rPr>
                  </m:ctrlPr>
                </m:mPr>
                <m:mr>
                  <m:e>
                    <m:r>
                      <w:rPr>
                        <w:rFonts w:ascii="Cambria Math" w:hAnsi="Cambria Math"/>
                      </w:rPr>
                      <m:t xml:space="preserve"> </m:t>
                    </m:r>
                  </m:e>
                  <m:e>
                    <m:sSub>
                      <m:sSubPr>
                        <m:ctrlPr>
                          <w:rPr>
                            <w:rFonts w:ascii="Cambria Math" w:hAnsi="Cambria Math"/>
                            <w:i/>
                          </w:rPr>
                        </m:ctrlPr>
                      </m:sSubPr>
                      <m:e>
                        <m:r>
                          <w:rPr>
                            <w:rFonts w:ascii="Cambria Math" w:hAnsi="Cambria Math"/>
                          </w:rPr>
                          <m:t>V</m:t>
                        </m:r>
                      </m:e>
                      <m:sub>
                        <m:r>
                          <w:rPr>
                            <w:rFonts w:ascii="Cambria Math" w:hAnsi="Cambria Math"/>
                          </w:rPr>
                          <m:t>1</m:t>
                        </m:r>
                      </m:sub>
                    </m:sSub>
                    <m:r>
                      <w:rPr>
                        <w:rFonts w:ascii="Cambria Math" w:hAnsi="Cambria Math"/>
                      </w:rPr>
                      <m:t>'</m:t>
                    </m:r>
                  </m:e>
                  <m:e>
                    <m:r>
                      <w:rPr>
                        <w:rFonts w:ascii="Cambria Math" w:hAnsi="Cambria Math"/>
                      </w:rPr>
                      <m:t xml:space="preserve"> </m:t>
                    </m:r>
                  </m:e>
                </m:mr>
              </m:m>
              <m:r>
                <w:rPr>
                  <w:rFonts w:ascii="Cambria Math" w:hAnsi="Cambria Math"/>
                </w:rPr>
                <m:t xml:space="preserve"> </m:t>
              </m:r>
            </m:e>
          </m:d>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n</m:t>
              </m:r>
            </m:sub>
          </m:sSub>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 xml:space="preserve"> </m:t>
                    </m:r>
                  </m:e>
                </m:mr>
                <m:mr>
                  <m:e>
                    <m:sSub>
                      <m:sSubPr>
                        <m:ctrlPr>
                          <w:rPr>
                            <w:rFonts w:ascii="Cambria Math" w:hAnsi="Cambria Math"/>
                            <w:i/>
                          </w:rPr>
                        </m:ctrlPr>
                      </m:sSubPr>
                      <m:e>
                        <m:r>
                          <w:rPr>
                            <w:rFonts w:ascii="Cambria Math" w:hAnsi="Cambria Math"/>
                          </w:rPr>
                          <m:t>U</m:t>
                        </m:r>
                      </m:e>
                      <m:sub>
                        <m:r>
                          <w:rPr>
                            <w:rFonts w:ascii="Cambria Math" w:hAnsi="Cambria Math"/>
                          </w:rPr>
                          <m:t>n</m:t>
                        </m:r>
                      </m:sub>
                    </m:sSub>
                  </m:e>
                </m:mr>
                <m:mr>
                  <m:e>
                    <m:r>
                      <w:rPr>
                        <w:rFonts w:ascii="Cambria Math" w:hAnsi="Cambria Math"/>
                      </w:rPr>
                      <m:t xml:space="preserve"> </m:t>
                    </m:r>
                  </m:e>
                </m:mr>
              </m:m>
            </m:e>
          </m:d>
          <m:d>
            <m:dPr>
              <m:begChr m:val="["/>
              <m:endChr m:val="]"/>
              <m:ctrlPr>
                <w:rPr>
                  <w:rFonts w:ascii="Cambria Math" w:hAnsi="Cambria Math"/>
                  <w:i/>
                </w:rPr>
              </m:ctrlPr>
            </m:dPr>
            <m:e>
              <m:r>
                <w:rPr>
                  <w:rFonts w:ascii="Cambria Math" w:hAnsi="Cambria Math"/>
                </w:rPr>
                <m:t xml:space="preserve"> </m:t>
              </m:r>
              <m:m>
                <m:mPr>
                  <m:mcs>
                    <m:mc>
                      <m:mcPr>
                        <m:count m:val="3"/>
                        <m:mcJc m:val="center"/>
                      </m:mcPr>
                    </m:mc>
                  </m:mcs>
                  <m:ctrlPr>
                    <w:rPr>
                      <w:rFonts w:ascii="Cambria Math" w:hAnsi="Cambria Math"/>
                      <w:i/>
                    </w:rPr>
                  </m:ctrlPr>
                </m:mPr>
                <m:mr>
                  <m:e>
                    <m:r>
                      <w:rPr>
                        <w:rFonts w:ascii="Cambria Math" w:hAnsi="Cambria Math"/>
                      </w:rPr>
                      <m:t xml:space="preserve"> </m:t>
                    </m:r>
                  </m:e>
                  <m:e>
                    <m:sSub>
                      <m:sSubPr>
                        <m:ctrlPr>
                          <w:rPr>
                            <w:rFonts w:ascii="Cambria Math" w:hAnsi="Cambria Math"/>
                            <w:i/>
                          </w:rPr>
                        </m:ctrlPr>
                      </m:sSubPr>
                      <m:e>
                        <m:r>
                          <w:rPr>
                            <w:rFonts w:ascii="Cambria Math" w:hAnsi="Cambria Math"/>
                          </w:rPr>
                          <m:t>V</m:t>
                        </m:r>
                      </m:e>
                      <m:sub>
                        <m:r>
                          <w:rPr>
                            <w:rFonts w:ascii="Cambria Math" w:hAnsi="Cambria Math"/>
                          </w:rPr>
                          <m:t>n</m:t>
                        </m:r>
                      </m:sub>
                    </m:sSub>
                    <m:r>
                      <w:rPr>
                        <w:rFonts w:ascii="Cambria Math" w:hAnsi="Cambria Math"/>
                      </w:rPr>
                      <m:t>'</m:t>
                    </m:r>
                  </m:e>
                  <m:e>
                    <m:r>
                      <w:rPr>
                        <w:rFonts w:ascii="Cambria Math" w:hAnsi="Cambria Math"/>
                      </w:rPr>
                      <m:t xml:space="preserve"> </m:t>
                    </m:r>
                  </m:e>
                </m:mr>
              </m:m>
              <m:r>
                <w:rPr>
                  <w:rFonts w:ascii="Cambria Math" w:hAnsi="Cambria Math"/>
                </w:rPr>
                <m:t xml:space="preserve"> </m:t>
              </m:r>
            </m:e>
          </m:d>
        </m:oMath>
      </m:oMathPara>
    </w:p>
    <w:p w:rsidR="00E664E4" w:rsidRPr="00AC445B" w:rsidRDefault="00E664E4" w:rsidP="00E664E4">
      <w:pPr>
        <w:jc w:val="right"/>
      </w:pPr>
      <m:oMath>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1</m:t>
            </m:r>
          </m:sub>
        </m:sSub>
        <m:sSub>
          <m:sSubPr>
            <m:ctrlPr>
              <w:rPr>
                <w:rFonts w:ascii="Cambria Math" w:hAnsi="Cambria Math"/>
                <w:i/>
              </w:rPr>
            </m:ctrlPr>
          </m:sSubPr>
          <m:e>
            <m:r>
              <w:rPr>
                <w:rFonts w:ascii="Cambria Math" w:hAnsi="Cambria Math"/>
              </w:rPr>
              <m:t>U</m:t>
            </m:r>
          </m:e>
          <m:sub>
            <m:r>
              <w:rPr>
                <w:rFonts w:ascii="Cambria Math" w:hAnsi="Cambria Math"/>
              </w:rPr>
              <m:t>1</m:t>
            </m:r>
          </m:sub>
        </m:sSub>
        <m:sSubSup>
          <m:sSubSupPr>
            <m:ctrlPr>
              <w:rPr>
                <w:rFonts w:ascii="Cambria Math" w:hAnsi="Cambria Math"/>
                <w:i/>
              </w:rPr>
            </m:ctrlPr>
          </m:sSubSupPr>
          <m:e>
            <m:r>
              <w:rPr>
                <w:rFonts w:ascii="Cambria Math" w:hAnsi="Cambria Math"/>
              </w:rPr>
              <m:t>V</m:t>
            </m:r>
          </m:e>
          <m:sub>
            <m:r>
              <w:rPr>
                <w:rFonts w:ascii="Cambria Math" w:hAnsi="Cambria Math"/>
              </w:rPr>
              <m:t>1</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2</m:t>
            </m:r>
          </m:sub>
        </m:sSub>
        <m:sSub>
          <m:sSubPr>
            <m:ctrlPr>
              <w:rPr>
                <w:rFonts w:ascii="Cambria Math" w:hAnsi="Cambria Math"/>
                <w:i/>
              </w:rPr>
            </m:ctrlPr>
          </m:sSubPr>
          <m:e>
            <m:r>
              <w:rPr>
                <w:rFonts w:ascii="Cambria Math" w:hAnsi="Cambria Math"/>
              </w:rPr>
              <m:t>U</m:t>
            </m:r>
          </m:e>
          <m:sub>
            <m:r>
              <w:rPr>
                <w:rFonts w:ascii="Cambria Math" w:hAnsi="Cambria Math"/>
              </w:rPr>
              <m:t>2</m:t>
            </m:r>
          </m:sub>
        </m:sSub>
        <m:sSubSup>
          <m:sSubSupPr>
            <m:ctrlPr>
              <w:rPr>
                <w:rFonts w:ascii="Cambria Math" w:hAnsi="Cambria Math"/>
                <w:i/>
              </w:rPr>
            </m:ctrlPr>
          </m:sSubSupPr>
          <m:e>
            <m:r>
              <w:rPr>
                <w:rFonts w:ascii="Cambria Math" w:hAnsi="Cambria Math"/>
              </w:rPr>
              <m:t>V</m:t>
            </m:r>
          </m:e>
          <m:sub>
            <m:r>
              <w:rPr>
                <w:rFonts w:ascii="Cambria Math" w:hAnsi="Cambria Math"/>
              </w:rPr>
              <m:t>2</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n</m:t>
            </m:r>
          </m:sub>
        </m:sSub>
        <m:sSub>
          <m:sSubPr>
            <m:ctrlPr>
              <w:rPr>
                <w:rFonts w:ascii="Cambria Math" w:hAnsi="Cambria Math"/>
                <w:i/>
              </w:rPr>
            </m:ctrlPr>
          </m:sSubPr>
          <m:e>
            <m:r>
              <w:rPr>
                <w:rFonts w:ascii="Cambria Math" w:hAnsi="Cambria Math"/>
              </w:rPr>
              <m:t>U</m:t>
            </m:r>
          </m:e>
          <m:sub>
            <m:r>
              <w:rPr>
                <w:rFonts w:ascii="Cambria Math" w:hAnsi="Cambria Math"/>
              </w:rPr>
              <m:t>n</m:t>
            </m:r>
          </m:sub>
        </m:sSub>
        <m:sSubSup>
          <m:sSubSupPr>
            <m:ctrlPr>
              <w:rPr>
                <w:rFonts w:ascii="Cambria Math" w:hAnsi="Cambria Math"/>
                <w:i/>
              </w:rPr>
            </m:ctrlPr>
          </m:sSubSupPr>
          <m:e>
            <m:r>
              <w:rPr>
                <w:rFonts w:ascii="Cambria Math" w:hAnsi="Cambria Math"/>
              </w:rPr>
              <m:t>V</m:t>
            </m:r>
          </m:e>
          <m:sub>
            <m:r>
              <w:rPr>
                <w:rFonts w:ascii="Cambria Math" w:hAnsi="Cambria Math"/>
              </w:rPr>
              <m:t>n</m:t>
            </m:r>
          </m:sub>
          <m:sup>
            <m:r>
              <w:rPr>
                <w:rFonts w:ascii="Cambria Math" w:hAnsi="Cambria Math"/>
              </w:rPr>
              <m:t>'</m:t>
            </m:r>
          </m:sup>
        </m:sSubSup>
        <m:r>
          <w:rPr>
            <w:rFonts w:ascii="Cambria Math" w:hAnsi="Cambria Math"/>
          </w:rPr>
          <m:t>=</m:t>
        </m:r>
        <m:nary>
          <m:naryPr>
            <m:chr m:val="∑"/>
            <m:limLoc m:val="undOvr"/>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σ</m:t>
                </m:r>
              </m:e>
              <m:sub>
                <m:r>
                  <w:rPr>
                    <w:rFonts w:ascii="Cambria Math" w:hAnsi="Cambria Math"/>
                  </w:rPr>
                  <m:t>i</m:t>
                </m:r>
              </m:sub>
            </m:sSub>
            <m:sSub>
              <m:sSubPr>
                <m:ctrlPr>
                  <w:rPr>
                    <w:rFonts w:ascii="Cambria Math" w:hAnsi="Cambria Math"/>
                    <w:i/>
                  </w:rPr>
                </m:ctrlPr>
              </m:sSubPr>
              <m:e>
                <m:r>
                  <w:rPr>
                    <w:rFonts w:ascii="Cambria Math" w:hAnsi="Cambria Math"/>
                  </w:rPr>
                  <m:t>U</m:t>
                </m:r>
              </m:e>
              <m:sub>
                <m:r>
                  <w:rPr>
                    <w:rFonts w:ascii="Cambria Math" w:hAnsi="Cambria Math"/>
                  </w:rPr>
                  <m:t>i</m:t>
                </m:r>
              </m:sub>
            </m:sSub>
            <m:sSub>
              <m:sSubPr>
                <m:ctrlPr>
                  <w:rPr>
                    <w:rFonts w:ascii="Cambria Math" w:hAnsi="Cambria Math"/>
                    <w:i/>
                  </w:rPr>
                </m:ctrlPr>
              </m:sSubPr>
              <m:e>
                <m:r>
                  <w:rPr>
                    <w:rFonts w:ascii="Cambria Math" w:hAnsi="Cambria Math"/>
                  </w:rPr>
                  <m:t>V</m:t>
                </m:r>
              </m:e>
              <m:sub>
                <m:r>
                  <w:rPr>
                    <w:rFonts w:ascii="Cambria Math" w:hAnsi="Cambria Math"/>
                  </w:rPr>
                  <m:t>i</m:t>
                </m:r>
              </m:sub>
            </m:sSub>
            <m:r>
              <w:rPr>
                <w:rFonts w:ascii="Cambria Math" w:hAnsi="Cambria Math"/>
              </w:rPr>
              <m:t>'</m:t>
            </m:r>
          </m:e>
        </m:nary>
      </m:oMath>
      <w:r>
        <w:rPr>
          <w:rFonts w:eastAsiaTheme="minorEastAsia"/>
        </w:rPr>
        <w:t xml:space="preserve"> </w:t>
      </w:r>
      <w:r>
        <w:rPr>
          <w:rFonts w:eastAsiaTheme="minorEastAsia"/>
        </w:rPr>
        <w:tab/>
      </w:r>
      <w:r>
        <w:rPr>
          <w:rFonts w:eastAsiaTheme="minorEastAsia"/>
        </w:rPr>
        <w:tab/>
        <w:t>Eq. (</w:t>
      </w:r>
      <w:r>
        <w:t>2.3.</w:t>
      </w:r>
      <w:r w:rsidRPr="00AC445B">
        <w:t>3)</w:t>
      </w:r>
    </w:p>
    <w:p w:rsidR="00E664E4" w:rsidRPr="00AC445B" w:rsidRDefault="00E664E4" w:rsidP="00E664E4">
      <w:r w:rsidRPr="00AC445B">
        <w:t>The first outer product</w:t>
      </w:r>
      <w:proofErr w:type="gramStart"/>
      <w:r w:rsidRPr="00AC445B">
        <w:t>,</w:t>
      </w:r>
      <w:r>
        <w:t xml:space="preserve"> </w:t>
      </w:r>
      <w:proofErr w:type="gramEnd"/>
      <m:oMath>
        <m:sSub>
          <m:sSubPr>
            <m:ctrlPr>
              <w:rPr>
                <w:rFonts w:ascii="Cambria Math" w:hAnsi="Cambria Math"/>
                <w:i/>
              </w:rPr>
            </m:ctrlPr>
          </m:sSubPr>
          <m:e>
            <m:r>
              <w:rPr>
                <w:rFonts w:ascii="Cambria Math" w:hAnsi="Cambria Math"/>
              </w:rPr>
              <m:t>σ</m:t>
            </m:r>
          </m:e>
          <m:sub>
            <m:r>
              <w:rPr>
                <w:rFonts w:ascii="Cambria Math" w:hAnsi="Cambria Math"/>
              </w:rPr>
              <m:t>1</m:t>
            </m:r>
          </m:sub>
        </m:sSub>
        <m:sSub>
          <m:sSubPr>
            <m:ctrlPr>
              <w:rPr>
                <w:rFonts w:ascii="Cambria Math" w:hAnsi="Cambria Math"/>
                <w:i/>
              </w:rPr>
            </m:ctrlPr>
          </m:sSubPr>
          <m:e>
            <m:r>
              <w:rPr>
                <w:rFonts w:ascii="Cambria Math" w:hAnsi="Cambria Math"/>
              </w:rPr>
              <m:t>U</m:t>
            </m:r>
          </m:e>
          <m:sub>
            <m:r>
              <w:rPr>
                <w:rFonts w:ascii="Cambria Math" w:hAnsi="Cambria Math"/>
              </w:rPr>
              <m:t>1</m:t>
            </m:r>
          </m:sub>
        </m:sSub>
        <m:sSubSup>
          <m:sSubSupPr>
            <m:ctrlPr>
              <w:rPr>
                <w:rFonts w:ascii="Cambria Math" w:hAnsi="Cambria Math"/>
                <w:i/>
              </w:rPr>
            </m:ctrlPr>
          </m:sSubSupPr>
          <m:e>
            <m:r>
              <w:rPr>
                <w:rFonts w:ascii="Cambria Math" w:hAnsi="Cambria Math"/>
              </w:rPr>
              <m:t>V</m:t>
            </m:r>
          </m:e>
          <m:sub>
            <m:r>
              <w:rPr>
                <w:rFonts w:ascii="Cambria Math" w:hAnsi="Cambria Math"/>
              </w:rPr>
              <m:t>1</m:t>
            </m:r>
          </m:sub>
          <m:sup>
            <m:r>
              <w:rPr>
                <w:rFonts w:ascii="Cambria Math" w:hAnsi="Cambria Math"/>
              </w:rPr>
              <m:t>'</m:t>
            </m:r>
          </m:sup>
        </m:sSubSup>
      </m:oMath>
      <w:r>
        <w:rPr>
          <w:rFonts w:eastAsiaTheme="minorEastAsia"/>
        </w:rPr>
        <w:t xml:space="preserve">, </w:t>
      </w:r>
      <w:r w:rsidRPr="00AC445B">
        <w:t>through the associated</w:t>
      </w:r>
      <w:r>
        <w:t xml:space="preserve"> </w:t>
      </w:r>
      <m:oMath>
        <m:sSub>
          <m:sSubPr>
            <m:ctrlPr>
              <w:rPr>
                <w:rFonts w:ascii="Cambria Math" w:hAnsi="Cambria Math"/>
                <w:i/>
              </w:rPr>
            </m:ctrlPr>
          </m:sSubPr>
          <m:e>
            <m:r>
              <w:rPr>
                <w:rFonts w:ascii="Cambria Math" w:hAnsi="Cambria Math"/>
              </w:rPr>
              <m:t>σ</m:t>
            </m:r>
          </m:e>
          <m:sub>
            <m:r>
              <w:rPr>
                <w:rFonts w:ascii="Cambria Math" w:hAnsi="Cambria Math"/>
              </w:rPr>
              <m:t>1</m:t>
            </m:r>
          </m:sub>
        </m:sSub>
      </m:oMath>
      <w:r>
        <w:rPr>
          <w:rFonts w:eastAsiaTheme="minorEastAsia"/>
        </w:rPr>
        <w:t xml:space="preserve">, </w:t>
      </w:r>
      <w:r w:rsidRPr="00AC445B">
        <w:t xml:space="preserve">which being the largest of all singular values, </w:t>
      </w:r>
      <w:r w:rsidR="005107A3">
        <w:t>captures t</w:t>
      </w:r>
      <w:r w:rsidRPr="00AC445B">
        <w:t xml:space="preserve">he most </w:t>
      </w:r>
      <w:r w:rsidR="005107A3">
        <w:t xml:space="preserve">variation </w:t>
      </w:r>
      <w:r w:rsidR="0070214A">
        <w:t xml:space="preserve">in one dimension </w:t>
      </w:r>
      <w:r w:rsidR="005107A3">
        <w:t xml:space="preserve">represented by </w:t>
      </w:r>
      <w:r w:rsidRPr="00AC445B">
        <w:t>the original data matrix; meaning</w:t>
      </w:r>
      <w:r>
        <w:t xml:space="preserve"> </w:t>
      </w:r>
      <m:oMath>
        <m:sSub>
          <m:sSubPr>
            <m:ctrlPr>
              <w:rPr>
                <w:rFonts w:ascii="Cambria Math" w:hAnsi="Cambria Math"/>
                <w:i/>
              </w:rPr>
            </m:ctrlPr>
          </m:sSubPr>
          <m:e>
            <m:r>
              <w:rPr>
                <w:rFonts w:ascii="Cambria Math" w:hAnsi="Cambria Math"/>
              </w:rPr>
              <m:t>σ</m:t>
            </m:r>
          </m:e>
          <m:sub>
            <m:r>
              <w:rPr>
                <w:rFonts w:ascii="Cambria Math" w:hAnsi="Cambria Math"/>
              </w:rPr>
              <m:t>1</m:t>
            </m:r>
          </m:sub>
        </m:sSub>
        <m:sSub>
          <m:sSubPr>
            <m:ctrlPr>
              <w:rPr>
                <w:rFonts w:ascii="Cambria Math" w:hAnsi="Cambria Math"/>
                <w:i/>
              </w:rPr>
            </m:ctrlPr>
          </m:sSubPr>
          <m:e>
            <m:r>
              <w:rPr>
                <w:rFonts w:ascii="Cambria Math" w:hAnsi="Cambria Math"/>
              </w:rPr>
              <m:t>U</m:t>
            </m:r>
          </m:e>
          <m:sub>
            <m:r>
              <w:rPr>
                <w:rFonts w:ascii="Cambria Math" w:hAnsi="Cambria Math"/>
              </w:rPr>
              <m:t>1</m:t>
            </m:r>
          </m:sub>
        </m:sSub>
        <m:sSubSup>
          <m:sSubSupPr>
            <m:ctrlPr>
              <w:rPr>
                <w:rFonts w:ascii="Cambria Math" w:hAnsi="Cambria Math"/>
                <w:i/>
              </w:rPr>
            </m:ctrlPr>
          </m:sSubSupPr>
          <m:e>
            <m:r>
              <w:rPr>
                <w:rFonts w:ascii="Cambria Math" w:hAnsi="Cambria Math"/>
              </w:rPr>
              <m:t>V</m:t>
            </m:r>
          </m:e>
          <m:sub>
            <m:r>
              <w:rPr>
                <w:rFonts w:ascii="Cambria Math" w:hAnsi="Cambria Math"/>
              </w:rPr>
              <m:t>1</m:t>
            </m:r>
          </m:sub>
          <m:sup>
            <m:r>
              <w:rPr>
                <w:rFonts w:ascii="Cambria Math" w:hAnsi="Cambria Math"/>
              </w:rPr>
              <m:t>'</m:t>
            </m:r>
          </m:sup>
        </m:sSubSup>
      </m:oMath>
      <w:r w:rsidRPr="00AC445B">
        <w:t xml:space="preserve"> is the best rank-1 approximation of the </w:t>
      </w:r>
      <m:oMath>
        <m:r>
          <w:rPr>
            <w:rFonts w:ascii="Cambria Math" w:hAnsi="Cambria Math"/>
          </w:rPr>
          <m:t>X</m:t>
        </m:r>
      </m:oMath>
      <w:r w:rsidRPr="00AC445B">
        <w:t xml:space="preserve"> data matrix. Each su</w:t>
      </w:r>
      <w:proofErr w:type="spellStart"/>
      <w:r w:rsidRPr="00AC445B">
        <w:t>bsequent</w:t>
      </w:r>
      <w:proofErr w:type="spellEnd"/>
      <w:r w:rsidRPr="00AC445B">
        <w:t xml:space="preserve"> outer product makes progressively</w:t>
      </w:r>
      <w:r>
        <w:t xml:space="preserve"> less and less contribution </w:t>
      </w:r>
      <w:proofErr w:type="gramStart"/>
      <w:r>
        <w:t xml:space="preserve">to </w:t>
      </w:r>
      <w:proofErr w:type="gramEnd"/>
      <m:oMath>
        <m:r>
          <w:rPr>
            <w:rFonts w:ascii="Cambria Math" w:hAnsi="Cambria Math"/>
          </w:rPr>
          <m:t>X</m:t>
        </m:r>
      </m:oMath>
      <w:r w:rsidRPr="00AC445B">
        <w:t>. Therefore, the first term of the outer product</w:t>
      </w:r>
      <w:r w:rsidR="0070214A">
        <w:t>s</w:t>
      </w:r>
      <w:r w:rsidRPr="00AC445B">
        <w:t xml:space="preserve"> of the SVD of </w:t>
      </w:r>
      <m:oMath>
        <m:r>
          <w:rPr>
            <w:rFonts w:ascii="Cambria Math" w:hAnsi="Cambria Math"/>
          </w:rPr>
          <m:t>X</m:t>
        </m:r>
      </m:oMath>
      <w:r w:rsidRPr="00AC445B">
        <w:t xml:space="preserve"> contributes </w:t>
      </w:r>
      <w:r>
        <w:t xml:space="preserve">to </w:t>
      </w:r>
      <w:r w:rsidRPr="00AC445B">
        <w:t xml:space="preserve">the most original information captured </w:t>
      </w:r>
      <w:proofErr w:type="gramStart"/>
      <w:r w:rsidRPr="00AC445B">
        <w:t xml:space="preserve">in </w:t>
      </w:r>
      <w:proofErr w:type="gramEnd"/>
      <m:oMath>
        <m:r>
          <w:rPr>
            <w:rFonts w:ascii="Cambria Math" w:hAnsi="Cambria Math"/>
          </w:rPr>
          <m:t>X</m:t>
        </m:r>
      </m:oMath>
      <w:r w:rsidRPr="00AC445B">
        <w:t xml:space="preserve">, </w:t>
      </w:r>
      <w:r w:rsidR="0070214A">
        <w:t xml:space="preserve">while </w:t>
      </w:r>
      <w:r w:rsidRPr="00AC445B">
        <w:t>the second term contributes the next most, and the last term contributes the least information. Each term of the outer product</w:t>
      </w:r>
      <w:r w:rsidR="005107A3">
        <w:t>s</w:t>
      </w:r>
      <w:r w:rsidRPr="00AC445B">
        <w:t xml:space="preserve"> </w:t>
      </w:r>
      <w:r>
        <w:t>of the SVD of the data matrix</w:t>
      </w:r>
      <w:proofErr w:type="gramStart"/>
      <w:r>
        <w:t xml:space="preserve">, </w:t>
      </w:r>
      <w:proofErr w:type="gramEnd"/>
      <m:oMath>
        <m:r>
          <w:rPr>
            <w:rFonts w:ascii="Cambria Math" w:hAnsi="Cambria Math"/>
          </w:rPr>
          <m:t>X</m:t>
        </m:r>
      </m:oMath>
      <w:r w:rsidRPr="00AC445B">
        <w:t xml:space="preserve">, will be an </w:t>
      </w:r>
      <m:oMath>
        <m:r>
          <w:rPr>
            <w:rFonts w:ascii="Cambria Math" w:hAnsi="Cambria Math"/>
          </w:rPr>
          <m:t>m×n</m:t>
        </m:r>
      </m:oMath>
      <w:r>
        <w:rPr>
          <w:rFonts w:eastAsiaTheme="minorEastAsia"/>
        </w:rPr>
        <w:t xml:space="preserve"> matrix if </w:t>
      </w:r>
      <m:oMath>
        <m:r>
          <w:rPr>
            <w:rFonts w:ascii="Cambria Math" w:eastAsiaTheme="minorEastAsia" w:hAnsi="Cambria Math"/>
          </w:rPr>
          <m:t>X</m:t>
        </m:r>
      </m:oMath>
      <w:r>
        <w:rPr>
          <w:rFonts w:eastAsiaTheme="minorEastAsia"/>
        </w:rPr>
        <w:t xml:space="preserve"> is </w:t>
      </w:r>
      <m:oMath>
        <m:r>
          <w:rPr>
            <w:rFonts w:ascii="Cambria Math" w:eastAsiaTheme="minorEastAsia" w:hAnsi="Cambria Math"/>
          </w:rPr>
          <m:t>m×n</m:t>
        </m:r>
      </m:oMath>
      <w:r>
        <w:rPr>
          <w:rFonts w:eastAsiaTheme="minorEastAsia"/>
        </w:rPr>
        <w:t xml:space="preserve">, </w:t>
      </w:r>
      <w:r w:rsidRPr="00AC445B">
        <w:t xml:space="preserve">and each outer product matrix is independent of all other outer products because all </w:t>
      </w:r>
      <w:r>
        <w:t xml:space="preserve">of </w:t>
      </w:r>
      <w:r w:rsidRPr="00AC445B">
        <w:t xml:space="preserve">the </w:t>
      </w:r>
      <m:oMath>
        <m:sSub>
          <m:sSubPr>
            <m:ctrlPr>
              <w:rPr>
                <w:rFonts w:ascii="Cambria Math" w:hAnsi="Cambria Math"/>
                <w:i/>
              </w:rPr>
            </m:ctrlPr>
          </m:sSubPr>
          <m:e>
            <m:r>
              <w:rPr>
                <w:rFonts w:ascii="Cambria Math" w:hAnsi="Cambria Math"/>
              </w:rPr>
              <m:t>U</m:t>
            </m:r>
          </m:e>
          <m:sub>
            <m:r>
              <w:rPr>
                <w:rFonts w:ascii="Cambria Math" w:hAnsi="Cambria Math"/>
              </w:rPr>
              <m:t>i</m:t>
            </m:r>
          </m:sub>
        </m:sSub>
      </m:oMath>
      <w:r w:rsidRPr="00AC445B">
        <w:t xml:space="preserve">’s are mutually orthonormal and all </w:t>
      </w:r>
      <w:r>
        <w:t xml:space="preserve">of </w:t>
      </w:r>
      <w:r w:rsidRPr="00AC445B">
        <w:t xml:space="preserve">the </w:t>
      </w:r>
      <m:oMath>
        <m:sSub>
          <m:sSubPr>
            <m:ctrlPr>
              <w:rPr>
                <w:rFonts w:ascii="Cambria Math" w:hAnsi="Cambria Math"/>
                <w:i/>
              </w:rPr>
            </m:ctrlPr>
          </m:sSubPr>
          <m:e>
            <m:r>
              <w:rPr>
                <w:rFonts w:ascii="Cambria Math" w:hAnsi="Cambria Math"/>
              </w:rPr>
              <m:t>V</m:t>
            </m:r>
          </m:e>
          <m:sub>
            <m:r>
              <w:rPr>
                <w:rFonts w:ascii="Cambria Math" w:hAnsi="Cambria Math"/>
              </w:rPr>
              <m:t>i</m:t>
            </m:r>
          </m:sub>
        </m:sSub>
      </m:oMath>
      <w:r w:rsidRPr="00AC445B">
        <w:t>’s are mutually orthonormal.</w:t>
      </w:r>
    </w:p>
    <w:p w:rsidR="00E664E4" w:rsidRDefault="00E664E4" w:rsidP="00E664E4">
      <w:r w:rsidRPr="00AC445B">
        <w:t>The following basic approach to PCA was adapted from Wang 2006</w:t>
      </w:r>
      <w:r>
        <w:t>;</w:t>
      </w:r>
      <w:r w:rsidRPr="00AC445B">
        <w:t xml:space="preserve"> </w:t>
      </w:r>
      <w:r w:rsidRPr="00D77D8A">
        <w:t>Martin</w:t>
      </w:r>
      <w:r>
        <w:t xml:space="preserve">, </w:t>
      </w:r>
      <w:r w:rsidRPr="00D77D8A">
        <w:t>Morris, and Lane</w:t>
      </w:r>
      <w:r w:rsidRPr="00AC445B">
        <w:t xml:space="preserve"> 2002</w:t>
      </w:r>
      <w:r>
        <w:t>;</w:t>
      </w:r>
      <w:r w:rsidRPr="00AC445B">
        <w:t xml:space="preserve"> </w:t>
      </w:r>
      <w:r>
        <w:t xml:space="preserve">and </w:t>
      </w:r>
      <w:proofErr w:type="spellStart"/>
      <w:r>
        <w:t>K</w:t>
      </w:r>
      <w:r w:rsidRPr="00AC445B">
        <w:t>ourti</w:t>
      </w:r>
      <w:proofErr w:type="spellEnd"/>
      <w:r>
        <w:t xml:space="preserve"> </w:t>
      </w:r>
      <w:r w:rsidRPr="005463DB">
        <w:t>2002. The overall approach for this work is located in Chapter 3.</w:t>
      </w:r>
      <w:r>
        <w:t xml:space="preserve"> </w:t>
      </w:r>
      <w:r w:rsidRPr="00AC445B">
        <w:t xml:space="preserve">PCA can be performed in two ways: with or without normalizing the data matrix to have unit </w:t>
      </w:r>
      <w:r w:rsidR="005107A3">
        <w:t xml:space="preserve">or weighted </w:t>
      </w:r>
      <w:r w:rsidRPr="00AC445B">
        <w:t>standard deviation in each variable. Normalization must be used when the data set contains variables with different physical units. Therefore it is common to standa</w:t>
      </w:r>
      <w:r>
        <w:t xml:space="preserve">rdize all the data (columns </w:t>
      </w:r>
      <w:proofErr w:type="gramStart"/>
      <w:r>
        <w:t xml:space="preserve">of </w:t>
      </w:r>
      <w:proofErr w:type="gramEnd"/>
      <m:oMath>
        <m:r>
          <w:rPr>
            <w:rFonts w:ascii="Cambria Math" w:hAnsi="Cambria Math"/>
          </w:rPr>
          <m:t>X</m:t>
        </m:r>
      </m:oMath>
      <w:r w:rsidRPr="00AC445B">
        <w:t xml:space="preserve">) to have zero mean and unit standard deviation. </w:t>
      </w:r>
      <w:r w:rsidR="007F1E7D">
        <w:t>Weighted scaling is used when certain process variables need to be brought out</w:t>
      </w:r>
      <w:r w:rsidR="00C0662A">
        <w:t xml:space="preserve"> as more important than other variables, such as the uranium-bearing product streams in this work. </w:t>
      </w:r>
      <w:r>
        <w:t>Therefore, t</w:t>
      </w:r>
      <w:r w:rsidRPr="005463DB">
        <w:t>he first step in</w:t>
      </w:r>
      <w:r w:rsidRPr="00AC445B">
        <w:t xml:space="preserve"> applying PCA is t</w:t>
      </w:r>
      <w:r>
        <w:t>o standardize the data matrix</w:t>
      </w:r>
      <w:proofErr w:type="gramStart"/>
      <w:r>
        <w:t xml:space="preserve">, </w:t>
      </w:r>
      <w:proofErr w:type="gramEnd"/>
      <m:oMath>
        <m:r>
          <w:rPr>
            <w:rFonts w:ascii="Cambria Math" w:hAnsi="Cambria Math"/>
          </w:rPr>
          <m:t>X</m:t>
        </m:r>
      </m:oMath>
      <w:r>
        <w:t xml:space="preserve">, which contains </w:t>
      </w:r>
      <m:oMath>
        <m:r>
          <w:rPr>
            <w:rFonts w:ascii="Cambria Math" w:hAnsi="Cambria Math"/>
          </w:rPr>
          <m:t>m</m:t>
        </m:r>
      </m:oMath>
      <w:r w:rsidRPr="00AC445B">
        <w:t xml:space="preserve"> samples of </w:t>
      </w:r>
      <m:oMath>
        <m:r>
          <w:rPr>
            <w:rFonts w:ascii="Cambria Math" w:hAnsi="Cambria Math"/>
          </w:rPr>
          <m:t>n</m:t>
        </m:r>
      </m:oMath>
      <w:r w:rsidRPr="00AC445B">
        <w:t xml:space="preserve"> variables with</w:t>
      </w:r>
      <w:r>
        <w:t xml:space="preserve"> </w:t>
      </w:r>
      <m:oMath>
        <m:r>
          <w:rPr>
            <w:rFonts w:ascii="Cambria Math" w:hAnsi="Cambria Math"/>
          </w:rPr>
          <m:t>m≫n</m:t>
        </m:r>
      </m:oMath>
      <w:r>
        <w:rPr>
          <w:rFonts w:eastAsiaTheme="minorEastAsia"/>
        </w:rPr>
        <w:t>.</w:t>
      </w:r>
      <w:r w:rsidRPr="00AC445B">
        <w:t xml:space="preserve"> The data is standardized by mean centering each column to give a zero mean and dividing each centered column by its standard deviation (see Eq. </w:t>
      </w:r>
      <w:r>
        <w:t>2.3.</w:t>
      </w:r>
      <w:r w:rsidRPr="00AC445B">
        <w:t>4)</w:t>
      </w:r>
    </w:p>
    <w:p w:rsidR="00E664E4" w:rsidRPr="00AC445B" w:rsidRDefault="00C851DF" w:rsidP="00E664E4">
      <w:pPr>
        <w:jc w:val="right"/>
      </w:pPr>
      <m:oMath>
        <m:sSub>
          <m:sSubPr>
            <m:ctrlPr>
              <w:rPr>
                <w:rFonts w:ascii="Cambria Math" w:hAnsi="Cambria Math"/>
                <w:i/>
              </w:rPr>
            </m:ctrlPr>
          </m:sSubPr>
          <m:e>
            <m:r>
              <w:rPr>
                <w:rFonts w:ascii="Cambria Math" w:hAnsi="Cambria Math"/>
              </w:rPr>
              <m:t>X</m:t>
            </m:r>
          </m:e>
          <m:sub>
            <m:r>
              <w:rPr>
                <w:rFonts w:ascii="Cambria Math" w:hAnsi="Cambria Math"/>
              </w:rPr>
              <m:t>s,i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i</m:t>
                </m:r>
              </m:sub>
            </m:sSub>
          </m:num>
          <m:den>
            <m:sSub>
              <m:sSubPr>
                <m:ctrlPr>
                  <w:rPr>
                    <w:rFonts w:ascii="Cambria Math" w:hAnsi="Cambria Math"/>
                    <w:i/>
                  </w:rPr>
                </m:ctrlPr>
              </m:sSubPr>
              <m:e>
                <m:r>
                  <w:rPr>
                    <w:rFonts w:ascii="Cambria Math" w:hAnsi="Cambria Math"/>
                  </w:rPr>
                  <m:t>s</m:t>
                </m:r>
              </m:e>
              <m:sub>
                <m:r>
                  <w:rPr>
                    <w:rFonts w:ascii="Cambria Math" w:hAnsi="Cambria Math"/>
                  </w:rPr>
                  <m:t>i</m:t>
                </m:r>
              </m:sub>
            </m:sSub>
          </m:den>
        </m:f>
      </m:oMath>
      <w:r w:rsidR="00E664E4">
        <w:rPr>
          <w:rFonts w:eastAsiaTheme="minorEastAsia"/>
        </w:rPr>
        <w:t xml:space="preserve"> </w:t>
      </w:r>
      <w:r w:rsidR="00E664E4">
        <w:rPr>
          <w:rFonts w:eastAsiaTheme="minorEastAsia"/>
        </w:rPr>
        <w:tab/>
      </w:r>
      <w:r w:rsidR="00E664E4">
        <w:rPr>
          <w:rFonts w:eastAsiaTheme="minorEastAsia"/>
        </w:rPr>
        <w:tab/>
      </w:r>
      <m:oMath>
        <m:r>
          <w:rPr>
            <w:rFonts w:ascii="Cambria Math" w:eastAsiaTheme="minorEastAsia" w:hAnsi="Cambria Math"/>
          </w:rPr>
          <m:t>i=1,2,…,n</m:t>
        </m:r>
      </m:oMath>
      <w:r w:rsidR="00E664E4">
        <w:rPr>
          <w:rFonts w:eastAsiaTheme="minorEastAsia"/>
        </w:rPr>
        <w:t xml:space="preserve"> </w:t>
      </w:r>
      <w:r w:rsidR="00E664E4">
        <w:rPr>
          <w:rFonts w:eastAsiaTheme="minorEastAsia"/>
        </w:rPr>
        <w:tab/>
      </w:r>
      <w:r w:rsidR="00E664E4">
        <w:rPr>
          <w:rFonts w:eastAsiaTheme="minorEastAsia"/>
        </w:rPr>
        <w:tab/>
      </w:r>
      <w:r w:rsidR="00E664E4">
        <w:rPr>
          <w:rFonts w:eastAsiaTheme="minorEastAsia"/>
        </w:rPr>
        <w:tab/>
      </w:r>
      <w:r w:rsidR="00E664E4">
        <w:t>Eq. (2.3.</w:t>
      </w:r>
      <w:r w:rsidR="00E664E4" w:rsidRPr="00AC445B">
        <w:t>4)</w:t>
      </w:r>
    </w:p>
    <w:p w:rsidR="00E664E4" w:rsidRDefault="00E664E4" w:rsidP="00E664E4">
      <w:r>
        <w:lastRenderedPageBreak/>
        <w:t xml:space="preserve">where </w:t>
      </w:r>
      <m:oMath>
        <m:sSub>
          <m:sSubPr>
            <m:ctrlPr>
              <w:rPr>
                <w:rFonts w:ascii="Cambria Math" w:hAnsi="Cambria Math"/>
                <w:i/>
              </w:rPr>
            </m:ctrlPr>
          </m:sSubPr>
          <m:e>
            <m:r>
              <w:rPr>
                <w:rFonts w:ascii="Cambria Math" w:hAnsi="Cambria Math"/>
              </w:rPr>
              <m:t>X</m:t>
            </m:r>
          </m:e>
          <m:sub>
            <m:r>
              <w:rPr>
                <w:rFonts w:ascii="Cambria Math" w:hAnsi="Cambria Math"/>
              </w:rPr>
              <m:t>s,i</m:t>
            </m:r>
          </m:sub>
        </m:sSub>
      </m:oMath>
      <w:r>
        <w:rPr>
          <w:rFonts w:eastAsiaTheme="minorEastAsia"/>
        </w:rPr>
        <w:t xml:space="preserve"> for process variable </w:t>
      </w:r>
      <m:oMath>
        <m:r>
          <w:rPr>
            <w:rFonts w:ascii="Cambria Math" w:eastAsiaTheme="minorEastAsia" w:hAnsi="Cambria Math"/>
          </w:rPr>
          <m:t>i</m:t>
        </m:r>
      </m:oMath>
      <w:r>
        <w:rPr>
          <w:rFonts w:eastAsiaTheme="minorEastAsia"/>
        </w:rPr>
        <w:t xml:space="preserve"> denotes the </w:t>
      </w:r>
      <m:oMath>
        <m:r>
          <w:rPr>
            <w:rFonts w:ascii="Cambria Math" w:eastAsiaTheme="minorEastAsia" w:hAnsi="Cambria Math"/>
          </w:rPr>
          <m:t>i</m:t>
        </m:r>
      </m:oMath>
      <w:r>
        <w:rPr>
          <w:rFonts w:eastAsiaTheme="minorEastAsia"/>
        </w:rPr>
        <w:t xml:space="preserve">-th standardized </w:t>
      </w:r>
      <m:oMath>
        <m:r>
          <w:rPr>
            <w:rFonts w:ascii="Cambria Math" w:eastAsiaTheme="minorEastAsia" w:hAnsi="Cambria Math"/>
          </w:rPr>
          <m:t>x</m:t>
        </m:r>
      </m:oMath>
      <w:r>
        <w:rPr>
          <w:rFonts w:eastAsiaTheme="minorEastAsia"/>
        </w:rPr>
        <w:t xml:space="preserve"> variable; </w:t>
      </w:r>
      <m:oMath>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i</m:t>
            </m:r>
          </m:sub>
        </m:sSub>
      </m:oMath>
      <w:r>
        <w:rPr>
          <w:rFonts w:eastAsiaTheme="minorEastAsia"/>
        </w:rPr>
        <w:t xml:space="preserve"> is the </w:t>
      </w:r>
      <m:oMath>
        <m:r>
          <w:rPr>
            <w:rFonts w:ascii="Cambria Math" w:eastAsiaTheme="minorEastAsia" w:hAnsi="Cambria Math"/>
          </w:rPr>
          <m:t>i</m:t>
        </m:r>
      </m:oMath>
      <w:r>
        <w:rPr>
          <w:rFonts w:eastAsiaTheme="minorEastAsia"/>
        </w:rPr>
        <w:t xml:space="preserve">-th original process variable vector; </w:t>
      </w:r>
      <m:oMath>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x</m:t>
                </m:r>
              </m:e>
            </m:acc>
          </m:e>
          <m:sub>
            <m:r>
              <w:rPr>
                <w:rFonts w:ascii="Cambria Math" w:eastAsiaTheme="minorEastAsia" w:hAnsi="Cambria Math"/>
              </w:rPr>
              <m:t>i</m:t>
            </m:r>
          </m:sub>
        </m:sSub>
      </m:oMath>
      <w:r>
        <w:rPr>
          <w:rFonts w:eastAsiaTheme="minorEastAsia"/>
        </w:rPr>
        <w:t xml:space="preserve"> is the mean of the </w:t>
      </w:r>
      <m:oMath>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i</m:t>
            </m:r>
          </m:sub>
        </m:sSub>
      </m:oMath>
      <w:r>
        <w:rPr>
          <w:rFonts w:eastAsiaTheme="minorEastAsia"/>
        </w:rPr>
        <w:t xml:space="preserve"> column vector; and </w:t>
      </w:r>
      <m:oMath>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i</m:t>
            </m:r>
          </m:sub>
        </m:sSub>
      </m:oMath>
      <w:r>
        <w:rPr>
          <w:rFonts w:eastAsiaTheme="minorEastAsia"/>
        </w:rPr>
        <w:t xml:space="preserve"> is the standard deviation for the </w:t>
      </w:r>
      <m:oMath>
        <m:r>
          <w:rPr>
            <w:rFonts w:ascii="Cambria Math" w:eastAsiaTheme="minorEastAsia" w:hAnsi="Cambria Math"/>
          </w:rPr>
          <m:t>i</m:t>
        </m:r>
      </m:oMath>
      <w:r>
        <w:rPr>
          <w:rFonts w:eastAsiaTheme="minorEastAsia"/>
        </w:rPr>
        <w:t xml:space="preserve">-th mean-centered </w:t>
      </w:r>
      <m:oMath>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i</m:t>
            </m:r>
          </m:sub>
        </m:sSub>
      </m:oMath>
      <w:r>
        <w:rPr>
          <w:rFonts w:eastAsiaTheme="minorEastAsia"/>
        </w:rPr>
        <w:t>.</w:t>
      </w:r>
      <w:r>
        <w:t xml:space="preserve"> </w:t>
      </w:r>
      <w:r w:rsidRPr="00AC445B">
        <w:t>Therefore, the resultant da</w:t>
      </w:r>
      <w:r>
        <w:t>ta matrix has a mean of zero</w:t>
      </w:r>
      <w:r w:rsidRPr="00AC445B">
        <w:t xml:space="preserve"> and a standard deviation of </w:t>
      </w:r>
      <w:r>
        <w:t>one</w:t>
      </w:r>
      <w:r w:rsidRPr="00AC445B">
        <w:t xml:space="preserve"> for each column. </w:t>
      </w:r>
      <w:r w:rsidR="00C0662A">
        <w:t xml:space="preserve">In weighted scaling, the standard deviation is divided by a scaling factor </w:t>
      </w:r>
      <w:r w:rsidR="0070214A">
        <w:t xml:space="preserve">before normalization </w:t>
      </w:r>
      <w:r w:rsidR="00C0662A">
        <w:t xml:space="preserve">such that the resultant data matrix has a mean of zero and a standard deviation of the value of the scaling factor for each column. </w:t>
      </w:r>
      <w:r w:rsidRPr="00AC445B">
        <w:t>After the variables have been normalized, SVD i</w:t>
      </w:r>
      <w:r>
        <w:t>s performed according to Eq. 2.3.</w:t>
      </w:r>
      <w:r w:rsidRPr="00AC445B">
        <w:t>5 (Wang 2006)</w:t>
      </w:r>
    </w:p>
    <w:p w:rsidR="00E664E4" w:rsidRDefault="00C851DF" w:rsidP="00E664E4">
      <w:pPr>
        <w:jc w:val="right"/>
      </w:pPr>
      <m:oMath>
        <m:f>
          <m:fPr>
            <m:type m:val="lin"/>
            <m:ctrlPr>
              <w:rPr>
                <w:rFonts w:ascii="Cambria Math" w:eastAsiaTheme="minorEastAsia"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s</m:t>
                </m:r>
              </m:sub>
            </m:sSub>
          </m:num>
          <m:den>
            <m:rad>
              <m:radPr>
                <m:degHide m:val="1"/>
                <m:ctrlPr>
                  <w:rPr>
                    <w:rFonts w:ascii="Cambria Math" w:hAnsi="Cambria Math"/>
                    <w:i/>
                  </w:rPr>
                </m:ctrlPr>
              </m:radPr>
              <m:deg/>
              <m:e>
                <m:r>
                  <w:rPr>
                    <w:rFonts w:ascii="Cambria Math" w:hAnsi="Cambria Math"/>
                  </w:rPr>
                  <m:t>m-1</m:t>
                </m:r>
              </m:e>
            </m:rad>
          </m:den>
        </m:f>
        <m:r>
          <w:rPr>
            <w:rFonts w:ascii="Cambria Math" w:hAnsi="Cambria Math"/>
          </w:rPr>
          <m:t>=U</m:t>
        </m:r>
        <m:r>
          <m:rPr>
            <m:sty m:val="p"/>
          </m:rPr>
          <w:rPr>
            <w:rFonts w:ascii="Cambria Math" w:hAnsi="Cambria Math"/>
          </w:rPr>
          <m:t>Σ</m:t>
        </m:r>
        <m:r>
          <w:rPr>
            <w:rFonts w:ascii="Cambria Math" w:hAnsi="Cambria Math"/>
          </w:rPr>
          <m:t>V'</m:t>
        </m:r>
      </m:oMath>
      <w:r w:rsidR="00E664E4">
        <w:rPr>
          <w:rFonts w:eastAsiaTheme="minorEastAsia"/>
        </w:rPr>
        <w:t xml:space="preserve">  </w:t>
      </w:r>
      <w:r w:rsidR="00E664E4">
        <w:rPr>
          <w:rFonts w:eastAsiaTheme="minorEastAsia"/>
        </w:rPr>
        <w:tab/>
      </w:r>
      <w:r w:rsidR="00E664E4">
        <w:rPr>
          <w:rFonts w:eastAsiaTheme="minorEastAsia"/>
        </w:rPr>
        <w:tab/>
      </w:r>
      <w:r w:rsidR="00E664E4">
        <w:rPr>
          <w:rFonts w:eastAsiaTheme="minorEastAsia"/>
        </w:rPr>
        <w:tab/>
      </w:r>
      <w:r w:rsidR="00E664E4">
        <w:rPr>
          <w:rFonts w:eastAsiaTheme="minorEastAsia"/>
        </w:rPr>
        <w:tab/>
      </w:r>
      <w:r w:rsidR="00E664E4">
        <w:rPr>
          <w:rFonts w:eastAsiaTheme="minorEastAsia"/>
        </w:rPr>
        <w:tab/>
      </w:r>
      <w:r w:rsidR="00E664E4">
        <w:t>Eq. (2.3.</w:t>
      </w:r>
      <w:r w:rsidR="00E664E4" w:rsidRPr="00AC445B">
        <w:t>5)</w:t>
      </w:r>
    </w:p>
    <w:p w:rsidR="00E664E4" w:rsidRDefault="00E664E4" w:rsidP="00E664E4">
      <w:proofErr w:type="gramStart"/>
      <w:r>
        <w:t>where</w:t>
      </w:r>
      <w:proofErr w:type="gramEnd"/>
      <w:r>
        <w:t xml:space="preserve"> </w:t>
      </w:r>
      <m:oMath>
        <m:sSub>
          <m:sSubPr>
            <m:ctrlPr>
              <w:rPr>
                <w:rFonts w:ascii="Cambria Math" w:hAnsi="Cambria Math"/>
                <w:i/>
              </w:rPr>
            </m:ctrlPr>
          </m:sSubPr>
          <m:e>
            <m:r>
              <w:rPr>
                <w:rFonts w:ascii="Cambria Math" w:hAnsi="Cambria Math"/>
              </w:rPr>
              <m:t>X</m:t>
            </m:r>
          </m:e>
          <m:sub>
            <m:r>
              <w:rPr>
                <w:rFonts w:ascii="Cambria Math" w:hAnsi="Cambria Math"/>
              </w:rPr>
              <m:t>s</m:t>
            </m:r>
          </m:sub>
        </m:sSub>
      </m:oMath>
      <w:r>
        <w:rPr>
          <w:rFonts w:eastAsiaTheme="minorEastAsia"/>
        </w:rPr>
        <w:t xml:space="preserve"> is the s</w:t>
      </w:r>
      <w:proofErr w:type="spellStart"/>
      <w:r w:rsidRPr="00AC445B">
        <w:t>tandardized</w:t>
      </w:r>
      <w:proofErr w:type="spellEnd"/>
      <w:r w:rsidRPr="00AC445B">
        <w:t xml:space="preserve"> data matrix. A key consideration in developing a PCA model is to choose an appropriate number of principal components (PCs) to represent the original data in an optimal way; if too few PCs are selected, a poor model will be obtained and an incomplete representation of the process results; if more PCs than necessary are selected, the model will be over</w:t>
      </w:r>
      <w:r w:rsidR="00E859D3">
        <w:noBreakHyphen/>
      </w:r>
      <w:r w:rsidRPr="00AC445B">
        <w:t>parameterized and will include a modeling component for noise (</w:t>
      </w:r>
      <w:r w:rsidRPr="00D77D8A">
        <w:t>Valle</w:t>
      </w:r>
      <w:r>
        <w:t xml:space="preserve">, </w:t>
      </w:r>
      <w:r w:rsidRPr="00D77D8A">
        <w:t>Li, and Qin</w:t>
      </w:r>
      <w:r>
        <w:t xml:space="preserve"> </w:t>
      </w:r>
      <w:r w:rsidRPr="00AC445B">
        <w:t>1999).</w:t>
      </w:r>
      <w:r>
        <w:t xml:space="preserve"> </w:t>
      </w:r>
      <w:r w:rsidRPr="00AC445B">
        <w:t xml:space="preserve">The diagonal values of the </w:t>
      </w:r>
      <m:oMath>
        <m:r>
          <m:rPr>
            <m:sty m:val="p"/>
          </m:rPr>
          <w:rPr>
            <w:rFonts w:ascii="Cambria Math" w:hAnsi="Cambria Math"/>
          </w:rPr>
          <m:t>Σ</m:t>
        </m:r>
      </m:oMath>
      <w:r w:rsidRPr="00AC445B">
        <w:t xml:space="preserve"> matrix can be used to determine the effective rank of the </w:t>
      </w:r>
      <m:oMath>
        <m:sSub>
          <m:sSubPr>
            <m:ctrlPr>
              <w:rPr>
                <w:rFonts w:ascii="Cambria Math" w:hAnsi="Cambria Math"/>
                <w:i/>
              </w:rPr>
            </m:ctrlPr>
          </m:sSubPr>
          <m:e>
            <m:r>
              <w:rPr>
                <w:rFonts w:ascii="Cambria Math" w:hAnsi="Cambria Math"/>
              </w:rPr>
              <m:t>X</m:t>
            </m:r>
          </m:e>
          <m:sub>
            <m:r>
              <w:rPr>
                <w:rFonts w:ascii="Cambria Math" w:hAnsi="Cambria Math"/>
              </w:rPr>
              <m:t>s</m:t>
            </m:r>
          </m:sub>
        </m:sSub>
      </m:oMath>
      <w:r w:rsidRPr="00AC445B">
        <w:t xml:space="preserve"> data matrix by doing a </w:t>
      </w:r>
      <w:proofErr w:type="spellStart"/>
      <w:r>
        <w:t>Scree</w:t>
      </w:r>
      <w:proofErr w:type="spellEnd"/>
      <w:r w:rsidRPr="00AC445B">
        <w:t xml:space="preserve"> test. In the </w:t>
      </w:r>
      <w:r>
        <w:t>Scree</w:t>
      </w:r>
      <w:r w:rsidRPr="00AC445B">
        <w:t xml:space="preserve"> test, the cumulative singular values</w:t>
      </w:r>
      <w:proofErr w:type="gramStart"/>
      <w:r w:rsidRPr="00AC445B">
        <w:t xml:space="preserve">, </w:t>
      </w:r>
      <w:proofErr w:type="gramEnd"/>
      <m:oMath>
        <m:sSup>
          <m:sSupPr>
            <m:ctrlPr>
              <w:rPr>
                <w:rFonts w:ascii="Cambria Math" w:hAnsi="Cambria Math"/>
                <w:i/>
              </w:rPr>
            </m:ctrlPr>
          </m:sSupPr>
          <m:e>
            <m:r>
              <w:rPr>
                <w:rFonts w:ascii="Cambria Math" w:hAnsi="Cambria Math"/>
              </w:rPr>
              <m:t>σ</m:t>
            </m:r>
          </m:e>
          <m:sup>
            <m:r>
              <w:rPr>
                <w:rFonts w:ascii="Cambria Math" w:hAnsi="Cambria Math"/>
              </w:rPr>
              <m:t>2</m:t>
            </m:r>
          </m:sup>
        </m:sSup>
      </m:oMath>
      <w:r w:rsidRPr="00AC445B">
        <w:t>, are plotted in a simple curve against the index count. The point at which the slope changes and appears to level off to the right of the plot suggests the break point to discard additional principal components. The discarded principle components are assumed to represent the process noise and reflect redundancy of the process variables. Using this method, PCA can effectively separate the signal from the noise in a process (</w:t>
      </w:r>
      <w:r w:rsidRPr="00D77D8A">
        <w:t>Martin, Morris, and Lane</w:t>
      </w:r>
      <w:r w:rsidRPr="00AC445B">
        <w:t xml:space="preserve"> 2002).</w:t>
      </w:r>
      <w:r>
        <w:t xml:space="preserve"> </w:t>
      </w:r>
    </w:p>
    <w:p w:rsidR="00E664E4" w:rsidRDefault="00E664E4" w:rsidP="00E664E4">
      <w:r w:rsidRPr="00AC445B">
        <w:t xml:space="preserve">The original observations (i.e., rows </w:t>
      </w:r>
      <w:proofErr w:type="gramStart"/>
      <w:r w:rsidRPr="00AC445B">
        <w:t xml:space="preserve">of </w:t>
      </w:r>
      <w:proofErr w:type="gramEnd"/>
      <m:oMath>
        <m:r>
          <w:rPr>
            <w:rFonts w:ascii="Cambria Math" w:hAnsi="Cambria Math"/>
          </w:rPr>
          <m:t>X</m:t>
        </m:r>
      </m:oMath>
      <w:r w:rsidRPr="00AC445B">
        <w:t>) are then projected onto the smaller principal component subspace spanned by the chosen set</w:t>
      </w:r>
      <w:r>
        <w:t xml:space="preserve"> of reduced number PCs or the ‘</w:t>
      </w:r>
      <m:oMath>
        <m:r>
          <w:rPr>
            <w:rFonts w:ascii="Cambria Math" w:hAnsi="Cambria Math"/>
          </w:rPr>
          <m:t>a</m:t>
        </m:r>
      </m:oMath>
      <w:r w:rsidRPr="00AC445B">
        <w:t>’ number of retained mutually orthogonal principal component vectors to gi</w:t>
      </w:r>
      <w:proofErr w:type="spellStart"/>
      <w:r>
        <w:t>ve</w:t>
      </w:r>
      <w:proofErr w:type="spellEnd"/>
      <w:r>
        <w:t xml:space="preserve"> principal component scores (</w:t>
      </w:r>
      <m:oMath>
        <m:r>
          <w:rPr>
            <w:rFonts w:ascii="Cambria Math" w:hAnsi="Cambria Math"/>
          </w:rPr>
          <m:t>T</m:t>
        </m:r>
      </m:oMath>
      <w:r>
        <w:t>), as shown by Eq. 2.3.</w:t>
      </w:r>
      <w:r w:rsidRPr="00AC445B">
        <w:t>6</w:t>
      </w:r>
    </w:p>
    <w:p w:rsidR="00E664E4" w:rsidRPr="00AC445B" w:rsidRDefault="00E664E4" w:rsidP="00E664E4">
      <w:pPr>
        <w:jc w:val="right"/>
      </w:pPr>
      <m:oMath>
        <m:r>
          <w:rPr>
            <w:rFonts w:ascii="Cambria Math" w:hAnsi="Cambria Math"/>
          </w:rPr>
          <m:t>T=</m:t>
        </m:r>
        <m:sSub>
          <m:sSubPr>
            <m:ctrlPr>
              <w:rPr>
                <w:rFonts w:ascii="Cambria Math" w:hAnsi="Cambria Math"/>
                <w:i/>
              </w:rPr>
            </m:ctrlPr>
          </m:sSubPr>
          <m:e>
            <m:r>
              <w:rPr>
                <w:rFonts w:ascii="Cambria Math" w:hAnsi="Cambria Math"/>
              </w:rPr>
              <m:t>X</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a</m:t>
            </m:r>
          </m:sub>
        </m:sSub>
      </m:oMath>
      <w:r>
        <w:rPr>
          <w:rFonts w:eastAsiaTheme="minorEastAsia"/>
        </w:rPr>
        <w:t xml:space="preserve"> </w:t>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sidRPr="00AC445B">
        <w:t xml:space="preserve"> </w:t>
      </w:r>
      <w:r>
        <w:t>Eq. (2.3.</w:t>
      </w:r>
      <w:r w:rsidRPr="00AC445B">
        <w:t>6)</w:t>
      </w:r>
    </w:p>
    <w:p w:rsidR="00E664E4" w:rsidRDefault="00E664E4" w:rsidP="00E664E4">
      <w:proofErr w:type="gramStart"/>
      <w:r>
        <w:t>where</w:t>
      </w:r>
      <w:proofErr w:type="gramEnd"/>
      <w:r>
        <w:t xml:space="preserve"> ‘</w:t>
      </w:r>
      <m:oMath>
        <m:r>
          <w:rPr>
            <w:rFonts w:ascii="Cambria Math" w:hAnsi="Cambria Math"/>
          </w:rPr>
          <m:t>a</m:t>
        </m:r>
      </m:oMath>
      <w:r>
        <w:rPr>
          <w:rFonts w:eastAsiaTheme="minorEastAsia"/>
        </w:rPr>
        <w:t xml:space="preserve">’ denotes the number of PCs retained in the PCA model and </w:t>
      </w:r>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a</m:t>
            </m:r>
          </m:sub>
        </m:sSub>
      </m:oMath>
      <w:r>
        <w:rPr>
          <w:rFonts w:eastAsiaTheme="minorEastAsia"/>
        </w:rPr>
        <w:t xml:space="preserve"> is</w:t>
      </w:r>
      <w:r w:rsidRPr="00AC445B">
        <w:t xml:space="preserve"> the basis vector matrix (from SVD of Eq. </w:t>
      </w:r>
      <w:r>
        <w:t>2.3.</w:t>
      </w:r>
      <w:r w:rsidRPr="00AC445B">
        <w:t>5) composed of the ‘</w:t>
      </w:r>
      <m:oMath>
        <m:r>
          <w:rPr>
            <w:rFonts w:ascii="Cambria Math" w:hAnsi="Cambria Math"/>
          </w:rPr>
          <m:t>a</m:t>
        </m:r>
      </m:oMath>
      <w:r w:rsidRPr="00AC445B">
        <w:t>’ reta</w:t>
      </w:r>
      <w:proofErr w:type="spellStart"/>
      <w:r>
        <w:t>ined</w:t>
      </w:r>
      <w:proofErr w:type="spellEnd"/>
      <w:r>
        <w:t xml:space="preserve"> basis vectors (the first ‘</w:t>
      </w:r>
      <m:oMath>
        <m:r>
          <w:rPr>
            <w:rFonts w:ascii="Cambria Math" w:hAnsi="Cambria Math"/>
          </w:rPr>
          <m:t>a</m:t>
        </m:r>
      </m:oMath>
      <w:r>
        <w:t xml:space="preserve">’ </w:t>
      </w:r>
      <m:oMath>
        <m:r>
          <w:rPr>
            <w:rFonts w:ascii="Cambria Math" w:hAnsi="Cambria Math"/>
          </w:rPr>
          <m:t>V</m:t>
        </m:r>
      </m:oMath>
      <w:r>
        <w:t xml:space="preserve"> vectors). The residuals</w:t>
      </w:r>
      <w:r w:rsidR="00C0662A">
        <w:t xml:space="preserve"> matrix</w:t>
      </w:r>
      <w:proofErr w:type="gramStart"/>
      <w:r>
        <w:t xml:space="preserve">, </w:t>
      </w:r>
      <w:proofErr w:type="gramEnd"/>
      <m:oMath>
        <m:r>
          <w:rPr>
            <w:rFonts w:ascii="Cambria Math" w:hAnsi="Cambria Math"/>
          </w:rPr>
          <m:t>E</m:t>
        </m:r>
      </m:oMath>
      <w:r w:rsidRPr="00AC445B">
        <w:t xml:space="preserve">, </w:t>
      </w:r>
      <w:r w:rsidR="0070214A">
        <w:t xml:space="preserve">is to </w:t>
      </w:r>
      <w:r w:rsidRPr="00AC445B">
        <w:t xml:space="preserve">be </w:t>
      </w:r>
      <w:r>
        <w:t>computed using Eq. 2.6</w:t>
      </w:r>
      <w:r w:rsidRPr="00AC445B">
        <w:t>.7.</w:t>
      </w:r>
    </w:p>
    <w:p w:rsidR="00E664E4" w:rsidRPr="00AC445B" w:rsidRDefault="00E664E4" w:rsidP="00E664E4">
      <w:pPr>
        <w:jc w:val="right"/>
      </w:pPr>
      <m:oMath>
        <m:r>
          <w:rPr>
            <w:rFonts w:ascii="Cambria Math" w:hAnsi="Cambria Math"/>
          </w:rPr>
          <m:t>E=</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a</m:t>
                </m:r>
              </m:sub>
            </m:sSub>
            <m:r>
              <w:rPr>
                <w:rFonts w:ascii="Cambria Math" w:hAnsi="Cambria Math"/>
              </w:rPr>
              <m:t>'</m:t>
            </m:r>
          </m:e>
        </m:d>
      </m:oMath>
      <w:r>
        <w:rPr>
          <w:rFonts w:eastAsiaTheme="minorEastAsia"/>
        </w:rPr>
        <w:t xml:space="preserve">  </w:t>
      </w:r>
      <w:r>
        <w:rPr>
          <w:rFonts w:eastAsiaTheme="minorEastAsia"/>
        </w:rPr>
        <w:tab/>
      </w:r>
      <w:r>
        <w:rPr>
          <w:rFonts w:eastAsiaTheme="minorEastAsia"/>
        </w:rPr>
        <w:tab/>
      </w:r>
      <w:r>
        <w:rPr>
          <w:rFonts w:eastAsiaTheme="minorEastAsia"/>
        </w:rPr>
        <w:tab/>
      </w:r>
      <w:r>
        <w:rPr>
          <w:rFonts w:eastAsiaTheme="minorEastAsia"/>
        </w:rPr>
        <w:tab/>
      </w:r>
      <w:r>
        <w:t>Eq. (2.3.</w:t>
      </w:r>
      <w:r w:rsidRPr="00AC445B">
        <w:t>7)</w:t>
      </w:r>
    </w:p>
    <w:p w:rsidR="0070214A" w:rsidRPr="00AC445B" w:rsidRDefault="0070214A" w:rsidP="0070214A">
      <w:r>
        <w:t xml:space="preserve">The </w:t>
      </w:r>
      <m:oMath>
        <m:r>
          <w:rPr>
            <w:rFonts w:ascii="Cambria Math" w:hAnsi="Cambria Math"/>
          </w:rPr>
          <m:t>i</m:t>
        </m:r>
      </m:oMath>
      <w:r w:rsidRPr="00AC445B">
        <w:t>-</w:t>
      </w:r>
      <w:proofErr w:type="gramStart"/>
      <w:r w:rsidRPr="00AC445B">
        <w:t>th</w:t>
      </w:r>
      <w:proofErr w:type="gramEnd"/>
      <w:r>
        <w:t xml:space="preserve"> </w:t>
      </w:r>
      <w:r w:rsidRPr="00AC445B">
        <w:t>Mahalanobis distance</w:t>
      </w:r>
      <w:r>
        <w:t xml:space="preserve"> of</w:t>
      </w:r>
      <w:r w:rsidRPr="00AC445B">
        <w:t xml:space="preserve"> </w:t>
      </w:r>
      <m:oMath>
        <m:sSup>
          <m:sSupPr>
            <m:ctrlPr>
              <w:rPr>
                <w:rFonts w:ascii="Cambria Math" w:hAnsi="Cambria Math"/>
                <w:i/>
              </w:rPr>
            </m:ctrlPr>
          </m:sSupPr>
          <m:e>
            <m:r>
              <w:rPr>
                <w:rFonts w:ascii="Cambria Math" w:hAnsi="Cambria Math"/>
              </w:rPr>
              <m:t>T</m:t>
            </m:r>
          </m:e>
          <m:sup>
            <m:r>
              <w:rPr>
                <w:rFonts w:ascii="Cambria Math" w:hAnsi="Cambria Math"/>
              </w:rPr>
              <m:t>2</m:t>
            </m:r>
          </m:sup>
        </m:sSup>
      </m:oMath>
      <w:r>
        <w:t xml:space="preserve"> which is the </w:t>
      </w:r>
      <m:oMath>
        <m:r>
          <w:rPr>
            <w:rFonts w:ascii="Cambria Math" w:hAnsi="Cambria Math"/>
          </w:rPr>
          <m:t>i</m:t>
        </m:r>
      </m:oMath>
      <w:r w:rsidRPr="00AC445B">
        <w:t>-th</w:t>
      </w:r>
      <w:r>
        <w:t xml:space="preserve"> diagonal element of the </w:t>
      </w:r>
      <m:oMath>
        <m:sSup>
          <m:sSupPr>
            <m:ctrlPr>
              <w:rPr>
                <w:rFonts w:ascii="Cambria Math" w:hAnsi="Cambria Math"/>
                <w:i/>
              </w:rPr>
            </m:ctrlPr>
          </m:sSupPr>
          <m:e>
            <m:r>
              <w:rPr>
                <w:rFonts w:ascii="Cambria Math" w:hAnsi="Cambria Math"/>
              </w:rPr>
              <m:t>T</m:t>
            </m:r>
          </m:e>
          <m:sup>
            <m:r>
              <w:rPr>
                <w:rFonts w:ascii="Cambria Math" w:hAnsi="Cambria Math"/>
              </w:rPr>
              <m:t>2</m:t>
            </m:r>
          </m:sup>
        </m:sSup>
      </m:oMath>
      <w:r>
        <w:rPr>
          <w:rFonts w:eastAsiaTheme="minorEastAsia"/>
        </w:rPr>
        <w:t xml:space="preserve"> </w:t>
      </w:r>
      <w:r>
        <w:t xml:space="preserve">matrix shown below, </w:t>
      </w:r>
      <w:r w:rsidRPr="00AC445B">
        <w:t xml:space="preserve">and </w:t>
      </w:r>
      <w:proofErr w:type="spellStart"/>
      <w:r w:rsidRPr="00AC445B">
        <w:t>the</w:t>
      </w:r>
      <w:proofErr w:type="spellEnd"/>
      <w:r>
        <w:t xml:space="preserve"> </w:t>
      </w:r>
      <m:oMath>
        <m:r>
          <w:rPr>
            <w:rFonts w:ascii="Cambria Math" w:hAnsi="Cambria Math"/>
          </w:rPr>
          <m:t>i</m:t>
        </m:r>
      </m:oMath>
      <w:r w:rsidRPr="00AC445B">
        <w:t xml:space="preserve">-th diagonal element </w:t>
      </w:r>
      <m:oMath>
        <m:r>
          <w:rPr>
            <w:rFonts w:ascii="Cambria Math" w:hAnsi="Cambria Math"/>
          </w:rPr>
          <m:t>Q</m:t>
        </m:r>
      </m:oMath>
      <w:r w:rsidRPr="00AC445B">
        <w:t>-statistic</w:t>
      </w:r>
      <w:r>
        <w:t xml:space="preserve"> are to be calculated using Eq. 2.3.</w:t>
      </w:r>
      <w:r w:rsidRPr="00AC445B">
        <w:t xml:space="preserve">8 and </w:t>
      </w:r>
      <w:r>
        <w:t>2.3.</w:t>
      </w:r>
      <w:r w:rsidRPr="00AC445B">
        <w:t>9</w:t>
      </w:r>
      <w:r>
        <w:t>, respectively,</w:t>
      </w:r>
    </w:p>
    <w:p w:rsidR="00E664E4" w:rsidRDefault="00C851DF" w:rsidP="00E664E4">
      <w:pPr>
        <w:jc w:val="right"/>
      </w:pPr>
      <m:oMath>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m:t>
        </m:r>
        <m:d>
          <m:dPr>
            <m:ctrlPr>
              <w:rPr>
                <w:rFonts w:ascii="Cambria Math" w:hAnsi="Cambria Math"/>
                <w:i/>
              </w:rPr>
            </m:ctrlPr>
          </m:dPr>
          <m:e>
            <m:r>
              <w:rPr>
                <w:rFonts w:ascii="Cambria Math" w:hAnsi="Cambria Math"/>
              </w:rPr>
              <m:t>T*</m:t>
            </m:r>
            <m:sSubSup>
              <m:sSubSupPr>
                <m:ctrlPr>
                  <w:rPr>
                    <w:rFonts w:ascii="Cambria Math" w:hAnsi="Cambria Math"/>
                    <w:i/>
                  </w:rPr>
                </m:ctrlPr>
              </m:sSubSupPr>
              <m:e>
                <m:r>
                  <m:rPr>
                    <m:sty m:val="p"/>
                  </m:rPr>
                  <w:rPr>
                    <w:rFonts w:ascii="Cambria Math" w:hAnsi="Cambria Math"/>
                  </w:rPr>
                  <m:t>Σ</m:t>
                </m:r>
              </m:e>
              <m:sub>
                <m:r>
                  <w:rPr>
                    <w:rFonts w:ascii="Cambria Math" w:hAnsi="Cambria Math"/>
                  </w:rPr>
                  <m:t>a</m:t>
                </m:r>
              </m:sub>
              <m:sup>
                <m:r>
                  <w:rPr>
                    <w:rFonts w:ascii="Cambria Math" w:hAnsi="Cambria Math"/>
                  </w:rPr>
                  <m:t>-1</m:t>
                </m:r>
              </m:sup>
            </m:sSubSup>
          </m:e>
        </m:d>
        <m:r>
          <w:rPr>
            <w:rFonts w:ascii="Cambria Math" w:hAnsi="Cambria Math"/>
          </w:rPr>
          <m:t>*</m:t>
        </m:r>
        <m:d>
          <m:dPr>
            <m:ctrlPr>
              <w:rPr>
                <w:rFonts w:ascii="Cambria Math" w:hAnsi="Cambria Math"/>
                <w:i/>
              </w:rPr>
            </m:ctrlPr>
          </m:dPr>
          <m:e>
            <m:r>
              <w:rPr>
                <w:rFonts w:ascii="Cambria Math" w:hAnsi="Cambria Math"/>
              </w:rPr>
              <m:t>T*</m:t>
            </m:r>
            <m:sSubSup>
              <m:sSubSupPr>
                <m:ctrlPr>
                  <w:rPr>
                    <w:rFonts w:ascii="Cambria Math" w:hAnsi="Cambria Math"/>
                    <w:i/>
                  </w:rPr>
                </m:ctrlPr>
              </m:sSubSupPr>
              <m:e>
                <m:r>
                  <m:rPr>
                    <m:sty m:val="p"/>
                  </m:rPr>
                  <w:rPr>
                    <w:rFonts w:ascii="Cambria Math" w:hAnsi="Cambria Math"/>
                  </w:rPr>
                  <m:t>Σ</m:t>
                </m:r>
              </m:e>
              <m:sub>
                <m:r>
                  <w:rPr>
                    <w:rFonts w:ascii="Cambria Math" w:hAnsi="Cambria Math"/>
                  </w:rPr>
                  <m:t>a</m:t>
                </m:r>
              </m:sub>
              <m:sup>
                <m:r>
                  <w:rPr>
                    <w:rFonts w:ascii="Cambria Math" w:hAnsi="Cambria Math"/>
                  </w:rPr>
                  <m:t>-1</m:t>
                </m:r>
              </m:sup>
            </m:sSubSup>
          </m:e>
        </m:d>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a</m:t>
            </m:r>
          </m:sub>
        </m:sSub>
        <m:sSub>
          <m:sSubPr>
            <m:ctrlPr>
              <w:rPr>
                <w:rFonts w:ascii="Cambria Math" w:hAnsi="Cambria Math"/>
                <w:i/>
              </w:rPr>
            </m:ctrlPr>
          </m:sSubPr>
          <m:e>
            <m:r>
              <w:rPr>
                <w:rFonts w:ascii="Cambria Math" w:hAnsi="Cambria Math"/>
              </w:rPr>
              <m:t>U</m:t>
            </m:r>
          </m:e>
          <m:sub>
            <m:r>
              <w:rPr>
                <w:rFonts w:ascii="Cambria Math" w:hAnsi="Cambria Math"/>
              </w:rPr>
              <m:t>a</m:t>
            </m:r>
          </m:sub>
        </m:sSub>
        <m:r>
          <w:rPr>
            <w:rFonts w:ascii="Cambria Math" w:hAnsi="Cambria Math"/>
          </w:rPr>
          <m:t>'</m:t>
        </m:r>
      </m:oMath>
      <w:r w:rsidR="00E664E4">
        <w:rPr>
          <w:rFonts w:eastAsiaTheme="minorEastAsia"/>
        </w:rPr>
        <w:t xml:space="preserve">  </w:t>
      </w:r>
      <w:r w:rsidR="00E664E4">
        <w:rPr>
          <w:rFonts w:eastAsiaTheme="minorEastAsia"/>
        </w:rPr>
        <w:tab/>
      </w:r>
      <w:r w:rsidR="00E664E4">
        <w:rPr>
          <w:rFonts w:eastAsiaTheme="minorEastAsia"/>
        </w:rPr>
        <w:tab/>
      </w:r>
      <w:r w:rsidR="00E664E4">
        <w:rPr>
          <w:rFonts w:eastAsiaTheme="minorEastAsia"/>
        </w:rPr>
        <w:tab/>
      </w:r>
      <w:r w:rsidR="00E664E4">
        <w:rPr>
          <w:rFonts w:eastAsiaTheme="minorEastAsia"/>
        </w:rPr>
        <w:tab/>
      </w:r>
      <w:r w:rsidR="00E664E4">
        <w:t>Eq. (2.3.</w:t>
      </w:r>
      <w:r w:rsidR="00E664E4" w:rsidRPr="00AC445B">
        <w:t>8)</w:t>
      </w:r>
    </w:p>
    <w:p w:rsidR="00E664E4" w:rsidRDefault="00C851DF" w:rsidP="00E664E4">
      <w:pPr>
        <w:jc w:val="right"/>
      </w:pPr>
      <m:oMath>
        <m:sSub>
          <m:sSubPr>
            <m:ctrlPr>
              <w:rPr>
                <w:rFonts w:ascii="Cambria Math" w:hAnsi="Cambria Math"/>
                <w:i/>
              </w:rPr>
            </m:ctrlPr>
          </m:sSubPr>
          <m:e>
            <m:r>
              <w:rPr>
                <w:rFonts w:ascii="Cambria Math" w:hAnsi="Cambria Math"/>
              </w:rPr>
              <m:t>Q</m:t>
            </m:r>
          </m:e>
          <m:sub>
            <m:r>
              <w:rPr>
                <w:rFonts w:ascii="Cambria Math" w:hAnsi="Cambria Math"/>
              </w:rPr>
              <m:t>i</m:t>
            </m:r>
          </m:sub>
        </m:sSub>
        <m:r>
          <w:rPr>
            <w:rFonts w:ascii="Cambria Math" w:hAnsi="Cambria Math"/>
          </w:rPr>
          <m:t>=</m:t>
        </m:r>
        <m:sSubSup>
          <m:sSubSupPr>
            <m:ctrlPr>
              <w:rPr>
                <w:rFonts w:ascii="Cambria Math" w:hAnsi="Cambria Math"/>
                <w:i/>
              </w:rPr>
            </m:ctrlPr>
          </m:sSub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E</m:t>
                    </m:r>
                  </m:e>
                  <m:sub>
                    <m:r>
                      <w:rPr>
                        <w:rFonts w:ascii="Cambria Math" w:hAnsi="Cambria Math"/>
                      </w:rPr>
                      <m:t>i</m:t>
                    </m:r>
                  </m:sub>
                </m:sSub>
              </m:e>
            </m:d>
          </m:e>
          <m:sub>
            <m:r>
              <w:rPr>
                <w:rFonts w:ascii="Cambria Math" w:hAnsi="Cambria Math"/>
              </w:rPr>
              <m:t>2</m:t>
            </m:r>
          </m:sub>
          <m:sup>
            <m:r>
              <w:rPr>
                <w:rFonts w:ascii="Cambria Math" w:hAnsi="Cambria Math"/>
              </w:rPr>
              <m:t>2</m:t>
            </m:r>
          </m:sup>
        </m:sSubSup>
      </m:oMath>
      <w:r w:rsidR="00E664E4">
        <w:rPr>
          <w:rFonts w:eastAsiaTheme="minorEastAsia"/>
        </w:rPr>
        <w:t xml:space="preserve">  </w:t>
      </w:r>
      <w:r w:rsidR="00E664E4">
        <w:rPr>
          <w:rFonts w:eastAsiaTheme="minorEastAsia"/>
        </w:rPr>
        <w:tab/>
      </w:r>
      <w:r w:rsidR="00E664E4">
        <w:rPr>
          <w:rFonts w:eastAsiaTheme="minorEastAsia"/>
        </w:rPr>
        <w:tab/>
      </w:r>
      <w:r w:rsidR="00E664E4">
        <w:rPr>
          <w:rFonts w:eastAsiaTheme="minorEastAsia"/>
        </w:rPr>
        <w:tab/>
      </w:r>
      <w:r w:rsidR="00E664E4" w:rsidRPr="00AC445B">
        <w:tab/>
      </w:r>
      <w:r w:rsidR="00E664E4" w:rsidRPr="00AC445B">
        <w:tab/>
      </w:r>
      <w:r w:rsidR="00E664E4">
        <w:t>Eq. (2.3.</w:t>
      </w:r>
      <w:r w:rsidR="00E664E4" w:rsidRPr="00AC445B">
        <w:t>9)</w:t>
      </w:r>
    </w:p>
    <w:p w:rsidR="00E664E4" w:rsidRDefault="00E664E4" w:rsidP="00E664E4">
      <w:proofErr w:type="gramStart"/>
      <w:r>
        <w:lastRenderedPageBreak/>
        <w:t>where</w:t>
      </w:r>
      <w:proofErr w:type="gramEnd"/>
      <w:r>
        <w:t xml:space="preserve"> </w:t>
      </w:r>
      <m:oMath>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E</m:t>
                    </m:r>
                  </m:e>
                  <m:sub>
                    <m:r>
                      <w:rPr>
                        <w:rFonts w:ascii="Cambria Math" w:hAnsi="Cambria Math"/>
                      </w:rPr>
                      <m:t>i</m:t>
                    </m:r>
                  </m:sub>
                </m:sSub>
              </m:e>
            </m:d>
          </m:e>
          <m:sub>
            <m:r>
              <w:rPr>
                <w:rFonts w:ascii="Cambria Math" w:hAnsi="Cambria Math"/>
              </w:rPr>
              <m:t>2</m:t>
            </m:r>
          </m:sub>
        </m:sSub>
      </m:oMath>
      <w:r>
        <w:rPr>
          <w:rFonts w:eastAsiaTheme="minorEastAsia"/>
        </w:rPr>
        <w:t xml:space="preserve"> </w:t>
      </w:r>
      <w:r w:rsidRPr="00AC445B">
        <w:t xml:space="preserve">denotes the 2-norm (or Euclidean norm) of the </w:t>
      </w:r>
      <m:oMath>
        <m:r>
          <w:rPr>
            <w:rFonts w:ascii="Cambria Math" w:hAnsi="Cambria Math"/>
          </w:rPr>
          <m:t>i</m:t>
        </m:r>
      </m:oMath>
      <w:r w:rsidRPr="00AC445B">
        <w:t xml:space="preserve">-th residual vector (row) in </w:t>
      </w:r>
      <m:oMath>
        <m:r>
          <w:rPr>
            <w:rFonts w:ascii="Cambria Math" w:hAnsi="Cambria Math"/>
          </w:rPr>
          <m:t>E</m:t>
        </m:r>
      </m:oMath>
      <w:r w:rsidRPr="00AC445B">
        <w:t xml:space="preserve">. The </w:t>
      </w:r>
      <w:r w:rsidR="00C0662A">
        <w:t xml:space="preserve">95% confidence </w:t>
      </w:r>
      <w:r w:rsidRPr="00AC445B">
        <w:t>threshold for</w:t>
      </w:r>
      <w:r>
        <w:t xml:space="preserve"> </w:t>
      </w:r>
      <m:oMath>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T</m:t>
                </m:r>
              </m:e>
              <m:sub>
                <m:r>
                  <w:rPr>
                    <w:rFonts w:ascii="Cambria Math" w:hAnsi="Cambria Math"/>
                  </w:rPr>
                  <m:t>i</m:t>
                </m:r>
              </m:sub>
              <m:sup>
                <m:r>
                  <w:rPr>
                    <w:rFonts w:ascii="Cambria Math" w:hAnsi="Cambria Math"/>
                  </w:rPr>
                  <m:t>2</m:t>
                </m:r>
              </m:sup>
            </m:sSubSup>
          </m:e>
        </m:d>
      </m:oMath>
      <w:r>
        <w:rPr>
          <w:rFonts w:eastAsiaTheme="minorEastAsia"/>
        </w:rPr>
        <w:t xml:space="preserve"> and </w:t>
      </w:r>
      <m:oMath>
        <m:d>
          <m:dPr>
            <m:begChr m:val="{"/>
            <m:endChr m:val="}"/>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i</m:t>
                </m:r>
              </m:sub>
            </m:sSub>
          </m:e>
        </m:d>
      </m:oMath>
      <w:r>
        <w:rPr>
          <w:rFonts w:eastAsiaTheme="minorEastAsia"/>
        </w:rPr>
        <w:t xml:space="preserve"> </w:t>
      </w:r>
      <w:r w:rsidRPr="00AC445B">
        <w:t xml:space="preserve">are established as shown in Eq. </w:t>
      </w:r>
      <w:r>
        <w:t>2.3.</w:t>
      </w:r>
      <w:r w:rsidRPr="00AC445B">
        <w:t xml:space="preserve">10 and </w:t>
      </w:r>
      <w:r>
        <w:t>2.3.</w:t>
      </w:r>
      <w:r w:rsidRPr="00AC445B">
        <w:t>11</w:t>
      </w:r>
      <w:r>
        <w:t>, respectively,</w:t>
      </w:r>
    </w:p>
    <w:p w:rsidR="00E664E4" w:rsidRDefault="00C851DF" w:rsidP="00E664E4">
      <w:pPr>
        <w:jc w:val="right"/>
      </w:pPr>
      <m:oMath>
        <m:sSubSup>
          <m:sSubSupPr>
            <m:ctrlPr>
              <w:rPr>
                <w:rFonts w:ascii="Cambria Math" w:hAnsi="Cambria Math"/>
                <w:i/>
              </w:rPr>
            </m:ctrlPr>
          </m:sSubSupPr>
          <m:e>
            <m:r>
              <w:rPr>
                <w:rFonts w:ascii="Cambria Math" w:hAnsi="Cambria Math"/>
              </w:rPr>
              <m:t>T</m:t>
            </m:r>
          </m:e>
          <m:sub>
            <m:r>
              <w:rPr>
                <w:rFonts w:ascii="Cambria Math" w:hAnsi="Cambria Math"/>
              </w:rPr>
              <m:t>α</m:t>
            </m:r>
          </m:sub>
          <m:sup>
            <m:r>
              <w:rPr>
                <w:rFonts w:ascii="Cambria Math" w:hAnsi="Cambria Math"/>
              </w:rPr>
              <m:t>2</m:t>
            </m:r>
          </m:sup>
        </m:sSubSup>
        <m:r>
          <w:rPr>
            <w:rFonts w:ascii="Cambria Math" w:hAnsi="Cambria Math"/>
          </w:rPr>
          <m:t>=</m:t>
        </m:r>
        <m:f>
          <m:fPr>
            <m:ctrlPr>
              <w:rPr>
                <w:rFonts w:ascii="Cambria Math" w:hAnsi="Cambria Math"/>
                <w:i/>
              </w:rPr>
            </m:ctrlPr>
          </m:fPr>
          <m:num>
            <m:r>
              <w:rPr>
                <w:rFonts w:ascii="Cambria Math" w:hAnsi="Cambria Math"/>
              </w:rPr>
              <m:t>a</m:t>
            </m:r>
            <m:d>
              <m:dPr>
                <m:ctrlPr>
                  <w:rPr>
                    <w:rFonts w:ascii="Cambria Math" w:hAnsi="Cambria Math"/>
                    <w:i/>
                  </w:rPr>
                </m:ctrlPr>
              </m:dPr>
              <m:e>
                <m:r>
                  <w:rPr>
                    <w:rFonts w:ascii="Cambria Math" w:hAnsi="Cambria Math"/>
                  </w:rPr>
                  <m:t>m-1</m:t>
                </m:r>
              </m:e>
            </m:d>
            <m:d>
              <m:dPr>
                <m:ctrlPr>
                  <w:rPr>
                    <w:rFonts w:ascii="Cambria Math" w:hAnsi="Cambria Math"/>
                    <w:i/>
                  </w:rPr>
                </m:ctrlPr>
              </m:dPr>
              <m:e>
                <m:r>
                  <w:rPr>
                    <w:rFonts w:ascii="Cambria Math" w:hAnsi="Cambria Math"/>
                  </w:rPr>
                  <m:t>m+1</m:t>
                </m:r>
              </m:e>
            </m:d>
          </m:num>
          <m:den>
            <m:r>
              <w:rPr>
                <w:rFonts w:ascii="Cambria Math" w:hAnsi="Cambria Math"/>
              </w:rPr>
              <m:t>m</m:t>
            </m:r>
            <m:d>
              <m:dPr>
                <m:ctrlPr>
                  <w:rPr>
                    <w:rFonts w:ascii="Cambria Math" w:hAnsi="Cambria Math"/>
                    <w:i/>
                  </w:rPr>
                </m:ctrlPr>
              </m:dPr>
              <m:e>
                <m:r>
                  <w:rPr>
                    <w:rFonts w:ascii="Cambria Math" w:hAnsi="Cambria Math"/>
                  </w:rPr>
                  <m:t>m-a</m:t>
                </m:r>
              </m:e>
            </m:d>
          </m:den>
        </m:f>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α</m:t>
            </m:r>
          </m:sub>
        </m:sSub>
        <m:d>
          <m:dPr>
            <m:ctrlPr>
              <w:rPr>
                <w:rFonts w:ascii="Cambria Math" w:hAnsi="Cambria Math"/>
                <w:i/>
              </w:rPr>
            </m:ctrlPr>
          </m:dPr>
          <m:e>
            <m:r>
              <w:rPr>
                <w:rFonts w:ascii="Cambria Math" w:hAnsi="Cambria Math"/>
              </w:rPr>
              <m:t>a,m-a</m:t>
            </m:r>
          </m:e>
        </m:d>
      </m:oMath>
      <w:r w:rsidR="00E664E4">
        <w:rPr>
          <w:rFonts w:eastAsiaTheme="minorEastAsia"/>
        </w:rPr>
        <w:t xml:space="preserve">  </w:t>
      </w:r>
      <w:r w:rsidR="00E664E4">
        <w:rPr>
          <w:rFonts w:eastAsiaTheme="minorEastAsia"/>
        </w:rPr>
        <w:tab/>
      </w:r>
      <w:r w:rsidR="00E664E4">
        <w:rPr>
          <w:rFonts w:eastAsiaTheme="minorEastAsia"/>
        </w:rPr>
        <w:tab/>
      </w:r>
      <w:r w:rsidR="00E664E4">
        <w:rPr>
          <w:rFonts w:eastAsiaTheme="minorEastAsia"/>
        </w:rPr>
        <w:tab/>
      </w:r>
      <w:r w:rsidR="00E664E4">
        <w:t>Eq. (2.3.</w:t>
      </w:r>
      <w:r w:rsidR="00E664E4" w:rsidRPr="00AC445B">
        <w:t>10)</w:t>
      </w:r>
    </w:p>
    <w:p w:rsidR="00E664E4" w:rsidRDefault="00E664E4" w:rsidP="00E664E4">
      <w:proofErr w:type="gramStart"/>
      <w:r>
        <w:t>where</w:t>
      </w:r>
      <w:proofErr w:type="gramEnd"/>
      <w:r>
        <w:t xml:space="preserve"> </w:t>
      </w:r>
      <m:oMath>
        <m:r>
          <w:rPr>
            <w:rFonts w:ascii="Cambria Math" w:hAnsi="Cambria Math"/>
          </w:rPr>
          <m:t>m</m:t>
        </m:r>
      </m:oMath>
      <w:r>
        <w:t xml:space="preserve"> is the number of samples, </w:t>
      </w:r>
      <m:oMath>
        <m:r>
          <w:rPr>
            <w:rFonts w:ascii="Cambria Math" w:hAnsi="Cambria Math"/>
          </w:rPr>
          <m:t>a</m:t>
        </m:r>
      </m:oMath>
      <w:r w:rsidRPr="00AC445B">
        <w:t xml:space="preserve"> is the number of PCs retained for the model, and </w:t>
      </w:r>
      <m:oMath>
        <m:sSub>
          <m:sSubPr>
            <m:ctrlPr>
              <w:rPr>
                <w:rFonts w:ascii="Cambria Math" w:hAnsi="Cambria Math"/>
                <w:i/>
              </w:rPr>
            </m:ctrlPr>
          </m:sSubPr>
          <m:e>
            <m:r>
              <w:rPr>
                <w:rFonts w:ascii="Cambria Math" w:hAnsi="Cambria Math"/>
              </w:rPr>
              <m:t>F</m:t>
            </m:r>
          </m:e>
          <m:sub>
            <m:r>
              <w:rPr>
                <w:rFonts w:ascii="Cambria Math" w:hAnsi="Cambria Math"/>
              </w:rPr>
              <m:t>α</m:t>
            </m:r>
          </m:sub>
        </m:sSub>
      </m:oMath>
      <w:r w:rsidRPr="00AC445B">
        <w:t xml:space="preserve"> is the critical value for the </w:t>
      </w:r>
      <m:oMath>
        <m:r>
          <w:rPr>
            <w:rFonts w:ascii="Cambria Math" w:hAnsi="Cambria Math"/>
          </w:rPr>
          <m:t>F</m:t>
        </m:r>
      </m:oMath>
      <w:r w:rsidRPr="00AC445B">
        <w:t xml:space="preserve">-distribution that leaves </w:t>
      </w:r>
      <m:oMath>
        <m:r>
          <w:rPr>
            <w:rFonts w:ascii="Cambria Math" w:hAnsi="Cambria Math"/>
          </w:rPr>
          <m:t>α</m:t>
        </m:r>
      </m:oMath>
      <w:r>
        <w:rPr>
          <w:rFonts w:eastAsiaTheme="minorEastAsia"/>
        </w:rPr>
        <w:t>%</w:t>
      </w:r>
      <w:r w:rsidRPr="00AC445B">
        <w:t xml:space="preserve"> area to the right for </w:t>
      </w:r>
      <m:oMath>
        <m:d>
          <m:dPr>
            <m:begChr m:val="["/>
            <m:endChr m:val="]"/>
            <m:ctrlPr>
              <w:rPr>
                <w:rFonts w:ascii="Cambria Math" w:hAnsi="Cambria Math"/>
                <w:i/>
              </w:rPr>
            </m:ctrlPr>
          </m:dPr>
          <m:e>
            <m:r>
              <w:rPr>
                <w:rFonts w:ascii="Cambria Math" w:hAnsi="Cambria Math"/>
              </w:rPr>
              <m:t>a,m-a</m:t>
            </m:r>
          </m:e>
        </m:d>
      </m:oMath>
      <w:r>
        <w:rPr>
          <w:rFonts w:eastAsiaTheme="minorEastAsia"/>
        </w:rPr>
        <w:t xml:space="preserve"> </w:t>
      </w:r>
      <w:r w:rsidRPr="00AC445B">
        <w:t>degrees of freedom.</w:t>
      </w:r>
    </w:p>
    <w:p w:rsidR="00E664E4" w:rsidRDefault="00C851DF" w:rsidP="00E664E4">
      <w:pPr>
        <w:jc w:val="right"/>
        <w:rPr>
          <w:rFonts w:eastAsiaTheme="minorEastAsia"/>
        </w:rPr>
      </w:pPr>
      <m:oMath>
        <m:sSub>
          <m:sSubPr>
            <m:ctrlPr>
              <w:rPr>
                <w:rFonts w:ascii="Cambria Math" w:hAnsi="Cambria Math"/>
                <w:i/>
              </w:rPr>
            </m:ctrlPr>
          </m:sSubPr>
          <m:e>
            <m:r>
              <w:rPr>
                <w:rFonts w:ascii="Cambria Math" w:hAnsi="Cambria Math"/>
              </w:rPr>
              <m:t>Q</m:t>
            </m:r>
          </m:e>
          <m:sub>
            <m:r>
              <w:rPr>
                <w:rFonts w:ascii="Cambria Math" w:hAnsi="Cambria Math"/>
              </w:rPr>
              <m:t>α</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1</m:t>
            </m:r>
          </m:sub>
        </m:sSub>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o</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α</m:t>
                        </m:r>
                      </m:sub>
                    </m:sSub>
                    <m:r>
                      <w:rPr>
                        <w:rFonts w:ascii="Cambria Math" w:hAnsi="Cambria Math"/>
                      </w:rPr>
                      <m:t>*</m:t>
                    </m:r>
                    <m:rad>
                      <m:radPr>
                        <m:degHide m:val="1"/>
                        <m:ctrlPr>
                          <w:rPr>
                            <w:rFonts w:ascii="Cambria Math" w:hAnsi="Cambria Math"/>
                            <w:i/>
                          </w:rPr>
                        </m:ctrlPr>
                      </m:radPr>
                      <m:deg/>
                      <m:e>
                        <m:r>
                          <w:rPr>
                            <w:rFonts w:ascii="Cambria Math" w:hAnsi="Cambria Math"/>
                          </w:rPr>
                          <m:t>2</m:t>
                        </m:r>
                        <m:sSub>
                          <m:sSubPr>
                            <m:ctrlPr>
                              <w:rPr>
                                <w:rFonts w:ascii="Cambria Math" w:hAnsi="Cambria Math"/>
                                <w:i/>
                              </w:rPr>
                            </m:ctrlPr>
                          </m:sSubPr>
                          <m:e>
                            <m:r>
                              <w:rPr>
                                <w:rFonts w:ascii="Cambria Math" w:hAnsi="Cambria Math"/>
                              </w:rPr>
                              <m:t>θ</m:t>
                            </m:r>
                          </m:e>
                          <m:sub>
                            <m:r>
                              <w:rPr>
                                <w:rFonts w:ascii="Cambria Math" w:hAnsi="Cambria Math"/>
                              </w:rPr>
                              <m:t>2</m:t>
                            </m:r>
                          </m:sub>
                        </m:sSub>
                      </m:e>
                    </m:rad>
                  </m:num>
                  <m:den>
                    <m:sSub>
                      <m:sSubPr>
                        <m:ctrlPr>
                          <w:rPr>
                            <w:rFonts w:ascii="Cambria Math" w:hAnsi="Cambria Math"/>
                            <w:i/>
                          </w:rPr>
                        </m:ctrlPr>
                      </m:sSubPr>
                      <m:e>
                        <m:r>
                          <w:rPr>
                            <w:rFonts w:ascii="Cambria Math" w:hAnsi="Cambria Math"/>
                          </w:rPr>
                          <m:t>θ</m:t>
                        </m:r>
                      </m:e>
                      <m:sub>
                        <m:r>
                          <w:rPr>
                            <w:rFonts w:ascii="Cambria Math" w:hAnsi="Cambria Math"/>
                          </w:rPr>
                          <m:t>1</m:t>
                        </m:r>
                      </m:sub>
                    </m:sSub>
                  </m:den>
                </m:f>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θ</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o</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o</m:t>
                            </m:r>
                          </m:sub>
                        </m:sSub>
                        <m:r>
                          <w:rPr>
                            <w:rFonts w:ascii="Cambria Math" w:hAnsi="Cambria Math"/>
                          </w:rPr>
                          <m:t>-1</m:t>
                        </m:r>
                      </m:e>
                    </m:d>
                  </m:num>
                  <m:den>
                    <m:sSubSup>
                      <m:sSubSupPr>
                        <m:ctrlPr>
                          <w:rPr>
                            <w:rFonts w:ascii="Cambria Math" w:hAnsi="Cambria Math"/>
                            <w:i/>
                          </w:rPr>
                        </m:ctrlPr>
                      </m:sSubSupPr>
                      <m:e>
                        <m:r>
                          <w:rPr>
                            <w:rFonts w:ascii="Cambria Math" w:hAnsi="Cambria Math"/>
                          </w:rPr>
                          <m:t>θ</m:t>
                        </m:r>
                      </m:e>
                      <m:sub>
                        <m:r>
                          <w:rPr>
                            <w:rFonts w:ascii="Cambria Math" w:hAnsi="Cambria Math"/>
                          </w:rPr>
                          <m:t>1</m:t>
                        </m:r>
                      </m:sub>
                      <m:sup>
                        <m:r>
                          <w:rPr>
                            <w:rFonts w:ascii="Cambria Math" w:hAnsi="Cambria Math"/>
                          </w:rPr>
                          <m:t>2</m:t>
                        </m:r>
                      </m:sup>
                    </m:sSubSup>
                  </m:den>
                </m:f>
              </m:e>
            </m:d>
          </m:e>
          <m:sup>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h</m:t>
                    </m:r>
                  </m:e>
                  <m:sub>
                    <m:r>
                      <w:rPr>
                        <w:rFonts w:ascii="Cambria Math" w:hAnsi="Cambria Math"/>
                      </w:rPr>
                      <m:t>o</m:t>
                    </m:r>
                  </m:sub>
                </m:sSub>
              </m:den>
            </m:f>
          </m:sup>
        </m:sSup>
      </m:oMath>
      <w:r w:rsidR="00E664E4">
        <w:rPr>
          <w:rFonts w:eastAsiaTheme="minorEastAsia"/>
        </w:rPr>
        <w:t xml:space="preserve">   </w:t>
      </w:r>
      <w:r w:rsidR="00E664E4">
        <w:rPr>
          <w:rFonts w:eastAsiaTheme="minorEastAsia"/>
        </w:rPr>
        <w:tab/>
      </w:r>
      <w:r w:rsidR="00E664E4">
        <w:rPr>
          <w:rFonts w:eastAsiaTheme="minorEastAsia"/>
        </w:rPr>
        <w:tab/>
      </w:r>
      <w:r w:rsidR="00E664E4">
        <w:rPr>
          <w:rFonts w:eastAsiaTheme="minorEastAsia"/>
        </w:rPr>
        <w:tab/>
        <w:t>Eq. (2.3.11)</w:t>
      </w:r>
    </w:p>
    <w:p w:rsidR="00E664E4" w:rsidRDefault="00E664E4" w:rsidP="00E664E4">
      <w:pPr>
        <w:rPr>
          <w:rFonts w:eastAsiaTheme="minorEastAsia"/>
        </w:rPr>
      </w:pPr>
      <w:r>
        <w:rPr>
          <w:rFonts w:eastAsiaTheme="minorEastAsia"/>
        </w:rPr>
        <w:t xml:space="preserve">The </w:t>
      </w:r>
      <m:oMath>
        <m:r>
          <w:rPr>
            <w:rFonts w:ascii="Cambria Math" w:eastAsiaTheme="minorEastAsia" w:hAnsi="Cambria Math"/>
          </w:rPr>
          <m:t>θ</m:t>
        </m:r>
      </m:oMath>
      <w:r>
        <w:rPr>
          <w:rFonts w:eastAsiaTheme="minorEastAsia"/>
        </w:rPr>
        <w:t xml:space="preserve"> terms are defined as</w:t>
      </w:r>
    </w:p>
    <w:p w:rsidR="00E664E4" w:rsidRDefault="00C851DF" w:rsidP="00E664E4">
      <w:pP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i</m:t>
              </m:r>
            </m:sub>
          </m:sSub>
          <m:r>
            <w:rPr>
              <w:rFonts w:ascii="Cambria Math" w:eastAsiaTheme="minorEastAsia" w:hAnsi="Cambria Math"/>
            </w:rPr>
            <m:t>=</m:t>
          </m:r>
          <m:nary>
            <m:naryPr>
              <m:chr m:val="∑"/>
              <m:limLoc m:val="undOvr"/>
              <m:ctrlPr>
                <w:rPr>
                  <w:rFonts w:ascii="Cambria Math" w:eastAsiaTheme="minorEastAsia" w:hAnsi="Cambria Math"/>
                  <w:i/>
                </w:rPr>
              </m:ctrlPr>
            </m:naryPr>
            <m:sub>
              <m:r>
                <w:rPr>
                  <w:rFonts w:ascii="Cambria Math" w:eastAsiaTheme="minorEastAsia" w:hAnsi="Cambria Math"/>
                </w:rPr>
                <m:t>j=a+1</m:t>
              </m:r>
            </m:sub>
            <m:sup>
              <m:r>
                <w:rPr>
                  <w:rFonts w:ascii="Cambria Math" w:eastAsiaTheme="minorEastAsia" w:hAnsi="Cambria Math"/>
                </w:rPr>
                <m:t>n</m:t>
              </m:r>
            </m:sup>
            <m:e>
              <m:sSubSup>
                <m:sSubSupPr>
                  <m:ctrlPr>
                    <w:rPr>
                      <w:rFonts w:ascii="Cambria Math" w:eastAsiaTheme="minorEastAsia" w:hAnsi="Cambria Math"/>
                      <w:i/>
                    </w:rPr>
                  </m:ctrlPr>
                </m:sSubSupPr>
                <m:e>
                  <m:r>
                    <w:rPr>
                      <w:rFonts w:ascii="Cambria Math" w:eastAsiaTheme="minorEastAsia" w:hAnsi="Cambria Math"/>
                    </w:rPr>
                    <m:t>σ</m:t>
                  </m:r>
                </m:e>
                <m:sub>
                  <m:r>
                    <w:rPr>
                      <w:rFonts w:ascii="Cambria Math" w:eastAsiaTheme="minorEastAsia" w:hAnsi="Cambria Math"/>
                    </w:rPr>
                    <m:t>j</m:t>
                  </m:r>
                </m:sub>
                <m:sup>
                  <m:r>
                    <w:rPr>
                      <w:rFonts w:ascii="Cambria Math" w:eastAsiaTheme="minorEastAsia" w:hAnsi="Cambria Math"/>
                    </w:rPr>
                    <m:t>2i</m:t>
                  </m:r>
                </m:sup>
              </m:sSubSup>
            </m:e>
          </m:nary>
        </m:oMath>
      </m:oMathPara>
    </w:p>
    <w:p w:rsidR="00E664E4" w:rsidRDefault="00E664E4" w:rsidP="00E664E4">
      <w:pPr>
        <w:rPr>
          <w:rFonts w:eastAsiaTheme="minorEastAsia"/>
        </w:rPr>
      </w:pPr>
      <w:proofErr w:type="gramStart"/>
      <w:r>
        <w:rPr>
          <w:rFonts w:eastAsiaTheme="minorEastAsia"/>
        </w:rPr>
        <w:t>for</w:t>
      </w:r>
      <w:proofErr w:type="gramEnd"/>
      <w:r>
        <w:rPr>
          <w:rFonts w:eastAsiaTheme="minorEastAsia"/>
        </w:rPr>
        <w:t xml:space="preserve"> </w:t>
      </w:r>
      <m:oMath>
        <m:r>
          <w:rPr>
            <w:rFonts w:ascii="Cambria Math" w:eastAsiaTheme="minorEastAsia" w:hAnsi="Cambria Math"/>
          </w:rPr>
          <m:t>i=1,2,3</m:t>
        </m:r>
      </m:oMath>
      <w:r>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o</m:t>
            </m:r>
          </m:sub>
        </m:sSub>
      </m:oMath>
      <w:r>
        <w:rPr>
          <w:rFonts w:eastAsiaTheme="minorEastAsia"/>
        </w:rPr>
        <w:t xml:space="preserve"> is defined as</w:t>
      </w:r>
    </w:p>
    <w:p w:rsidR="00E664E4" w:rsidRDefault="00C851DF" w:rsidP="00E664E4">
      <w:pP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o</m:t>
              </m:r>
            </m:sub>
          </m:sSub>
          <m:r>
            <w:rPr>
              <w:rFonts w:ascii="Cambria Math" w:eastAsiaTheme="minorEastAsia" w:hAnsi="Cambria Math"/>
            </w:rPr>
            <m:t>=1-</m:t>
          </m:r>
          <m:f>
            <m:fPr>
              <m:ctrlPr>
                <w:rPr>
                  <w:rFonts w:ascii="Cambria Math" w:eastAsiaTheme="minorEastAsia" w:hAnsi="Cambria Math"/>
                  <w:i/>
                </w:rPr>
              </m:ctrlPr>
            </m:fPr>
            <m:num>
              <m:r>
                <w:rPr>
                  <w:rFonts w:ascii="Cambria Math" w:eastAsiaTheme="minorEastAsia" w:hAnsi="Cambria Math"/>
                </w:rPr>
                <m:t>2</m:t>
              </m:r>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1</m:t>
                  </m:r>
                </m:sub>
              </m:sSub>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3</m:t>
                  </m:r>
                </m:sub>
              </m:sSub>
            </m:num>
            <m:den>
              <m:r>
                <w:rPr>
                  <w:rFonts w:ascii="Cambria Math" w:eastAsiaTheme="minorEastAsia" w:hAnsi="Cambria Math"/>
                </w:rPr>
                <m:t>3</m:t>
              </m:r>
              <m:sSubSup>
                <m:sSubSupPr>
                  <m:ctrlPr>
                    <w:rPr>
                      <w:rFonts w:ascii="Cambria Math" w:eastAsiaTheme="minorEastAsia" w:hAnsi="Cambria Math"/>
                      <w:i/>
                    </w:rPr>
                  </m:ctrlPr>
                </m:sSubSupPr>
                <m:e>
                  <m:r>
                    <w:rPr>
                      <w:rFonts w:ascii="Cambria Math" w:eastAsiaTheme="minorEastAsia" w:hAnsi="Cambria Math"/>
                    </w:rPr>
                    <m:t>θ</m:t>
                  </m:r>
                </m:e>
                <m:sub>
                  <m:r>
                    <w:rPr>
                      <w:rFonts w:ascii="Cambria Math" w:eastAsiaTheme="minorEastAsia" w:hAnsi="Cambria Math"/>
                    </w:rPr>
                    <m:t>2</m:t>
                  </m:r>
                </m:sub>
                <m:sup>
                  <m:r>
                    <w:rPr>
                      <w:rFonts w:ascii="Cambria Math" w:eastAsiaTheme="minorEastAsia" w:hAnsi="Cambria Math"/>
                    </w:rPr>
                    <m:t>2</m:t>
                  </m:r>
                </m:sup>
              </m:sSubSup>
            </m:den>
          </m:f>
        </m:oMath>
      </m:oMathPara>
    </w:p>
    <w:p w:rsidR="00E664E4" w:rsidRPr="00F216C5" w:rsidRDefault="00E664E4" w:rsidP="00E664E4">
      <w:proofErr w:type="gramStart"/>
      <w:r>
        <w:rPr>
          <w:rFonts w:eastAsiaTheme="minorEastAsia"/>
        </w:rPr>
        <w:t>where</w:t>
      </w:r>
      <w:proofErr w:type="gramEnd"/>
      <w:r>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α</m:t>
            </m:r>
          </m:sub>
        </m:sSub>
      </m:oMath>
      <w:r>
        <w:rPr>
          <w:rFonts w:eastAsiaTheme="minorEastAsia"/>
        </w:rPr>
        <w:t xml:space="preserve"> </w:t>
      </w:r>
      <w:r w:rsidRPr="00AC445B">
        <w:t>is the critical value for a n</w:t>
      </w:r>
      <w:r>
        <w:t xml:space="preserve">ormal distribution that leaves </w:t>
      </w:r>
      <m:oMath>
        <m:r>
          <w:rPr>
            <w:rFonts w:ascii="Cambria Math" w:hAnsi="Cambria Math"/>
          </w:rPr>
          <m:t>α</m:t>
        </m:r>
      </m:oMath>
      <w:r w:rsidRPr="00AC445B">
        <w:t xml:space="preserve">% area to the right and </w:t>
      </w:r>
      <m:oMath>
        <m:sSub>
          <m:sSubPr>
            <m:ctrlPr>
              <w:rPr>
                <w:rFonts w:ascii="Cambria Math" w:hAnsi="Cambria Math"/>
                <w:i/>
              </w:rPr>
            </m:ctrlPr>
          </m:sSubPr>
          <m:e>
            <m:r>
              <w:rPr>
                <w:rFonts w:ascii="Cambria Math" w:hAnsi="Cambria Math"/>
              </w:rPr>
              <m:t>σ</m:t>
            </m:r>
          </m:e>
          <m:sub>
            <m:r>
              <w:rPr>
                <w:rFonts w:ascii="Cambria Math" w:hAnsi="Cambria Math"/>
              </w:rPr>
              <m:t>j</m:t>
            </m:r>
          </m:sub>
        </m:sSub>
      </m:oMath>
      <w:r w:rsidRPr="00AC445B">
        <w:t xml:space="preserve"> is the </w:t>
      </w:r>
      <m:oMath>
        <m:r>
          <w:rPr>
            <w:rFonts w:ascii="Cambria Math" w:hAnsi="Cambria Math"/>
          </w:rPr>
          <m:t>j</m:t>
        </m:r>
      </m:oMath>
      <w:r w:rsidRPr="00AC445B">
        <w:t>-th singular value of the</w:t>
      </w:r>
      <w:r>
        <w:t xml:space="preserve"> </w:t>
      </w:r>
      <m:oMath>
        <m:f>
          <m:fPr>
            <m:type m:val="lin"/>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s</m:t>
                </m:r>
              </m:sub>
            </m:sSub>
          </m:num>
          <m:den>
            <m:rad>
              <m:radPr>
                <m:degHide m:val="1"/>
                <m:ctrlPr>
                  <w:rPr>
                    <w:rFonts w:ascii="Cambria Math" w:hAnsi="Cambria Math"/>
                    <w:i/>
                  </w:rPr>
                </m:ctrlPr>
              </m:radPr>
              <m:deg/>
              <m:e>
                <m:r>
                  <w:rPr>
                    <w:rFonts w:ascii="Cambria Math" w:hAnsi="Cambria Math"/>
                  </w:rPr>
                  <m:t>m-1</m:t>
                </m:r>
              </m:e>
            </m:rad>
          </m:den>
        </m:f>
      </m:oMath>
      <w:r>
        <w:rPr>
          <w:rFonts w:eastAsiaTheme="minorEastAsia"/>
        </w:rPr>
        <w:t xml:space="preserve"> </w:t>
      </w:r>
      <w:r w:rsidRPr="00AC445B">
        <w:t>matrix.</w:t>
      </w:r>
    </w:p>
    <w:p w:rsidR="00E664E4" w:rsidRDefault="00E664E4" w:rsidP="00E664E4">
      <w:r>
        <w:t>As mentioned previously ,o</w:t>
      </w:r>
      <w:r w:rsidRPr="00AC445B">
        <w:t xml:space="preserve">ne common way of presenting the information obtained from PCA models is through two-dimensional plots of the scores of the principal components or through plots of the scores, </w:t>
      </w:r>
      <m:oMath>
        <m:sSup>
          <m:sSupPr>
            <m:ctrlPr>
              <w:rPr>
                <w:rFonts w:ascii="Cambria Math" w:hAnsi="Cambria Math"/>
                <w:i/>
              </w:rPr>
            </m:ctrlPr>
          </m:sSupPr>
          <m:e>
            <m:r>
              <w:rPr>
                <w:rFonts w:ascii="Cambria Math" w:hAnsi="Cambria Math"/>
              </w:rPr>
              <m:t>T</m:t>
            </m:r>
          </m:e>
          <m:sup>
            <m:r>
              <w:rPr>
                <w:rFonts w:ascii="Cambria Math" w:hAnsi="Cambria Math"/>
              </w:rPr>
              <m:t>2</m:t>
            </m:r>
          </m:sup>
        </m:sSup>
      </m:oMath>
      <w:r>
        <w:t xml:space="preserve">, and the </w:t>
      </w:r>
      <m:oMath>
        <m:r>
          <w:rPr>
            <w:rFonts w:ascii="Cambria Math" w:hAnsi="Cambria Math"/>
          </w:rPr>
          <m:t>SPE</m:t>
        </m:r>
      </m:oMath>
      <w:r w:rsidRPr="00AC445B">
        <w:t xml:space="preserve"> </w:t>
      </w:r>
      <w:r>
        <w:t xml:space="preserve">or </w:t>
      </w:r>
      <m:oMath>
        <m:r>
          <w:rPr>
            <w:rFonts w:ascii="Cambria Math" w:hAnsi="Cambria Math"/>
          </w:rPr>
          <m:t>Q</m:t>
        </m:r>
      </m:oMath>
      <w:r w:rsidRPr="00AC445B">
        <w:t xml:space="preserve">-statistic. </w:t>
      </w:r>
      <w:r w:rsidR="006A6E54">
        <w:t xml:space="preserve">In monitoring, a time series of </w:t>
      </w:r>
      <w:proofErr w:type="gramStart"/>
      <w:r w:rsidR="006A6E54">
        <w:t xml:space="preserve">the </w:t>
      </w:r>
      <m:oMath>
        <m:sSup>
          <m:sSupPr>
            <m:ctrlPr>
              <w:rPr>
                <w:rFonts w:ascii="Cambria Math" w:hAnsi="Cambria Math"/>
                <w:i/>
              </w:rPr>
            </m:ctrlPr>
          </m:sSupPr>
          <m:e>
            <m:r>
              <w:rPr>
                <w:rFonts w:ascii="Cambria Math" w:hAnsi="Cambria Math"/>
              </w:rPr>
              <m:t>T</m:t>
            </m:r>
          </m:e>
          <m:sup>
            <m:r>
              <w:rPr>
                <w:rFonts w:ascii="Cambria Math" w:hAnsi="Cambria Math"/>
              </w:rPr>
              <m:t>2</m:t>
            </m:r>
          </m:sup>
        </m:sSup>
      </m:oMath>
      <w:r w:rsidR="006A6E54">
        <w:rPr>
          <w:rFonts w:eastAsiaTheme="minorEastAsia"/>
        </w:rPr>
        <w:t xml:space="preserve"> and</w:t>
      </w:r>
      <w:proofErr w:type="gramEnd"/>
      <w:r w:rsidR="006A6E54">
        <w:rPr>
          <w:rFonts w:eastAsiaTheme="minorEastAsia"/>
        </w:rPr>
        <w:t xml:space="preserve"> the </w:t>
      </w:r>
      <m:oMath>
        <m:r>
          <w:rPr>
            <w:rFonts w:ascii="Cambria Math" w:eastAsiaTheme="minorEastAsia" w:hAnsi="Cambria Math"/>
          </w:rPr>
          <m:t>SPE</m:t>
        </m:r>
      </m:oMath>
      <w:r w:rsidR="006A6E54">
        <w:rPr>
          <w:rFonts w:eastAsiaTheme="minorEastAsia"/>
        </w:rPr>
        <w:t xml:space="preserve"> can be plotted against time to show trending behavior. </w:t>
      </w:r>
      <w:r w:rsidRPr="00AC445B">
        <w:t xml:space="preserve">The </w:t>
      </w:r>
      <m:oMath>
        <m:r>
          <w:rPr>
            <w:rFonts w:ascii="Cambria Math" w:hAnsi="Cambria Math"/>
          </w:rPr>
          <m:t>SPE</m:t>
        </m:r>
      </m:oMath>
      <w:r w:rsidRPr="00AC445B">
        <w:t xml:space="preserve"> is the </w:t>
      </w:r>
      <w:r w:rsidR="00C0662A">
        <w:t xml:space="preserve">sum of the </w:t>
      </w:r>
      <w:r w:rsidRPr="00AC445B">
        <w:t xml:space="preserve">squared difference between the observed values and the predicted values from the base case PCA model, and reflects the residuals after fitting with the PCA model. If a change among the </w:t>
      </w:r>
      <w:r w:rsidR="007063C2">
        <w:t xml:space="preserve">relative </w:t>
      </w:r>
      <w:r w:rsidRPr="00AC445B">
        <w:t xml:space="preserve">relationship between the process variables has occurred, the PCA model constructed from historical operating data is not expected to fit as well, thus leading to increased residuals. The </w:t>
      </w:r>
      <m:oMath>
        <m:sSup>
          <m:sSupPr>
            <m:ctrlPr>
              <w:rPr>
                <w:rFonts w:ascii="Cambria Math" w:hAnsi="Cambria Math"/>
                <w:i/>
              </w:rPr>
            </m:ctrlPr>
          </m:sSupPr>
          <m:e>
            <m:r>
              <w:rPr>
                <w:rFonts w:ascii="Cambria Math" w:hAnsi="Cambria Math"/>
              </w:rPr>
              <m:t>T</m:t>
            </m:r>
          </m:e>
          <m:sup>
            <m:r>
              <w:rPr>
                <w:rFonts w:ascii="Cambria Math" w:hAnsi="Cambria Math"/>
              </w:rPr>
              <m:t>2</m:t>
            </m:r>
          </m:sup>
        </m:sSup>
      </m:oMath>
      <w:r w:rsidRPr="00AC445B">
        <w:t xml:space="preserve"> statistic is a measure of the Mahalanobis distance in the reduced </w:t>
      </w:r>
      <w:r w:rsidR="006A6E54">
        <w:t xml:space="preserve">scores </w:t>
      </w:r>
      <w:r w:rsidRPr="00AC445B">
        <w:t xml:space="preserve">space between the position of a sample and the origin that defines those samples exhibiting minimal variation (i.e., average behavior of the process) derived from the historical data set. The </w:t>
      </w:r>
      <m:oMath>
        <m:r>
          <w:rPr>
            <w:rFonts w:ascii="Cambria Math" w:hAnsi="Cambria Math"/>
          </w:rPr>
          <m:t>SPE</m:t>
        </m:r>
      </m:oMath>
      <w:r w:rsidRPr="00AC445B">
        <w:t xml:space="preserve"> plot allows one to identify the onset of a new event not previously captured in the data. However, if the process change is caused by a larger than normal shift in one or more of the process variables, but the basic relationship between the </w:t>
      </w:r>
      <w:proofErr w:type="gramStart"/>
      <w:r w:rsidRPr="00AC445B">
        <w:t>quality</w:t>
      </w:r>
      <w:proofErr w:type="gramEnd"/>
      <w:r w:rsidRPr="00AC445B">
        <w:t xml:space="preserve"> and/or process variables remains unchanged, then a translation in the scores plane will result, with the </w:t>
      </w:r>
      <m:oMath>
        <m:r>
          <w:rPr>
            <w:rFonts w:ascii="Cambria Math" w:hAnsi="Cambria Math"/>
          </w:rPr>
          <m:t>SPE</m:t>
        </m:r>
      </m:oMath>
      <w:r w:rsidRPr="00AC445B">
        <w:t xml:space="preserve"> remaining </w:t>
      </w:r>
      <w:r w:rsidR="006A6E54">
        <w:t xml:space="preserve">under </w:t>
      </w:r>
      <w:r w:rsidRPr="00AC445B">
        <w:t xml:space="preserve">an acceptable level. In this instance, an ‘out-of-control’ signal will be seen in the </w:t>
      </w:r>
      <m:oMath>
        <m:sSup>
          <m:sSupPr>
            <m:ctrlPr>
              <w:rPr>
                <w:rFonts w:ascii="Cambria Math" w:hAnsi="Cambria Math"/>
                <w:i/>
              </w:rPr>
            </m:ctrlPr>
          </m:sSupPr>
          <m:e>
            <m:r>
              <w:rPr>
                <w:rFonts w:ascii="Cambria Math" w:hAnsi="Cambria Math"/>
              </w:rPr>
              <m:t>T</m:t>
            </m:r>
          </m:e>
          <m:sup>
            <m:r>
              <w:rPr>
                <w:rFonts w:ascii="Cambria Math" w:hAnsi="Cambria Math"/>
              </w:rPr>
              <m:t>2</m:t>
            </m:r>
          </m:sup>
        </m:sSup>
      </m:oMath>
      <w:r>
        <w:t xml:space="preserve"> plot, but not in the </w:t>
      </w:r>
      <m:oMath>
        <m:r>
          <w:rPr>
            <w:rFonts w:ascii="Cambria Math" w:hAnsi="Cambria Math"/>
          </w:rPr>
          <m:t>Q</m:t>
        </m:r>
      </m:oMath>
      <w:r w:rsidRPr="00AC445B">
        <w:t>-statistic plot.</w:t>
      </w:r>
    </w:p>
    <w:p w:rsidR="00871E7A" w:rsidRDefault="00871E7A" w:rsidP="00AD46F7">
      <w:pPr>
        <w:jc w:val="center"/>
        <w:rPr>
          <w:rFonts w:asciiTheme="majorHAnsi" w:hAnsiTheme="majorHAnsi"/>
          <w:b/>
          <w:caps/>
        </w:rPr>
        <w:sectPr w:rsidR="00871E7A" w:rsidSect="00696884">
          <w:pgSz w:w="12240" w:h="15840"/>
          <w:pgMar w:top="1440" w:right="1440" w:bottom="1440" w:left="1440" w:header="1440" w:footer="1440" w:gutter="0"/>
          <w:cols w:space="720"/>
          <w:docGrid w:linePitch="360"/>
        </w:sectPr>
      </w:pPr>
    </w:p>
    <w:p w:rsidR="00E664E4" w:rsidRDefault="00E664E4" w:rsidP="00E664E4">
      <w:pPr>
        <w:jc w:val="center"/>
        <w:rPr>
          <w:rFonts w:asciiTheme="majorHAnsi" w:hAnsiTheme="majorHAnsi"/>
          <w:b/>
          <w:caps/>
        </w:rPr>
      </w:pPr>
      <w:r w:rsidRPr="00015B53">
        <w:rPr>
          <w:rFonts w:asciiTheme="majorHAnsi" w:hAnsiTheme="majorHAnsi"/>
          <w:b/>
          <w:caps/>
        </w:rPr>
        <w:lastRenderedPageBreak/>
        <w:t>3. Methodology</w:t>
      </w:r>
    </w:p>
    <w:p w:rsidR="00E664E4" w:rsidRDefault="00E664E4" w:rsidP="00E664E4">
      <w:pPr>
        <w:jc w:val="center"/>
        <w:rPr>
          <w:rFonts w:asciiTheme="majorHAnsi" w:hAnsiTheme="majorHAnsi"/>
          <w:b/>
          <w:caps/>
        </w:rPr>
      </w:pPr>
    </w:p>
    <w:p w:rsidR="00E664E4" w:rsidRDefault="00E664E4" w:rsidP="00E664E4">
      <w:r w:rsidRPr="00484ED1">
        <w:t xml:space="preserve">The </w:t>
      </w:r>
      <w:r>
        <w:t xml:space="preserve">methodology that was used for the </w:t>
      </w:r>
      <w:r w:rsidRPr="00484ED1">
        <w:t xml:space="preserve">development of the diversion detection framework is outlined below. This </w:t>
      </w:r>
      <w:r>
        <w:t>methodology</w:t>
      </w:r>
      <w:r w:rsidRPr="00484ED1">
        <w:t xml:space="preserve"> starts with an overview of the overall approach followed by the material balances o</w:t>
      </w:r>
      <w:r>
        <w:t>f</w:t>
      </w:r>
      <w:r w:rsidRPr="00484ED1">
        <w:t xml:space="preserve"> the processes in the conversion plant. </w:t>
      </w:r>
      <w:r>
        <w:t xml:space="preserve">A description of the sensitivity analysis is followed by </w:t>
      </w:r>
      <w:r w:rsidRPr="00484ED1">
        <w:t>description</w:t>
      </w:r>
      <w:r>
        <w:t>s</w:t>
      </w:r>
      <w:r w:rsidRPr="00484ED1">
        <w:t xml:space="preserve"> of the normal and faulty cases including</w:t>
      </w:r>
      <w:r>
        <w:t xml:space="preserve"> the application of PCA to t</w:t>
      </w:r>
      <w:r w:rsidRPr="00484ED1">
        <w:t>he problem</w:t>
      </w:r>
      <w:r>
        <w:t>.</w:t>
      </w:r>
    </w:p>
    <w:p w:rsidR="00E664E4" w:rsidRDefault="00E664E4" w:rsidP="00E664E4">
      <w:r>
        <w:t>As a reminder, t</w:t>
      </w:r>
      <w:r w:rsidRPr="007D43E5">
        <w:t xml:space="preserve">his study </w:t>
      </w:r>
      <w:r>
        <w:t>wa</w:t>
      </w:r>
      <w:r w:rsidRPr="007D43E5">
        <w:t xml:space="preserve">s </w:t>
      </w:r>
      <w:r w:rsidR="004D2F80">
        <w:t xml:space="preserve">developed for </w:t>
      </w:r>
      <w:r w:rsidRPr="007D43E5">
        <w:t>a 100 MTU/</w:t>
      </w:r>
      <w:proofErr w:type="spellStart"/>
      <w:r w:rsidRPr="007D43E5">
        <w:t>yr</w:t>
      </w:r>
      <w:proofErr w:type="spellEnd"/>
      <w:r w:rsidRPr="007D43E5">
        <w:t xml:space="preserve"> NUCP using the wet solvent extraction method for the purification of </w:t>
      </w:r>
      <w:r>
        <w:t>uranium ore concentrate in the form of U</w:t>
      </w:r>
      <w:r w:rsidRPr="005A1B62">
        <w:rPr>
          <w:vertAlign w:val="subscript"/>
        </w:rPr>
        <w:t>3</w:t>
      </w:r>
      <w:r>
        <w:t>O</w:t>
      </w:r>
      <w:r w:rsidRPr="005A1B62">
        <w:rPr>
          <w:vertAlign w:val="subscript"/>
        </w:rPr>
        <w:t>8</w:t>
      </w:r>
      <w:r w:rsidRPr="007D43E5">
        <w:t xml:space="preserve">. </w:t>
      </w:r>
      <w:r>
        <w:t xml:space="preserve">It was assumed that the process was operating continuously and was at steady-state. </w:t>
      </w:r>
    </w:p>
    <w:p w:rsidR="00E664E4" w:rsidRDefault="00E664E4" w:rsidP="00E664E4"/>
    <w:p w:rsidR="00E664E4" w:rsidRDefault="00E664E4" w:rsidP="00E664E4">
      <w:pPr>
        <w:rPr>
          <w:rFonts w:asciiTheme="majorHAnsi" w:hAnsiTheme="majorHAnsi"/>
          <w:b/>
          <w:caps/>
        </w:rPr>
      </w:pPr>
      <w:r w:rsidRPr="00015B53">
        <w:rPr>
          <w:rFonts w:asciiTheme="majorHAnsi" w:hAnsiTheme="majorHAnsi"/>
          <w:b/>
          <w:caps/>
        </w:rPr>
        <w:t>3.1 Overall Approach</w:t>
      </w:r>
    </w:p>
    <w:p w:rsidR="00E664E4" w:rsidRDefault="00E664E4" w:rsidP="00E664E4">
      <w:r w:rsidRPr="00484ED1">
        <w:t xml:space="preserve">The overall approach </w:t>
      </w:r>
      <w:r>
        <w:t xml:space="preserve">used </w:t>
      </w:r>
      <w:r w:rsidRPr="00484ED1">
        <w:t xml:space="preserve">to develop the monitoring framework is shown in the flow diagram </w:t>
      </w:r>
      <w:r>
        <w:t xml:space="preserve">in </w:t>
      </w:r>
      <w:r w:rsidRPr="009D034F">
        <w:t>Figure 3.1.</w:t>
      </w:r>
      <w:r w:rsidRPr="00484ED1">
        <w:t xml:space="preserve"> </w:t>
      </w:r>
    </w:p>
    <w:p w:rsidR="00BD31C2" w:rsidRDefault="00BD31C2" w:rsidP="00BD31C2">
      <w:r>
        <w:t>The first major step in the overall approach was to define the base case and generate the ‘normal’ data set. First, the process equations that describe the steady-state system were defined. These equations are</w:t>
      </w:r>
      <w:r w:rsidR="007A4482">
        <w:t xml:space="preserve"> based on concentration of mass of the various chemical species and are </w:t>
      </w:r>
      <w:r>
        <w:t>a function of the state variables and the input variables</w:t>
      </w:r>
      <w:r w:rsidR="007A4482">
        <w:t xml:space="preserve"> of interest</w:t>
      </w:r>
      <w:r>
        <w:t>, w</w:t>
      </w:r>
      <w:r>
        <w:rPr>
          <w:rFonts w:eastAsiaTheme="minorEastAsia"/>
        </w:rPr>
        <w:t xml:space="preserve">here </w:t>
      </w:r>
      <m:oMath>
        <m:r>
          <w:rPr>
            <w:rFonts w:ascii="Cambria Math" w:eastAsiaTheme="minorEastAsia" w:hAnsi="Cambria Math"/>
          </w:rPr>
          <m:t>x</m:t>
        </m:r>
      </m:oMath>
      <w:r>
        <w:rPr>
          <w:rFonts w:eastAsiaTheme="minorEastAsia"/>
        </w:rPr>
        <w:t xml:space="preserve"> and </w:t>
      </w:r>
      <m:oMath>
        <m:r>
          <w:rPr>
            <w:rFonts w:ascii="Cambria Math" w:eastAsiaTheme="minorEastAsia" w:hAnsi="Cambria Math"/>
          </w:rPr>
          <m:t>u</m:t>
        </m:r>
      </m:oMath>
      <w:r>
        <w:rPr>
          <w:rFonts w:eastAsiaTheme="minorEastAsia"/>
        </w:rPr>
        <w:t xml:space="preserve"> denote the full state variables of interest (</w:t>
      </w:r>
      <m:oMath>
        <m:r>
          <w:rPr>
            <w:rFonts w:ascii="Cambria Math" w:eastAsiaTheme="minorEastAsia" w:hAnsi="Cambria Math"/>
          </w:rPr>
          <m:t>n×1</m:t>
        </m:r>
      </m:oMath>
      <w:r>
        <w:rPr>
          <w:rFonts w:eastAsiaTheme="minorEastAsia"/>
        </w:rPr>
        <w:t>) and full input variables (</w:t>
      </w:r>
      <m:oMath>
        <m:r>
          <w:rPr>
            <w:rFonts w:ascii="Cambria Math" w:eastAsiaTheme="minorEastAsia" w:hAnsi="Cambria Math"/>
          </w:rPr>
          <m:t>m×1</m:t>
        </m:r>
      </m:oMath>
      <w:r>
        <w:rPr>
          <w:rFonts w:eastAsiaTheme="minorEastAsia"/>
        </w:rPr>
        <w:t>), and ‘</w:t>
      </w:r>
      <m:oMath>
        <m:r>
          <w:rPr>
            <w:rFonts w:ascii="Cambria Math" w:eastAsiaTheme="minorEastAsia" w:hAnsi="Cambria Math"/>
          </w:rPr>
          <m:t>f</m:t>
        </m:r>
      </m:oMath>
      <w:r>
        <w:rPr>
          <w:rFonts w:eastAsiaTheme="minorEastAsia"/>
        </w:rPr>
        <w:t>’ denotes the nonlinear algebraic equations.</w:t>
      </w:r>
      <w:r>
        <w:t xml:space="preserve"> The change in the system</w:t>
      </w:r>
      <w:proofErr w:type="gramStart"/>
      <w:r>
        <w:t xml:space="preserve">, </w:t>
      </w:r>
      <w:proofErr w:type="gramEnd"/>
      <m:oMath>
        <m:acc>
          <m:accPr>
            <m:chr m:val="̇"/>
            <m:ctrlPr>
              <w:rPr>
                <w:rFonts w:ascii="Cambria Math" w:hAnsi="Cambria Math"/>
                <w:i/>
              </w:rPr>
            </m:ctrlPr>
          </m:accPr>
          <m:e>
            <m:r>
              <w:rPr>
                <w:rFonts w:ascii="Cambria Math" w:hAnsi="Cambria Math"/>
              </w:rPr>
              <m:t>X</m:t>
            </m:r>
          </m:e>
        </m:acc>
      </m:oMath>
      <w:r>
        <w:t>, is zero when the system is at steady-state.</w:t>
      </w:r>
    </w:p>
    <w:p w:rsidR="00BD31C2" w:rsidRDefault="00C851DF" w:rsidP="00BD31C2">
      <w:pPr>
        <w:jc w:val="center"/>
        <w:rPr>
          <w:rFonts w:eastAsiaTheme="minorEastAsia"/>
        </w:rPr>
      </w:pPr>
      <m:oMathPara>
        <m:oMath>
          <m:acc>
            <m:accPr>
              <m:chr m:val="̇"/>
              <m:ctrlPr>
                <w:rPr>
                  <w:rFonts w:ascii="Cambria Math" w:hAnsi="Cambria Math"/>
                  <w:i/>
                </w:rPr>
              </m:ctrlPr>
            </m:accPr>
            <m:e>
              <m:r>
                <w:rPr>
                  <w:rFonts w:ascii="Cambria Math" w:hAnsi="Cambria Math"/>
                </w:rPr>
                <m:t>X</m:t>
              </m:r>
            </m:e>
          </m:acc>
          <m:r>
            <w:rPr>
              <w:rFonts w:ascii="Cambria Math" w:hAnsi="Cambria Math"/>
            </w:rPr>
            <m:t>=f</m:t>
          </m:r>
          <m:d>
            <m:dPr>
              <m:ctrlPr>
                <w:rPr>
                  <w:rFonts w:ascii="Cambria Math" w:hAnsi="Cambria Math"/>
                  <w:i/>
                </w:rPr>
              </m:ctrlPr>
            </m:dPr>
            <m:e>
              <m:r>
                <w:rPr>
                  <w:rFonts w:ascii="Cambria Math" w:hAnsi="Cambria Math"/>
                </w:rPr>
                <m:t>x,u</m:t>
              </m:r>
            </m:e>
          </m:d>
        </m:oMath>
      </m:oMathPara>
    </w:p>
    <w:p w:rsidR="00BD31C2" w:rsidRDefault="00BD31C2">
      <w:r>
        <w:t xml:space="preserve">For this work, the system of equations was based on the material balances, and the component molar flow rates of the </w:t>
      </w:r>
      <w:r w:rsidR="007A4482">
        <w:t>various</w:t>
      </w:r>
      <w:r>
        <w:t xml:space="preserve"> streams were the state variables. </w:t>
      </w:r>
      <w:r w:rsidR="007A4482">
        <w:t xml:space="preserve">A total of 273 process variables were chosen to be monitored. </w:t>
      </w:r>
      <w:r>
        <w:t xml:space="preserve">All of the parameters and input variables were then defined. </w:t>
      </w:r>
      <w:r>
        <w:rPr>
          <w:rFonts w:eastAsiaTheme="minorEastAsia"/>
        </w:rPr>
        <w:t xml:space="preserve">The input variables were the operational variables whose values can be set to drive the system operation, e.g., flow rate and concentration in the inlet stream to a reactor, etc. </w:t>
      </w:r>
      <w:r w:rsidR="007A4482">
        <w:rPr>
          <w:rFonts w:eastAsiaTheme="minorEastAsia"/>
        </w:rPr>
        <w:t xml:space="preserve">A total of seven input variables were chosen.  </w:t>
      </w:r>
      <w:r>
        <w:t xml:space="preserve">For the input variables, the normal range profile for each variable was </w:t>
      </w:r>
      <w:r w:rsidRPr="00484ED1">
        <w:t>establish</w:t>
      </w:r>
      <w:r>
        <w:t>ed</w:t>
      </w:r>
      <w:r w:rsidRPr="00484ED1">
        <w:t xml:space="preserve">, i.e. ‘normal’ </w:t>
      </w:r>
      <w:r>
        <w:t xml:space="preserve">flow rate of </w:t>
      </w:r>
      <w:r w:rsidR="007A4482">
        <w:t xml:space="preserve">elemental </w:t>
      </w:r>
      <w:r>
        <w:t>uranium into the plant was specified as 50 kg/h</w:t>
      </w:r>
      <w:r w:rsidRPr="00484ED1">
        <w:t>.</w:t>
      </w:r>
      <w:r>
        <w:t xml:space="preserve"> </w:t>
      </w:r>
      <w:r w:rsidR="007A4482">
        <w:t>Next, the steady</w:t>
      </w:r>
      <w:r w:rsidR="007A4482">
        <w:noBreakHyphen/>
        <w:t xml:space="preserve">state solution to all the material balance equations at the specified nominal input operating profile was obtained. </w:t>
      </w:r>
      <w:r>
        <w:t>The ‘</w:t>
      </w:r>
      <w:proofErr w:type="spellStart"/>
      <w:r>
        <w:t>fsolve</w:t>
      </w:r>
      <w:proofErr w:type="spellEnd"/>
      <w:r>
        <w:t xml:space="preserve">’ function in MATLAB® was used to determine the steady-state solution. According to the MATLAB® </w:t>
      </w:r>
      <w:r w:rsidRPr="00D2444A">
        <w:t>2013</w:t>
      </w:r>
      <w:r>
        <w:t>a Documentation</w:t>
      </w:r>
      <w:r w:rsidRPr="00D2444A">
        <w:t xml:space="preserve">, </w:t>
      </w:r>
      <w:r>
        <w:t>‘</w:t>
      </w:r>
      <w:proofErr w:type="spellStart"/>
      <w:r>
        <w:t>fsolve</w:t>
      </w:r>
      <w:proofErr w:type="spellEnd"/>
      <w:r>
        <w:t xml:space="preserve">’ is used to find a root or zero of a system of </w:t>
      </w:r>
      <m:oMath>
        <m:r>
          <w:rPr>
            <w:rFonts w:ascii="Cambria Math" w:hAnsi="Cambria Math"/>
          </w:rPr>
          <m:t>n</m:t>
        </m:r>
      </m:oMath>
      <w:r>
        <w:t xml:space="preserve"> nonlinear functions in </w:t>
      </w:r>
      <m:oMath>
        <m:r>
          <w:rPr>
            <w:rFonts w:ascii="Cambria Math" w:hAnsi="Cambria Math"/>
          </w:rPr>
          <m:t>n</m:t>
        </m:r>
      </m:oMath>
      <w:r>
        <w:t xml:space="preserve"> variables by the trust-region-</w:t>
      </w:r>
      <w:r w:rsidRPr="00246C58">
        <w:t>dogleg algorithm</w:t>
      </w:r>
      <w:r>
        <w:t xml:space="preserve"> (MATLAB® 2013). </w:t>
      </w:r>
      <w:r w:rsidRPr="00246C58">
        <w:t>The algorithm is a variant of the Powell dogleg method</w:t>
      </w:r>
      <w:r>
        <w:t>, a numerical method for solving nonlinear equations. The steady</w:t>
      </w:r>
      <w:r>
        <w:noBreakHyphen/>
        <w:t xml:space="preserve">state solution was substituted back into the equations to check that the solution to the system of equations was indeed </w:t>
      </w:r>
      <w:r>
        <w:br w:type="page"/>
      </w:r>
    </w:p>
    <w:p w:rsidR="00E664E4" w:rsidRDefault="00E664E4" w:rsidP="00E664E4">
      <w:pPr>
        <w:jc w:val="center"/>
      </w:pPr>
      <w:r w:rsidRPr="004C31F5">
        <w:rPr>
          <w:noProof/>
        </w:rPr>
        <w:lastRenderedPageBreak/>
        <w:drawing>
          <wp:inline distT="0" distB="0" distL="0" distR="0" wp14:anchorId="35105132" wp14:editId="4E07B5DE">
            <wp:extent cx="5111749" cy="5853113"/>
            <wp:effectExtent l="76200" t="38100" r="70485" b="109855"/>
            <wp:docPr id="6"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DC329E" w:rsidRDefault="00E664E4" w:rsidP="00E664E4">
      <w:pPr>
        <w:jc w:val="center"/>
        <w:rPr>
          <w:b/>
          <w:sz w:val="20"/>
          <w:szCs w:val="20"/>
        </w:rPr>
      </w:pPr>
      <w:proofErr w:type="gramStart"/>
      <w:r w:rsidRPr="009D034F">
        <w:rPr>
          <w:b/>
          <w:sz w:val="20"/>
          <w:szCs w:val="20"/>
        </w:rPr>
        <w:t>Figure 3.1.</w:t>
      </w:r>
      <w:proofErr w:type="gramEnd"/>
      <w:r w:rsidRPr="009D034F">
        <w:rPr>
          <w:b/>
          <w:sz w:val="20"/>
          <w:szCs w:val="20"/>
        </w:rPr>
        <w:t xml:space="preserve"> </w:t>
      </w:r>
      <w:proofErr w:type="gramStart"/>
      <w:r w:rsidRPr="009D034F">
        <w:rPr>
          <w:b/>
          <w:sz w:val="20"/>
          <w:szCs w:val="20"/>
        </w:rPr>
        <w:t>Flow Diagram of the Overall Approach Method for Developing a Modeling Framework.</w:t>
      </w:r>
      <w:proofErr w:type="gramEnd"/>
    </w:p>
    <w:p w:rsidR="00DC329E" w:rsidRDefault="00DC329E">
      <w:pPr>
        <w:rPr>
          <w:b/>
          <w:sz w:val="20"/>
          <w:szCs w:val="20"/>
        </w:rPr>
      </w:pPr>
      <w:r>
        <w:rPr>
          <w:b/>
          <w:sz w:val="20"/>
          <w:szCs w:val="20"/>
        </w:rPr>
        <w:br w:type="page"/>
      </w:r>
    </w:p>
    <w:p w:rsidR="00BD31C2" w:rsidRDefault="003A6C6F" w:rsidP="00E664E4">
      <w:proofErr w:type="gramStart"/>
      <w:r>
        <w:lastRenderedPageBreak/>
        <w:t>essentially</w:t>
      </w:r>
      <w:proofErr w:type="gramEnd"/>
      <w:r>
        <w:t xml:space="preserve"> zero. Once the nominal state-steady values were determined, it was possible to generate a set of ‘base case’ operating values from which the PCA model was built. The set of chosen input variables were varied around the nominal operational point to simulate ‘normal’ variation of these variables in actual operation. The </w:t>
      </w:r>
      <w:r w:rsidR="00BD31C2">
        <w:t xml:space="preserve">reasonable range on either side of the nominal values was established, e.g., </w:t>
      </w:r>
      <w:r w:rsidR="00BD31C2">
        <w:rPr>
          <w:rFonts w:cstheme="minorHAnsi"/>
        </w:rPr>
        <w:t>±</w:t>
      </w:r>
      <w:r w:rsidR="00BD31C2">
        <w:t>10% for flow rates. Thousands of data points were needed to build the base case PCA model. This was accomplished through the use of nested loops that cycle through all possible combinations of the levels of input variables. For example, assume that three input variables have been chosen to vary over 20 different values in the range of each variable; the simulation would generate 20</w:t>
      </w:r>
      <w:r w:rsidR="00BD31C2" w:rsidRPr="00997AAB">
        <w:rPr>
          <w:vertAlign w:val="superscript"/>
        </w:rPr>
        <w:t>3</w:t>
      </w:r>
      <w:r w:rsidR="00BD31C2">
        <w:t xml:space="preserve"> = 8000 data points. Therefore, the base case data was generated by determining</w:t>
      </w:r>
      <w:r w:rsidR="00BD31C2" w:rsidRPr="00484ED1">
        <w:t xml:space="preserve"> the steady-state intermediate variable measurements in response to normal variation in the input variables based on material balances.</w:t>
      </w:r>
      <w:r w:rsidR="00BD31C2">
        <w:t xml:space="preserve"> Each newly calculated steady-state solution </w:t>
      </w:r>
      <w:r w:rsidR="00BD31C2">
        <w:rPr>
          <w:rFonts w:eastAsiaTheme="minorEastAsia"/>
        </w:rPr>
        <w:t>(</w:t>
      </w:r>
      <m:oMath>
        <m:r>
          <w:rPr>
            <w:rFonts w:ascii="Cambria Math" w:hAnsi="Cambria Math"/>
          </w:rPr>
          <m:t>x</m:t>
        </m:r>
      </m:oMath>
      <w:r w:rsidR="00BD31C2">
        <w:rPr>
          <w:rFonts w:eastAsiaTheme="minorEastAsia"/>
        </w:rPr>
        <w:t xml:space="preserve">) </w:t>
      </w:r>
      <w:r w:rsidR="00BD31C2">
        <w:t>and the corresponding input variable values (</w:t>
      </w:r>
      <m:oMath>
        <m:r>
          <w:rPr>
            <w:rFonts w:ascii="Cambria Math" w:hAnsi="Cambria Math"/>
          </w:rPr>
          <m:t>u</m:t>
        </m:r>
      </m:oMath>
      <w:r w:rsidR="00BD31C2">
        <w:rPr>
          <w:rFonts w:eastAsiaTheme="minorEastAsia"/>
        </w:rPr>
        <w:t>)</w:t>
      </w:r>
      <w:r w:rsidR="00BD31C2">
        <w:t xml:space="preserve"> are stored as a row vector of the large base </w:t>
      </w:r>
      <w:r w:rsidR="00BD31C2" w:rsidRPr="002414A9">
        <w:t>case data matrix</w:t>
      </w:r>
      <w:r w:rsidR="00BD31C2">
        <w:t xml:space="preserve"> (</w:t>
      </w:r>
      <m:oMath>
        <m:sSub>
          <m:sSubPr>
            <m:ctrlPr>
              <w:rPr>
                <w:rFonts w:ascii="Cambria Math" w:hAnsi="Cambria Math"/>
                <w:i/>
              </w:rPr>
            </m:ctrlPr>
          </m:sSubPr>
          <m:e>
            <m:r>
              <w:rPr>
                <w:rFonts w:ascii="Cambria Math" w:hAnsi="Cambria Math"/>
              </w:rPr>
              <m:t>X</m:t>
            </m:r>
          </m:e>
          <m:sub>
            <m:r>
              <w:rPr>
                <w:rFonts w:ascii="Cambria Math" w:hAnsi="Cambria Math"/>
              </w:rPr>
              <m:t>ss</m:t>
            </m:r>
          </m:sub>
        </m:sSub>
      </m:oMath>
      <w:r w:rsidR="00BD31C2">
        <w:rPr>
          <w:rFonts w:eastAsiaTheme="minorEastAsia"/>
        </w:rPr>
        <w:t>)</w:t>
      </w:r>
      <w:r w:rsidR="00BD31C2" w:rsidRPr="002414A9">
        <w:t xml:space="preserve">. Each row represents a </w:t>
      </w:r>
      <w:r>
        <w:t xml:space="preserve">process response to a </w:t>
      </w:r>
      <w:r w:rsidR="00BD31C2" w:rsidRPr="002414A9">
        <w:t xml:space="preserve">different combination of </w:t>
      </w:r>
      <w:r w:rsidR="00BD31C2">
        <w:t>input variable</w:t>
      </w:r>
      <w:r w:rsidR="00BD31C2" w:rsidRPr="002414A9">
        <w:t xml:space="preserve"> values. </w:t>
      </w:r>
      <w:r>
        <w:t>There are a total of 273 state variables and seven input variables. The input variable values were placed as the last seven variables in the data matrix [</w:t>
      </w:r>
      <w:proofErr w:type="spellStart"/>
      <w:proofErr w:type="gramStart"/>
      <w:r>
        <w:t>Xss</w:t>
      </w:r>
      <w:proofErr w:type="spellEnd"/>
      <w:r>
        <w:t>(</w:t>
      </w:r>
      <w:proofErr w:type="gramEnd"/>
      <w:r>
        <w:t>274)–</w:t>
      </w:r>
      <w:proofErr w:type="spellStart"/>
      <w:r>
        <w:t>Xss</w:t>
      </w:r>
      <w:proofErr w:type="spellEnd"/>
      <w:r>
        <w:t>(280)].</w:t>
      </w:r>
    </w:p>
    <w:p w:rsidR="00E664E4" w:rsidRDefault="00E664E4" w:rsidP="00E664E4">
      <w:r>
        <w:t xml:space="preserve">The next major step in the overall approach was to </w:t>
      </w:r>
      <w:r w:rsidR="003A6C6F">
        <w:t>determine</w:t>
      </w:r>
      <w:r>
        <w:t xml:space="preserve"> the reduced-dimension base case model following the procedure discussed in Chapter 2. The base case or ‘normal’ principal component model using the PCA approach wa</w:t>
      </w:r>
      <w:r w:rsidRPr="00484ED1">
        <w:t xml:space="preserve">s established based on normal operating profiles and expected </w:t>
      </w:r>
      <w:r>
        <w:t xml:space="preserve">normal </w:t>
      </w:r>
      <w:r w:rsidRPr="00484ED1">
        <w:t xml:space="preserve">variations. </w:t>
      </w:r>
      <w:r>
        <w:t xml:space="preserve">Before PCA could be applied to the base case data, random Gaussian white noise was added </w:t>
      </w:r>
      <w:r w:rsidRPr="00484ED1">
        <w:t>to all the mea</w:t>
      </w:r>
      <w:r>
        <w:t xml:space="preserve">surement variables to simulate </w:t>
      </w:r>
      <w:r w:rsidRPr="00484ED1">
        <w:t>measurement noise.</w:t>
      </w:r>
      <w:r>
        <w:t xml:space="preserve"> The data set was then pre-processed, i.e. </w:t>
      </w:r>
      <w:r w:rsidRPr="002414A9">
        <w:t xml:space="preserve">standardized by mean centering each column to give a zero mean and </w:t>
      </w:r>
      <w:r>
        <w:t xml:space="preserve">normalized each column to have unit </w:t>
      </w:r>
      <w:r w:rsidR="003A6C6F">
        <w:t xml:space="preserve">or weighted </w:t>
      </w:r>
      <w:r>
        <w:t xml:space="preserve">variance by </w:t>
      </w:r>
      <w:r w:rsidRPr="002414A9">
        <w:t>dividing each centered column by its standard deviation</w:t>
      </w:r>
      <w:r>
        <w:t xml:space="preserve">. Singular value decomposition (SVD) was used to extract the principal components. The effective rank was determined in order to select the appropriate number of principal components to retain to represent the </w:t>
      </w:r>
      <w:r w:rsidR="003A6C6F">
        <w:t xml:space="preserve">normal </w:t>
      </w:r>
      <w:r>
        <w:t>state of operation. T</w:t>
      </w:r>
      <w:r w:rsidRPr="00484ED1">
        <w:t xml:space="preserve">he statistical bounds </w:t>
      </w:r>
      <w:r w:rsidR="003A6C6F">
        <w:t xml:space="preserve">of </w:t>
      </w:r>
      <m:oMath>
        <m:sSup>
          <m:sSupPr>
            <m:ctrlPr>
              <w:rPr>
                <w:rFonts w:ascii="Cambria Math" w:hAnsi="Cambria Math"/>
                <w:i/>
              </w:rPr>
            </m:ctrlPr>
          </m:sSupPr>
          <m:e>
            <m:r>
              <w:rPr>
                <w:rFonts w:ascii="Cambria Math" w:hAnsi="Cambria Math"/>
              </w:rPr>
              <m:t>T</m:t>
            </m:r>
          </m:e>
          <m:sup>
            <m:r>
              <w:rPr>
                <w:rFonts w:ascii="Cambria Math" w:hAnsi="Cambria Math"/>
              </w:rPr>
              <m:t>2</m:t>
            </m:r>
          </m:sup>
        </m:sSup>
      </m:oMath>
      <w:r w:rsidR="003A6C6F">
        <w:t xml:space="preserve"> and </w:t>
      </w:r>
      <m:oMath>
        <m:r>
          <w:rPr>
            <w:rFonts w:ascii="Cambria Math" w:hAnsi="Cambria Math"/>
          </w:rPr>
          <m:t>Q</m:t>
        </m:r>
      </m:oMath>
      <w:r w:rsidR="003A6C6F">
        <w:t xml:space="preserve"> </w:t>
      </w:r>
      <w:r w:rsidRPr="00484ED1">
        <w:t xml:space="preserve">of the </w:t>
      </w:r>
      <w:r>
        <w:t xml:space="preserve">PCA </w:t>
      </w:r>
      <w:r w:rsidRPr="00484ED1">
        <w:t xml:space="preserve">model </w:t>
      </w:r>
      <w:r>
        <w:t xml:space="preserve">were established </w:t>
      </w:r>
      <w:r w:rsidRPr="00484ED1">
        <w:t>from the reduced-dimensional principal component framework.</w:t>
      </w:r>
    </w:p>
    <w:p w:rsidR="00E664E4" w:rsidRPr="00484ED1" w:rsidRDefault="00E664E4" w:rsidP="00E664E4">
      <w:r>
        <w:t xml:space="preserve">The </w:t>
      </w:r>
      <w:r w:rsidR="003A6C6F">
        <w:t>next</w:t>
      </w:r>
      <w:r>
        <w:t xml:space="preserve"> step in the approach was to test the </w:t>
      </w:r>
      <w:r w:rsidR="003A6C6F">
        <w:t xml:space="preserve">monitoring </w:t>
      </w:r>
      <w:r>
        <w:t xml:space="preserve">framework using faulty operational cases. </w:t>
      </w:r>
      <w:r w:rsidRPr="00484ED1">
        <w:t>Several</w:t>
      </w:r>
      <w:r>
        <w:t xml:space="preserve"> faulty scenarios we</w:t>
      </w:r>
      <w:r w:rsidRPr="00484ED1">
        <w:t>re simulated by introducing ‘faults’ into the operation.</w:t>
      </w:r>
      <w:r>
        <w:t xml:space="preserve"> </w:t>
      </w:r>
      <w:r w:rsidRPr="00484ED1">
        <w:t xml:space="preserve">The faulty data </w:t>
      </w:r>
      <w:r>
        <w:t>sets we</w:t>
      </w:r>
      <w:r w:rsidRPr="00484ED1">
        <w:t>re analyzed using the base case principal component model</w:t>
      </w:r>
      <w:r>
        <w:t xml:space="preserve"> and</w:t>
      </w:r>
      <w:r w:rsidR="003A6C6F">
        <w:t xml:space="preserve"> the established statistical bounds. The </w:t>
      </w:r>
      <w:r w:rsidR="003A6C6F" w:rsidRPr="00484ED1">
        <w:t>ability of</w:t>
      </w:r>
      <w:r w:rsidR="003A6C6F">
        <w:t xml:space="preserve"> the model to detect each fault wa</w:t>
      </w:r>
      <w:r w:rsidR="003A6C6F" w:rsidRPr="00484ED1">
        <w:t>s evaluated.</w:t>
      </w:r>
    </w:p>
    <w:p w:rsidR="00E664E4" w:rsidRPr="004C31F5" w:rsidRDefault="00E664E4" w:rsidP="00E664E4"/>
    <w:p w:rsidR="00E664E4" w:rsidRDefault="00E664E4" w:rsidP="00E664E4">
      <w:pPr>
        <w:rPr>
          <w:rFonts w:asciiTheme="majorHAnsi" w:hAnsiTheme="majorHAnsi"/>
          <w:b/>
          <w:caps/>
        </w:rPr>
      </w:pPr>
      <w:r w:rsidRPr="00015B53">
        <w:rPr>
          <w:rFonts w:asciiTheme="majorHAnsi" w:hAnsiTheme="majorHAnsi"/>
          <w:b/>
          <w:caps/>
        </w:rPr>
        <w:t>3.2 Material Balances</w:t>
      </w:r>
    </w:p>
    <w:p w:rsidR="001F1B02" w:rsidRDefault="00E664E4" w:rsidP="001F1B02">
      <w:r w:rsidRPr="009D034F">
        <w:t xml:space="preserve">A </w:t>
      </w:r>
      <w:proofErr w:type="spellStart"/>
      <w:r w:rsidRPr="009D034F">
        <w:t>flowsheet</w:t>
      </w:r>
      <w:proofErr w:type="spellEnd"/>
      <w:r w:rsidRPr="009D034F">
        <w:t xml:space="preserve"> of the overall NUCP is shown in Figure 3.2. </w:t>
      </w:r>
      <w:r>
        <w:t>Component mole balances we</w:t>
      </w:r>
      <w:r w:rsidRPr="009D034F">
        <w:t>re used to model</w:t>
      </w:r>
      <w:r w:rsidRPr="00D01365">
        <w:t xml:space="preserve"> each of the process units in the NUCP. The general form quoted for a mass balance is “the mass that enters a system must, by conservation of mass, either leave the system or accumulate within the system” (</w:t>
      </w:r>
      <w:proofErr w:type="spellStart"/>
      <w:r w:rsidRPr="00D01365">
        <w:t>Himmelblau</w:t>
      </w:r>
      <w:proofErr w:type="spellEnd"/>
      <w:r w:rsidRPr="00D01365">
        <w:t xml:space="preserve"> 1967). The general equation for mat</w:t>
      </w:r>
      <w:r>
        <w:t>erial balances is shown in Eq. 3.2.0.1</w:t>
      </w:r>
      <w:r w:rsidRPr="00D01365">
        <w:t>.</w:t>
      </w:r>
    </w:p>
    <w:p w:rsidR="00E664E4" w:rsidRDefault="00192B48" w:rsidP="00E664E4">
      <w:pPr>
        <w:jc w:val="center"/>
        <w:rPr>
          <w:b/>
          <w:highlight w:val="yellow"/>
        </w:rPr>
      </w:pPr>
      <w:r>
        <w:rPr>
          <w:b/>
          <w:noProof/>
        </w:rPr>
        <w:lastRenderedPageBreak/>
        <w:drawing>
          <wp:inline distT="0" distB="0" distL="0" distR="0">
            <wp:extent cx="5852160" cy="7138669"/>
            <wp:effectExtent l="0" t="0" r="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3-2.png"/>
                    <pic:cNvPicPr/>
                  </pic:nvPicPr>
                  <pic:blipFill>
                    <a:blip r:embed="rId26">
                      <a:extLst>
                        <a:ext uri="{28A0092B-C50C-407E-A947-70E740481C1C}">
                          <a14:useLocalDpi xmlns:a14="http://schemas.microsoft.com/office/drawing/2010/main" val="0"/>
                        </a:ext>
                      </a:extLst>
                    </a:blip>
                    <a:stretch>
                      <a:fillRect/>
                    </a:stretch>
                  </pic:blipFill>
                  <pic:spPr>
                    <a:xfrm>
                      <a:off x="0" y="0"/>
                      <a:ext cx="5852160" cy="7138669"/>
                    </a:xfrm>
                    <a:prstGeom prst="rect">
                      <a:avLst/>
                    </a:prstGeom>
                  </pic:spPr>
                </pic:pic>
              </a:graphicData>
            </a:graphic>
          </wp:inline>
        </w:drawing>
      </w:r>
    </w:p>
    <w:p w:rsidR="00E664E4" w:rsidRPr="00C95650" w:rsidRDefault="00E664E4" w:rsidP="00E664E4">
      <w:pPr>
        <w:rPr>
          <w:sz w:val="20"/>
          <w:szCs w:val="20"/>
        </w:rPr>
      </w:pPr>
      <w:proofErr w:type="gramStart"/>
      <w:r w:rsidRPr="00C95650">
        <w:rPr>
          <w:b/>
          <w:sz w:val="20"/>
          <w:szCs w:val="20"/>
        </w:rPr>
        <w:t>Figure 3.2.</w:t>
      </w:r>
      <w:proofErr w:type="gramEnd"/>
      <w:r w:rsidRPr="00C95650">
        <w:rPr>
          <w:b/>
          <w:sz w:val="20"/>
          <w:szCs w:val="20"/>
        </w:rPr>
        <w:t xml:space="preserve"> Block Diagram of a Natural Uranium Conversion Plant (NUCP). </w:t>
      </w:r>
      <w:r w:rsidRPr="00C95650">
        <w:rPr>
          <w:sz w:val="20"/>
          <w:szCs w:val="20"/>
        </w:rPr>
        <w:t>This diagram represents a small-size plant that processes 100 MTU/</w:t>
      </w:r>
      <w:proofErr w:type="spellStart"/>
      <w:r w:rsidRPr="00C95650">
        <w:rPr>
          <w:sz w:val="20"/>
          <w:szCs w:val="20"/>
        </w:rPr>
        <w:t>yr</w:t>
      </w:r>
      <w:proofErr w:type="spellEnd"/>
      <w:r w:rsidRPr="00C95650">
        <w:rPr>
          <w:sz w:val="20"/>
          <w:szCs w:val="20"/>
        </w:rPr>
        <w:t xml:space="preserve"> using the wet solvent extraction method.</w:t>
      </w:r>
    </w:p>
    <w:p w:rsidR="001F1B02" w:rsidRPr="00D01365" w:rsidRDefault="001F1B02" w:rsidP="001F1B02">
      <w:pPr>
        <w:jc w:val="right"/>
      </w:pPr>
      <m:oMath>
        <m:r>
          <w:rPr>
            <w:rFonts w:ascii="Cambria Math" w:hAnsi="Cambria Math"/>
          </w:rPr>
          <w:lastRenderedPageBreak/>
          <m:t>Input</m:t>
        </m:r>
        <m:r>
          <m:rPr>
            <m:sty m:val="p"/>
          </m:rPr>
          <w:rPr>
            <w:rFonts w:ascii="Cambria Math" w:hAnsi="Cambria Math"/>
          </w:rPr>
          <m:t>+</m:t>
        </m:r>
        <m:r>
          <w:rPr>
            <w:rFonts w:ascii="Cambria Math" w:hAnsi="Cambria Math"/>
          </w:rPr>
          <m:t>Generation</m:t>
        </m:r>
        <m:r>
          <m:rPr>
            <m:sty m:val="p"/>
          </m:rPr>
          <w:rPr>
            <w:rFonts w:ascii="Cambria Math" w:hAnsi="Cambria Math"/>
          </w:rPr>
          <m:t>=</m:t>
        </m:r>
        <m:r>
          <w:rPr>
            <w:rFonts w:ascii="Cambria Math" w:hAnsi="Cambria Math"/>
          </w:rPr>
          <m:t>Output</m:t>
        </m:r>
        <m:r>
          <m:rPr>
            <m:sty m:val="p"/>
          </m:rPr>
          <w:rPr>
            <w:rFonts w:ascii="Cambria Math" w:hAnsi="Cambria Math"/>
          </w:rPr>
          <m:t xml:space="preserve">+ </m:t>
        </m:r>
        <m:r>
          <w:rPr>
            <w:rFonts w:ascii="Cambria Math" w:hAnsi="Cambria Math"/>
          </w:rPr>
          <m:t>Accumulation</m:t>
        </m:r>
        <m:r>
          <m:rPr>
            <m:sty m:val="p"/>
          </m:rPr>
          <w:rPr>
            <w:rFonts w:ascii="Cambria Math" w:hAnsi="Cambria Math"/>
          </w:rPr>
          <m:t>+</m:t>
        </m:r>
        <m:r>
          <w:rPr>
            <w:rFonts w:ascii="Cambria Math" w:hAnsi="Cambria Math"/>
          </w:rPr>
          <m:t>Consumption</m:t>
        </m:r>
      </m:oMath>
      <w:r w:rsidRPr="00D01365">
        <w:tab/>
      </w:r>
      <w:r>
        <w:tab/>
        <w:t>Eq. (3.2.0.1</w:t>
      </w:r>
      <w:r w:rsidRPr="00D01365">
        <w:t>)</w:t>
      </w:r>
    </w:p>
    <w:p w:rsidR="001F1B02" w:rsidRPr="00D01365" w:rsidRDefault="001F1B02" w:rsidP="001F1B02">
      <w:r w:rsidRPr="00D01365">
        <w:t>At steady state, th</w:t>
      </w:r>
      <w:r>
        <w:t>e accumulation is zero and Eq. 3.2.0.1</w:t>
      </w:r>
      <w:r w:rsidRPr="00D01365">
        <w:t xml:space="preserve"> ca</w:t>
      </w:r>
      <w:r>
        <w:t>n be rewritten as shown in Eq. 3.2.0.2</w:t>
      </w:r>
      <w:r w:rsidRPr="00D01365">
        <w:t>.</w:t>
      </w:r>
    </w:p>
    <w:p w:rsidR="001F1B02" w:rsidRDefault="001F1B02" w:rsidP="001F1B02">
      <w:pPr>
        <w:jc w:val="right"/>
      </w:pPr>
      <m:oMath>
        <m:r>
          <w:rPr>
            <w:rFonts w:ascii="Cambria Math" w:hAnsi="Cambria Math"/>
          </w:rPr>
          <m:t>Input</m:t>
        </m:r>
        <m:r>
          <m:rPr>
            <m:sty m:val="p"/>
          </m:rPr>
          <w:rPr>
            <w:rFonts w:ascii="Cambria Math" w:hAnsi="Cambria Math"/>
          </w:rPr>
          <m:t>+</m:t>
        </m:r>
        <m:r>
          <w:rPr>
            <w:rFonts w:ascii="Cambria Math" w:hAnsi="Cambria Math"/>
          </w:rPr>
          <m:t>Generation</m:t>
        </m:r>
        <m:r>
          <m:rPr>
            <m:sty m:val="p"/>
          </m:rPr>
          <w:rPr>
            <w:rFonts w:ascii="Cambria Math" w:hAnsi="Cambria Math"/>
          </w:rPr>
          <m:t>-</m:t>
        </m:r>
        <m:r>
          <w:rPr>
            <w:rFonts w:ascii="Cambria Math" w:hAnsi="Cambria Math"/>
          </w:rPr>
          <m:t>Output</m:t>
        </m:r>
        <m:r>
          <m:rPr>
            <m:sty m:val="p"/>
          </m:rPr>
          <w:rPr>
            <w:rFonts w:ascii="Cambria Math" w:hAnsi="Cambria Math"/>
          </w:rPr>
          <m:t>-</m:t>
        </m:r>
        <m:r>
          <w:rPr>
            <w:rFonts w:ascii="Cambria Math" w:hAnsi="Cambria Math"/>
          </w:rPr>
          <m:t>Consumption</m:t>
        </m:r>
        <m:r>
          <m:rPr>
            <m:sty m:val="p"/>
          </m:rPr>
          <w:rPr>
            <w:rFonts w:ascii="Cambria Math" w:hAnsi="Cambria Math"/>
          </w:rPr>
          <m:t>=0</m:t>
        </m:r>
      </m:oMath>
      <w:r w:rsidRPr="00D01365">
        <w:tab/>
      </w:r>
      <w:r w:rsidRPr="00D01365">
        <w:tab/>
      </w:r>
      <w:r>
        <w:tab/>
        <w:t>Eq. (3.2.0.2</w:t>
      </w:r>
      <w:r w:rsidRPr="00D01365">
        <w:t>)</w:t>
      </w:r>
    </w:p>
    <w:p w:rsidR="00E664E4" w:rsidRPr="009D034F" w:rsidRDefault="00E664E4" w:rsidP="00E664E4">
      <w:r w:rsidRPr="009D034F">
        <w:t xml:space="preserve">A material balance can be done around the entire NUCP (see Figure 3.2), around any given section of the plant (blue </w:t>
      </w:r>
      <w:r>
        <w:t>d</w:t>
      </w:r>
      <w:r w:rsidRPr="009D034F">
        <w:t>as</w:t>
      </w:r>
      <w:r>
        <w:t>h</w:t>
      </w:r>
      <w:r w:rsidRPr="009D034F">
        <w:t xml:space="preserve">ed boxes in Figure 3.2), or around each unit and/or piece of equipment within the plant. Any diversion of an intermediate will distort the </w:t>
      </w:r>
      <w:r w:rsidR="001F1B02">
        <w:t xml:space="preserve">expected </w:t>
      </w:r>
      <w:r w:rsidRPr="009D034F">
        <w:t xml:space="preserve">relative proportions of the components at steady state leading to a deviation from the ‘normal’ pattern of relative proportions of components based on material balances. </w:t>
      </w:r>
    </w:p>
    <w:p w:rsidR="00E664E4" w:rsidRDefault="00E664E4" w:rsidP="00E664E4">
      <w:r w:rsidRPr="009D034F">
        <w:t xml:space="preserve">In order to simplify model construction and debugging, the </w:t>
      </w:r>
      <w:proofErr w:type="spellStart"/>
      <w:r w:rsidRPr="009D034F">
        <w:t>flowsheet</w:t>
      </w:r>
      <w:proofErr w:type="spellEnd"/>
      <w:r w:rsidRPr="009D034F">
        <w:t xml:space="preserve"> for a natural uranium conversion plant (Figure 3.2) was divided into five modules</w:t>
      </w:r>
      <w:r>
        <w:t xml:space="preserve"> </w:t>
      </w:r>
      <w:r w:rsidRPr="009D034F">
        <w:t xml:space="preserve">to represent the major processing </w:t>
      </w:r>
      <w:r w:rsidR="001F1B02">
        <w:t>units</w:t>
      </w:r>
      <w:r w:rsidRPr="009D034F">
        <w:t xml:space="preserve"> within the plant</w:t>
      </w:r>
      <w:r>
        <w:t>, which are shown in Figure 3.2 as blue dashed boxes</w:t>
      </w:r>
      <w:r w:rsidRPr="009D034F">
        <w:t xml:space="preserve">. Each module was further subdivided as needed to </w:t>
      </w:r>
      <w:r w:rsidR="001F1B02">
        <w:t>facilitate</w:t>
      </w:r>
      <w:r w:rsidRPr="009D034F">
        <w:t xml:space="preserve"> material balance calculations. The five modules were 1) Dissolution, 2) Solvent Extraction, 3) Evaporation and Precipitation, 4) Conversion to UO</w:t>
      </w:r>
      <w:r w:rsidRPr="009D034F">
        <w:rPr>
          <w:vertAlign w:val="subscript"/>
        </w:rPr>
        <w:t>2</w:t>
      </w:r>
      <w:r w:rsidRPr="009D034F">
        <w:t xml:space="preserve"> and UF</w:t>
      </w:r>
      <w:r w:rsidRPr="009D034F">
        <w:rPr>
          <w:vertAlign w:val="subscript"/>
        </w:rPr>
        <w:t>4</w:t>
      </w:r>
      <w:r w:rsidRPr="009D034F">
        <w:t>, and 5) Conversion of UF</w:t>
      </w:r>
      <w:r w:rsidRPr="009D034F">
        <w:rPr>
          <w:vertAlign w:val="subscript"/>
        </w:rPr>
        <w:t>4</w:t>
      </w:r>
      <w:r w:rsidRPr="009D034F">
        <w:t xml:space="preserve"> to UF</w:t>
      </w:r>
      <w:r w:rsidRPr="009D034F">
        <w:rPr>
          <w:vertAlign w:val="subscript"/>
        </w:rPr>
        <w:t>6</w:t>
      </w:r>
      <w:r w:rsidRPr="009D034F">
        <w:t xml:space="preserve">. </w:t>
      </w:r>
    </w:p>
    <w:p w:rsidR="00DC329E" w:rsidRDefault="00E664E4" w:rsidP="00E664E4">
      <w:r w:rsidRPr="00D01365">
        <w:t>Additionally, each chemical component used in the model was ass</w:t>
      </w:r>
      <w:r>
        <w:t>igned a component number which wa</w:t>
      </w:r>
      <w:r w:rsidRPr="00D01365">
        <w:t xml:space="preserve">s used in the model instead of the chemical formula. Table </w:t>
      </w:r>
      <w:r>
        <w:t>3.</w:t>
      </w:r>
      <w:r w:rsidRPr="00D01365">
        <w:t xml:space="preserve">1 lists each component number, chemical name, chemical formula, molecular weight, and which </w:t>
      </w:r>
      <w:r>
        <w:t>modules the chemical components were</w:t>
      </w:r>
      <w:r w:rsidRPr="00D01365">
        <w:t xml:space="preserve"> used.</w:t>
      </w:r>
    </w:p>
    <w:p w:rsidR="00BD31C2" w:rsidRDefault="00BD31C2" w:rsidP="00BD31C2">
      <w:r>
        <w:t xml:space="preserve">For the material balances discussed below, the </w:t>
      </w:r>
      <w:r w:rsidR="005A339F">
        <w:t xml:space="preserve">component </w:t>
      </w:r>
      <w:r>
        <w:t>molar flow rate</w:t>
      </w:r>
      <w:r w:rsidR="001F1B02">
        <w:t xml:space="preserve"> i</w:t>
      </w:r>
      <w:r>
        <w:t xml:space="preserve">s represented </w:t>
      </w:r>
      <w:proofErr w:type="gramStart"/>
      <w:r>
        <w:t xml:space="preserve">by </w:t>
      </w:r>
      <w:proofErr w:type="gramEnd"/>
      <m:oMath>
        <m:sSub>
          <m:sSubPr>
            <m:ctrlPr>
              <w:rPr>
                <w:rFonts w:ascii="Cambria Math" w:hAnsi="Cambria Math"/>
                <w:i/>
              </w:rPr>
            </m:ctrlPr>
          </m:sSubPr>
          <m:e>
            <m:r>
              <w:rPr>
                <w:rFonts w:ascii="Cambria Math" w:hAnsi="Cambria Math"/>
              </w:rPr>
              <m:t>F</m:t>
            </m:r>
          </m:e>
          <m:sub>
            <m:r>
              <w:rPr>
                <w:rFonts w:ascii="Cambria Math" w:hAnsi="Cambria Math"/>
              </w:rPr>
              <m:t>i,j</m:t>
            </m:r>
          </m:sub>
        </m:sSub>
      </m:oMath>
      <w:r>
        <w:rPr>
          <w:rFonts w:eastAsiaTheme="minorEastAsia"/>
        </w:rPr>
        <w:t xml:space="preserve">, where </w:t>
      </w:r>
      <m:oMath>
        <m:r>
          <w:rPr>
            <w:rFonts w:ascii="Cambria Math" w:eastAsiaTheme="minorEastAsia" w:hAnsi="Cambria Math"/>
          </w:rPr>
          <m:t>i</m:t>
        </m:r>
      </m:oMath>
      <w:r>
        <w:rPr>
          <w:rFonts w:eastAsiaTheme="minorEastAsia"/>
        </w:rPr>
        <w:t xml:space="preserve"> denotes the stream number and </w:t>
      </w:r>
      <m:oMath>
        <m:r>
          <w:rPr>
            <w:rFonts w:ascii="Cambria Math" w:eastAsiaTheme="minorEastAsia" w:hAnsi="Cambria Math"/>
          </w:rPr>
          <m:t>j</m:t>
        </m:r>
      </m:oMath>
      <w:r>
        <w:rPr>
          <w:rFonts w:eastAsiaTheme="minorEastAsia"/>
        </w:rPr>
        <w:t xml:space="preserve"> denotes the chemical component</w:t>
      </w:r>
      <w:r w:rsidR="001F1B02">
        <w:rPr>
          <w:rFonts w:eastAsiaTheme="minorEastAsia"/>
        </w:rPr>
        <w:t xml:space="preserve"> number as defined in Table 3.1</w:t>
      </w:r>
      <w:r>
        <w:rPr>
          <w:rFonts w:eastAsiaTheme="minorEastAsia"/>
        </w:rPr>
        <w:t xml:space="preserve">. These </w:t>
      </w:r>
      <m:oMath>
        <m:sSub>
          <m:sSubPr>
            <m:ctrlPr>
              <w:rPr>
                <w:rFonts w:ascii="Cambria Math" w:hAnsi="Cambria Math"/>
                <w:i/>
              </w:rPr>
            </m:ctrlPr>
          </m:sSubPr>
          <m:e>
            <m:r>
              <w:rPr>
                <w:rFonts w:ascii="Cambria Math" w:hAnsi="Cambria Math"/>
              </w:rPr>
              <m:t>F</m:t>
            </m:r>
          </m:e>
          <m:sub>
            <m:r>
              <w:rPr>
                <w:rFonts w:ascii="Cambria Math" w:hAnsi="Cambria Math"/>
              </w:rPr>
              <m:t>i,j</m:t>
            </m:r>
          </m:sub>
        </m:sSub>
      </m:oMath>
      <w:r>
        <w:rPr>
          <w:rFonts w:eastAsiaTheme="minorEastAsia"/>
        </w:rPr>
        <w:t xml:space="preserve"> are the state variables</w:t>
      </w:r>
      <w:r w:rsidR="001F1B02">
        <w:rPr>
          <w:rFonts w:eastAsiaTheme="minorEastAsia"/>
        </w:rPr>
        <w:t>,</w:t>
      </w:r>
      <w:r>
        <w:rPr>
          <w:rFonts w:eastAsiaTheme="minorEastAsia"/>
        </w:rPr>
        <w:t xml:space="preserve"> also denoted </w:t>
      </w:r>
      <w:proofErr w:type="gramStart"/>
      <w:r>
        <w:rPr>
          <w:rFonts w:eastAsiaTheme="minorEastAsia"/>
        </w:rPr>
        <w:t xml:space="preserve">by </w:t>
      </w:r>
      <w:proofErr w:type="gramEnd"/>
      <m:oMath>
        <m:sSub>
          <m:sSubPr>
            <m:ctrlPr>
              <w:rPr>
                <w:rFonts w:ascii="Cambria Math" w:hAnsi="Cambria Math"/>
                <w:i/>
              </w:rPr>
            </m:ctrlPr>
          </m:sSubPr>
          <m:e>
            <m:r>
              <w:rPr>
                <w:rFonts w:ascii="Cambria Math" w:hAnsi="Cambria Math"/>
              </w:rPr>
              <m:t>X</m:t>
            </m:r>
          </m:e>
          <m:sub>
            <m:r>
              <w:rPr>
                <w:rFonts w:ascii="Cambria Math" w:hAnsi="Cambria Math"/>
              </w:rPr>
              <m:t>ss</m:t>
            </m:r>
          </m:sub>
        </m:sSub>
      </m:oMath>
      <w:r>
        <w:rPr>
          <w:rFonts w:eastAsiaTheme="minorEastAsia"/>
        </w:rPr>
        <w:t xml:space="preserve">. </w:t>
      </w:r>
      <w:r w:rsidR="001F1B02">
        <w:t xml:space="preserve">Tables 3.2–3.6 list the state variable numbers, stream numbers, and chemical component numbers associated with each module. </w:t>
      </w:r>
      <w:r>
        <w:t>The values in Tables</w:t>
      </w:r>
      <w:r w:rsidR="001F1B02">
        <w:t> </w:t>
      </w:r>
      <w:r>
        <w:t xml:space="preserve">3.2–3.6 provide a map of which </w:t>
      </w:r>
      <m:oMath>
        <m:sSub>
          <m:sSubPr>
            <m:ctrlPr>
              <w:rPr>
                <w:rFonts w:ascii="Cambria Math" w:hAnsi="Cambria Math"/>
                <w:i/>
              </w:rPr>
            </m:ctrlPr>
          </m:sSubPr>
          <m:e>
            <m:r>
              <w:rPr>
                <w:rFonts w:ascii="Cambria Math" w:hAnsi="Cambria Math"/>
              </w:rPr>
              <m:t>F</m:t>
            </m:r>
          </m:e>
          <m:sub>
            <m:r>
              <w:rPr>
                <w:rFonts w:ascii="Cambria Math" w:hAnsi="Cambria Math"/>
              </w:rPr>
              <m:t>i,j</m:t>
            </m:r>
          </m:sub>
        </m:sSub>
      </m:oMath>
      <w:r>
        <w:rPr>
          <w:rFonts w:eastAsiaTheme="minorEastAsia"/>
        </w:rPr>
        <w:t xml:space="preserve"> corresponds to </w:t>
      </w:r>
      <w:proofErr w:type="gramStart"/>
      <w:r>
        <w:rPr>
          <w:rFonts w:eastAsiaTheme="minorEastAsia"/>
        </w:rPr>
        <w:t>each</w:t>
      </w:r>
      <w:r w:rsidR="00BA69E8">
        <w:rPr>
          <w:rFonts w:eastAsiaTheme="minorEastAsia"/>
        </w:rPr>
        <w:t xml:space="preserve"> </w:t>
      </w:r>
      <w:proofErr w:type="gramEnd"/>
      <m:oMath>
        <m:r>
          <w:rPr>
            <w:rFonts w:ascii="Cambria Math" w:eastAsiaTheme="minorEastAsia" w:hAnsi="Cambria Math"/>
          </w:rPr>
          <m:t>Xss</m:t>
        </m:r>
      </m:oMath>
      <w:r>
        <w:rPr>
          <w:rFonts w:eastAsiaTheme="minorEastAsia"/>
        </w:rPr>
        <w:t xml:space="preserve">. For example, the </w:t>
      </w:r>
      <m:oMath>
        <m:sSub>
          <m:sSubPr>
            <m:ctrlPr>
              <w:rPr>
                <w:rFonts w:ascii="Cambria Math" w:hAnsi="Cambria Math"/>
                <w:i/>
              </w:rPr>
            </m:ctrlPr>
          </m:sSubPr>
          <m:e>
            <m:r>
              <w:rPr>
                <w:rFonts w:ascii="Cambria Math" w:hAnsi="Cambria Math"/>
              </w:rPr>
              <m:t>F</m:t>
            </m:r>
          </m:e>
          <m:sub>
            <m:r>
              <w:rPr>
                <w:rFonts w:ascii="Cambria Math" w:hAnsi="Cambria Math"/>
              </w:rPr>
              <m:t>i,j</m:t>
            </m:r>
          </m:sub>
        </m:sSub>
      </m:oMath>
      <w:r>
        <w:rPr>
          <w:rFonts w:eastAsiaTheme="minorEastAsia"/>
        </w:rPr>
        <w:t xml:space="preserve"> for wat</w:t>
      </w:r>
      <w:proofErr w:type="spellStart"/>
      <w:r>
        <w:rPr>
          <w:rFonts w:eastAsiaTheme="minorEastAsia"/>
        </w:rPr>
        <w:t>er</w:t>
      </w:r>
      <w:proofErr w:type="spellEnd"/>
      <w:r>
        <w:rPr>
          <w:rFonts w:eastAsiaTheme="minorEastAsia"/>
        </w:rPr>
        <w:t xml:space="preserve"> in Stream 1 is </w:t>
      </w:r>
      <m:oMath>
        <m:sSub>
          <m:sSubPr>
            <m:ctrlPr>
              <w:rPr>
                <w:rFonts w:ascii="Cambria Math" w:hAnsi="Cambria Math"/>
                <w:i/>
              </w:rPr>
            </m:ctrlPr>
          </m:sSubPr>
          <m:e>
            <m:r>
              <w:rPr>
                <w:rFonts w:ascii="Cambria Math" w:hAnsi="Cambria Math"/>
              </w:rPr>
              <m:t>F</m:t>
            </m:r>
          </m:e>
          <m:sub>
            <m:r>
              <w:rPr>
                <w:rFonts w:ascii="Cambria Math" w:hAnsi="Cambria Math"/>
              </w:rPr>
              <m:t>1,1</m:t>
            </m:r>
          </m:sub>
        </m:sSub>
      </m:oMath>
      <w:r>
        <w:rPr>
          <w:rFonts w:eastAsiaTheme="minorEastAsia"/>
        </w:rPr>
        <w:t xml:space="preserve"> which is also</w:t>
      </w:r>
      <w:r w:rsidR="00BA69E8">
        <w:rPr>
          <w:rFonts w:eastAsiaTheme="minorEastAsia"/>
        </w:rPr>
        <w:t xml:space="preserve"> </w:t>
      </w:r>
      <w:proofErr w:type="spellStart"/>
      <w:proofErr w:type="gramStart"/>
      <w:r w:rsidR="00BA69E8">
        <w:rPr>
          <w:rFonts w:eastAsiaTheme="minorEastAsia"/>
        </w:rPr>
        <w:t>Xss</w:t>
      </w:r>
      <w:proofErr w:type="spellEnd"/>
      <w:r w:rsidR="00BA69E8">
        <w:rPr>
          <w:rFonts w:eastAsiaTheme="minorEastAsia"/>
        </w:rPr>
        <w:t>(</w:t>
      </w:r>
      <w:proofErr w:type="gramEnd"/>
      <w:r w:rsidR="00BA69E8">
        <w:rPr>
          <w:rFonts w:eastAsiaTheme="minorEastAsia"/>
        </w:rPr>
        <w:t>1)</w:t>
      </w:r>
      <w:r>
        <w:rPr>
          <w:rFonts w:eastAsiaTheme="minorEastAsia"/>
        </w:rPr>
        <w:t>. Another example is that</w:t>
      </w:r>
      <w:r w:rsidR="00BA69E8">
        <w:rPr>
          <w:rFonts w:eastAsiaTheme="minorEastAsia"/>
        </w:rPr>
        <w:t xml:space="preserve"> </w:t>
      </w:r>
      <w:proofErr w:type="spellStart"/>
      <w:proofErr w:type="gramStart"/>
      <w:r w:rsidR="00BA69E8">
        <w:rPr>
          <w:rFonts w:eastAsiaTheme="minorEastAsia"/>
        </w:rPr>
        <w:t>Xss</w:t>
      </w:r>
      <w:proofErr w:type="spellEnd"/>
      <w:r w:rsidR="00BA69E8">
        <w:rPr>
          <w:rFonts w:eastAsiaTheme="minorEastAsia"/>
        </w:rPr>
        <w:t>(</w:t>
      </w:r>
      <w:proofErr w:type="gramEnd"/>
      <w:r w:rsidR="00BA69E8">
        <w:rPr>
          <w:rFonts w:eastAsiaTheme="minorEastAsia"/>
        </w:rPr>
        <w:t>73)</w:t>
      </w:r>
      <w:r>
        <w:rPr>
          <w:rFonts w:eastAsiaTheme="minorEastAsia"/>
        </w:rPr>
        <w:t xml:space="preserve"> is </w:t>
      </w:r>
      <m:oMath>
        <m:sSub>
          <m:sSubPr>
            <m:ctrlPr>
              <w:rPr>
                <w:rFonts w:ascii="Cambria Math" w:hAnsi="Cambria Math"/>
                <w:i/>
              </w:rPr>
            </m:ctrlPr>
          </m:sSubPr>
          <m:e>
            <m:r>
              <w:rPr>
                <w:rFonts w:ascii="Cambria Math" w:hAnsi="Cambria Math"/>
              </w:rPr>
              <m:t>F</m:t>
            </m:r>
          </m:e>
          <m:sub>
            <m:r>
              <w:rPr>
                <w:rFonts w:ascii="Cambria Math" w:hAnsi="Cambria Math"/>
              </w:rPr>
              <m:t>13,21</m:t>
            </m:r>
          </m:sub>
        </m:sSub>
      </m:oMath>
      <w:r>
        <w:rPr>
          <w:rFonts w:eastAsiaTheme="minorEastAsia"/>
        </w:rPr>
        <w:t xml:space="preserve"> which is the molar flow rate of the solub</w:t>
      </w:r>
      <w:r w:rsidR="001F1B02">
        <w:rPr>
          <w:rFonts w:eastAsiaTheme="minorEastAsia"/>
        </w:rPr>
        <w:t>le component (#21)</w:t>
      </w:r>
      <w:r>
        <w:rPr>
          <w:rFonts w:eastAsiaTheme="minorEastAsia"/>
        </w:rPr>
        <w:t xml:space="preserve"> in Stream 13. </w:t>
      </w:r>
      <w:r>
        <w:t xml:space="preserve">Table 3.7 provides a summary of the modules including streams </w:t>
      </w:r>
      <w:r w:rsidR="001F1B02">
        <w:t xml:space="preserve">and the associated </w:t>
      </w:r>
      <w:r>
        <w:t xml:space="preserve">state variable numbers. </w:t>
      </w:r>
    </w:p>
    <w:p w:rsidR="00DC329E" w:rsidRDefault="00BD31C2">
      <w:r>
        <w:t xml:space="preserve">Table 3.8 lists the primary state variables for each module. Each state variable was a component molar flow rate for a stream within that module. Additionally, each of the primary state variables was a uranium-bearing component molar flow rate. The type of stream in the table refers to whether the stream was an intermediate stream within the specified module, a waste stream that exited the process completely, a module-specific product which became a feed stream to the subsequent module, or in the case of the final stream, the overall product. The primary state variables were selected because each was the primary uranium component within a stream within each module. Some streams did not have a </w:t>
      </w:r>
      <w:r w:rsidR="00AE3D0F">
        <w:t>uranium component or the uranium component was so small that it was unreasonable to track. These primary state variables are the most important state variables to track throughout the system.</w:t>
      </w:r>
      <w:r w:rsidR="00DC329E">
        <w:br w:type="page"/>
      </w:r>
    </w:p>
    <w:tbl>
      <w:tblPr>
        <w:tblW w:w="7980" w:type="dxa"/>
        <w:jc w:val="center"/>
        <w:tblInd w:w="98" w:type="dxa"/>
        <w:tblLook w:val="04A0" w:firstRow="1" w:lastRow="0" w:firstColumn="1" w:lastColumn="0" w:noHBand="0" w:noVBand="1"/>
      </w:tblPr>
      <w:tblGrid>
        <w:gridCol w:w="1192"/>
        <w:gridCol w:w="2135"/>
        <w:gridCol w:w="1960"/>
        <w:gridCol w:w="1642"/>
        <w:gridCol w:w="1051"/>
      </w:tblGrid>
      <w:tr w:rsidR="00E664E4" w:rsidRPr="00387BB1" w:rsidTr="003D664B">
        <w:trPr>
          <w:trHeight w:val="315"/>
          <w:jc w:val="center"/>
        </w:trPr>
        <w:tc>
          <w:tcPr>
            <w:tcW w:w="7980" w:type="dxa"/>
            <w:gridSpan w:val="5"/>
            <w:tcBorders>
              <w:top w:val="nil"/>
              <w:left w:val="nil"/>
              <w:bottom w:val="single" w:sz="8" w:space="0" w:color="auto"/>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b/>
                <w:bCs/>
                <w:sz w:val="20"/>
                <w:szCs w:val="20"/>
              </w:rPr>
            </w:pPr>
            <w:r w:rsidRPr="00387BB1">
              <w:rPr>
                <w:rFonts w:ascii="Calibri" w:eastAsia="Times New Roman" w:hAnsi="Calibri" w:cs="Times New Roman"/>
                <w:b/>
                <w:bCs/>
                <w:sz w:val="20"/>
                <w:szCs w:val="20"/>
              </w:rPr>
              <w:lastRenderedPageBreak/>
              <w:t xml:space="preserve">Table 3.1. List of Chemical Components </w:t>
            </w:r>
          </w:p>
        </w:tc>
      </w:tr>
      <w:tr w:rsidR="00E664E4" w:rsidRPr="00387BB1" w:rsidTr="003D664B">
        <w:trPr>
          <w:trHeight w:val="510"/>
          <w:jc w:val="center"/>
        </w:trPr>
        <w:tc>
          <w:tcPr>
            <w:tcW w:w="1192" w:type="dxa"/>
            <w:tcBorders>
              <w:top w:val="nil"/>
              <w:left w:val="nil"/>
              <w:bottom w:val="single" w:sz="4" w:space="0" w:color="auto"/>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b/>
                <w:bCs/>
                <w:sz w:val="20"/>
                <w:szCs w:val="20"/>
              </w:rPr>
            </w:pPr>
            <w:r w:rsidRPr="00387BB1">
              <w:rPr>
                <w:rFonts w:ascii="Calibri" w:eastAsia="Times New Roman" w:hAnsi="Calibri" w:cs="Times New Roman"/>
                <w:b/>
                <w:bCs/>
                <w:sz w:val="20"/>
                <w:szCs w:val="20"/>
              </w:rPr>
              <w:t>Component Number</w:t>
            </w:r>
          </w:p>
        </w:tc>
        <w:tc>
          <w:tcPr>
            <w:tcW w:w="2135" w:type="dxa"/>
            <w:tcBorders>
              <w:top w:val="nil"/>
              <w:left w:val="nil"/>
              <w:bottom w:val="single" w:sz="4" w:space="0" w:color="auto"/>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b/>
                <w:bCs/>
                <w:sz w:val="20"/>
                <w:szCs w:val="20"/>
              </w:rPr>
            </w:pPr>
            <w:r w:rsidRPr="00387BB1">
              <w:rPr>
                <w:rFonts w:ascii="Calibri" w:eastAsia="Times New Roman" w:hAnsi="Calibri" w:cs="Times New Roman"/>
                <w:b/>
                <w:bCs/>
                <w:sz w:val="20"/>
                <w:szCs w:val="20"/>
              </w:rPr>
              <w:t>Chemical Name</w:t>
            </w:r>
          </w:p>
        </w:tc>
        <w:tc>
          <w:tcPr>
            <w:tcW w:w="1960" w:type="dxa"/>
            <w:tcBorders>
              <w:top w:val="nil"/>
              <w:left w:val="nil"/>
              <w:bottom w:val="single" w:sz="4" w:space="0" w:color="auto"/>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b/>
                <w:bCs/>
                <w:sz w:val="20"/>
                <w:szCs w:val="20"/>
              </w:rPr>
            </w:pPr>
            <w:r w:rsidRPr="00387BB1">
              <w:rPr>
                <w:rFonts w:ascii="Calibri" w:eastAsia="Times New Roman" w:hAnsi="Calibri" w:cs="Times New Roman"/>
                <w:b/>
                <w:bCs/>
                <w:sz w:val="20"/>
                <w:szCs w:val="20"/>
              </w:rPr>
              <w:t>Chemical Formula</w:t>
            </w:r>
          </w:p>
        </w:tc>
        <w:tc>
          <w:tcPr>
            <w:tcW w:w="1642" w:type="dxa"/>
            <w:tcBorders>
              <w:top w:val="nil"/>
              <w:left w:val="nil"/>
              <w:bottom w:val="single" w:sz="4" w:space="0" w:color="auto"/>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b/>
                <w:bCs/>
                <w:sz w:val="20"/>
                <w:szCs w:val="20"/>
              </w:rPr>
            </w:pPr>
            <w:r w:rsidRPr="00387BB1">
              <w:rPr>
                <w:rFonts w:ascii="Calibri" w:eastAsia="Times New Roman" w:hAnsi="Calibri" w:cs="Times New Roman"/>
                <w:b/>
                <w:bCs/>
                <w:sz w:val="20"/>
                <w:szCs w:val="20"/>
              </w:rPr>
              <w:t>Molecular Weight (g/</w:t>
            </w:r>
            <w:proofErr w:type="spellStart"/>
            <w:r w:rsidRPr="00387BB1">
              <w:rPr>
                <w:rFonts w:ascii="Calibri" w:eastAsia="Times New Roman" w:hAnsi="Calibri" w:cs="Times New Roman"/>
                <w:b/>
                <w:bCs/>
                <w:sz w:val="20"/>
                <w:szCs w:val="20"/>
              </w:rPr>
              <w:t>mol</w:t>
            </w:r>
            <w:proofErr w:type="spellEnd"/>
            <w:r w:rsidRPr="00387BB1">
              <w:rPr>
                <w:rFonts w:ascii="Calibri" w:eastAsia="Times New Roman" w:hAnsi="Calibri" w:cs="Times New Roman"/>
                <w:b/>
                <w:bCs/>
                <w:sz w:val="20"/>
                <w:szCs w:val="20"/>
              </w:rPr>
              <w:t>)</w:t>
            </w:r>
          </w:p>
        </w:tc>
        <w:tc>
          <w:tcPr>
            <w:tcW w:w="1051" w:type="dxa"/>
            <w:tcBorders>
              <w:top w:val="nil"/>
              <w:left w:val="nil"/>
              <w:bottom w:val="single" w:sz="4" w:space="0" w:color="auto"/>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b/>
                <w:bCs/>
                <w:sz w:val="20"/>
                <w:szCs w:val="20"/>
              </w:rPr>
            </w:pPr>
            <w:r w:rsidRPr="00387BB1">
              <w:rPr>
                <w:rFonts w:ascii="Calibri" w:eastAsia="Times New Roman" w:hAnsi="Calibri" w:cs="Times New Roman"/>
                <w:b/>
                <w:bCs/>
                <w:sz w:val="20"/>
                <w:szCs w:val="20"/>
              </w:rPr>
              <w:t>Module</w:t>
            </w:r>
          </w:p>
        </w:tc>
      </w:tr>
      <w:tr w:rsidR="00E664E4" w:rsidRPr="00387BB1" w:rsidTr="003D664B">
        <w:trPr>
          <w:trHeight w:val="285"/>
          <w:jc w:val="center"/>
        </w:trPr>
        <w:tc>
          <w:tcPr>
            <w:tcW w:w="119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1</w:t>
            </w:r>
          </w:p>
        </w:tc>
        <w:tc>
          <w:tcPr>
            <w:tcW w:w="2135"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water</w:t>
            </w:r>
          </w:p>
        </w:tc>
        <w:tc>
          <w:tcPr>
            <w:tcW w:w="1960"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H</w:t>
            </w:r>
            <w:r w:rsidRPr="00387BB1">
              <w:rPr>
                <w:rFonts w:ascii="Calibri" w:eastAsia="Times New Roman" w:hAnsi="Calibri" w:cs="Times New Roman"/>
                <w:sz w:val="20"/>
                <w:szCs w:val="20"/>
                <w:vertAlign w:val="subscript"/>
              </w:rPr>
              <w:t>2</w:t>
            </w:r>
            <w:r w:rsidRPr="00387BB1">
              <w:rPr>
                <w:rFonts w:ascii="Calibri" w:eastAsia="Times New Roman" w:hAnsi="Calibri" w:cs="Times New Roman"/>
                <w:sz w:val="20"/>
                <w:szCs w:val="20"/>
              </w:rPr>
              <w:t>O</w:t>
            </w:r>
          </w:p>
        </w:tc>
        <w:tc>
          <w:tcPr>
            <w:tcW w:w="164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18.0153</w:t>
            </w:r>
          </w:p>
        </w:tc>
        <w:tc>
          <w:tcPr>
            <w:tcW w:w="1051"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1, 2, 3, 4</w:t>
            </w:r>
          </w:p>
        </w:tc>
      </w:tr>
      <w:tr w:rsidR="00E664E4" w:rsidRPr="00387BB1" w:rsidTr="003D664B">
        <w:trPr>
          <w:trHeight w:val="285"/>
          <w:jc w:val="center"/>
        </w:trPr>
        <w:tc>
          <w:tcPr>
            <w:tcW w:w="119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2</w:t>
            </w:r>
          </w:p>
        </w:tc>
        <w:tc>
          <w:tcPr>
            <w:tcW w:w="2135"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nitrogen</w:t>
            </w:r>
          </w:p>
        </w:tc>
        <w:tc>
          <w:tcPr>
            <w:tcW w:w="1960"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N</w:t>
            </w:r>
            <w:r w:rsidRPr="00387BB1">
              <w:rPr>
                <w:rFonts w:ascii="Calibri" w:eastAsia="Times New Roman" w:hAnsi="Calibri" w:cs="Times New Roman"/>
                <w:sz w:val="20"/>
                <w:szCs w:val="20"/>
                <w:vertAlign w:val="subscript"/>
              </w:rPr>
              <w:t>2</w:t>
            </w:r>
          </w:p>
        </w:tc>
        <w:tc>
          <w:tcPr>
            <w:tcW w:w="164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28.0134</w:t>
            </w:r>
          </w:p>
        </w:tc>
        <w:tc>
          <w:tcPr>
            <w:tcW w:w="1051"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4, 5</w:t>
            </w:r>
          </w:p>
        </w:tc>
      </w:tr>
      <w:tr w:rsidR="00E664E4" w:rsidRPr="00387BB1" w:rsidTr="003D664B">
        <w:trPr>
          <w:trHeight w:val="285"/>
          <w:jc w:val="center"/>
        </w:trPr>
        <w:tc>
          <w:tcPr>
            <w:tcW w:w="119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3</w:t>
            </w:r>
          </w:p>
        </w:tc>
        <w:tc>
          <w:tcPr>
            <w:tcW w:w="2135"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ammonia</w:t>
            </w:r>
          </w:p>
        </w:tc>
        <w:tc>
          <w:tcPr>
            <w:tcW w:w="1960"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NH</w:t>
            </w:r>
            <w:r w:rsidRPr="00387BB1">
              <w:rPr>
                <w:rFonts w:ascii="Calibri" w:eastAsia="Times New Roman" w:hAnsi="Calibri" w:cs="Times New Roman"/>
                <w:sz w:val="20"/>
                <w:szCs w:val="20"/>
                <w:vertAlign w:val="subscript"/>
              </w:rPr>
              <w:t>3</w:t>
            </w:r>
          </w:p>
        </w:tc>
        <w:tc>
          <w:tcPr>
            <w:tcW w:w="164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17.0305</w:t>
            </w:r>
          </w:p>
        </w:tc>
        <w:tc>
          <w:tcPr>
            <w:tcW w:w="1051"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3, 4</w:t>
            </w:r>
          </w:p>
        </w:tc>
      </w:tr>
      <w:tr w:rsidR="00E664E4" w:rsidRPr="00387BB1" w:rsidTr="003D664B">
        <w:trPr>
          <w:trHeight w:val="285"/>
          <w:jc w:val="center"/>
        </w:trPr>
        <w:tc>
          <w:tcPr>
            <w:tcW w:w="119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4</w:t>
            </w:r>
          </w:p>
        </w:tc>
        <w:tc>
          <w:tcPr>
            <w:tcW w:w="2135"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nitrogen dioxide</w:t>
            </w:r>
          </w:p>
        </w:tc>
        <w:tc>
          <w:tcPr>
            <w:tcW w:w="1960"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NO</w:t>
            </w:r>
            <w:r w:rsidRPr="00387BB1">
              <w:rPr>
                <w:rFonts w:ascii="Calibri" w:eastAsia="Times New Roman" w:hAnsi="Calibri" w:cs="Times New Roman"/>
                <w:sz w:val="20"/>
                <w:szCs w:val="20"/>
                <w:vertAlign w:val="subscript"/>
              </w:rPr>
              <w:t>2</w:t>
            </w:r>
          </w:p>
        </w:tc>
        <w:tc>
          <w:tcPr>
            <w:tcW w:w="164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46.0055</w:t>
            </w:r>
          </w:p>
        </w:tc>
        <w:tc>
          <w:tcPr>
            <w:tcW w:w="1051"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1</w:t>
            </w:r>
          </w:p>
        </w:tc>
      </w:tr>
      <w:tr w:rsidR="00E664E4" w:rsidRPr="00387BB1" w:rsidTr="003D664B">
        <w:trPr>
          <w:trHeight w:val="285"/>
          <w:jc w:val="center"/>
        </w:trPr>
        <w:tc>
          <w:tcPr>
            <w:tcW w:w="119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5</w:t>
            </w:r>
          </w:p>
        </w:tc>
        <w:tc>
          <w:tcPr>
            <w:tcW w:w="2135"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hydrogen</w:t>
            </w:r>
          </w:p>
        </w:tc>
        <w:tc>
          <w:tcPr>
            <w:tcW w:w="1960"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H</w:t>
            </w:r>
            <w:r w:rsidRPr="00387BB1">
              <w:rPr>
                <w:rFonts w:ascii="Calibri" w:eastAsia="Times New Roman" w:hAnsi="Calibri" w:cs="Times New Roman"/>
                <w:sz w:val="20"/>
                <w:szCs w:val="20"/>
                <w:vertAlign w:val="subscript"/>
              </w:rPr>
              <w:t>2</w:t>
            </w:r>
          </w:p>
        </w:tc>
        <w:tc>
          <w:tcPr>
            <w:tcW w:w="164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2.0159</w:t>
            </w:r>
          </w:p>
        </w:tc>
        <w:tc>
          <w:tcPr>
            <w:tcW w:w="1051"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4</w:t>
            </w:r>
          </w:p>
        </w:tc>
      </w:tr>
      <w:tr w:rsidR="00E664E4" w:rsidRPr="00387BB1" w:rsidTr="003D664B">
        <w:trPr>
          <w:trHeight w:val="255"/>
          <w:jc w:val="center"/>
        </w:trPr>
        <w:tc>
          <w:tcPr>
            <w:tcW w:w="119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6</w:t>
            </w:r>
          </w:p>
        </w:tc>
        <w:tc>
          <w:tcPr>
            <w:tcW w:w="2135"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hydrogen fluoride</w:t>
            </w:r>
          </w:p>
        </w:tc>
        <w:tc>
          <w:tcPr>
            <w:tcW w:w="1960"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HF</w:t>
            </w:r>
          </w:p>
        </w:tc>
        <w:tc>
          <w:tcPr>
            <w:tcW w:w="164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20.0063</w:t>
            </w:r>
          </w:p>
        </w:tc>
        <w:tc>
          <w:tcPr>
            <w:tcW w:w="1051"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4</w:t>
            </w:r>
          </w:p>
        </w:tc>
      </w:tr>
      <w:tr w:rsidR="00E664E4" w:rsidRPr="00387BB1" w:rsidTr="003D664B">
        <w:trPr>
          <w:trHeight w:val="285"/>
          <w:jc w:val="center"/>
        </w:trPr>
        <w:tc>
          <w:tcPr>
            <w:tcW w:w="119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7</w:t>
            </w:r>
          </w:p>
        </w:tc>
        <w:tc>
          <w:tcPr>
            <w:tcW w:w="2135"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fluorine</w:t>
            </w:r>
          </w:p>
        </w:tc>
        <w:tc>
          <w:tcPr>
            <w:tcW w:w="1960"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F</w:t>
            </w:r>
            <w:r w:rsidRPr="00387BB1">
              <w:rPr>
                <w:rFonts w:ascii="Calibri" w:eastAsia="Times New Roman" w:hAnsi="Calibri" w:cs="Times New Roman"/>
                <w:sz w:val="20"/>
                <w:szCs w:val="20"/>
                <w:vertAlign w:val="subscript"/>
              </w:rPr>
              <w:t>2</w:t>
            </w:r>
          </w:p>
        </w:tc>
        <w:tc>
          <w:tcPr>
            <w:tcW w:w="164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37.9968</w:t>
            </w:r>
          </w:p>
        </w:tc>
        <w:tc>
          <w:tcPr>
            <w:tcW w:w="1051"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5</w:t>
            </w:r>
          </w:p>
        </w:tc>
      </w:tr>
      <w:tr w:rsidR="00E664E4" w:rsidRPr="00387BB1" w:rsidTr="003D664B">
        <w:trPr>
          <w:trHeight w:val="285"/>
          <w:jc w:val="center"/>
        </w:trPr>
        <w:tc>
          <w:tcPr>
            <w:tcW w:w="119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8</w:t>
            </w:r>
          </w:p>
        </w:tc>
        <w:tc>
          <w:tcPr>
            <w:tcW w:w="2135"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carbon dioxide</w:t>
            </w:r>
          </w:p>
        </w:tc>
        <w:tc>
          <w:tcPr>
            <w:tcW w:w="1960"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CO</w:t>
            </w:r>
            <w:r w:rsidRPr="00387BB1">
              <w:rPr>
                <w:rFonts w:ascii="Calibri" w:eastAsia="Times New Roman" w:hAnsi="Calibri" w:cs="Times New Roman"/>
                <w:sz w:val="20"/>
                <w:szCs w:val="20"/>
                <w:vertAlign w:val="subscript"/>
              </w:rPr>
              <w:t>2</w:t>
            </w:r>
          </w:p>
        </w:tc>
        <w:tc>
          <w:tcPr>
            <w:tcW w:w="164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43.9987</w:t>
            </w:r>
          </w:p>
        </w:tc>
        <w:tc>
          <w:tcPr>
            <w:tcW w:w="1051"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3, 4</w:t>
            </w:r>
          </w:p>
        </w:tc>
      </w:tr>
      <w:tr w:rsidR="00E664E4" w:rsidRPr="00387BB1" w:rsidTr="003D664B">
        <w:trPr>
          <w:trHeight w:val="285"/>
          <w:jc w:val="center"/>
        </w:trPr>
        <w:tc>
          <w:tcPr>
            <w:tcW w:w="119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9</w:t>
            </w:r>
          </w:p>
        </w:tc>
        <w:tc>
          <w:tcPr>
            <w:tcW w:w="2135"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nitric acid</w:t>
            </w:r>
          </w:p>
        </w:tc>
        <w:tc>
          <w:tcPr>
            <w:tcW w:w="1960"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HNO</w:t>
            </w:r>
            <w:r w:rsidRPr="00387BB1">
              <w:rPr>
                <w:rFonts w:ascii="Calibri" w:eastAsia="Times New Roman" w:hAnsi="Calibri" w:cs="Times New Roman"/>
                <w:sz w:val="20"/>
                <w:szCs w:val="20"/>
                <w:vertAlign w:val="subscript"/>
              </w:rPr>
              <w:t>3</w:t>
            </w:r>
          </w:p>
        </w:tc>
        <w:tc>
          <w:tcPr>
            <w:tcW w:w="164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63.0128</w:t>
            </w:r>
          </w:p>
        </w:tc>
        <w:tc>
          <w:tcPr>
            <w:tcW w:w="1051"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1, 2, 3</w:t>
            </w:r>
          </w:p>
        </w:tc>
      </w:tr>
      <w:tr w:rsidR="00E664E4" w:rsidRPr="00387BB1" w:rsidTr="003D664B">
        <w:trPr>
          <w:trHeight w:val="285"/>
          <w:jc w:val="center"/>
        </w:trPr>
        <w:tc>
          <w:tcPr>
            <w:tcW w:w="119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10</w:t>
            </w:r>
          </w:p>
        </w:tc>
        <w:tc>
          <w:tcPr>
            <w:tcW w:w="2135"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methanol</w:t>
            </w:r>
          </w:p>
        </w:tc>
        <w:tc>
          <w:tcPr>
            <w:tcW w:w="1960"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CH</w:t>
            </w:r>
            <w:r w:rsidRPr="00387BB1">
              <w:rPr>
                <w:rFonts w:ascii="Calibri" w:eastAsia="Times New Roman" w:hAnsi="Calibri" w:cs="Times New Roman"/>
                <w:sz w:val="20"/>
                <w:szCs w:val="20"/>
                <w:vertAlign w:val="subscript"/>
              </w:rPr>
              <w:t>3</w:t>
            </w:r>
            <w:r w:rsidRPr="00387BB1">
              <w:rPr>
                <w:rFonts w:ascii="Calibri" w:eastAsia="Times New Roman" w:hAnsi="Calibri" w:cs="Times New Roman"/>
                <w:sz w:val="20"/>
                <w:szCs w:val="20"/>
              </w:rPr>
              <w:t>OH</w:t>
            </w:r>
          </w:p>
        </w:tc>
        <w:tc>
          <w:tcPr>
            <w:tcW w:w="164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32.0365</w:t>
            </w:r>
          </w:p>
        </w:tc>
        <w:tc>
          <w:tcPr>
            <w:tcW w:w="1051"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3</w:t>
            </w:r>
          </w:p>
        </w:tc>
      </w:tr>
      <w:tr w:rsidR="00E664E4" w:rsidRPr="00387BB1" w:rsidTr="003D664B">
        <w:trPr>
          <w:trHeight w:val="285"/>
          <w:jc w:val="center"/>
        </w:trPr>
        <w:tc>
          <w:tcPr>
            <w:tcW w:w="119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11</w:t>
            </w:r>
          </w:p>
        </w:tc>
        <w:tc>
          <w:tcPr>
            <w:tcW w:w="2135"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proofErr w:type="spellStart"/>
            <w:r w:rsidRPr="00387BB1">
              <w:rPr>
                <w:rFonts w:ascii="Calibri" w:eastAsia="Times New Roman" w:hAnsi="Calibri" w:cs="Times New Roman"/>
                <w:sz w:val="20"/>
                <w:szCs w:val="20"/>
              </w:rPr>
              <w:t>tributyl</w:t>
            </w:r>
            <w:proofErr w:type="spellEnd"/>
            <w:r w:rsidRPr="00387BB1">
              <w:rPr>
                <w:rFonts w:ascii="Calibri" w:eastAsia="Times New Roman" w:hAnsi="Calibri" w:cs="Times New Roman"/>
                <w:sz w:val="20"/>
                <w:szCs w:val="20"/>
              </w:rPr>
              <w:t xml:space="preserve"> phosphate (TBP)</w:t>
            </w:r>
          </w:p>
        </w:tc>
        <w:tc>
          <w:tcPr>
            <w:tcW w:w="1960"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(CH</w:t>
            </w:r>
            <w:r w:rsidRPr="00387BB1">
              <w:rPr>
                <w:rFonts w:ascii="Calibri" w:eastAsia="Times New Roman" w:hAnsi="Calibri" w:cs="Times New Roman"/>
                <w:sz w:val="20"/>
                <w:szCs w:val="20"/>
                <w:vertAlign w:val="subscript"/>
              </w:rPr>
              <w:t>3</w:t>
            </w:r>
            <w:r w:rsidRPr="00387BB1">
              <w:rPr>
                <w:rFonts w:ascii="Calibri" w:eastAsia="Times New Roman" w:hAnsi="Calibri" w:cs="Times New Roman"/>
                <w:sz w:val="20"/>
                <w:szCs w:val="20"/>
              </w:rPr>
              <w:t>CH</w:t>
            </w:r>
            <w:r w:rsidRPr="00387BB1">
              <w:rPr>
                <w:rFonts w:ascii="Calibri" w:eastAsia="Times New Roman" w:hAnsi="Calibri" w:cs="Times New Roman"/>
                <w:sz w:val="20"/>
                <w:szCs w:val="20"/>
                <w:vertAlign w:val="subscript"/>
              </w:rPr>
              <w:t>2</w:t>
            </w:r>
            <w:r w:rsidRPr="00387BB1">
              <w:rPr>
                <w:rFonts w:ascii="Calibri" w:eastAsia="Times New Roman" w:hAnsi="Calibri" w:cs="Times New Roman"/>
                <w:sz w:val="20"/>
                <w:szCs w:val="20"/>
              </w:rPr>
              <w:t>CH</w:t>
            </w:r>
            <w:r w:rsidRPr="00387BB1">
              <w:rPr>
                <w:rFonts w:ascii="Calibri" w:eastAsia="Times New Roman" w:hAnsi="Calibri" w:cs="Times New Roman"/>
                <w:sz w:val="20"/>
                <w:szCs w:val="20"/>
                <w:vertAlign w:val="subscript"/>
              </w:rPr>
              <w:t>2</w:t>
            </w:r>
            <w:r w:rsidRPr="00387BB1">
              <w:rPr>
                <w:rFonts w:ascii="Calibri" w:eastAsia="Times New Roman" w:hAnsi="Calibri" w:cs="Times New Roman"/>
                <w:sz w:val="20"/>
                <w:szCs w:val="20"/>
              </w:rPr>
              <w:t>CH</w:t>
            </w:r>
            <w:r w:rsidRPr="00387BB1">
              <w:rPr>
                <w:rFonts w:ascii="Calibri" w:eastAsia="Times New Roman" w:hAnsi="Calibri" w:cs="Times New Roman"/>
                <w:sz w:val="20"/>
                <w:szCs w:val="20"/>
                <w:vertAlign w:val="subscript"/>
              </w:rPr>
              <w:t>2</w:t>
            </w:r>
            <w:r w:rsidRPr="00387BB1">
              <w:rPr>
                <w:rFonts w:ascii="Calibri" w:eastAsia="Times New Roman" w:hAnsi="Calibri" w:cs="Times New Roman"/>
                <w:sz w:val="20"/>
                <w:szCs w:val="20"/>
              </w:rPr>
              <w:t>O)</w:t>
            </w:r>
            <w:r w:rsidRPr="00387BB1">
              <w:rPr>
                <w:rFonts w:ascii="Calibri" w:eastAsia="Times New Roman" w:hAnsi="Calibri" w:cs="Times New Roman"/>
                <w:sz w:val="20"/>
                <w:szCs w:val="20"/>
                <w:vertAlign w:val="subscript"/>
              </w:rPr>
              <w:t>3</w:t>
            </w:r>
            <w:r w:rsidRPr="00387BB1">
              <w:rPr>
                <w:rFonts w:ascii="Calibri" w:eastAsia="Times New Roman" w:hAnsi="Calibri" w:cs="Times New Roman"/>
                <w:sz w:val="20"/>
                <w:szCs w:val="20"/>
              </w:rPr>
              <w:t>PO</w:t>
            </w:r>
          </w:p>
        </w:tc>
        <w:tc>
          <w:tcPr>
            <w:tcW w:w="164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228.0000</w:t>
            </w:r>
          </w:p>
        </w:tc>
        <w:tc>
          <w:tcPr>
            <w:tcW w:w="1051"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2</w:t>
            </w:r>
          </w:p>
        </w:tc>
      </w:tr>
      <w:tr w:rsidR="00E664E4" w:rsidRPr="00387BB1" w:rsidTr="003D664B">
        <w:trPr>
          <w:trHeight w:val="285"/>
          <w:jc w:val="center"/>
        </w:trPr>
        <w:tc>
          <w:tcPr>
            <w:tcW w:w="119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12</w:t>
            </w:r>
          </w:p>
        </w:tc>
        <w:tc>
          <w:tcPr>
            <w:tcW w:w="2135"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ammonium nitrate</w:t>
            </w:r>
          </w:p>
        </w:tc>
        <w:tc>
          <w:tcPr>
            <w:tcW w:w="1960"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NH</w:t>
            </w:r>
            <w:r w:rsidRPr="00387BB1">
              <w:rPr>
                <w:rFonts w:ascii="Calibri" w:eastAsia="Times New Roman" w:hAnsi="Calibri" w:cs="Times New Roman"/>
                <w:sz w:val="20"/>
                <w:szCs w:val="20"/>
                <w:vertAlign w:val="subscript"/>
              </w:rPr>
              <w:t>4</w:t>
            </w:r>
            <w:r w:rsidRPr="00387BB1">
              <w:rPr>
                <w:rFonts w:ascii="Calibri" w:eastAsia="Times New Roman" w:hAnsi="Calibri" w:cs="Times New Roman"/>
                <w:sz w:val="20"/>
                <w:szCs w:val="20"/>
              </w:rPr>
              <w:t>NO</w:t>
            </w:r>
            <w:r w:rsidRPr="00387BB1">
              <w:rPr>
                <w:rFonts w:ascii="Calibri" w:eastAsia="Times New Roman" w:hAnsi="Calibri" w:cs="Times New Roman"/>
                <w:sz w:val="20"/>
                <w:szCs w:val="20"/>
                <w:vertAlign w:val="subscript"/>
              </w:rPr>
              <w:t>3</w:t>
            </w:r>
          </w:p>
        </w:tc>
        <w:tc>
          <w:tcPr>
            <w:tcW w:w="164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80.0434</w:t>
            </w:r>
          </w:p>
        </w:tc>
        <w:tc>
          <w:tcPr>
            <w:tcW w:w="1051"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3</w:t>
            </w:r>
          </w:p>
        </w:tc>
      </w:tr>
      <w:tr w:rsidR="00E664E4" w:rsidRPr="00387BB1" w:rsidTr="003D664B">
        <w:trPr>
          <w:trHeight w:val="285"/>
          <w:jc w:val="center"/>
        </w:trPr>
        <w:tc>
          <w:tcPr>
            <w:tcW w:w="119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13</w:t>
            </w:r>
          </w:p>
        </w:tc>
        <w:tc>
          <w:tcPr>
            <w:tcW w:w="2135"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ammonium carbonate</w:t>
            </w:r>
          </w:p>
        </w:tc>
        <w:tc>
          <w:tcPr>
            <w:tcW w:w="1960"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(NH</w:t>
            </w:r>
            <w:r w:rsidRPr="00387BB1">
              <w:rPr>
                <w:rFonts w:ascii="Calibri" w:eastAsia="Times New Roman" w:hAnsi="Calibri" w:cs="Times New Roman"/>
                <w:sz w:val="20"/>
                <w:szCs w:val="20"/>
                <w:vertAlign w:val="subscript"/>
              </w:rPr>
              <w:t>4</w:t>
            </w:r>
            <w:r w:rsidRPr="00387BB1">
              <w:rPr>
                <w:rFonts w:ascii="Calibri" w:eastAsia="Times New Roman" w:hAnsi="Calibri" w:cs="Times New Roman"/>
                <w:sz w:val="20"/>
                <w:szCs w:val="20"/>
              </w:rPr>
              <w:t>)</w:t>
            </w:r>
            <w:r w:rsidRPr="00387BB1">
              <w:rPr>
                <w:rFonts w:ascii="Calibri" w:eastAsia="Times New Roman" w:hAnsi="Calibri" w:cs="Times New Roman"/>
                <w:sz w:val="20"/>
                <w:szCs w:val="20"/>
                <w:vertAlign w:val="subscript"/>
              </w:rPr>
              <w:t>2</w:t>
            </w:r>
            <w:r w:rsidRPr="00387BB1">
              <w:rPr>
                <w:rFonts w:ascii="Calibri" w:eastAsia="Times New Roman" w:hAnsi="Calibri" w:cs="Times New Roman"/>
                <w:sz w:val="20"/>
                <w:szCs w:val="20"/>
              </w:rPr>
              <w:t>CO</w:t>
            </w:r>
            <w:r w:rsidRPr="00387BB1">
              <w:rPr>
                <w:rFonts w:ascii="Calibri" w:eastAsia="Times New Roman" w:hAnsi="Calibri" w:cs="Times New Roman"/>
                <w:sz w:val="20"/>
                <w:szCs w:val="20"/>
                <w:vertAlign w:val="subscript"/>
              </w:rPr>
              <w:t>3</w:t>
            </w:r>
            <w:r w:rsidRPr="00387BB1">
              <w:rPr>
                <w:rFonts w:ascii="Calibri" w:eastAsia="Times New Roman" w:hAnsi="Calibri" w:cs="Times New Roman"/>
                <w:sz w:val="20"/>
                <w:szCs w:val="20"/>
              </w:rPr>
              <w:t>.H</w:t>
            </w:r>
            <w:r w:rsidRPr="00387BB1">
              <w:rPr>
                <w:rFonts w:ascii="Calibri" w:eastAsia="Times New Roman" w:hAnsi="Calibri" w:cs="Times New Roman"/>
                <w:sz w:val="20"/>
                <w:szCs w:val="20"/>
                <w:vertAlign w:val="subscript"/>
              </w:rPr>
              <w:t>2</w:t>
            </w:r>
            <w:r w:rsidRPr="00387BB1">
              <w:rPr>
                <w:rFonts w:ascii="Calibri" w:eastAsia="Times New Roman" w:hAnsi="Calibri" w:cs="Times New Roman"/>
                <w:sz w:val="20"/>
                <w:szCs w:val="20"/>
              </w:rPr>
              <w:t>O</w:t>
            </w:r>
          </w:p>
        </w:tc>
        <w:tc>
          <w:tcPr>
            <w:tcW w:w="1642" w:type="dxa"/>
            <w:tcBorders>
              <w:top w:val="nil"/>
              <w:left w:val="nil"/>
              <w:bottom w:val="nil"/>
              <w:right w:val="nil"/>
            </w:tcBorders>
            <w:shd w:val="clear" w:color="auto" w:fill="auto"/>
            <w:vAlign w:val="bottom"/>
            <w:hideMark/>
          </w:tcPr>
          <w:p w:rsidR="00E664E4" w:rsidRPr="00387BB1" w:rsidRDefault="00E664E4" w:rsidP="00B47812">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11</w:t>
            </w:r>
            <w:r w:rsidR="00BE36F0">
              <w:rPr>
                <w:rFonts w:ascii="Calibri" w:eastAsia="Times New Roman" w:hAnsi="Calibri" w:cs="Times New Roman"/>
                <w:sz w:val="20"/>
                <w:szCs w:val="20"/>
              </w:rPr>
              <w:t>4.10</w:t>
            </w:r>
            <w:r w:rsidR="00B47812">
              <w:rPr>
                <w:rFonts w:ascii="Calibri" w:eastAsia="Times New Roman" w:hAnsi="Calibri" w:cs="Times New Roman"/>
                <w:sz w:val="20"/>
                <w:szCs w:val="20"/>
              </w:rPr>
              <w:t>1</w:t>
            </w:r>
            <w:r w:rsidRPr="00387BB1">
              <w:rPr>
                <w:rFonts w:ascii="Calibri" w:eastAsia="Times New Roman" w:hAnsi="Calibri" w:cs="Times New Roman"/>
                <w:sz w:val="20"/>
                <w:szCs w:val="20"/>
              </w:rPr>
              <w:t>1</w:t>
            </w:r>
          </w:p>
        </w:tc>
        <w:tc>
          <w:tcPr>
            <w:tcW w:w="1051"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3</w:t>
            </w:r>
          </w:p>
        </w:tc>
      </w:tr>
      <w:tr w:rsidR="00E664E4" w:rsidRPr="00387BB1" w:rsidTr="003D664B">
        <w:trPr>
          <w:trHeight w:val="285"/>
          <w:jc w:val="center"/>
        </w:trPr>
        <w:tc>
          <w:tcPr>
            <w:tcW w:w="119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14</w:t>
            </w:r>
          </w:p>
        </w:tc>
        <w:tc>
          <w:tcPr>
            <w:tcW w:w="2135"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uranyl nitrate (UN)</w:t>
            </w:r>
          </w:p>
        </w:tc>
        <w:tc>
          <w:tcPr>
            <w:tcW w:w="1960"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UO</w:t>
            </w:r>
            <w:r w:rsidRPr="00387BB1">
              <w:rPr>
                <w:rFonts w:ascii="Calibri" w:eastAsia="Times New Roman" w:hAnsi="Calibri" w:cs="Times New Roman"/>
                <w:sz w:val="20"/>
                <w:szCs w:val="20"/>
                <w:vertAlign w:val="subscript"/>
              </w:rPr>
              <w:t>2</w:t>
            </w:r>
            <w:r w:rsidRPr="00387BB1">
              <w:rPr>
                <w:rFonts w:ascii="Calibri" w:eastAsia="Times New Roman" w:hAnsi="Calibri" w:cs="Times New Roman"/>
                <w:sz w:val="20"/>
                <w:szCs w:val="20"/>
              </w:rPr>
              <w:t>(NO</w:t>
            </w:r>
            <w:r w:rsidRPr="00387BB1">
              <w:rPr>
                <w:rFonts w:ascii="Calibri" w:eastAsia="Times New Roman" w:hAnsi="Calibri" w:cs="Times New Roman"/>
                <w:sz w:val="20"/>
                <w:szCs w:val="20"/>
                <w:vertAlign w:val="subscript"/>
              </w:rPr>
              <w:t>3</w:t>
            </w:r>
            <w:r w:rsidRPr="00387BB1">
              <w:rPr>
                <w:rFonts w:ascii="Calibri" w:eastAsia="Times New Roman" w:hAnsi="Calibri" w:cs="Times New Roman"/>
                <w:sz w:val="20"/>
                <w:szCs w:val="20"/>
              </w:rPr>
              <w:t>)</w:t>
            </w:r>
            <w:r w:rsidRPr="00387BB1">
              <w:rPr>
                <w:rFonts w:ascii="Calibri" w:eastAsia="Times New Roman" w:hAnsi="Calibri" w:cs="Times New Roman"/>
                <w:sz w:val="20"/>
                <w:szCs w:val="20"/>
                <w:vertAlign w:val="subscript"/>
              </w:rPr>
              <w:t>2</w:t>
            </w:r>
          </w:p>
        </w:tc>
        <w:tc>
          <w:tcPr>
            <w:tcW w:w="164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394.0375</w:t>
            </w:r>
          </w:p>
        </w:tc>
        <w:tc>
          <w:tcPr>
            <w:tcW w:w="1051"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1, 2, 3</w:t>
            </w:r>
          </w:p>
        </w:tc>
      </w:tr>
      <w:tr w:rsidR="00E664E4" w:rsidRPr="00387BB1" w:rsidTr="003D664B">
        <w:trPr>
          <w:trHeight w:val="285"/>
          <w:jc w:val="center"/>
        </w:trPr>
        <w:tc>
          <w:tcPr>
            <w:tcW w:w="119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15</w:t>
            </w:r>
          </w:p>
        </w:tc>
        <w:tc>
          <w:tcPr>
            <w:tcW w:w="2135"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uranium hexafluoride</w:t>
            </w:r>
          </w:p>
        </w:tc>
        <w:tc>
          <w:tcPr>
            <w:tcW w:w="1960"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UF</w:t>
            </w:r>
            <w:r w:rsidRPr="00387BB1">
              <w:rPr>
                <w:rFonts w:ascii="Calibri" w:eastAsia="Times New Roman" w:hAnsi="Calibri" w:cs="Times New Roman"/>
                <w:sz w:val="20"/>
                <w:szCs w:val="20"/>
                <w:vertAlign w:val="subscript"/>
              </w:rPr>
              <w:t>6</w:t>
            </w:r>
          </w:p>
        </w:tc>
        <w:tc>
          <w:tcPr>
            <w:tcW w:w="164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352.0193</w:t>
            </w:r>
          </w:p>
        </w:tc>
        <w:tc>
          <w:tcPr>
            <w:tcW w:w="1051"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5</w:t>
            </w:r>
          </w:p>
        </w:tc>
      </w:tr>
      <w:tr w:rsidR="00E664E4" w:rsidRPr="00387BB1" w:rsidTr="003D664B">
        <w:trPr>
          <w:trHeight w:val="285"/>
          <w:jc w:val="center"/>
        </w:trPr>
        <w:tc>
          <w:tcPr>
            <w:tcW w:w="119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16</w:t>
            </w:r>
          </w:p>
        </w:tc>
        <w:tc>
          <w:tcPr>
            <w:tcW w:w="2135"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 xml:space="preserve">uranium </w:t>
            </w:r>
            <w:proofErr w:type="spellStart"/>
            <w:r w:rsidRPr="00387BB1">
              <w:rPr>
                <w:rFonts w:ascii="Calibri" w:eastAsia="Times New Roman" w:hAnsi="Calibri" w:cs="Times New Roman"/>
                <w:sz w:val="20"/>
                <w:szCs w:val="20"/>
              </w:rPr>
              <w:t>tetrafluoride</w:t>
            </w:r>
            <w:proofErr w:type="spellEnd"/>
          </w:p>
        </w:tc>
        <w:tc>
          <w:tcPr>
            <w:tcW w:w="1960"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UF</w:t>
            </w:r>
            <w:r w:rsidRPr="00387BB1">
              <w:rPr>
                <w:rFonts w:ascii="Calibri" w:eastAsia="Times New Roman" w:hAnsi="Calibri" w:cs="Times New Roman"/>
                <w:sz w:val="20"/>
                <w:szCs w:val="20"/>
                <w:vertAlign w:val="subscript"/>
              </w:rPr>
              <w:t>4</w:t>
            </w:r>
          </w:p>
        </w:tc>
        <w:tc>
          <w:tcPr>
            <w:tcW w:w="164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314.0225</w:t>
            </w:r>
          </w:p>
        </w:tc>
        <w:tc>
          <w:tcPr>
            <w:tcW w:w="1051"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4, 5</w:t>
            </w:r>
          </w:p>
        </w:tc>
      </w:tr>
      <w:tr w:rsidR="00E664E4" w:rsidRPr="00387BB1" w:rsidTr="003D664B">
        <w:trPr>
          <w:trHeight w:val="285"/>
          <w:jc w:val="center"/>
        </w:trPr>
        <w:tc>
          <w:tcPr>
            <w:tcW w:w="119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17</w:t>
            </w:r>
          </w:p>
        </w:tc>
        <w:tc>
          <w:tcPr>
            <w:tcW w:w="2135"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uranium dioxide</w:t>
            </w:r>
          </w:p>
        </w:tc>
        <w:tc>
          <w:tcPr>
            <w:tcW w:w="1960"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UO</w:t>
            </w:r>
            <w:r w:rsidRPr="00387BB1">
              <w:rPr>
                <w:rFonts w:ascii="Calibri" w:eastAsia="Times New Roman" w:hAnsi="Calibri" w:cs="Times New Roman"/>
                <w:sz w:val="20"/>
                <w:szCs w:val="20"/>
                <w:vertAlign w:val="subscript"/>
              </w:rPr>
              <w:t>2</w:t>
            </w:r>
          </w:p>
        </w:tc>
        <w:tc>
          <w:tcPr>
            <w:tcW w:w="164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270.0277</w:t>
            </w:r>
          </w:p>
        </w:tc>
        <w:tc>
          <w:tcPr>
            <w:tcW w:w="1051"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4</w:t>
            </w:r>
          </w:p>
        </w:tc>
      </w:tr>
      <w:tr w:rsidR="00E664E4" w:rsidRPr="00387BB1" w:rsidTr="003D664B">
        <w:trPr>
          <w:trHeight w:val="285"/>
          <w:jc w:val="center"/>
        </w:trPr>
        <w:tc>
          <w:tcPr>
            <w:tcW w:w="119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18</w:t>
            </w:r>
          </w:p>
        </w:tc>
        <w:tc>
          <w:tcPr>
            <w:tcW w:w="2135"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proofErr w:type="spellStart"/>
            <w:r w:rsidRPr="00387BB1">
              <w:rPr>
                <w:rFonts w:ascii="Calibri" w:eastAsia="Times New Roman" w:hAnsi="Calibri" w:cs="Times New Roman"/>
                <w:sz w:val="20"/>
                <w:szCs w:val="20"/>
              </w:rPr>
              <w:t>triuranium</w:t>
            </w:r>
            <w:proofErr w:type="spellEnd"/>
            <w:r w:rsidRPr="00387BB1">
              <w:rPr>
                <w:rFonts w:ascii="Calibri" w:eastAsia="Times New Roman" w:hAnsi="Calibri" w:cs="Times New Roman"/>
                <w:sz w:val="20"/>
                <w:szCs w:val="20"/>
              </w:rPr>
              <w:t xml:space="preserve"> </w:t>
            </w:r>
            <w:proofErr w:type="spellStart"/>
            <w:r w:rsidRPr="00387BB1">
              <w:rPr>
                <w:rFonts w:ascii="Calibri" w:eastAsia="Times New Roman" w:hAnsi="Calibri" w:cs="Times New Roman"/>
                <w:sz w:val="20"/>
                <w:szCs w:val="20"/>
              </w:rPr>
              <w:t>octoxide</w:t>
            </w:r>
            <w:proofErr w:type="spellEnd"/>
          </w:p>
        </w:tc>
        <w:tc>
          <w:tcPr>
            <w:tcW w:w="1960"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U</w:t>
            </w:r>
            <w:r w:rsidRPr="00387BB1">
              <w:rPr>
                <w:rFonts w:ascii="Calibri" w:eastAsia="Times New Roman" w:hAnsi="Calibri" w:cs="Times New Roman"/>
                <w:sz w:val="20"/>
                <w:szCs w:val="20"/>
                <w:vertAlign w:val="subscript"/>
              </w:rPr>
              <w:t>3</w:t>
            </w:r>
            <w:r w:rsidRPr="00387BB1">
              <w:rPr>
                <w:rFonts w:ascii="Calibri" w:eastAsia="Times New Roman" w:hAnsi="Calibri" w:cs="Times New Roman"/>
                <w:sz w:val="20"/>
                <w:szCs w:val="20"/>
              </w:rPr>
              <w:t>O</w:t>
            </w:r>
            <w:r w:rsidRPr="00387BB1">
              <w:rPr>
                <w:rFonts w:ascii="Calibri" w:eastAsia="Times New Roman" w:hAnsi="Calibri" w:cs="Times New Roman"/>
                <w:sz w:val="20"/>
                <w:szCs w:val="20"/>
                <w:vertAlign w:val="subscript"/>
              </w:rPr>
              <w:t>8</w:t>
            </w:r>
          </w:p>
        </w:tc>
        <w:tc>
          <w:tcPr>
            <w:tcW w:w="164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842.0819</w:t>
            </w:r>
          </w:p>
        </w:tc>
        <w:tc>
          <w:tcPr>
            <w:tcW w:w="1051"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1, 2, 3, 4, 5</w:t>
            </w:r>
          </w:p>
        </w:tc>
      </w:tr>
      <w:tr w:rsidR="00E664E4" w:rsidRPr="00387BB1" w:rsidTr="003D664B">
        <w:trPr>
          <w:trHeight w:val="525"/>
          <w:jc w:val="center"/>
        </w:trPr>
        <w:tc>
          <w:tcPr>
            <w:tcW w:w="119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19</w:t>
            </w:r>
          </w:p>
        </w:tc>
        <w:tc>
          <w:tcPr>
            <w:tcW w:w="2135"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ammonium uranyl carbonate (AUC)</w:t>
            </w:r>
          </w:p>
        </w:tc>
        <w:tc>
          <w:tcPr>
            <w:tcW w:w="1960"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(NH</w:t>
            </w:r>
            <w:r w:rsidRPr="00387BB1">
              <w:rPr>
                <w:rFonts w:ascii="Calibri" w:eastAsia="Times New Roman" w:hAnsi="Calibri" w:cs="Times New Roman"/>
                <w:sz w:val="20"/>
                <w:szCs w:val="20"/>
                <w:vertAlign w:val="subscript"/>
              </w:rPr>
              <w:t>4</w:t>
            </w:r>
            <w:r w:rsidRPr="00387BB1">
              <w:rPr>
                <w:rFonts w:ascii="Calibri" w:eastAsia="Times New Roman" w:hAnsi="Calibri" w:cs="Times New Roman"/>
                <w:sz w:val="20"/>
                <w:szCs w:val="20"/>
              </w:rPr>
              <w:t>)</w:t>
            </w:r>
            <w:r w:rsidRPr="00387BB1">
              <w:rPr>
                <w:rFonts w:ascii="Calibri" w:eastAsia="Times New Roman" w:hAnsi="Calibri" w:cs="Times New Roman"/>
                <w:sz w:val="20"/>
                <w:szCs w:val="20"/>
                <w:vertAlign w:val="subscript"/>
              </w:rPr>
              <w:t>4</w:t>
            </w:r>
            <w:r w:rsidRPr="00387BB1">
              <w:rPr>
                <w:rFonts w:ascii="Calibri" w:eastAsia="Times New Roman" w:hAnsi="Calibri" w:cs="Times New Roman"/>
                <w:sz w:val="20"/>
                <w:szCs w:val="20"/>
              </w:rPr>
              <w:t>UO</w:t>
            </w:r>
            <w:r w:rsidRPr="00387BB1">
              <w:rPr>
                <w:rFonts w:ascii="Calibri" w:eastAsia="Times New Roman" w:hAnsi="Calibri" w:cs="Times New Roman"/>
                <w:sz w:val="20"/>
                <w:szCs w:val="20"/>
                <w:vertAlign w:val="subscript"/>
              </w:rPr>
              <w:t>2</w:t>
            </w:r>
            <w:r w:rsidRPr="00387BB1">
              <w:rPr>
                <w:rFonts w:ascii="Calibri" w:eastAsia="Times New Roman" w:hAnsi="Calibri" w:cs="Times New Roman"/>
                <w:sz w:val="20"/>
                <w:szCs w:val="20"/>
              </w:rPr>
              <w:t>(CO</w:t>
            </w:r>
            <w:r w:rsidRPr="00387BB1">
              <w:rPr>
                <w:rFonts w:ascii="Calibri" w:eastAsia="Times New Roman" w:hAnsi="Calibri" w:cs="Times New Roman"/>
                <w:sz w:val="20"/>
                <w:szCs w:val="20"/>
                <w:vertAlign w:val="subscript"/>
              </w:rPr>
              <w:t>3</w:t>
            </w:r>
            <w:r w:rsidRPr="00387BB1">
              <w:rPr>
                <w:rFonts w:ascii="Calibri" w:eastAsia="Times New Roman" w:hAnsi="Calibri" w:cs="Times New Roman"/>
                <w:sz w:val="20"/>
                <w:szCs w:val="20"/>
              </w:rPr>
              <w:t>)</w:t>
            </w:r>
            <w:r w:rsidRPr="00387BB1">
              <w:rPr>
                <w:rFonts w:ascii="Calibri" w:eastAsia="Times New Roman" w:hAnsi="Calibri" w:cs="Times New Roman"/>
                <w:sz w:val="20"/>
                <w:szCs w:val="20"/>
                <w:vertAlign w:val="subscript"/>
              </w:rPr>
              <w:t>3</w:t>
            </w:r>
          </w:p>
        </w:tc>
        <w:tc>
          <w:tcPr>
            <w:tcW w:w="164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522.1489</w:t>
            </w:r>
          </w:p>
        </w:tc>
        <w:tc>
          <w:tcPr>
            <w:tcW w:w="1051"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3, 4</w:t>
            </w:r>
          </w:p>
        </w:tc>
      </w:tr>
      <w:tr w:rsidR="00E664E4" w:rsidRPr="00387BB1" w:rsidTr="003D664B">
        <w:trPr>
          <w:trHeight w:val="285"/>
          <w:jc w:val="center"/>
        </w:trPr>
        <w:tc>
          <w:tcPr>
            <w:tcW w:w="1192"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20</w:t>
            </w:r>
          </w:p>
        </w:tc>
        <w:tc>
          <w:tcPr>
            <w:tcW w:w="2135"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impurities in U</w:t>
            </w:r>
            <w:r w:rsidRPr="00387BB1">
              <w:rPr>
                <w:rFonts w:ascii="Calibri" w:eastAsia="Times New Roman" w:hAnsi="Calibri" w:cs="Times New Roman"/>
                <w:sz w:val="20"/>
                <w:szCs w:val="20"/>
                <w:vertAlign w:val="subscript"/>
              </w:rPr>
              <w:t>3</w:t>
            </w:r>
            <w:r w:rsidRPr="00387BB1">
              <w:rPr>
                <w:rFonts w:ascii="Calibri" w:eastAsia="Times New Roman" w:hAnsi="Calibri" w:cs="Times New Roman"/>
                <w:sz w:val="20"/>
                <w:szCs w:val="20"/>
              </w:rPr>
              <w:t>O</w:t>
            </w:r>
            <w:r w:rsidRPr="00387BB1">
              <w:rPr>
                <w:rFonts w:ascii="Calibri" w:eastAsia="Times New Roman" w:hAnsi="Calibri" w:cs="Times New Roman"/>
                <w:sz w:val="20"/>
                <w:szCs w:val="20"/>
                <w:vertAlign w:val="subscript"/>
              </w:rPr>
              <w:t>8</w:t>
            </w:r>
          </w:p>
        </w:tc>
        <w:tc>
          <w:tcPr>
            <w:tcW w:w="1960"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insoluble</w:t>
            </w:r>
          </w:p>
        </w:tc>
        <w:tc>
          <w:tcPr>
            <w:tcW w:w="1642" w:type="dxa"/>
            <w:tcBorders>
              <w:top w:val="nil"/>
              <w:left w:val="nil"/>
              <w:bottom w:val="nil"/>
              <w:right w:val="nil"/>
            </w:tcBorders>
            <w:shd w:val="clear" w:color="auto" w:fill="auto"/>
            <w:vAlign w:val="bottom"/>
            <w:hideMark/>
          </w:tcPr>
          <w:p w:rsidR="00E664E4" w:rsidRPr="00387BB1" w:rsidRDefault="00D40E32" w:rsidP="003D664B">
            <w:pPr>
              <w:spacing w:after="0" w:line="240" w:lineRule="auto"/>
              <w:jc w:val="center"/>
              <w:rPr>
                <w:rFonts w:ascii="Calibri" w:eastAsia="Times New Roman" w:hAnsi="Calibri" w:cs="Times New Roman"/>
                <w:sz w:val="20"/>
                <w:szCs w:val="20"/>
              </w:rPr>
            </w:pPr>
            <w:r>
              <w:rPr>
                <w:rFonts w:ascii="Calibri" w:eastAsia="Times New Roman" w:hAnsi="Calibri" w:cs="Times New Roman"/>
                <w:sz w:val="20"/>
                <w:szCs w:val="20"/>
              </w:rPr>
              <w:t>5</w:t>
            </w:r>
            <w:r w:rsidR="00E664E4" w:rsidRPr="00387BB1">
              <w:rPr>
                <w:rFonts w:ascii="Calibri" w:eastAsia="Times New Roman" w:hAnsi="Calibri" w:cs="Times New Roman"/>
                <w:sz w:val="20"/>
                <w:szCs w:val="20"/>
              </w:rPr>
              <w:t>00 (assumption)</w:t>
            </w:r>
          </w:p>
        </w:tc>
        <w:tc>
          <w:tcPr>
            <w:tcW w:w="1051" w:type="dxa"/>
            <w:tcBorders>
              <w:top w:val="nil"/>
              <w:left w:val="nil"/>
              <w:bottom w:val="nil"/>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1, 2</w:t>
            </w:r>
          </w:p>
        </w:tc>
      </w:tr>
      <w:tr w:rsidR="00E664E4" w:rsidRPr="00387BB1" w:rsidTr="003D664B">
        <w:trPr>
          <w:trHeight w:val="300"/>
          <w:jc w:val="center"/>
        </w:trPr>
        <w:tc>
          <w:tcPr>
            <w:tcW w:w="1192" w:type="dxa"/>
            <w:tcBorders>
              <w:top w:val="nil"/>
              <w:left w:val="nil"/>
              <w:bottom w:val="single" w:sz="8" w:space="0" w:color="auto"/>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21</w:t>
            </w:r>
          </w:p>
        </w:tc>
        <w:tc>
          <w:tcPr>
            <w:tcW w:w="2135" w:type="dxa"/>
            <w:tcBorders>
              <w:top w:val="nil"/>
              <w:left w:val="nil"/>
              <w:bottom w:val="single" w:sz="8" w:space="0" w:color="auto"/>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impurities in U</w:t>
            </w:r>
            <w:r w:rsidRPr="00387BB1">
              <w:rPr>
                <w:rFonts w:ascii="Calibri" w:eastAsia="Times New Roman" w:hAnsi="Calibri" w:cs="Times New Roman"/>
                <w:sz w:val="20"/>
                <w:szCs w:val="20"/>
                <w:vertAlign w:val="subscript"/>
              </w:rPr>
              <w:t>3</w:t>
            </w:r>
            <w:r w:rsidRPr="00387BB1">
              <w:rPr>
                <w:rFonts w:ascii="Calibri" w:eastAsia="Times New Roman" w:hAnsi="Calibri" w:cs="Times New Roman"/>
                <w:sz w:val="20"/>
                <w:szCs w:val="20"/>
              </w:rPr>
              <w:t>O</w:t>
            </w:r>
            <w:r w:rsidRPr="00387BB1">
              <w:rPr>
                <w:rFonts w:ascii="Calibri" w:eastAsia="Times New Roman" w:hAnsi="Calibri" w:cs="Times New Roman"/>
                <w:sz w:val="20"/>
                <w:szCs w:val="20"/>
                <w:vertAlign w:val="subscript"/>
              </w:rPr>
              <w:t>8</w:t>
            </w:r>
          </w:p>
        </w:tc>
        <w:tc>
          <w:tcPr>
            <w:tcW w:w="1960" w:type="dxa"/>
            <w:tcBorders>
              <w:top w:val="nil"/>
              <w:left w:val="nil"/>
              <w:bottom w:val="single" w:sz="8" w:space="0" w:color="auto"/>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soluble</w:t>
            </w:r>
          </w:p>
        </w:tc>
        <w:tc>
          <w:tcPr>
            <w:tcW w:w="1642" w:type="dxa"/>
            <w:tcBorders>
              <w:top w:val="nil"/>
              <w:left w:val="nil"/>
              <w:bottom w:val="single" w:sz="8" w:space="0" w:color="auto"/>
              <w:right w:val="nil"/>
            </w:tcBorders>
            <w:shd w:val="clear" w:color="auto" w:fill="auto"/>
            <w:vAlign w:val="bottom"/>
            <w:hideMark/>
          </w:tcPr>
          <w:p w:rsidR="00E664E4" w:rsidRPr="00387BB1" w:rsidRDefault="00D40E32" w:rsidP="003D664B">
            <w:pPr>
              <w:spacing w:after="0" w:line="240" w:lineRule="auto"/>
              <w:jc w:val="center"/>
              <w:rPr>
                <w:rFonts w:ascii="Calibri" w:eastAsia="Times New Roman" w:hAnsi="Calibri" w:cs="Times New Roman"/>
                <w:sz w:val="20"/>
                <w:szCs w:val="20"/>
              </w:rPr>
            </w:pPr>
            <w:r>
              <w:rPr>
                <w:rFonts w:ascii="Calibri" w:eastAsia="Times New Roman" w:hAnsi="Calibri" w:cs="Times New Roman"/>
                <w:sz w:val="20"/>
                <w:szCs w:val="20"/>
              </w:rPr>
              <w:t>5</w:t>
            </w:r>
            <w:r w:rsidR="00E664E4" w:rsidRPr="00387BB1">
              <w:rPr>
                <w:rFonts w:ascii="Calibri" w:eastAsia="Times New Roman" w:hAnsi="Calibri" w:cs="Times New Roman"/>
                <w:sz w:val="20"/>
                <w:szCs w:val="20"/>
              </w:rPr>
              <w:t>00 (assumption)</w:t>
            </w:r>
          </w:p>
        </w:tc>
        <w:tc>
          <w:tcPr>
            <w:tcW w:w="1051" w:type="dxa"/>
            <w:tcBorders>
              <w:top w:val="nil"/>
              <w:left w:val="nil"/>
              <w:bottom w:val="single" w:sz="8" w:space="0" w:color="auto"/>
              <w:right w:val="nil"/>
            </w:tcBorders>
            <w:shd w:val="clear" w:color="auto" w:fill="auto"/>
            <w:vAlign w:val="bottom"/>
            <w:hideMark/>
          </w:tcPr>
          <w:p w:rsidR="00E664E4" w:rsidRPr="00387BB1" w:rsidRDefault="00E664E4" w:rsidP="003D664B">
            <w:pPr>
              <w:spacing w:after="0" w:line="240" w:lineRule="auto"/>
              <w:jc w:val="center"/>
              <w:rPr>
                <w:rFonts w:ascii="Calibri" w:eastAsia="Times New Roman" w:hAnsi="Calibri" w:cs="Times New Roman"/>
                <w:sz w:val="20"/>
                <w:szCs w:val="20"/>
              </w:rPr>
            </w:pPr>
            <w:r w:rsidRPr="00387BB1">
              <w:rPr>
                <w:rFonts w:ascii="Calibri" w:eastAsia="Times New Roman" w:hAnsi="Calibri" w:cs="Times New Roman"/>
                <w:sz w:val="20"/>
                <w:szCs w:val="20"/>
              </w:rPr>
              <w:t>1, 2, 3</w:t>
            </w:r>
          </w:p>
        </w:tc>
      </w:tr>
    </w:tbl>
    <w:p w:rsidR="00DC329E" w:rsidRDefault="00DC329E" w:rsidP="00E664E4"/>
    <w:p w:rsidR="003630C9" w:rsidRDefault="003630C9"/>
    <w:tbl>
      <w:tblPr>
        <w:tblW w:w="7920" w:type="dxa"/>
        <w:jc w:val="center"/>
        <w:tblLook w:val="04A0" w:firstRow="1" w:lastRow="0" w:firstColumn="1" w:lastColumn="0" w:noHBand="0" w:noVBand="1"/>
      </w:tblPr>
      <w:tblGrid>
        <w:gridCol w:w="1298"/>
        <w:gridCol w:w="1298"/>
        <w:gridCol w:w="341"/>
        <w:gridCol w:w="341"/>
        <w:gridCol w:w="422"/>
        <w:gridCol w:w="422"/>
        <w:gridCol w:w="422"/>
        <w:gridCol w:w="422"/>
        <w:gridCol w:w="422"/>
        <w:gridCol w:w="422"/>
        <w:gridCol w:w="422"/>
        <w:gridCol w:w="422"/>
        <w:gridCol w:w="422"/>
        <w:gridCol w:w="422"/>
        <w:gridCol w:w="422"/>
      </w:tblGrid>
      <w:tr w:rsidR="00853F1D" w:rsidRPr="00853F1D" w:rsidTr="003630C9">
        <w:trPr>
          <w:trHeight w:val="315"/>
          <w:jc w:val="center"/>
        </w:trPr>
        <w:tc>
          <w:tcPr>
            <w:tcW w:w="7920" w:type="dxa"/>
            <w:gridSpan w:val="15"/>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Table 3.2. State Variable Numbers for Module 1</w:t>
            </w:r>
            <w:r w:rsidR="00F32FD3">
              <w:rPr>
                <w:rFonts w:ascii="Calibri" w:eastAsia="Times New Roman" w:hAnsi="Calibri" w:cs="Times New Roman"/>
                <w:b/>
                <w:bCs/>
                <w:color w:val="000000"/>
                <w:sz w:val="20"/>
                <w:szCs w:val="20"/>
              </w:rPr>
              <w:t xml:space="preserve"> [</w:t>
            </w:r>
            <w:proofErr w:type="spellStart"/>
            <w:r w:rsidR="00F32FD3">
              <w:rPr>
                <w:rFonts w:ascii="Calibri" w:eastAsia="Times New Roman" w:hAnsi="Calibri" w:cs="Times New Roman"/>
                <w:b/>
                <w:bCs/>
                <w:color w:val="000000"/>
                <w:sz w:val="20"/>
                <w:szCs w:val="20"/>
              </w:rPr>
              <w:t>Xss</w:t>
            </w:r>
            <w:proofErr w:type="spellEnd"/>
            <w:r w:rsidR="00F32FD3">
              <w:rPr>
                <w:rFonts w:ascii="Calibri" w:eastAsia="Times New Roman" w:hAnsi="Calibri" w:cs="Times New Roman"/>
                <w:b/>
                <w:bCs/>
                <w:color w:val="000000"/>
                <w:sz w:val="20"/>
                <w:szCs w:val="20"/>
              </w:rPr>
              <w:t>(1–</w:t>
            </w:r>
            <w:r w:rsidR="00F32FD3" w:rsidRPr="00F32FD3">
              <w:rPr>
                <w:rFonts w:ascii="Calibri" w:eastAsia="Times New Roman" w:hAnsi="Calibri" w:cs="Times New Roman"/>
                <w:b/>
                <w:bCs/>
                <w:color w:val="000000"/>
                <w:sz w:val="20"/>
                <w:szCs w:val="20"/>
              </w:rPr>
              <w:t>73)]</w:t>
            </w:r>
          </w:p>
        </w:tc>
      </w:tr>
      <w:tr w:rsidR="00853F1D" w:rsidRPr="00853F1D" w:rsidTr="003630C9">
        <w:trPr>
          <w:trHeight w:val="255"/>
          <w:jc w:val="center"/>
        </w:trPr>
        <w:tc>
          <w:tcPr>
            <w:tcW w:w="129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p>
        </w:tc>
        <w:tc>
          <w:tcPr>
            <w:tcW w:w="1298" w:type="dxa"/>
            <w:tcBorders>
              <w:top w:val="nil"/>
              <w:left w:val="nil"/>
              <w:bottom w:val="nil"/>
              <w:right w:val="single" w:sz="4" w:space="0" w:color="auto"/>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 </w:t>
            </w:r>
          </w:p>
        </w:tc>
        <w:tc>
          <w:tcPr>
            <w:tcW w:w="5324" w:type="dxa"/>
            <w:gridSpan w:val="13"/>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Stream Number</w:t>
            </w:r>
          </w:p>
        </w:tc>
      </w:tr>
      <w:tr w:rsidR="00853F1D" w:rsidRPr="00853F1D" w:rsidTr="003630C9">
        <w:trPr>
          <w:trHeight w:val="255"/>
          <w:jc w:val="center"/>
        </w:trPr>
        <w:tc>
          <w:tcPr>
            <w:tcW w:w="1298"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Chemical</w:t>
            </w:r>
          </w:p>
        </w:tc>
        <w:tc>
          <w:tcPr>
            <w:tcW w:w="1298"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Component</w:t>
            </w:r>
          </w:p>
        </w:tc>
        <w:tc>
          <w:tcPr>
            <w:tcW w:w="341"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1</w:t>
            </w:r>
          </w:p>
        </w:tc>
        <w:tc>
          <w:tcPr>
            <w:tcW w:w="341"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2</w:t>
            </w:r>
          </w:p>
        </w:tc>
        <w:tc>
          <w:tcPr>
            <w:tcW w:w="422"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3</w:t>
            </w:r>
          </w:p>
        </w:tc>
        <w:tc>
          <w:tcPr>
            <w:tcW w:w="422"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4</w:t>
            </w:r>
          </w:p>
        </w:tc>
        <w:tc>
          <w:tcPr>
            <w:tcW w:w="422"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5</w:t>
            </w:r>
          </w:p>
        </w:tc>
        <w:tc>
          <w:tcPr>
            <w:tcW w:w="422"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6</w:t>
            </w:r>
          </w:p>
        </w:tc>
        <w:tc>
          <w:tcPr>
            <w:tcW w:w="422"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7</w:t>
            </w:r>
          </w:p>
        </w:tc>
        <w:tc>
          <w:tcPr>
            <w:tcW w:w="422"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8</w:t>
            </w:r>
          </w:p>
        </w:tc>
        <w:tc>
          <w:tcPr>
            <w:tcW w:w="422"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9</w:t>
            </w:r>
          </w:p>
        </w:tc>
        <w:tc>
          <w:tcPr>
            <w:tcW w:w="422"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10</w:t>
            </w:r>
          </w:p>
        </w:tc>
        <w:tc>
          <w:tcPr>
            <w:tcW w:w="422"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11</w:t>
            </w:r>
          </w:p>
        </w:tc>
        <w:tc>
          <w:tcPr>
            <w:tcW w:w="422"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12</w:t>
            </w:r>
          </w:p>
        </w:tc>
        <w:tc>
          <w:tcPr>
            <w:tcW w:w="422"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13</w:t>
            </w:r>
          </w:p>
        </w:tc>
      </w:tr>
      <w:tr w:rsidR="00853F1D" w:rsidRPr="00853F1D" w:rsidTr="003630C9">
        <w:trPr>
          <w:trHeight w:val="255"/>
          <w:jc w:val="center"/>
        </w:trPr>
        <w:tc>
          <w:tcPr>
            <w:tcW w:w="1298" w:type="dxa"/>
            <w:tcBorders>
              <w:top w:val="nil"/>
              <w:left w:val="nil"/>
              <w:bottom w:val="single" w:sz="4" w:space="0" w:color="auto"/>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Component</w:t>
            </w:r>
          </w:p>
        </w:tc>
        <w:tc>
          <w:tcPr>
            <w:tcW w:w="1298" w:type="dxa"/>
            <w:tcBorders>
              <w:top w:val="nil"/>
              <w:left w:val="nil"/>
              <w:bottom w:val="single" w:sz="4" w:space="0" w:color="auto"/>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Number</w:t>
            </w:r>
          </w:p>
        </w:tc>
        <w:tc>
          <w:tcPr>
            <w:tcW w:w="5324" w:type="dxa"/>
            <w:gridSpan w:val="13"/>
            <w:tcBorders>
              <w:top w:val="single" w:sz="4" w:space="0" w:color="auto"/>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proofErr w:type="spellStart"/>
            <w:r w:rsidRPr="00853F1D">
              <w:rPr>
                <w:rFonts w:ascii="Calibri" w:eastAsia="Times New Roman" w:hAnsi="Calibri" w:cs="Times New Roman"/>
                <w:b/>
                <w:bCs/>
                <w:color w:val="000000"/>
                <w:sz w:val="20"/>
                <w:szCs w:val="20"/>
              </w:rPr>
              <w:t>Xss</w:t>
            </w:r>
            <w:proofErr w:type="spellEnd"/>
            <w:r w:rsidRPr="00853F1D">
              <w:rPr>
                <w:rFonts w:ascii="Calibri" w:eastAsia="Times New Roman" w:hAnsi="Calibri" w:cs="Times New Roman"/>
                <w:b/>
                <w:bCs/>
                <w:color w:val="000000"/>
                <w:sz w:val="20"/>
                <w:szCs w:val="20"/>
              </w:rPr>
              <w:t xml:space="preserve"> Number</w:t>
            </w:r>
          </w:p>
        </w:tc>
      </w:tr>
      <w:tr w:rsidR="00853F1D" w:rsidRPr="00853F1D" w:rsidTr="003630C9">
        <w:trPr>
          <w:trHeight w:val="285"/>
          <w:jc w:val="center"/>
        </w:trPr>
        <w:tc>
          <w:tcPr>
            <w:tcW w:w="129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H</w:t>
            </w:r>
            <w:r w:rsidRPr="00853F1D">
              <w:rPr>
                <w:rFonts w:ascii="Calibri" w:eastAsia="Times New Roman" w:hAnsi="Calibri" w:cs="Times New Roman"/>
                <w:color w:val="000000"/>
                <w:sz w:val="20"/>
                <w:szCs w:val="20"/>
                <w:vertAlign w:val="subscript"/>
              </w:rPr>
              <w:t>2</w:t>
            </w:r>
            <w:r w:rsidRPr="00853F1D">
              <w:rPr>
                <w:rFonts w:ascii="Calibri" w:eastAsia="Times New Roman" w:hAnsi="Calibri" w:cs="Times New Roman"/>
                <w:color w:val="000000"/>
                <w:sz w:val="20"/>
                <w:szCs w:val="20"/>
              </w:rPr>
              <w:t>O</w:t>
            </w:r>
          </w:p>
        </w:tc>
        <w:tc>
          <w:tcPr>
            <w:tcW w:w="1298" w:type="dxa"/>
            <w:tcBorders>
              <w:top w:val="nil"/>
              <w:left w:val="nil"/>
              <w:bottom w:val="nil"/>
              <w:right w:val="single" w:sz="4" w:space="0" w:color="auto"/>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w:t>
            </w:r>
          </w:p>
        </w:tc>
        <w:tc>
          <w:tcPr>
            <w:tcW w:w="34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w:t>
            </w:r>
          </w:p>
        </w:tc>
        <w:tc>
          <w:tcPr>
            <w:tcW w:w="34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8</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14</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20</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26</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32</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38</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44</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50</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56</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62</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68</w:t>
            </w:r>
          </w:p>
        </w:tc>
      </w:tr>
      <w:tr w:rsidR="00853F1D" w:rsidRPr="00853F1D" w:rsidTr="003630C9">
        <w:trPr>
          <w:trHeight w:val="285"/>
          <w:jc w:val="center"/>
        </w:trPr>
        <w:tc>
          <w:tcPr>
            <w:tcW w:w="129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NO</w:t>
            </w:r>
            <w:r w:rsidRPr="00853F1D">
              <w:rPr>
                <w:rFonts w:ascii="Calibri" w:eastAsia="Times New Roman" w:hAnsi="Calibri" w:cs="Times New Roman"/>
                <w:color w:val="000000"/>
                <w:sz w:val="20"/>
                <w:szCs w:val="20"/>
                <w:vertAlign w:val="subscript"/>
              </w:rPr>
              <w:t>2</w:t>
            </w:r>
          </w:p>
        </w:tc>
        <w:tc>
          <w:tcPr>
            <w:tcW w:w="1298" w:type="dxa"/>
            <w:tcBorders>
              <w:top w:val="nil"/>
              <w:left w:val="nil"/>
              <w:bottom w:val="nil"/>
              <w:right w:val="single" w:sz="4" w:space="0" w:color="auto"/>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4</w:t>
            </w:r>
          </w:p>
        </w:tc>
        <w:tc>
          <w:tcPr>
            <w:tcW w:w="34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34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7</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r>
      <w:tr w:rsidR="00853F1D" w:rsidRPr="00853F1D" w:rsidTr="003630C9">
        <w:trPr>
          <w:trHeight w:val="285"/>
          <w:jc w:val="center"/>
        </w:trPr>
        <w:tc>
          <w:tcPr>
            <w:tcW w:w="129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HNO</w:t>
            </w:r>
            <w:r w:rsidRPr="00853F1D">
              <w:rPr>
                <w:rFonts w:ascii="Calibri" w:eastAsia="Times New Roman" w:hAnsi="Calibri" w:cs="Times New Roman"/>
                <w:color w:val="000000"/>
                <w:sz w:val="20"/>
                <w:szCs w:val="20"/>
                <w:vertAlign w:val="subscript"/>
              </w:rPr>
              <w:t>3</w:t>
            </w:r>
          </w:p>
        </w:tc>
        <w:tc>
          <w:tcPr>
            <w:tcW w:w="1298" w:type="dxa"/>
            <w:tcBorders>
              <w:top w:val="nil"/>
              <w:left w:val="nil"/>
              <w:bottom w:val="nil"/>
              <w:right w:val="single" w:sz="4" w:space="0" w:color="auto"/>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9</w:t>
            </w:r>
          </w:p>
        </w:tc>
        <w:tc>
          <w:tcPr>
            <w:tcW w:w="34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w:t>
            </w:r>
          </w:p>
        </w:tc>
        <w:tc>
          <w:tcPr>
            <w:tcW w:w="34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9</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15</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21</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27</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33</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39</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45</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51</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57</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63</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69</w:t>
            </w:r>
          </w:p>
        </w:tc>
      </w:tr>
      <w:tr w:rsidR="00853F1D" w:rsidRPr="00853F1D" w:rsidTr="003630C9">
        <w:trPr>
          <w:trHeight w:val="285"/>
          <w:jc w:val="center"/>
        </w:trPr>
        <w:tc>
          <w:tcPr>
            <w:tcW w:w="129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UO</w:t>
            </w:r>
            <w:r w:rsidRPr="00853F1D">
              <w:rPr>
                <w:rFonts w:ascii="Calibri" w:eastAsia="Times New Roman" w:hAnsi="Calibri" w:cs="Times New Roman"/>
                <w:color w:val="000000"/>
                <w:sz w:val="20"/>
                <w:szCs w:val="20"/>
                <w:vertAlign w:val="subscript"/>
              </w:rPr>
              <w:t>2</w:t>
            </w:r>
            <w:r w:rsidRPr="00853F1D">
              <w:rPr>
                <w:rFonts w:ascii="Calibri" w:eastAsia="Times New Roman" w:hAnsi="Calibri" w:cs="Times New Roman"/>
                <w:color w:val="000000"/>
                <w:sz w:val="20"/>
                <w:szCs w:val="20"/>
              </w:rPr>
              <w:t>(NO</w:t>
            </w:r>
            <w:r w:rsidRPr="00853F1D">
              <w:rPr>
                <w:rFonts w:ascii="Calibri" w:eastAsia="Times New Roman" w:hAnsi="Calibri" w:cs="Times New Roman"/>
                <w:color w:val="000000"/>
                <w:sz w:val="20"/>
                <w:szCs w:val="20"/>
                <w:vertAlign w:val="subscript"/>
              </w:rPr>
              <w:t>3</w:t>
            </w:r>
            <w:r w:rsidRPr="00853F1D">
              <w:rPr>
                <w:rFonts w:ascii="Calibri" w:eastAsia="Times New Roman" w:hAnsi="Calibri" w:cs="Times New Roman"/>
                <w:color w:val="000000"/>
                <w:sz w:val="20"/>
                <w:szCs w:val="20"/>
              </w:rPr>
              <w:t>)</w:t>
            </w:r>
            <w:r w:rsidRPr="00853F1D">
              <w:rPr>
                <w:rFonts w:ascii="Calibri" w:eastAsia="Times New Roman" w:hAnsi="Calibri" w:cs="Times New Roman"/>
                <w:color w:val="000000"/>
                <w:sz w:val="20"/>
                <w:szCs w:val="20"/>
                <w:vertAlign w:val="subscript"/>
              </w:rPr>
              <w:t>2</w:t>
            </w:r>
          </w:p>
        </w:tc>
        <w:tc>
          <w:tcPr>
            <w:tcW w:w="1298" w:type="dxa"/>
            <w:tcBorders>
              <w:top w:val="nil"/>
              <w:left w:val="nil"/>
              <w:bottom w:val="nil"/>
              <w:right w:val="single" w:sz="4" w:space="0" w:color="auto"/>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14</w:t>
            </w:r>
          </w:p>
        </w:tc>
        <w:tc>
          <w:tcPr>
            <w:tcW w:w="34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3</w:t>
            </w:r>
          </w:p>
        </w:tc>
        <w:tc>
          <w:tcPr>
            <w:tcW w:w="34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10</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16</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22</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28</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34</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40</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46</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52</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58</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64</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70</w:t>
            </w:r>
          </w:p>
        </w:tc>
      </w:tr>
      <w:tr w:rsidR="00853F1D" w:rsidRPr="00853F1D" w:rsidTr="003630C9">
        <w:trPr>
          <w:trHeight w:val="285"/>
          <w:jc w:val="center"/>
        </w:trPr>
        <w:tc>
          <w:tcPr>
            <w:tcW w:w="129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U</w:t>
            </w:r>
            <w:r w:rsidRPr="00853F1D">
              <w:rPr>
                <w:rFonts w:ascii="Calibri" w:eastAsia="Times New Roman" w:hAnsi="Calibri" w:cs="Times New Roman"/>
                <w:color w:val="000000"/>
                <w:sz w:val="20"/>
                <w:szCs w:val="20"/>
                <w:vertAlign w:val="subscript"/>
              </w:rPr>
              <w:t>3</w:t>
            </w:r>
            <w:r w:rsidRPr="00853F1D">
              <w:rPr>
                <w:rFonts w:ascii="Calibri" w:eastAsia="Times New Roman" w:hAnsi="Calibri" w:cs="Times New Roman"/>
                <w:color w:val="000000"/>
                <w:sz w:val="20"/>
                <w:szCs w:val="20"/>
              </w:rPr>
              <w:t>O</w:t>
            </w:r>
            <w:r w:rsidRPr="00853F1D">
              <w:rPr>
                <w:rFonts w:ascii="Calibri" w:eastAsia="Times New Roman" w:hAnsi="Calibri" w:cs="Times New Roman"/>
                <w:color w:val="000000"/>
                <w:sz w:val="20"/>
                <w:szCs w:val="20"/>
                <w:vertAlign w:val="subscript"/>
              </w:rPr>
              <w:t>8</w:t>
            </w:r>
          </w:p>
        </w:tc>
        <w:tc>
          <w:tcPr>
            <w:tcW w:w="1298" w:type="dxa"/>
            <w:tcBorders>
              <w:top w:val="nil"/>
              <w:left w:val="nil"/>
              <w:bottom w:val="nil"/>
              <w:right w:val="single" w:sz="4" w:space="0" w:color="auto"/>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18</w:t>
            </w:r>
          </w:p>
        </w:tc>
        <w:tc>
          <w:tcPr>
            <w:tcW w:w="34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4</w:t>
            </w:r>
          </w:p>
        </w:tc>
        <w:tc>
          <w:tcPr>
            <w:tcW w:w="34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11</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17</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23</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29</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35</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41</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47</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53</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59</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65</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71</w:t>
            </w:r>
          </w:p>
        </w:tc>
      </w:tr>
      <w:tr w:rsidR="00853F1D" w:rsidRPr="00853F1D" w:rsidTr="003630C9">
        <w:trPr>
          <w:trHeight w:val="255"/>
          <w:jc w:val="center"/>
        </w:trPr>
        <w:tc>
          <w:tcPr>
            <w:tcW w:w="129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Insoluble</w:t>
            </w:r>
          </w:p>
        </w:tc>
        <w:tc>
          <w:tcPr>
            <w:tcW w:w="1298" w:type="dxa"/>
            <w:tcBorders>
              <w:top w:val="nil"/>
              <w:left w:val="nil"/>
              <w:bottom w:val="nil"/>
              <w:right w:val="single" w:sz="4" w:space="0" w:color="auto"/>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20</w:t>
            </w:r>
          </w:p>
        </w:tc>
        <w:tc>
          <w:tcPr>
            <w:tcW w:w="34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5</w:t>
            </w:r>
          </w:p>
        </w:tc>
        <w:tc>
          <w:tcPr>
            <w:tcW w:w="34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12</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18</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24</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30</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36</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42</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48</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54</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60</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66</w:t>
            </w:r>
          </w:p>
        </w:tc>
        <w:tc>
          <w:tcPr>
            <w:tcW w:w="422"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72</w:t>
            </w:r>
          </w:p>
        </w:tc>
      </w:tr>
      <w:tr w:rsidR="00853F1D" w:rsidRPr="00853F1D" w:rsidTr="003630C9">
        <w:trPr>
          <w:trHeight w:val="270"/>
          <w:jc w:val="center"/>
        </w:trPr>
        <w:tc>
          <w:tcPr>
            <w:tcW w:w="1298"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Soluble</w:t>
            </w:r>
          </w:p>
        </w:tc>
        <w:tc>
          <w:tcPr>
            <w:tcW w:w="1298" w:type="dxa"/>
            <w:tcBorders>
              <w:top w:val="nil"/>
              <w:left w:val="nil"/>
              <w:bottom w:val="single" w:sz="8" w:space="0" w:color="auto"/>
              <w:right w:val="single" w:sz="4" w:space="0" w:color="auto"/>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21</w:t>
            </w:r>
          </w:p>
        </w:tc>
        <w:tc>
          <w:tcPr>
            <w:tcW w:w="341"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6</w:t>
            </w:r>
          </w:p>
        </w:tc>
        <w:tc>
          <w:tcPr>
            <w:tcW w:w="341"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422"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13</w:t>
            </w:r>
          </w:p>
        </w:tc>
        <w:tc>
          <w:tcPr>
            <w:tcW w:w="422"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19</w:t>
            </w:r>
          </w:p>
        </w:tc>
        <w:tc>
          <w:tcPr>
            <w:tcW w:w="422"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25</w:t>
            </w:r>
          </w:p>
        </w:tc>
        <w:tc>
          <w:tcPr>
            <w:tcW w:w="422"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31</w:t>
            </w:r>
          </w:p>
        </w:tc>
        <w:tc>
          <w:tcPr>
            <w:tcW w:w="422"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37</w:t>
            </w:r>
          </w:p>
        </w:tc>
        <w:tc>
          <w:tcPr>
            <w:tcW w:w="422"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43</w:t>
            </w:r>
          </w:p>
        </w:tc>
        <w:tc>
          <w:tcPr>
            <w:tcW w:w="422"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49</w:t>
            </w:r>
          </w:p>
        </w:tc>
        <w:tc>
          <w:tcPr>
            <w:tcW w:w="422"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55</w:t>
            </w:r>
          </w:p>
        </w:tc>
        <w:tc>
          <w:tcPr>
            <w:tcW w:w="422"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61</w:t>
            </w:r>
          </w:p>
        </w:tc>
        <w:tc>
          <w:tcPr>
            <w:tcW w:w="422"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67</w:t>
            </w:r>
          </w:p>
        </w:tc>
        <w:tc>
          <w:tcPr>
            <w:tcW w:w="422"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73</w:t>
            </w:r>
          </w:p>
        </w:tc>
      </w:tr>
    </w:tbl>
    <w:p w:rsidR="00AE3D0F" w:rsidRDefault="00AE3D0F">
      <w:r>
        <w:br w:type="page"/>
      </w:r>
    </w:p>
    <w:tbl>
      <w:tblPr>
        <w:tblW w:w="5904" w:type="dxa"/>
        <w:jc w:val="center"/>
        <w:tblLook w:val="04A0" w:firstRow="1" w:lastRow="0" w:firstColumn="1" w:lastColumn="0" w:noHBand="0" w:noVBand="1"/>
      </w:tblPr>
      <w:tblGrid>
        <w:gridCol w:w="1243"/>
        <w:gridCol w:w="1242"/>
        <w:gridCol w:w="429"/>
        <w:gridCol w:w="429"/>
        <w:gridCol w:w="429"/>
        <w:gridCol w:w="533"/>
        <w:gridCol w:w="533"/>
        <w:gridCol w:w="533"/>
        <w:gridCol w:w="533"/>
      </w:tblGrid>
      <w:tr w:rsidR="00853F1D" w:rsidRPr="00853F1D" w:rsidTr="00853F1D">
        <w:trPr>
          <w:trHeight w:val="315"/>
          <w:jc w:val="center"/>
        </w:trPr>
        <w:tc>
          <w:tcPr>
            <w:tcW w:w="5904" w:type="dxa"/>
            <w:gridSpan w:val="9"/>
            <w:tcBorders>
              <w:top w:val="nil"/>
              <w:left w:val="nil"/>
              <w:bottom w:val="single" w:sz="8" w:space="0" w:color="auto"/>
              <w:right w:val="nil"/>
            </w:tcBorders>
            <w:shd w:val="clear" w:color="auto" w:fill="auto"/>
            <w:noWrap/>
            <w:vAlign w:val="center"/>
            <w:hideMark/>
          </w:tcPr>
          <w:p w:rsidR="00853F1D" w:rsidRPr="00853F1D" w:rsidRDefault="00853F1D" w:rsidP="00F32FD3">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lastRenderedPageBreak/>
              <w:t>Table 3.3. State Variable Numbers for Module 2</w:t>
            </w:r>
            <w:r w:rsidR="00F32FD3">
              <w:rPr>
                <w:rFonts w:ascii="Calibri" w:eastAsia="Times New Roman" w:hAnsi="Calibri" w:cs="Times New Roman"/>
                <w:b/>
                <w:bCs/>
                <w:color w:val="000000"/>
                <w:sz w:val="20"/>
                <w:szCs w:val="20"/>
              </w:rPr>
              <w:t xml:space="preserve"> </w:t>
            </w:r>
            <w:r w:rsidR="00F32FD3" w:rsidRPr="00F32FD3">
              <w:rPr>
                <w:rFonts w:ascii="Calibri" w:eastAsia="Times New Roman" w:hAnsi="Calibri" w:cs="Times New Roman"/>
                <w:b/>
                <w:bCs/>
                <w:color w:val="000000"/>
                <w:sz w:val="20"/>
                <w:szCs w:val="20"/>
              </w:rPr>
              <w:t>[</w:t>
            </w:r>
            <w:proofErr w:type="spellStart"/>
            <w:r w:rsidR="00F32FD3" w:rsidRPr="00F32FD3">
              <w:rPr>
                <w:rFonts w:ascii="Calibri" w:eastAsia="Times New Roman" w:hAnsi="Calibri" w:cs="Times New Roman"/>
                <w:b/>
                <w:bCs/>
                <w:color w:val="000000"/>
                <w:sz w:val="20"/>
                <w:szCs w:val="20"/>
              </w:rPr>
              <w:t>Xss</w:t>
            </w:r>
            <w:proofErr w:type="spellEnd"/>
            <w:r w:rsidR="00F32FD3" w:rsidRPr="00F32FD3">
              <w:rPr>
                <w:rFonts w:ascii="Calibri" w:eastAsia="Times New Roman" w:hAnsi="Calibri" w:cs="Times New Roman"/>
                <w:b/>
                <w:bCs/>
                <w:color w:val="000000"/>
                <w:sz w:val="20"/>
                <w:szCs w:val="20"/>
              </w:rPr>
              <w:t>(</w:t>
            </w:r>
            <w:r w:rsidR="00F32FD3">
              <w:rPr>
                <w:rFonts w:ascii="Calibri" w:eastAsia="Times New Roman" w:hAnsi="Calibri" w:cs="Times New Roman"/>
                <w:b/>
                <w:bCs/>
                <w:color w:val="000000"/>
                <w:sz w:val="20"/>
                <w:szCs w:val="20"/>
              </w:rPr>
              <w:t>74–120</w:t>
            </w:r>
            <w:r w:rsidR="00F32FD3" w:rsidRPr="00F32FD3">
              <w:rPr>
                <w:rFonts w:ascii="Calibri" w:eastAsia="Times New Roman" w:hAnsi="Calibri" w:cs="Times New Roman"/>
                <w:b/>
                <w:bCs/>
                <w:color w:val="000000"/>
                <w:sz w:val="20"/>
                <w:szCs w:val="20"/>
              </w:rPr>
              <w:t>)]</w:t>
            </w:r>
          </w:p>
        </w:tc>
      </w:tr>
      <w:tr w:rsidR="00853F1D" w:rsidRPr="00853F1D" w:rsidTr="00853F1D">
        <w:trPr>
          <w:trHeight w:val="300"/>
          <w:jc w:val="center"/>
        </w:trPr>
        <w:tc>
          <w:tcPr>
            <w:tcW w:w="124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p>
        </w:tc>
        <w:tc>
          <w:tcPr>
            <w:tcW w:w="1242" w:type="dxa"/>
            <w:tcBorders>
              <w:top w:val="nil"/>
              <w:left w:val="nil"/>
              <w:bottom w:val="nil"/>
              <w:right w:val="single" w:sz="4" w:space="0" w:color="auto"/>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 </w:t>
            </w:r>
          </w:p>
        </w:tc>
        <w:tc>
          <w:tcPr>
            <w:tcW w:w="3419" w:type="dxa"/>
            <w:gridSpan w:val="7"/>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Stream Number</w:t>
            </w:r>
          </w:p>
        </w:tc>
      </w:tr>
      <w:tr w:rsidR="00853F1D" w:rsidRPr="00853F1D" w:rsidTr="00853F1D">
        <w:trPr>
          <w:trHeight w:val="300"/>
          <w:jc w:val="center"/>
        </w:trPr>
        <w:tc>
          <w:tcPr>
            <w:tcW w:w="1243"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Chemical</w:t>
            </w:r>
          </w:p>
        </w:tc>
        <w:tc>
          <w:tcPr>
            <w:tcW w:w="1242"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Component</w:t>
            </w:r>
          </w:p>
        </w:tc>
        <w:tc>
          <w:tcPr>
            <w:tcW w:w="429"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14</w:t>
            </w:r>
          </w:p>
        </w:tc>
        <w:tc>
          <w:tcPr>
            <w:tcW w:w="429"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15</w:t>
            </w:r>
          </w:p>
        </w:tc>
        <w:tc>
          <w:tcPr>
            <w:tcW w:w="429"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16</w:t>
            </w:r>
          </w:p>
        </w:tc>
        <w:tc>
          <w:tcPr>
            <w:tcW w:w="533"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17</w:t>
            </w:r>
          </w:p>
        </w:tc>
        <w:tc>
          <w:tcPr>
            <w:tcW w:w="533"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18</w:t>
            </w:r>
          </w:p>
        </w:tc>
        <w:tc>
          <w:tcPr>
            <w:tcW w:w="533"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19</w:t>
            </w:r>
          </w:p>
        </w:tc>
        <w:tc>
          <w:tcPr>
            <w:tcW w:w="533"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20</w:t>
            </w:r>
          </w:p>
        </w:tc>
      </w:tr>
      <w:tr w:rsidR="00853F1D" w:rsidRPr="00853F1D" w:rsidTr="00853F1D">
        <w:trPr>
          <w:trHeight w:val="255"/>
          <w:jc w:val="center"/>
        </w:trPr>
        <w:tc>
          <w:tcPr>
            <w:tcW w:w="1243" w:type="dxa"/>
            <w:tcBorders>
              <w:top w:val="nil"/>
              <w:left w:val="nil"/>
              <w:bottom w:val="single" w:sz="4" w:space="0" w:color="auto"/>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Component</w:t>
            </w:r>
          </w:p>
        </w:tc>
        <w:tc>
          <w:tcPr>
            <w:tcW w:w="1242" w:type="dxa"/>
            <w:tcBorders>
              <w:top w:val="nil"/>
              <w:left w:val="nil"/>
              <w:bottom w:val="single" w:sz="4" w:space="0" w:color="auto"/>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Number</w:t>
            </w:r>
          </w:p>
        </w:tc>
        <w:tc>
          <w:tcPr>
            <w:tcW w:w="3419" w:type="dxa"/>
            <w:gridSpan w:val="7"/>
            <w:tcBorders>
              <w:top w:val="single" w:sz="4" w:space="0" w:color="auto"/>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proofErr w:type="spellStart"/>
            <w:r w:rsidRPr="00853F1D">
              <w:rPr>
                <w:rFonts w:ascii="Calibri" w:eastAsia="Times New Roman" w:hAnsi="Calibri" w:cs="Times New Roman"/>
                <w:b/>
                <w:bCs/>
                <w:color w:val="000000"/>
                <w:sz w:val="20"/>
                <w:szCs w:val="20"/>
              </w:rPr>
              <w:t>Xss</w:t>
            </w:r>
            <w:proofErr w:type="spellEnd"/>
            <w:r w:rsidRPr="00853F1D">
              <w:rPr>
                <w:rFonts w:ascii="Calibri" w:eastAsia="Times New Roman" w:hAnsi="Calibri" w:cs="Times New Roman"/>
                <w:b/>
                <w:bCs/>
                <w:color w:val="000000"/>
                <w:sz w:val="20"/>
                <w:szCs w:val="20"/>
              </w:rPr>
              <w:t xml:space="preserve"> Number</w:t>
            </w:r>
          </w:p>
        </w:tc>
      </w:tr>
      <w:tr w:rsidR="00853F1D" w:rsidRPr="00853F1D" w:rsidTr="00853F1D">
        <w:trPr>
          <w:trHeight w:val="300"/>
          <w:jc w:val="center"/>
        </w:trPr>
        <w:tc>
          <w:tcPr>
            <w:tcW w:w="124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H</w:t>
            </w:r>
            <w:r w:rsidRPr="00853F1D">
              <w:rPr>
                <w:rFonts w:ascii="Calibri" w:eastAsia="Times New Roman" w:hAnsi="Calibri" w:cs="Times New Roman"/>
                <w:color w:val="000000"/>
                <w:sz w:val="20"/>
                <w:szCs w:val="20"/>
                <w:vertAlign w:val="subscript"/>
              </w:rPr>
              <w:t>2</w:t>
            </w:r>
            <w:r w:rsidRPr="00853F1D">
              <w:rPr>
                <w:rFonts w:ascii="Calibri" w:eastAsia="Times New Roman" w:hAnsi="Calibri" w:cs="Times New Roman"/>
                <w:color w:val="000000"/>
                <w:sz w:val="20"/>
                <w:szCs w:val="20"/>
              </w:rPr>
              <w:t>O</w:t>
            </w:r>
          </w:p>
        </w:tc>
        <w:tc>
          <w:tcPr>
            <w:tcW w:w="1242" w:type="dxa"/>
            <w:tcBorders>
              <w:top w:val="nil"/>
              <w:left w:val="nil"/>
              <w:bottom w:val="nil"/>
              <w:right w:val="single" w:sz="4" w:space="0" w:color="auto"/>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w:t>
            </w:r>
          </w:p>
        </w:tc>
        <w:tc>
          <w:tcPr>
            <w:tcW w:w="429"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74</w:t>
            </w:r>
          </w:p>
        </w:tc>
        <w:tc>
          <w:tcPr>
            <w:tcW w:w="429"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81</w:t>
            </w:r>
          </w:p>
        </w:tc>
        <w:tc>
          <w:tcPr>
            <w:tcW w:w="429"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88</w:t>
            </w:r>
          </w:p>
        </w:tc>
        <w:tc>
          <w:tcPr>
            <w:tcW w:w="53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95</w:t>
            </w:r>
          </w:p>
        </w:tc>
        <w:tc>
          <w:tcPr>
            <w:tcW w:w="53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102</w:t>
            </w:r>
          </w:p>
        </w:tc>
        <w:tc>
          <w:tcPr>
            <w:tcW w:w="53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109</w:t>
            </w:r>
          </w:p>
        </w:tc>
        <w:tc>
          <w:tcPr>
            <w:tcW w:w="53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114</w:t>
            </w:r>
          </w:p>
        </w:tc>
      </w:tr>
      <w:tr w:rsidR="00853F1D" w:rsidRPr="00853F1D" w:rsidTr="00853F1D">
        <w:trPr>
          <w:trHeight w:val="300"/>
          <w:jc w:val="center"/>
        </w:trPr>
        <w:tc>
          <w:tcPr>
            <w:tcW w:w="124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HNO</w:t>
            </w:r>
            <w:r w:rsidRPr="00853F1D">
              <w:rPr>
                <w:rFonts w:ascii="Calibri" w:eastAsia="Times New Roman" w:hAnsi="Calibri" w:cs="Times New Roman"/>
                <w:color w:val="000000"/>
                <w:sz w:val="20"/>
                <w:szCs w:val="20"/>
                <w:vertAlign w:val="subscript"/>
              </w:rPr>
              <w:t>3</w:t>
            </w:r>
          </w:p>
        </w:tc>
        <w:tc>
          <w:tcPr>
            <w:tcW w:w="1242" w:type="dxa"/>
            <w:tcBorders>
              <w:top w:val="nil"/>
              <w:left w:val="nil"/>
              <w:bottom w:val="nil"/>
              <w:right w:val="single" w:sz="4" w:space="0" w:color="auto"/>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9</w:t>
            </w:r>
          </w:p>
        </w:tc>
        <w:tc>
          <w:tcPr>
            <w:tcW w:w="429"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75</w:t>
            </w:r>
          </w:p>
        </w:tc>
        <w:tc>
          <w:tcPr>
            <w:tcW w:w="429"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82</w:t>
            </w:r>
          </w:p>
        </w:tc>
        <w:tc>
          <w:tcPr>
            <w:tcW w:w="429"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89</w:t>
            </w:r>
          </w:p>
        </w:tc>
        <w:tc>
          <w:tcPr>
            <w:tcW w:w="53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96</w:t>
            </w:r>
          </w:p>
        </w:tc>
        <w:tc>
          <w:tcPr>
            <w:tcW w:w="53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103</w:t>
            </w:r>
          </w:p>
        </w:tc>
        <w:tc>
          <w:tcPr>
            <w:tcW w:w="53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110</w:t>
            </w:r>
          </w:p>
        </w:tc>
        <w:tc>
          <w:tcPr>
            <w:tcW w:w="53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115</w:t>
            </w:r>
          </w:p>
        </w:tc>
      </w:tr>
      <w:tr w:rsidR="00853F1D" w:rsidRPr="00853F1D" w:rsidTr="00853F1D">
        <w:trPr>
          <w:trHeight w:val="300"/>
          <w:jc w:val="center"/>
        </w:trPr>
        <w:tc>
          <w:tcPr>
            <w:tcW w:w="124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TBP</w:t>
            </w:r>
          </w:p>
        </w:tc>
        <w:tc>
          <w:tcPr>
            <w:tcW w:w="1242" w:type="dxa"/>
            <w:tcBorders>
              <w:top w:val="nil"/>
              <w:left w:val="nil"/>
              <w:bottom w:val="nil"/>
              <w:right w:val="single" w:sz="4" w:space="0" w:color="auto"/>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11</w:t>
            </w:r>
          </w:p>
        </w:tc>
        <w:tc>
          <w:tcPr>
            <w:tcW w:w="429"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76</w:t>
            </w:r>
          </w:p>
        </w:tc>
        <w:tc>
          <w:tcPr>
            <w:tcW w:w="429"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83</w:t>
            </w:r>
          </w:p>
        </w:tc>
        <w:tc>
          <w:tcPr>
            <w:tcW w:w="429"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90</w:t>
            </w:r>
          </w:p>
        </w:tc>
        <w:tc>
          <w:tcPr>
            <w:tcW w:w="53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97</w:t>
            </w:r>
          </w:p>
        </w:tc>
        <w:tc>
          <w:tcPr>
            <w:tcW w:w="53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104</w:t>
            </w:r>
          </w:p>
        </w:tc>
        <w:tc>
          <w:tcPr>
            <w:tcW w:w="53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3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116</w:t>
            </w:r>
          </w:p>
        </w:tc>
      </w:tr>
      <w:tr w:rsidR="00853F1D" w:rsidRPr="00853F1D" w:rsidTr="00853F1D">
        <w:trPr>
          <w:trHeight w:val="300"/>
          <w:jc w:val="center"/>
        </w:trPr>
        <w:tc>
          <w:tcPr>
            <w:tcW w:w="124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UO</w:t>
            </w:r>
            <w:r w:rsidRPr="00853F1D">
              <w:rPr>
                <w:rFonts w:ascii="Calibri" w:eastAsia="Times New Roman" w:hAnsi="Calibri" w:cs="Times New Roman"/>
                <w:color w:val="000000"/>
                <w:sz w:val="20"/>
                <w:szCs w:val="20"/>
                <w:vertAlign w:val="subscript"/>
              </w:rPr>
              <w:t>2</w:t>
            </w:r>
            <w:r w:rsidRPr="00853F1D">
              <w:rPr>
                <w:rFonts w:ascii="Calibri" w:eastAsia="Times New Roman" w:hAnsi="Calibri" w:cs="Times New Roman"/>
                <w:color w:val="000000"/>
                <w:sz w:val="20"/>
                <w:szCs w:val="20"/>
              </w:rPr>
              <w:t>(NO</w:t>
            </w:r>
            <w:r w:rsidRPr="00853F1D">
              <w:rPr>
                <w:rFonts w:ascii="Calibri" w:eastAsia="Times New Roman" w:hAnsi="Calibri" w:cs="Times New Roman"/>
                <w:color w:val="000000"/>
                <w:sz w:val="20"/>
                <w:szCs w:val="20"/>
                <w:vertAlign w:val="subscript"/>
              </w:rPr>
              <w:t>3</w:t>
            </w:r>
            <w:r w:rsidRPr="00853F1D">
              <w:rPr>
                <w:rFonts w:ascii="Calibri" w:eastAsia="Times New Roman" w:hAnsi="Calibri" w:cs="Times New Roman"/>
                <w:color w:val="000000"/>
                <w:sz w:val="20"/>
                <w:szCs w:val="20"/>
              </w:rPr>
              <w:t>)</w:t>
            </w:r>
            <w:r w:rsidRPr="00853F1D">
              <w:rPr>
                <w:rFonts w:ascii="Calibri" w:eastAsia="Times New Roman" w:hAnsi="Calibri" w:cs="Times New Roman"/>
                <w:color w:val="000000"/>
                <w:sz w:val="20"/>
                <w:szCs w:val="20"/>
                <w:vertAlign w:val="subscript"/>
              </w:rPr>
              <w:t>2</w:t>
            </w:r>
          </w:p>
        </w:tc>
        <w:tc>
          <w:tcPr>
            <w:tcW w:w="1242" w:type="dxa"/>
            <w:tcBorders>
              <w:top w:val="nil"/>
              <w:left w:val="nil"/>
              <w:bottom w:val="nil"/>
              <w:right w:val="single" w:sz="4" w:space="0" w:color="auto"/>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14</w:t>
            </w:r>
          </w:p>
        </w:tc>
        <w:tc>
          <w:tcPr>
            <w:tcW w:w="429"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77</w:t>
            </w:r>
          </w:p>
        </w:tc>
        <w:tc>
          <w:tcPr>
            <w:tcW w:w="429"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84</w:t>
            </w:r>
          </w:p>
        </w:tc>
        <w:tc>
          <w:tcPr>
            <w:tcW w:w="429"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91</w:t>
            </w:r>
          </w:p>
        </w:tc>
        <w:tc>
          <w:tcPr>
            <w:tcW w:w="53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98</w:t>
            </w:r>
          </w:p>
        </w:tc>
        <w:tc>
          <w:tcPr>
            <w:tcW w:w="53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105</w:t>
            </w:r>
          </w:p>
        </w:tc>
        <w:tc>
          <w:tcPr>
            <w:tcW w:w="53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111</w:t>
            </w:r>
          </w:p>
        </w:tc>
        <w:tc>
          <w:tcPr>
            <w:tcW w:w="53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117</w:t>
            </w:r>
          </w:p>
        </w:tc>
      </w:tr>
      <w:tr w:rsidR="00853F1D" w:rsidRPr="00853F1D" w:rsidTr="00853F1D">
        <w:trPr>
          <w:trHeight w:val="300"/>
          <w:jc w:val="center"/>
        </w:trPr>
        <w:tc>
          <w:tcPr>
            <w:tcW w:w="124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U</w:t>
            </w:r>
            <w:r w:rsidRPr="00853F1D">
              <w:rPr>
                <w:rFonts w:ascii="Calibri" w:eastAsia="Times New Roman" w:hAnsi="Calibri" w:cs="Times New Roman"/>
                <w:color w:val="000000"/>
                <w:sz w:val="20"/>
                <w:szCs w:val="20"/>
                <w:vertAlign w:val="subscript"/>
              </w:rPr>
              <w:t>3</w:t>
            </w:r>
            <w:r w:rsidRPr="00853F1D">
              <w:rPr>
                <w:rFonts w:ascii="Calibri" w:eastAsia="Times New Roman" w:hAnsi="Calibri" w:cs="Times New Roman"/>
                <w:color w:val="000000"/>
                <w:sz w:val="20"/>
                <w:szCs w:val="20"/>
              </w:rPr>
              <w:t>O</w:t>
            </w:r>
            <w:r w:rsidRPr="00853F1D">
              <w:rPr>
                <w:rFonts w:ascii="Calibri" w:eastAsia="Times New Roman" w:hAnsi="Calibri" w:cs="Times New Roman"/>
                <w:color w:val="000000"/>
                <w:sz w:val="20"/>
                <w:szCs w:val="20"/>
                <w:vertAlign w:val="subscript"/>
              </w:rPr>
              <w:t>8</w:t>
            </w:r>
          </w:p>
        </w:tc>
        <w:tc>
          <w:tcPr>
            <w:tcW w:w="1242" w:type="dxa"/>
            <w:tcBorders>
              <w:top w:val="nil"/>
              <w:left w:val="nil"/>
              <w:bottom w:val="nil"/>
              <w:right w:val="single" w:sz="4" w:space="0" w:color="auto"/>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18</w:t>
            </w:r>
          </w:p>
        </w:tc>
        <w:tc>
          <w:tcPr>
            <w:tcW w:w="429"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78</w:t>
            </w:r>
          </w:p>
        </w:tc>
        <w:tc>
          <w:tcPr>
            <w:tcW w:w="429"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85</w:t>
            </w:r>
          </w:p>
        </w:tc>
        <w:tc>
          <w:tcPr>
            <w:tcW w:w="429"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92</w:t>
            </w:r>
          </w:p>
        </w:tc>
        <w:tc>
          <w:tcPr>
            <w:tcW w:w="53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99</w:t>
            </w:r>
          </w:p>
        </w:tc>
        <w:tc>
          <w:tcPr>
            <w:tcW w:w="53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106</w:t>
            </w:r>
          </w:p>
        </w:tc>
        <w:tc>
          <w:tcPr>
            <w:tcW w:w="53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112</w:t>
            </w:r>
          </w:p>
        </w:tc>
        <w:tc>
          <w:tcPr>
            <w:tcW w:w="53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118</w:t>
            </w:r>
          </w:p>
        </w:tc>
      </w:tr>
      <w:tr w:rsidR="00853F1D" w:rsidRPr="00853F1D" w:rsidTr="00853F1D">
        <w:trPr>
          <w:trHeight w:val="300"/>
          <w:jc w:val="center"/>
        </w:trPr>
        <w:tc>
          <w:tcPr>
            <w:tcW w:w="124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Insoluble</w:t>
            </w:r>
          </w:p>
        </w:tc>
        <w:tc>
          <w:tcPr>
            <w:tcW w:w="1242" w:type="dxa"/>
            <w:tcBorders>
              <w:top w:val="nil"/>
              <w:left w:val="nil"/>
              <w:bottom w:val="nil"/>
              <w:right w:val="single" w:sz="4" w:space="0" w:color="auto"/>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20</w:t>
            </w:r>
          </w:p>
        </w:tc>
        <w:tc>
          <w:tcPr>
            <w:tcW w:w="429"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79</w:t>
            </w:r>
          </w:p>
        </w:tc>
        <w:tc>
          <w:tcPr>
            <w:tcW w:w="429"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86</w:t>
            </w:r>
          </w:p>
        </w:tc>
        <w:tc>
          <w:tcPr>
            <w:tcW w:w="429"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93</w:t>
            </w:r>
          </w:p>
        </w:tc>
        <w:tc>
          <w:tcPr>
            <w:tcW w:w="53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100</w:t>
            </w:r>
          </w:p>
        </w:tc>
        <w:tc>
          <w:tcPr>
            <w:tcW w:w="53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107</w:t>
            </w:r>
          </w:p>
        </w:tc>
        <w:tc>
          <w:tcPr>
            <w:tcW w:w="53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3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119</w:t>
            </w:r>
          </w:p>
        </w:tc>
      </w:tr>
      <w:tr w:rsidR="00853F1D" w:rsidRPr="00853F1D" w:rsidTr="00853F1D">
        <w:trPr>
          <w:trHeight w:val="315"/>
          <w:jc w:val="center"/>
        </w:trPr>
        <w:tc>
          <w:tcPr>
            <w:tcW w:w="1243"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Soluble</w:t>
            </w:r>
          </w:p>
        </w:tc>
        <w:tc>
          <w:tcPr>
            <w:tcW w:w="1242" w:type="dxa"/>
            <w:tcBorders>
              <w:top w:val="nil"/>
              <w:left w:val="nil"/>
              <w:bottom w:val="single" w:sz="8" w:space="0" w:color="auto"/>
              <w:right w:val="single" w:sz="4" w:space="0" w:color="auto"/>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21</w:t>
            </w:r>
          </w:p>
        </w:tc>
        <w:tc>
          <w:tcPr>
            <w:tcW w:w="429"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80</w:t>
            </w:r>
          </w:p>
        </w:tc>
        <w:tc>
          <w:tcPr>
            <w:tcW w:w="429"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87</w:t>
            </w:r>
          </w:p>
        </w:tc>
        <w:tc>
          <w:tcPr>
            <w:tcW w:w="429"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94</w:t>
            </w:r>
          </w:p>
        </w:tc>
        <w:tc>
          <w:tcPr>
            <w:tcW w:w="533"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101</w:t>
            </w:r>
          </w:p>
        </w:tc>
        <w:tc>
          <w:tcPr>
            <w:tcW w:w="533"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108</w:t>
            </w:r>
          </w:p>
        </w:tc>
        <w:tc>
          <w:tcPr>
            <w:tcW w:w="533"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113</w:t>
            </w:r>
          </w:p>
        </w:tc>
        <w:tc>
          <w:tcPr>
            <w:tcW w:w="533"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120</w:t>
            </w:r>
          </w:p>
        </w:tc>
      </w:tr>
    </w:tbl>
    <w:p w:rsidR="00DC329E" w:rsidRDefault="00DC329E"/>
    <w:p w:rsidR="003630C9" w:rsidRDefault="003630C9"/>
    <w:p w:rsidR="00AC7D91" w:rsidRDefault="00AC7D91"/>
    <w:p w:rsidR="00AC7D91" w:rsidRDefault="00AC7D91"/>
    <w:p w:rsidR="00AE3D0F" w:rsidRDefault="00AE3D0F"/>
    <w:tbl>
      <w:tblPr>
        <w:tblW w:w="8640" w:type="dxa"/>
        <w:jc w:val="center"/>
        <w:tblLook w:val="04A0" w:firstRow="1" w:lastRow="0" w:firstColumn="1" w:lastColumn="0" w:noHBand="0" w:noVBand="1"/>
      </w:tblPr>
      <w:tblGrid>
        <w:gridCol w:w="1663"/>
        <w:gridCol w:w="1224"/>
        <w:gridCol w:w="523"/>
        <w:gridCol w:w="523"/>
        <w:gridCol w:w="523"/>
        <w:gridCol w:w="523"/>
        <w:gridCol w:w="523"/>
        <w:gridCol w:w="523"/>
        <w:gridCol w:w="523"/>
        <w:gridCol w:w="523"/>
        <w:gridCol w:w="523"/>
        <w:gridCol w:w="523"/>
        <w:gridCol w:w="523"/>
      </w:tblGrid>
      <w:tr w:rsidR="00853F1D" w:rsidRPr="00853F1D" w:rsidTr="00853F1D">
        <w:trPr>
          <w:trHeight w:val="315"/>
          <w:jc w:val="center"/>
        </w:trPr>
        <w:tc>
          <w:tcPr>
            <w:tcW w:w="8640" w:type="dxa"/>
            <w:gridSpan w:val="13"/>
            <w:tcBorders>
              <w:top w:val="nil"/>
              <w:left w:val="nil"/>
              <w:bottom w:val="single" w:sz="8" w:space="0" w:color="auto"/>
              <w:right w:val="nil"/>
            </w:tcBorders>
            <w:shd w:val="clear" w:color="auto" w:fill="auto"/>
            <w:noWrap/>
            <w:vAlign w:val="center"/>
            <w:hideMark/>
          </w:tcPr>
          <w:p w:rsidR="00853F1D" w:rsidRPr="00853F1D" w:rsidRDefault="00853F1D" w:rsidP="00F32FD3">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Table 3.4. State Variable Numbers for Module 3</w:t>
            </w:r>
            <w:r w:rsidR="00F32FD3">
              <w:rPr>
                <w:rFonts w:ascii="Calibri" w:eastAsia="Times New Roman" w:hAnsi="Calibri" w:cs="Times New Roman"/>
                <w:b/>
                <w:bCs/>
                <w:color w:val="000000"/>
                <w:sz w:val="20"/>
                <w:szCs w:val="20"/>
              </w:rPr>
              <w:t xml:space="preserve"> </w:t>
            </w:r>
            <w:r w:rsidR="00F32FD3" w:rsidRPr="00F32FD3">
              <w:rPr>
                <w:rFonts w:ascii="Calibri" w:eastAsia="Times New Roman" w:hAnsi="Calibri" w:cs="Times New Roman"/>
                <w:b/>
                <w:bCs/>
                <w:color w:val="000000"/>
                <w:sz w:val="20"/>
                <w:szCs w:val="20"/>
              </w:rPr>
              <w:t>[</w:t>
            </w:r>
            <w:proofErr w:type="spellStart"/>
            <w:r w:rsidR="00F32FD3" w:rsidRPr="00F32FD3">
              <w:rPr>
                <w:rFonts w:ascii="Calibri" w:eastAsia="Times New Roman" w:hAnsi="Calibri" w:cs="Times New Roman"/>
                <w:b/>
                <w:bCs/>
                <w:color w:val="000000"/>
                <w:sz w:val="20"/>
                <w:szCs w:val="20"/>
              </w:rPr>
              <w:t>Xss</w:t>
            </w:r>
            <w:proofErr w:type="spellEnd"/>
            <w:r w:rsidR="00F32FD3" w:rsidRPr="00F32FD3">
              <w:rPr>
                <w:rFonts w:ascii="Calibri" w:eastAsia="Times New Roman" w:hAnsi="Calibri" w:cs="Times New Roman"/>
                <w:b/>
                <w:bCs/>
                <w:color w:val="000000"/>
                <w:sz w:val="20"/>
                <w:szCs w:val="20"/>
              </w:rPr>
              <w:t>(1</w:t>
            </w:r>
            <w:r w:rsidR="00F32FD3">
              <w:rPr>
                <w:rFonts w:ascii="Calibri" w:eastAsia="Times New Roman" w:hAnsi="Calibri" w:cs="Times New Roman"/>
                <w:b/>
                <w:bCs/>
                <w:color w:val="000000"/>
                <w:sz w:val="20"/>
                <w:szCs w:val="20"/>
              </w:rPr>
              <w:t>21–172</w:t>
            </w:r>
            <w:r w:rsidR="00F32FD3" w:rsidRPr="00F32FD3">
              <w:rPr>
                <w:rFonts w:ascii="Calibri" w:eastAsia="Times New Roman" w:hAnsi="Calibri" w:cs="Times New Roman"/>
                <w:b/>
                <w:bCs/>
                <w:color w:val="000000"/>
                <w:sz w:val="20"/>
                <w:szCs w:val="20"/>
              </w:rPr>
              <w:t>)]</w:t>
            </w:r>
          </w:p>
        </w:tc>
      </w:tr>
      <w:tr w:rsidR="00853F1D" w:rsidRPr="00853F1D" w:rsidTr="00853F1D">
        <w:trPr>
          <w:trHeight w:val="255"/>
          <w:jc w:val="center"/>
        </w:trPr>
        <w:tc>
          <w:tcPr>
            <w:tcW w:w="166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p>
        </w:tc>
        <w:tc>
          <w:tcPr>
            <w:tcW w:w="1224" w:type="dxa"/>
            <w:tcBorders>
              <w:top w:val="nil"/>
              <w:left w:val="nil"/>
              <w:bottom w:val="nil"/>
              <w:right w:val="single" w:sz="4" w:space="0" w:color="auto"/>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 </w:t>
            </w:r>
          </w:p>
        </w:tc>
        <w:tc>
          <w:tcPr>
            <w:tcW w:w="5753" w:type="dxa"/>
            <w:gridSpan w:val="11"/>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Stream Number</w:t>
            </w:r>
          </w:p>
        </w:tc>
      </w:tr>
      <w:tr w:rsidR="00853F1D" w:rsidRPr="00853F1D" w:rsidTr="00853F1D">
        <w:trPr>
          <w:trHeight w:val="255"/>
          <w:jc w:val="center"/>
        </w:trPr>
        <w:tc>
          <w:tcPr>
            <w:tcW w:w="1663"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Chemical</w:t>
            </w:r>
          </w:p>
        </w:tc>
        <w:tc>
          <w:tcPr>
            <w:tcW w:w="1224"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Component</w:t>
            </w:r>
          </w:p>
        </w:tc>
        <w:tc>
          <w:tcPr>
            <w:tcW w:w="523"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21</w:t>
            </w:r>
          </w:p>
        </w:tc>
        <w:tc>
          <w:tcPr>
            <w:tcW w:w="523"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22</w:t>
            </w:r>
          </w:p>
        </w:tc>
        <w:tc>
          <w:tcPr>
            <w:tcW w:w="523"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23</w:t>
            </w:r>
          </w:p>
        </w:tc>
        <w:tc>
          <w:tcPr>
            <w:tcW w:w="523"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24</w:t>
            </w:r>
          </w:p>
        </w:tc>
        <w:tc>
          <w:tcPr>
            <w:tcW w:w="523"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25</w:t>
            </w:r>
          </w:p>
        </w:tc>
        <w:tc>
          <w:tcPr>
            <w:tcW w:w="523"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26</w:t>
            </w:r>
          </w:p>
        </w:tc>
        <w:tc>
          <w:tcPr>
            <w:tcW w:w="523"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27</w:t>
            </w:r>
          </w:p>
        </w:tc>
        <w:tc>
          <w:tcPr>
            <w:tcW w:w="523"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28</w:t>
            </w:r>
          </w:p>
        </w:tc>
        <w:tc>
          <w:tcPr>
            <w:tcW w:w="523"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29</w:t>
            </w:r>
          </w:p>
        </w:tc>
        <w:tc>
          <w:tcPr>
            <w:tcW w:w="523"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30</w:t>
            </w:r>
          </w:p>
        </w:tc>
        <w:tc>
          <w:tcPr>
            <w:tcW w:w="523"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31</w:t>
            </w:r>
          </w:p>
        </w:tc>
      </w:tr>
      <w:tr w:rsidR="00853F1D" w:rsidRPr="00853F1D" w:rsidTr="00853F1D">
        <w:trPr>
          <w:trHeight w:val="255"/>
          <w:jc w:val="center"/>
        </w:trPr>
        <w:tc>
          <w:tcPr>
            <w:tcW w:w="1663" w:type="dxa"/>
            <w:tcBorders>
              <w:top w:val="nil"/>
              <w:left w:val="nil"/>
              <w:bottom w:val="single" w:sz="4" w:space="0" w:color="auto"/>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Component</w:t>
            </w:r>
          </w:p>
        </w:tc>
        <w:tc>
          <w:tcPr>
            <w:tcW w:w="1224" w:type="dxa"/>
            <w:tcBorders>
              <w:top w:val="nil"/>
              <w:left w:val="nil"/>
              <w:bottom w:val="single" w:sz="4" w:space="0" w:color="auto"/>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Number</w:t>
            </w:r>
          </w:p>
        </w:tc>
        <w:tc>
          <w:tcPr>
            <w:tcW w:w="5753" w:type="dxa"/>
            <w:gridSpan w:val="11"/>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proofErr w:type="spellStart"/>
            <w:r w:rsidRPr="00853F1D">
              <w:rPr>
                <w:rFonts w:ascii="Calibri" w:eastAsia="Times New Roman" w:hAnsi="Calibri" w:cs="Times New Roman"/>
                <w:b/>
                <w:bCs/>
                <w:color w:val="000000"/>
                <w:sz w:val="20"/>
                <w:szCs w:val="20"/>
              </w:rPr>
              <w:t>Xss</w:t>
            </w:r>
            <w:proofErr w:type="spellEnd"/>
            <w:r w:rsidRPr="00853F1D">
              <w:rPr>
                <w:rFonts w:ascii="Calibri" w:eastAsia="Times New Roman" w:hAnsi="Calibri" w:cs="Times New Roman"/>
                <w:b/>
                <w:bCs/>
                <w:color w:val="000000"/>
                <w:sz w:val="20"/>
                <w:szCs w:val="20"/>
              </w:rPr>
              <w:t xml:space="preserve"> Number</w:t>
            </w:r>
          </w:p>
        </w:tc>
      </w:tr>
      <w:tr w:rsidR="00853F1D" w:rsidRPr="00853F1D" w:rsidTr="00853F1D">
        <w:trPr>
          <w:trHeight w:val="285"/>
          <w:jc w:val="center"/>
        </w:trPr>
        <w:tc>
          <w:tcPr>
            <w:tcW w:w="1663"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H</w:t>
            </w:r>
            <w:r w:rsidRPr="00853F1D">
              <w:rPr>
                <w:rFonts w:ascii="Calibri" w:eastAsia="Times New Roman" w:hAnsi="Calibri" w:cs="Times New Roman"/>
                <w:sz w:val="20"/>
                <w:szCs w:val="20"/>
                <w:vertAlign w:val="subscript"/>
              </w:rPr>
              <w:t>2</w:t>
            </w:r>
            <w:r w:rsidRPr="00853F1D">
              <w:rPr>
                <w:rFonts w:ascii="Calibri" w:eastAsia="Times New Roman" w:hAnsi="Calibri" w:cs="Times New Roman"/>
                <w:sz w:val="20"/>
                <w:szCs w:val="20"/>
              </w:rPr>
              <w:t>O</w:t>
            </w:r>
          </w:p>
        </w:tc>
        <w:tc>
          <w:tcPr>
            <w:tcW w:w="1224"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1</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121</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126</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131</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134</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141</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152</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161</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164</w:t>
            </w:r>
          </w:p>
        </w:tc>
      </w:tr>
      <w:tr w:rsidR="00853F1D" w:rsidRPr="00853F1D" w:rsidTr="00853F1D">
        <w:trPr>
          <w:trHeight w:val="285"/>
          <w:jc w:val="center"/>
        </w:trPr>
        <w:tc>
          <w:tcPr>
            <w:tcW w:w="1663"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NH</w:t>
            </w:r>
            <w:r w:rsidRPr="00853F1D">
              <w:rPr>
                <w:rFonts w:ascii="Calibri" w:eastAsia="Times New Roman" w:hAnsi="Calibri" w:cs="Times New Roman"/>
                <w:sz w:val="20"/>
                <w:szCs w:val="20"/>
                <w:vertAlign w:val="subscript"/>
              </w:rPr>
              <w:t>3</w:t>
            </w:r>
          </w:p>
        </w:tc>
        <w:tc>
          <w:tcPr>
            <w:tcW w:w="1224"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3</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132</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135</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142</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150</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r>
      <w:tr w:rsidR="00853F1D" w:rsidRPr="00853F1D" w:rsidTr="00853F1D">
        <w:trPr>
          <w:trHeight w:val="285"/>
          <w:jc w:val="center"/>
        </w:trPr>
        <w:tc>
          <w:tcPr>
            <w:tcW w:w="1663"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CO</w:t>
            </w:r>
            <w:r w:rsidRPr="00853F1D">
              <w:rPr>
                <w:rFonts w:ascii="Calibri" w:eastAsia="Times New Roman" w:hAnsi="Calibri" w:cs="Times New Roman"/>
                <w:sz w:val="20"/>
                <w:szCs w:val="20"/>
                <w:vertAlign w:val="subscript"/>
              </w:rPr>
              <w:t>2</w:t>
            </w:r>
          </w:p>
        </w:tc>
        <w:tc>
          <w:tcPr>
            <w:tcW w:w="1224"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8</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133</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136</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143</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151</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r>
      <w:tr w:rsidR="00853F1D" w:rsidRPr="00853F1D" w:rsidTr="00853F1D">
        <w:trPr>
          <w:trHeight w:val="285"/>
          <w:jc w:val="center"/>
        </w:trPr>
        <w:tc>
          <w:tcPr>
            <w:tcW w:w="1663"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HNO</w:t>
            </w:r>
            <w:r w:rsidRPr="00853F1D">
              <w:rPr>
                <w:rFonts w:ascii="Calibri" w:eastAsia="Times New Roman" w:hAnsi="Calibri" w:cs="Times New Roman"/>
                <w:sz w:val="20"/>
                <w:szCs w:val="20"/>
                <w:vertAlign w:val="subscript"/>
              </w:rPr>
              <w:t>3</w:t>
            </w:r>
          </w:p>
        </w:tc>
        <w:tc>
          <w:tcPr>
            <w:tcW w:w="1224"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9</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122</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127</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137</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144</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153</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165</w:t>
            </w:r>
          </w:p>
        </w:tc>
      </w:tr>
      <w:tr w:rsidR="00853F1D" w:rsidRPr="00853F1D" w:rsidTr="00853F1D">
        <w:trPr>
          <w:trHeight w:val="285"/>
          <w:jc w:val="center"/>
        </w:trPr>
        <w:tc>
          <w:tcPr>
            <w:tcW w:w="1663"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CH</w:t>
            </w:r>
            <w:r w:rsidRPr="00853F1D">
              <w:rPr>
                <w:rFonts w:ascii="Calibri" w:eastAsia="Times New Roman" w:hAnsi="Calibri" w:cs="Times New Roman"/>
                <w:sz w:val="20"/>
                <w:szCs w:val="20"/>
                <w:vertAlign w:val="subscript"/>
              </w:rPr>
              <w:t>3</w:t>
            </w:r>
            <w:r w:rsidRPr="00853F1D">
              <w:rPr>
                <w:rFonts w:ascii="Calibri" w:eastAsia="Times New Roman" w:hAnsi="Calibri" w:cs="Times New Roman"/>
                <w:sz w:val="20"/>
                <w:szCs w:val="20"/>
              </w:rPr>
              <w:t>OH</w:t>
            </w:r>
          </w:p>
        </w:tc>
        <w:tc>
          <w:tcPr>
            <w:tcW w:w="1224"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10</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154</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166</w:t>
            </w:r>
          </w:p>
        </w:tc>
      </w:tr>
      <w:tr w:rsidR="00853F1D" w:rsidRPr="00853F1D" w:rsidTr="00853F1D">
        <w:trPr>
          <w:trHeight w:val="285"/>
          <w:jc w:val="center"/>
        </w:trPr>
        <w:tc>
          <w:tcPr>
            <w:tcW w:w="1663"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NH</w:t>
            </w:r>
            <w:r w:rsidRPr="00853F1D">
              <w:rPr>
                <w:rFonts w:ascii="Calibri" w:eastAsia="Times New Roman" w:hAnsi="Calibri" w:cs="Times New Roman"/>
                <w:sz w:val="20"/>
                <w:szCs w:val="20"/>
                <w:vertAlign w:val="subscript"/>
              </w:rPr>
              <w:t>4</w:t>
            </w:r>
            <w:r w:rsidRPr="00853F1D">
              <w:rPr>
                <w:rFonts w:ascii="Calibri" w:eastAsia="Times New Roman" w:hAnsi="Calibri" w:cs="Times New Roman"/>
                <w:sz w:val="20"/>
                <w:szCs w:val="20"/>
              </w:rPr>
              <w:t>NO</w:t>
            </w:r>
            <w:r w:rsidRPr="00853F1D">
              <w:rPr>
                <w:rFonts w:ascii="Calibri" w:eastAsia="Times New Roman" w:hAnsi="Calibri" w:cs="Times New Roman"/>
                <w:sz w:val="20"/>
                <w:szCs w:val="20"/>
                <w:vertAlign w:val="subscript"/>
              </w:rPr>
              <w:t>3</w:t>
            </w:r>
          </w:p>
        </w:tc>
        <w:tc>
          <w:tcPr>
            <w:tcW w:w="1224"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12</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145</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155</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167</w:t>
            </w:r>
          </w:p>
        </w:tc>
      </w:tr>
      <w:tr w:rsidR="00853F1D" w:rsidRPr="00853F1D" w:rsidTr="00853F1D">
        <w:trPr>
          <w:trHeight w:val="285"/>
          <w:jc w:val="center"/>
        </w:trPr>
        <w:tc>
          <w:tcPr>
            <w:tcW w:w="1663"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(NH</w:t>
            </w:r>
            <w:r w:rsidRPr="00853F1D">
              <w:rPr>
                <w:rFonts w:ascii="Calibri" w:eastAsia="Times New Roman" w:hAnsi="Calibri" w:cs="Times New Roman"/>
                <w:sz w:val="20"/>
                <w:szCs w:val="20"/>
                <w:vertAlign w:val="subscript"/>
              </w:rPr>
              <w:t>4</w:t>
            </w:r>
            <w:r w:rsidRPr="00853F1D">
              <w:rPr>
                <w:rFonts w:ascii="Calibri" w:eastAsia="Times New Roman" w:hAnsi="Calibri" w:cs="Times New Roman"/>
                <w:sz w:val="20"/>
                <w:szCs w:val="20"/>
              </w:rPr>
              <w:t>)</w:t>
            </w:r>
            <w:r w:rsidRPr="00853F1D">
              <w:rPr>
                <w:rFonts w:ascii="Calibri" w:eastAsia="Times New Roman" w:hAnsi="Calibri" w:cs="Times New Roman"/>
                <w:sz w:val="20"/>
                <w:szCs w:val="20"/>
                <w:vertAlign w:val="subscript"/>
              </w:rPr>
              <w:t>2</w:t>
            </w:r>
            <w:r w:rsidRPr="00853F1D">
              <w:rPr>
                <w:rFonts w:ascii="Calibri" w:eastAsia="Times New Roman" w:hAnsi="Calibri" w:cs="Times New Roman"/>
                <w:sz w:val="20"/>
                <w:szCs w:val="20"/>
              </w:rPr>
              <w:t>CO</w:t>
            </w:r>
            <w:r w:rsidRPr="00853F1D">
              <w:rPr>
                <w:rFonts w:ascii="Calibri" w:eastAsia="Times New Roman" w:hAnsi="Calibri" w:cs="Times New Roman"/>
                <w:sz w:val="20"/>
                <w:szCs w:val="20"/>
                <w:vertAlign w:val="subscript"/>
              </w:rPr>
              <w:t>3</w:t>
            </w:r>
            <w:r w:rsidRPr="00853F1D">
              <w:rPr>
                <w:rFonts w:ascii="Calibri" w:eastAsia="Times New Roman" w:hAnsi="Calibri" w:cs="Times New Roman"/>
                <w:sz w:val="20"/>
                <w:szCs w:val="20"/>
              </w:rPr>
              <w:t>.H</w:t>
            </w:r>
            <w:r w:rsidRPr="00853F1D">
              <w:rPr>
                <w:rFonts w:ascii="Calibri" w:eastAsia="Times New Roman" w:hAnsi="Calibri" w:cs="Times New Roman"/>
                <w:sz w:val="20"/>
                <w:szCs w:val="20"/>
                <w:vertAlign w:val="subscript"/>
              </w:rPr>
              <w:t>2</w:t>
            </w:r>
            <w:r w:rsidRPr="00853F1D">
              <w:rPr>
                <w:rFonts w:ascii="Calibri" w:eastAsia="Times New Roman" w:hAnsi="Calibri" w:cs="Times New Roman"/>
                <w:sz w:val="20"/>
                <w:szCs w:val="20"/>
              </w:rPr>
              <w:t>O</w:t>
            </w:r>
          </w:p>
        </w:tc>
        <w:tc>
          <w:tcPr>
            <w:tcW w:w="1224"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13</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156</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168</w:t>
            </w:r>
          </w:p>
        </w:tc>
      </w:tr>
      <w:tr w:rsidR="00853F1D" w:rsidRPr="00853F1D" w:rsidTr="00853F1D">
        <w:trPr>
          <w:trHeight w:val="285"/>
          <w:jc w:val="center"/>
        </w:trPr>
        <w:tc>
          <w:tcPr>
            <w:tcW w:w="1663"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UO</w:t>
            </w:r>
            <w:r w:rsidRPr="00853F1D">
              <w:rPr>
                <w:rFonts w:ascii="Calibri" w:eastAsia="Times New Roman" w:hAnsi="Calibri" w:cs="Times New Roman"/>
                <w:sz w:val="20"/>
                <w:szCs w:val="20"/>
                <w:vertAlign w:val="subscript"/>
              </w:rPr>
              <w:t>2</w:t>
            </w:r>
            <w:r w:rsidRPr="00853F1D">
              <w:rPr>
                <w:rFonts w:ascii="Calibri" w:eastAsia="Times New Roman" w:hAnsi="Calibri" w:cs="Times New Roman"/>
                <w:sz w:val="20"/>
                <w:szCs w:val="20"/>
              </w:rPr>
              <w:t>(NO</w:t>
            </w:r>
            <w:r w:rsidRPr="00853F1D">
              <w:rPr>
                <w:rFonts w:ascii="Calibri" w:eastAsia="Times New Roman" w:hAnsi="Calibri" w:cs="Times New Roman"/>
                <w:sz w:val="20"/>
                <w:szCs w:val="20"/>
                <w:vertAlign w:val="subscript"/>
              </w:rPr>
              <w:t>3</w:t>
            </w:r>
            <w:r w:rsidRPr="00853F1D">
              <w:rPr>
                <w:rFonts w:ascii="Calibri" w:eastAsia="Times New Roman" w:hAnsi="Calibri" w:cs="Times New Roman"/>
                <w:sz w:val="20"/>
                <w:szCs w:val="20"/>
              </w:rPr>
              <w:t>)</w:t>
            </w:r>
            <w:r w:rsidRPr="00853F1D">
              <w:rPr>
                <w:rFonts w:ascii="Calibri" w:eastAsia="Times New Roman" w:hAnsi="Calibri" w:cs="Times New Roman"/>
                <w:sz w:val="20"/>
                <w:szCs w:val="20"/>
                <w:vertAlign w:val="subscript"/>
              </w:rPr>
              <w:t>2</w:t>
            </w:r>
          </w:p>
        </w:tc>
        <w:tc>
          <w:tcPr>
            <w:tcW w:w="1224"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14</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123</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128</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138</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146</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157</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169</w:t>
            </w:r>
          </w:p>
        </w:tc>
      </w:tr>
      <w:tr w:rsidR="00853F1D" w:rsidRPr="00853F1D" w:rsidTr="00853F1D">
        <w:trPr>
          <w:trHeight w:val="285"/>
          <w:jc w:val="center"/>
        </w:trPr>
        <w:tc>
          <w:tcPr>
            <w:tcW w:w="1663"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U</w:t>
            </w:r>
            <w:r w:rsidRPr="00853F1D">
              <w:rPr>
                <w:rFonts w:ascii="Calibri" w:eastAsia="Times New Roman" w:hAnsi="Calibri" w:cs="Times New Roman"/>
                <w:sz w:val="20"/>
                <w:szCs w:val="20"/>
                <w:vertAlign w:val="subscript"/>
              </w:rPr>
              <w:t>3</w:t>
            </w:r>
            <w:r w:rsidRPr="00853F1D">
              <w:rPr>
                <w:rFonts w:ascii="Calibri" w:eastAsia="Times New Roman" w:hAnsi="Calibri" w:cs="Times New Roman"/>
                <w:sz w:val="20"/>
                <w:szCs w:val="20"/>
              </w:rPr>
              <w:t>O</w:t>
            </w:r>
            <w:r w:rsidRPr="00853F1D">
              <w:rPr>
                <w:rFonts w:ascii="Calibri" w:eastAsia="Times New Roman" w:hAnsi="Calibri" w:cs="Times New Roman"/>
                <w:sz w:val="20"/>
                <w:szCs w:val="20"/>
                <w:vertAlign w:val="subscript"/>
              </w:rPr>
              <w:t>8</w:t>
            </w:r>
          </w:p>
        </w:tc>
        <w:tc>
          <w:tcPr>
            <w:tcW w:w="1224"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18</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124</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129</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139</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147</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158</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162</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170</w:t>
            </w:r>
          </w:p>
        </w:tc>
      </w:tr>
      <w:tr w:rsidR="00853F1D" w:rsidRPr="00853F1D" w:rsidTr="00853F1D">
        <w:trPr>
          <w:trHeight w:val="285"/>
          <w:jc w:val="center"/>
        </w:trPr>
        <w:tc>
          <w:tcPr>
            <w:tcW w:w="1663"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(NH</w:t>
            </w:r>
            <w:r w:rsidRPr="00853F1D">
              <w:rPr>
                <w:rFonts w:ascii="Calibri" w:eastAsia="Times New Roman" w:hAnsi="Calibri" w:cs="Times New Roman"/>
                <w:sz w:val="20"/>
                <w:szCs w:val="20"/>
                <w:vertAlign w:val="subscript"/>
              </w:rPr>
              <w:t>4</w:t>
            </w:r>
            <w:r w:rsidRPr="00853F1D">
              <w:rPr>
                <w:rFonts w:ascii="Calibri" w:eastAsia="Times New Roman" w:hAnsi="Calibri" w:cs="Times New Roman"/>
                <w:sz w:val="20"/>
                <w:szCs w:val="20"/>
              </w:rPr>
              <w:t>)</w:t>
            </w:r>
            <w:r w:rsidRPr="00853F1D">
              <w:rPr>
                <w:rFonts w:ascii="Calibri" w:eastAsia="Times New Roman" w:hAnsi="Calibri" w:cs="Times New Roman"/>
                <w:sz w:val="20"/>
                <w:szCs w:val="20"/>
                <w:vertAlign w:val="subscript"/>
              </w:rPr>
              <w:t>4</w:t>
            </w:r>
            <w:r w:rsidRPr="00853F1D">
              <w:rPr>
                <w:rFonts w:ascii="Calibri" w:eastAsia="Times New Roman" w:hAnsi="Calibri" w:cs="Times New Roman"/>
                <w:sz w:val="20"/>
                <w:szCs w:val="20"/>
              </w:rPr>
              <w:t>UO</w:t>
            </w:r>
            <w:r w:rsidRPr="00853F1D">
              <w:rPr>
                <w:rFonts w:ascii="Calibri" w:eastAsia="Times New Roman" w:hAnsi="Calibri" w:cs="Times New Roman"/>
                <w:sz w:val="20"/>
                <w:szCs w:val="20"/>
                <w:vertAlign w:val="subscript"/>
              </w:rPr>
              <w:t>2</w:t>
            </w:r>
            <w:r w:rsidRPr="00853F1D">
              <w:rPr>
                <w:rFonts w:ascii="Calibri" w:eastAsia="Times New Roman" w:hAnsi="Calibri" w:cs="Times New Roman"/>
                <w:sz w:val="20"/>
                <w:szCs w:val="20"/>
              </w:rPr>
              <w:t>(CO</w:t>
            </w:r>
            <w:r w:rsidRPr="00853F1D">
              <w:rPr>
                <w:rFonts w:ascii="Calibri" w:eastAsia="Times New Roman" w:hAnsi="Calibri" w:cs="Times New Roman"/>
                <w:sz w:val="20"/>
                <w:szCs w:val="20"/>
                <w:vertAlign w:val="subscript"/>
              </w:rPr>
              <w:t>3</w:t>
            </w:r>
            <w:r w:rsidRPr="00853F1D">
              <w:rPr>
                <w:rFonts w:ascii="Calibri" w:eastAsia="Times New Roman" w:hAnsi="Calibri" w:cs="Times New Roman"/>
                <w:sz w:val="20"/>
                <w:szCs w:val="20"/>
              </w:rPr>
              <w:t>)</w:t>
            </w:r>
            <w:r w:rsidRPr="00853F1D">
              <w:rPr>
                <w:rFonts w:ascii="Calibri" w:eastAsia="Times New Roman" w:hAnsi="Calibri" w:cs="Times New Roman"/>
                <w:sz w:val="20"/>
                <w:szCs w:val="20"/>
                <w:vertAlign w:val="subscript"/>
              </w:rPr>
              <w:t>3</w:t>
            </w:r>
          </w:p>
        </w:tc>
        <w:tc>
          <w:tcPr>
            <w:tcW w:w="1224"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19</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148</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159</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163</w:t>
            </w:r>
          </w:p>
        </w:tc>
        <w:tc>
          <w:tcPr>
            <w:tcW w:w="523"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171</w:t>
            </w:r>
          </w:p>
        </w:tc>
      </w:tr>
      <w:tr w:rsidR="00853F1D" w:rsidRPr="00853F1D" w:rsidTr="00853F1D">
        <w:trPr>
          <w:trHeight w:val="270"/>
          <w:jc w:val="center"/>
        </w:trPr>
        <w:tc>
          <w:tcPr>
            <w:tcW w:w="1663" w:type="dxa"/>
            <w:tcBorders>
              <w:top w:val="nil"/>
              <w:left w:val="nil"/>
              <w:bottom w:val="single" w:sz="8" w:space="0" w:color="auto"/>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soluble</w:t>
            </w:r>
          </w:p>
        </w:tc>
        <w:tc>
          <w:tcPr>
            <w:tcW w:w="1224" w:type="dxa"/>
            <w:tcBorders>
              <w:top w:val="nil"/>
              <w:left w:val="nil"/>
              <w:bottom w:val="single" w:sz="8" w:space="0" w:color="auto"/>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21</w:t>
            </w:r>
          </w:p>
        </w:tc>
        <w:tc>
          <w:tcPr>
            <w:tcW w:w="523"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125</w:t>
            </w:r>
          </w:p>
        </w:tc>
        <w:tc>
          <w:tcPr>
            <w:tcW w:w="523"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130</w:t>
            </w:r>
          </w:p>
        </w:tc>
        <w:tc>
          <w:tcPr>
            <w:tcW w:w="523"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140</w:t>
            </w:r>
          </w:p>
        </w:tc>
        <w:tc>
          <w:tcPr>
            <w:tcW w:w="523"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149</w:t>
            </w:r>
          </w:p>
        </w:tc>
        <w:tc>
          <w:tcPr>
            <w:tcW w:w="523"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160</w:t>
            </w:r>
          </w:p>
        </w:tc>
        <w:tc>
          <w:tcPr>
            <w:tcW w:w="523"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3"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172</w:t>
            </w:r>
          </w:p>
        </w:tc>
      </w:tr>
    </w:tbl>
    <w:p w:rsidR="00853F1D" w:rsidRDefault="00853F1D"/>
    <w:p w:rsidR="00853F1D" w:rsidRDefault="00853F1D"/>
    <w:p w:rsidR="00853F1D" w:rsidRDefault="00853F1D">
      <w:r>
        <w:br w:type="page"/>
      </w:r>
    </w:p>
    <w:tbl>
      <w:tblPr>
        <w:tblW w:w="6466" w:type="dxa"/>
        <w:jc w:val="center"/>
        <w:tblLook w:val="04A0" w:firstRow="1" w:lastRow="0" w:firstColumn="1" w:lastColumn="0" w:noHBand="0" w:noVBand="1"/>
      </w:tblPr>
      <w:tblGrid>
        <w:gridCol w:w="1624"/>
        <w:gridCol w:w="1195"/>
        <w:gridCol w:w="521"/>
        <w:gridCol w:w="521"/>
        <w:gridCol w:w="521"/>
        <w:gridCol w:w="521"/>
        <w:gridCol w:w="521"/>
        <w:gridCol w:w="521"/>
        <w:gridCol w:w="521"/>
      </w:tblGrid>
      <w:tr w:rsidR="00853F1D" w:rsidRPr="00853F1D" w:rsidTr="00853F1D">
        <w:trPr>
          <w:trHeight w:val="270"/>
          <w:jc w:val="center"/>
        </w:trPr>
        <w:tc>
          <w:tcPr>
            <w:tcW w:w="6466" w:type="dxa"/>
            <w:gridSpan w:val="9"/>
            <w:tcBorders>
              <w:top w:val="nil"/>
              <w:left w:val="nil"/>
              <w:bottom w:val="single" w:sz="8" w:space="0" w:color="auto"/>
              <w:right w:val="nil"/>
            </w:tcBorders>
            <w:shd w:val="clear" w:color="auto" w:fill="auto"/>
            <w:noWrap/>
            <w:vAlign w:val="center"/>
            <w:hideMark/>
          </w:tcPr>
          <w:p w:rsidR="00853F1D" w:rsidRPr="00853F1D" w:rsidRDefault="00853F1D" w:rsidP="00F32FD3">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lastRenderedPageBreak/>
              <w:t>Table 3.5. State Variable Numbers for Module 4</w:t>
            </w:r>
            <w:r w:rsidR="00F32FD3">
              <w:rPr>
                <w:rFonts w:ascii="Calibri" w:eastAsia="Times New Roman" w:hAnsi="Calibri" w:cs="Times New Roman"/>
                <w:b/>
                <w:bCs/>
                <w:color w:val="000000"/>
                <w:sz w:val="20"/>
                <w:szCs w:val="20"/>
              </w:rPr>
              <w:t xml:space="preserve"> </w:t>
            </w:r>
            <w:r w:rsidR="00F32FD3" w:rsidRPr="00F32FD3">
              <w:rPr>
                <w:rFonts w:ascii="Calibri" w:eastAsia="Times New Roman" w:hAnsi="Calibri" w:cs="Times New Roman"/>
                <w:b/>
                <w:bCs/>
                <w:color w:val="000000"/>
                <w:sz w:val="20"/>
                <w:szCs w:val="20"/>
              </w:rPr>
              <w:t>[</w:t>
            </w:r>
            <w:proofErr w:type="spellStart"/>
            <w:r w:rsidR="00F32FD3" w:rsidRPr="00F32FD3">
              <w:rPr>
                <w:rFonts w:ascii="Calibri" w:eastAsia="Times New Roman" w:hAnsi="Calibri" w:cs="Times New Roman"/>
                <w:b/>
                <w:bCs/>
                <w:color w:val="000000"/>
                <w:sz w:val="20"/>
                <w:szCs w:val="20"/>
              </w:rPr>
              <w:t>Xss</w:t>
            </w:r>
            <w:proofErr w:type="spellEnd"/>
            <w:r w:rsidR="00F32FD3" w:rsidRPr="00F32FD3">
              <w:rPr>
                <w:rFonts w:ascii="Calibri" w:eastAsia="Times New Roman" w:hAnsi="Calibri" w:cs="Times New Roman"/>
                <w:b/>
                <w:bCs/>
                <w:color w:val="000000"/>
                <w:sz w:val="20"/>
                <w:szCs w:val="20"/>
              </w:rPr>
              <w:t>(173</w:t>
            </w:r>
            <w:r w:rsidR="00F32FD3">
              <w:rPr>
                <w:rFonts w:ascii="Calibri" w:eastAsia="Times New Roman" w:hAnsi="Calibri" w:cs="Times New Roman"/>
                <w:b/>
                <w:bCs/>
                <w:color w:val="000000"/>
                <w:sz w:val="20"/>
                <w:szCs w:val="20"/>
              </w:rPr>
              <w:t>–220</w:t>
            </w:r>
            <w:r w:rsidR="00F32FD3" w:rsidRPr="00F32FD3">
              <w:rPr>
                <w:rFonts w:ascii="Calibri" w:eastAsia="Times New Roman" w:hAnsi="Calibri" w:cs="Times New Roman"/>
                <w:b/>
                <w:bCs/>
                <w:color w:val="000000"/>
                <w:sz w:val="20"/>
                <w:szCs w:val="20"/>
              </w:rPr>
              <w:t>)]</w:t>
            </w:r>
          </w:p>
        </w:tc>
      </w:tr>
      <w:tr w:rsidR="00853F1D" w:rsidRPr="00853F1D" w:rsidTr="00853F1D">
        <w:trPr>
          <w:trHeight w:val="255"/>
          <w:jc w:val="center"/>
        </w:trPr>
        <w:tc>
          <w:tcPr>
            <w:tcW w:w="1624"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p>
        </w:tc>
        <w:tc>
          <w:tcPr>
            <w:tcW w:w="1195" w:type="dxa"/>
            <w:tcBorders>
              <w:top w:val="nil"/>
              <w:left w:val="nil"/>
              <w:bottom w:val="nil"/>
              <w:right w:val="single" w:sz="4" w:space="0" w:color="auto"/>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 </w:t>
            </w:r>
          </w:p>
        </w:tc>
        <w:tc>
          <w:tcPr>
            <w:tcW w:w="3647" w:type="dxa"/>
            <w:gridSpan w:val="7"/>
            <w:tcBorders>
              <w:top w:val="single" w:sz="8" w:space="0" w:color="auto"/>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Stream Number</w:t>
            </w:r>
          </w:p>
        </w:tc>
      </w:tr>
      <w:tr w:rsidR="00853F1D" w:rsidRPr="00853F1D" w:rsidTr="00853F1D">
        <w:trPr>
          <w:trHeight w:val="255"/>
          <w:jc w:val="center"/>
        </w:trPr>
        <w:tc>
          <w:tcPr>
            <w:tcW w:w="1624"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Chemical</w:t>
            </w:r>
          </w:p>
        </w:tc>
        <w:tc>
          <w:tcPr>
            <w:tcW w:w="1195"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Component</w:t>
            </w:r>
          </w:p>
        </w:tc>
        <w:tc>
          <w:tcPr>
            <w:tcW w:w="521"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32</w:t>
            </w:r>
          </w:p>
        </w:tc>
        <w:tc>
          <w:tcPr>
            <w:tcW w:w="521"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33</w:t>
            </w:r>
          </w:p>
        </w:tc>
        <w:tc>
          <w:tcPr>
            <w:tcW w:w="521"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34</w:t>
            </w:r>
          </w:p>
        </w:tc>
        <w:tc>
          <w:tcPr>
            <w:tcW w:w="521"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35</w:t>
            </w:r>
          </w:p>
        </w:tc>
        <w:tc>
          <w:tcPr>
            <w:tcW w:w="521"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36</w:t>
            </w:r>
          </w:p>
        </w:tc>
        <w:tc>
          <w:tcPr>
            <w:tcW w:w="521"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37</w:t>
            </w:r>
          </w:p>
        </w:tc>
        <w:tc>
          <w:tcPr>
            <w:tcW w:w="521"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38</w:t>
            </w:r>
          </w:p>
        </w:tc>
      </w:tr>
      <w:tr w:rsidR="00853F1D" w:rsidRPr="00853F1D" w:rsidTr="00853F1D">
        <w:trPr>
          <w:trHeight w:val="255"/>
          <w:jc w:val="center"/>
        </w:trPr>
        <w:tc>
          <w:tcPr>
            <w:tcW w:w="1624" w:type="dxa"/>
            <w:tcBorders>
              <w:top w:val="nil"/>
              <w:left w:val="nil"/>
              <w:bottom w:val="single" w:sz="4" w:space="0" w:color="auto"/>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Component</w:t>
            </w:r>
          </w:p>
        </w:tc>
        <w:tc>
          <w:tcPr>
            <w:tcW w:w="1195" w:type="dxa"/>
            <w:tcBorders>
              <w:top w:val="nil"/>
              <w:left w:val="nil"/>
              <w:bottom w:val="single" w:sz="4" w:space="0" w:color="auto"/>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Number</w:t>
            </w:r>
          </w:p>
        </w:tc>
        <w:tc>
          <w:tcPr>
            <w:tcW w:w="3647" w:type="dxa"/>
            <w:gridSpan w:val="7"/>
            <w:tcBorders>
              <w:top w:val="single" w:sz="4" w:space="0" w:color="auto"/>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proofErr w:type="spellStart"/>
            <w:r w:rsidRPr="00853F1D">
              <w:rPr>
                <w:rFonts w:ascii="Calibri" w:eastAsia="Times New Roman" w:hAnsi="Calibri" w:cs="Times New Roman"/>
                <w:b/>
                <w:bCs/>
                <w:color w:val="000000"/>
                <w:sz w:val="20"/>
                <w:szCs w:val="20"/>
              </w:rPr>
              <w:t>Xss</w:t>
            </w:r>
            <w:proofErr w:type="spellEnd"/>
            <w:r w:rsidRPr="00853F1D">
              <w:rPr>
                <w:rFonts w:ascii="Calibri" w:eastAsia="Times New Roman" w:hAnsi="Calibri" w:cs="Times New Roman"/>
                <w:b/>
                <w:bCs/>
                <w:color w:val="000000"/>
                <w:sz w:val="20"/>
                <w:szCs w:val="20"/>
              </w:rPr>
              <w:t xml:space="preserve"> Number</w:t>
            </w:r>
          </w:p>
        </w:tc>
      </w:tr>
      <w:tr w:rsidR="00853F1D" w:rsidRPr="00853F1D" w:rsidTr="00853F1D">
        <w:trPr>
          <w:trHeight w:val="285"/>
          <w:jc w:val="center"/>
        </w:trPr>
        <w:tc>
          <w:tcPr>
            <w:tcW w:w="1624"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H</w:t>
            </w:r>
            <w:r w:rsidRPr="00853F1D">
              <w:rPr>
                <w:rFonts w:ascii="Calibri" w:eastAsia="Times New Roman" w:hAnsi="Calibri" w:cs="Times New Roman"/>
                <w:sz w:val="20"/>
                <w:szCs w:val="20"/>
                <w:vertAlign w:val="subscript"/>
              </w:rPr>
              <w:t>2</w:t>
            </w:r>
            <w:r w:rsidRPr="00853F1D">
              <w:rPr>
                <w:rFonts w:ascii="Calibri" w:eastAsia="Times New Roman" w:hAnsi="Calibri" w:cs="Times New Roman"/>
                <w:sz w:val="20"/>
                <w:szCs w:val="20"/>
              </w:rPr>
              <w:t>O</w:t>
            </w:r>
          </w:p>
        </w:tc>
        <w:tc>
          <w:tcPr>
            <w:tcW w:w="1195"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1</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176</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187</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193</w:t>
            </w:r>
          </w:p>
        </w:tc>
      </w:tr>
      <w:tr w:rsidR="00853F1D" w:rsidRPr="00853F1D" w:rsidTr="00853F1D">
        <w:trPr>
          <w:trHeight w:val="300"/>
          <w:jc w:val="center"/>
        </w:trPr>
        <w:tc>
          <w:tcPr>
            <w:tcW w:w="1624"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N</w:t>
            </w:r>
            <w:r w:rsidRPr="00853F1D">
              <w:rPr>
                <w:rFonts w:ascii="Calibri" w:eastAsia="Times New Roman" w:hAnsi="Calibri" w:cs="Times New Roman"/>
                <w:sz w:val="20"/>
                <w:szCs w:val="20"/>
                <w:vertAlign w:val="subscript"/>
              </w:rPr>
              <w:t>2</w:t>
            </w:r>
          </w:p>
        </w:tc>
        <w:tc>
          <w:tcPr>
            <w:tcW w:w="1195"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2</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174</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177</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188</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192</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194</w:t>
            </w:r>
          </w:p>
        </w:tc>
      </w:tr>
      <w:tr w:rsidR="00853F1D" w:rsidRPr="00853F1D" w:rsidTr="00853F1D">
        <w:trPr>
          <w:trHeight w:val="300"/>
          <w:jc w:val="center"/>
        </w:trPr>
        <w:tc>
          <w:tcPr>
            <w:tcW w:w="1624"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NH</w:t>
            </w:r>
            <w:r w:rsidRPr="00853F1D">
              <w:rPr>
                <w:rFonts w:ascii="Calibri" w:eastAsia="Times New Roman" w:hAnsi="Calibri" w:cs="Times New Roman"/>
                <w:sz w:val="20"/>
                <w:szCs w:val="20"/>
                <w:vertAlign w:val="subscript"/>
              </w:rPr>
              <w:t>3</w:t>
            </w:r>
          </w:p>
        </w:tc>
        <w:tc>
          <w:tcPr>
            <w:tcW w:w="1195"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3</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173</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178</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189</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195</w:t>
            </w:r>
          </w:p>
        </w:tc>
      </w:tr>
      <w:tr w:rsidR="00853F1D" w:rsidRPr="00853F1D" w:rsidTr="00853F1D">
        <w:trPr>
          <w:trHeight w:val="300"/>
          <w:jc w:val="center"/>
        </w:trPr>
        <w:tc>
          <w:tcPr>
            <w:tcW w:w="1624"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H</w:t>
            </w:r>
            <w:r w:rsidRPr="00853F1D">
              <w:rPr>
                <w:rFonts w:ascii="Calibri" w:eastAsia="Times New Roman" w:hAnsi="Calibri" w:cs="Times New Roman"/>
                <w:sz w:val="20"/>
                <w:szCs w:val="20"/>
                <w:vertAlign w:val="subscript"/>
              </w:rPr>
              <w:t>2</w:t>
            </w:r>
          </w:p>
        </w:tc>
        <w:tc>
          <w:tcPr>
            <w:tcW w:w="1195"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5</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175</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179</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190</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196</w:t>
            </w:r>
          </w:p>
        </w:tc>
      </w:tr>
      <w:tr w:rsidR="00853F1D" w:rsidRPr="00853F1D" w:rsidTr="00853F1D">
        <w:trPr>
          <w:trHeight w:val="300"/>
          <w:jc w:val="center"/>
        </w:trPr>
        <w:tc>
          <w:tcPr>
            <w:tcW w:w="1624"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HF</w:t>
            </w:r>
          </w:p>
        </w:tc>
        <w:tc>
          <w:tcPr>
            <w:tcW w:w="1195"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6</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r>
      <w:tr w:rsidR="00853F1D" w:rsidRPr="00853F1D" w:rsidTr="00853F1D">
        <w:trPr>
          <w:trHeight w:val="300"/>
          <w:jc w:val="center"/>
        </w:trPr>
        <w:tc>
          <w:tcPr>
            <w:tcW w:w="1624"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CO</w:t>
            </w:r>
            <w:r w:rsidRPr="00853F1D">
              <w:rPr>
                <w:rFonts w:ascii="Calibri" w:eastAsia="Times New Roman" w:hAnsi="Calibri" w:cs="Times New Roman"/>
                <w:sz w:val="20"/>
                <w:szCs w:val="20"/>
                <w:vertAlign w:val="subscript"/>
              </w:rPr>
              <w:t>2</w:t>
            </w:r>
          </w:p>
        </w:tc>
        <w:tc>
          <w:tcPr>
            <w:tcW w:w="1195"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8</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180</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191</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197</w:t>
            </w:r>
          </w:p>
        </w:tc>
      </w:tr>
      <w:tr w:rsidR="00853F1D" w:rsidRPr="00853F1D" w:rsidTr="00853F1D">
        <w:trPr>
          <w:trHeight w:val="300"/>
          <w:jc w:val="center"/>
        </w:trPr>
        <w:tc>
          <w:tcPr>
            <w:tcW w:w="1624"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UF</w:t>
            </w:r>
            <w:r w:rsidRPr="00853F1D">
              <w:rPr>
                <w:rFonts w:ascii="Calibri" w:eastAsia="Times New Roman" w:hAnsi="Calibri" w:cs="Times New Roman"/>
                <w:sz w:val="20"/>
                <w:szCs w:val="20"/>
                <w:vertAlign w:val="subscript"/>
              </w:rPr>
              <w:t>4</w:t>
            </w:r>
          </w:p>
        </w:tc>
        <w:tc>
          <w:tcPr>
            <w:tcW w:w="1195"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16</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r>
      <w:tr w:rsidR="00853F1D" w:rsidRPr="00853F1D" w:rsidTr="00853F1D">
        <w:trPr>
          <w:trHeight w:val="300"/>
          <w:jc w:val="center"/>
        </w:trPr>
        <w:tc>
          <w:tcPr>
            <w:tcW w:w="1624"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UO</w:t>
            </w:r>
            <w:r w:rsidRPr="00853F1D">
              <w:rPr>
                <w:rFonts w:ascii="Calibri" w:eastAsia="Times New Roman" w:hAnsi="Calibri" w:cs="Times New Roman"/>
                <w:sz w:val="20"/>
                <w:szCs w:val="20"/>
                <w:vertAlign w:val="subscript"/>
              </w:rPr>
              <w:t>2</w:t>
            </w:r>
          </w:p>
        </w:tc>
        <w:tc>
          <w:tcPr>
            <w:tcW w:w="1195"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17</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181</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184</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r>
      <w:tr w:rsidR="00853F1D" w:rsidRPr="00853F1D" w:rsidTr="00853F1D">
        <w:trPr>
          <w:trHeight w:val="300"/>
          <w:jc w:val="center"/>
        </w:trPr>
        <w:tc>
          <w:tcPr>
            <w:tcW w:w="1624"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U</w:t>
            </w:r>
            <w:r w:rsidRPr="00853F1D">
              <w:rPr>
                <w:rFonts w:ascii="Calibri" w:eastAsia="Times New Roman" w:hAnsi="Calibri" w:cs="Times New Roman"/>
                <w:sz w:val="20"/>
                <w:szCs w:val="20"/>
                <w:vertAlign w:val="subscript"/>
              </w:rPr>
              <w:t>3</w:t>
            </w:r>
            <w:r w:rsidRPr="00853F1D">
              <w:rPr>
                <w:rFonts w:ascii="Calibri" w:eastAsia="Times New Roman" w:hAnsi="Calibri" w:cs="Times New Roman"/>
                <w:sz w:val="20"/>
                <w:szCs w:val="20"/>
              </w:rPr>
              <w:t>O</w:t>
            </w:r>
            <w:r w:rsidRPr="00853F1D">
              <w:rPr>
                <w:rFonts w:ascii="Calibri" w:eastAsia="Times New Roman" w:hAnsi="Calibri" w:cs="Times New Roman"/>
                <w:sz w:val="20"/>
                <w:szCs w:val="20"/>
                <w:vertAlign w:val="subscript"/>
              </w:rPr>
              <w:t>8</w:t>
            </w:r>
          </w:p>
        </w:tc>
        <w:tc>
          <w:tcPr>
            <w:tcW w:w="1195"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18</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182</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185</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r>
      <w:tr w:rsidR="00853F1D" w:rsidRPr="00853F1D" w:rsidTr="00853F1D">
        <w:trPr>
          <w:trHeight w:val="315"/>
          <w:jc w:val="center"/>
        </w:trPr>
        <w:tc>
          <w:tcPr>
            <w:tcW w:w="1624" w:type="dxa"/>
            <w:tcBorders>
              <w:top w:val="nil"/>
              <w:left w:val="nil"/>
              <w:bottom w:val="single" w:sz="8" w:space="0" w:color="auto"/>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(NH</w:t>
            </w:r>
            <w:r w:rsidRPr="00853F1D">
              <w:rPr>
                <w:rFonts w:ascii="Calibri" w:eastAsia="Times New Roman" w:hAnsi="Calibri" w:cs="Times New Roman"/>
                <w:sz w:val="20"/>
                <w:szCs w:val="20"/>
                <w:vertAlign w:val="subscript"/>
              </w:rPr>
              <w:t>4</w:t>
            </w:r>
            <w:r w:rsidRPr="00853F1D">
              <w:rPr>
                <w:rFonts w:ascii="Calibri" w:eastAsia="Times New Roman" w:hAnsi="Calibri" w:cs="Times New Roman"/>
                <w:sz w:val="20"/>
                <w:szCs w:val="20"/>
              </w:rPr>
              <w:t>)</w:t>
            </w:r>
            <w:r w:rsidRPr="00853F1D">
              <w:rPr>
                <w:rFonts w:ascii="Calibri" w:eastAsia="Times New Roman" w:hAnsi="Calibri" w:cs="Times New Roman"/>
                <w:sz w:val="20"/>
                <w:szCs w:val="20"/>
                <w:vertAlign w:val="subscript"/>
              </w:rPr>
              <w:t>4</w:t>
            </w:r>
            <w:r w:rsidRPr="00853F1D">
              <w:rPr>
                <w:rFonts w:ascii="Calibri" w:eastAsia="Times New Roman" w:hAnsi="Calibri" w:cs="Times New Roman"/>
                <w:sz w:val="20"/>
                <w:szCs w:val="20"/>
              </w:rPr>
              <w:t>UO</w:t>
            </w:r>
            <w:r w:rsidRPr="00853F1D">
              <w:rPr>
                <w:rFonts w:ascii="Calibri" w:eastAsia="Times New Roman" w:hAnsi="Calibri" w:cs="Times New Roman"/>
                <w:sz w:val="20"/>
                <w:szCs w:val="20"/>
                <w:vertAlign w:val="subscript"/>
              </w:rPr>
              <w:t>2</w:t>
            </w:r>
            <w:r w:rsidRPr="00853F1D">
              <w:rPr>
                <w:rFonts w:ascii="Calibri" w:eastAsia="Times New Roman" w:hAnsi="Calibri" w:cs="Times New Roman"/>
                <w:sz w:val="20"/>
                <w:szCs w:val="20"/>
              </w:rPr>
              <w:t>(CO</w:t>
            </w:r>
            <w:r w:rsidRPr="00853F1D">
              <w:rPr>
                <w:rFonts w:ascii="Calibri" w:eastAsia="Times New Roman" w:hAnsi="Calibri" w:cs="Times New Roman"/>
                <w:sz w:val="20"/>
                <w:szCs w:val="20"/>
                <w:vertAlign w:val="subscript"/>
              </w:rPr>
              <w:t>3</w:t>
            </w:r>
            <w:r w:rsidRPr="00853F1D">
              <w:rPr>
                <w:rFonts w:ascii="Calibri" w:eastAsia="Times New Roman" w:hAnsi="Calibri" w:cs="Times New Roman"/>
                <w:sz w:val="20"/>
                <w:szCs w:val="20"/>
              </w:rPr>
              <w:t>)</w:t>
            </w:r>
            <w:r w:rsidRPr="00853F1D">
              <w:rPr>
                <w:rFonts w:ascii="Calibri" w:eastAsia="Times New Roman" w:hAnsi="Calibri" w:cs="Times New Roman"/>
                <w:sz w:val="20"/>
                <w:szCs w:val="20"/>
                <w:vertAlign w:val="subscript"/>
              </w:rPr>
              <w:t>3</w:t>
            </w:r>
          </w:p>
        </w:tc>
        <w:tc>
          <w:tcPr>
            <w:tcW w:w="1195" w:type="dxa"/>
            <w:tcBorders>
              <w:top w:val="nil"/>
              <w:left w:val="nil"/>
              <w:bottom w:val="single" w:sz="8" w:space="0" w:color="auto"/>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19</w:t>
            </w:r>
          </w:p>
        </w:tc>
        <w:tc>
          <w:tcPr>
            <w:tcW w:w="521"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183</w:t>
            </w:r>
          </w:p>
        </w:tc>
        <w:tc>
          <w:tcPr>
            <w:tcW w:w="521"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186</w:t>
            </w:r>
          </w:p>
        </w:tc>
        <w:tc>
          <w:tcPr>
            <w:tcW w:w="521"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r>
      <w:tr w:rsidR="00853F1D" w:rsidRPr="00853F1D" w:rsidTr="00853F1D">
        <w:trPr>
          <w:trHeight w:val="255"/>
          <w:jc w:val="center"/>
        </w:trPr>
        <w:tc>
          <w:tcPr>
            <w:tcW w:w="1624"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p>
        </w:tc>
        <w:tc>
          <w:tcPr>
            <w:tcW w:w="1195" w:type="dxa"/>
            <w:tcBorders>
              <w:top w:val="nil"/>
              <w:left w:val="nil"/>
              <w:bottom w:val="nil"/>
              <w:right w:val="single" w:sz="4" w:space="0" w:color="auto"/>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 </w:t>
            </w:r>
          </w:p>
        </w:tc>
        <w:tc>
          <w:tcPr>
            <w:tcW w:w="3647" w:type="dxa"/>
            <w:gridSpan w:val="7"/>
            <w:tcBorders>
              <w:top w:val="single" w:sz="8" w:space="0" w:color="auto"/>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Stream Number</w:t>
            </w:r>
          </w:p>
        </w:tc>
      </w:tr>
      <w:tr w:rsidR="00853F1D" w:rsidRPr="00853F1D" w:rsidTr="00853F1D">
        <w:trPr>
          <w:trHeight w:val="300"/>
          <w:jc w:val="center"/>
        </w:trPr>
        <w:tc>
          <w:tcPr>
            <w:tcW w:w="1624"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Chemical</w:t>
            </w:r>
          </w:p>
        </w:tc>
        <w:tc>
          <w:tcPr>
            <w:tcW w:w="1195"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Component</w:t>
            </w:r>
          </w:p>
        </w:tc>
        <w:tc>
          <w:tcPr>
            <w:tcW w:w="521"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39</w:t>
            </w:r>
          </w:p>
        </w:tc>
        <w:tc>
          <w:tcPr>
            <w:tcW w:w="521"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40</w:t>
            </w:r>
          </w:p>
        </w:tc>
        <w:tc>
          <w:tcPr>
            <w:tcW w:w="521"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41</w:t>
            </w:r>
          </w:p>
        </w:tc>
        <w:tc>
          <w:tcPr>
            <w:tcW w:w="521"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42</w:t>
            </w:r>
          </w:p>
        </w:tc>
        <w:tc>
          <w:tcPr>
            <w:tcW w:w="521"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43</w:t>
            </w:r>
          </w:p>
        </w:tc>
        <w:tc>
          <w:tcPr>
            <w:tcW w:w="521"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44</w:t>
            </w:r>
          </w:p>
        </w:tc>
        <w:tc>
          <w:tcPr>
            <w:tcW w:w="521"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 </w:t>
            </w:r>
          </w:p>
        </w:tc>
      </w:tr>
      <w:tr w:rsidR="00853F1D" w:rsidRPr="00853F1D" w:rsidTr="00853F1D">
        <w:trPr>
          <w:trHeight w:val="300"/>
          <w:jc w:val="center"/>
        </w:trPr>
        <w:tc>
          <w:tcPr>
            <w:tcW w:w="1624" w:type="dxa"/>
            <w:tcBorders>
              <w:top w:val="nil"/>
              <w:left w:val="nil"/>
              <w:bottom w:val="single" w:sz="4" w:space="0" w:color="auto"/>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Component</w:t>
            </w:r>
          </w:p>
        </w:tc>
        <w:tc>
          <w:tcPr>
            <w:tcW w:w="1195" w:type="dxa"/>
            <w:tcBorders>
              <w:top w:val="nil"/>
              <w:left w:val="nil"/>
              <w:bottom w:val="single" w:sz="4" w:space="0" w:color="auto"/>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Number</w:t>
            </w:r>
          </w:p>
        </w:tc>
        <w:tc>
          <w:tcPr>
            <w:tcW w:w="3647" w:type="dxa"/>
            <w:gridSpan w:val="7"/>
            <w:tcBorders>
              <w:top w:val="single" w:sz="4" w:space="0" w:color="auto"/>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proofErr w:type="spellStart"/>
            <w:r w:rsidRPr="00853F1D">
              <w:rPr>
                <w:rFonts w:ascii="Calibri" w:eastAsia="Times New Roman" w:hAnsi="Calibri" w:cs="Times New Roman"/>
                <w:b/>
                <w:bCs/>
                <w:color w:val="000000"/>
                <w:sz w:val="20"/>
                <w:szCs w:val="20"/>
              </w:rPr>
              <w:t>Xss</w:t>
            </w:r>
            <w:proofErr w:type="spellEnd"/>
            <w:r w:rsidRPr="00853F1D">
              <w:rPr>
                <w:rFonts w:ascii="Calibri" w:eastAsia="Times New Roman" w:hAnsi="Calibri" w:cs="Times New Roman"/>
                <w:b/>
                <w:bCs/>
                <w:color w:val="000000"/>
                <w:sz w:val="20"/>
                <w:szCs w:val="20"/>
              </w:rPr>
              <w:t xml:space="preserve"> Number</w:t>
            </w:r>
          </w:p>
        </w:tc>
      </w:tr>
      <w:tr w:rsidR="00853F1D" w:rsidRPr="00853F1D" w:rsidTr="00853F1D">
        <w:trPr>
          <w:trHeight w:val="300"/>
          <w:jc w:val="center"/>
        </w:trPr>
        <w:tc>
          <w:tcPr>
            <w:tcW w:w="1624"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H</w:t>
            </w:r>
            <w:r w:rsidRPr="00853F1D">
              <w:rPr>
                <w:rFonts w:ascii="Calibri" w:eastAsia="Times New Roman" w:hAnsi="Calibri" w:cs="Times New Roman"/>
                <w:sz w:val="20"/>
                <w:szCs w:val="20"/>
                <w:vertAlign w:val="subscript"/>
              </w:rPr>
              <w:t>2</w:t>
            </w:r>
            <w:r w:rsidRPr="00853F1D">
              <w:rPr>
                <w:rFonts w:ascii="Calibri" w:eastAsia="Times New Roman" w:hAnsi="Calibri" w:cs="Times New Roman"/>
                <w:sz w:val="20"/>
                <w:szCs w:val="20"/>
              </w:rPr>
              <w:t>O</w:t>
            </w:r>
          </w:p>
        </w:tc>
        <w:tc>
          <w:tcPr>
            <w:tcW w:w="1195"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1</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204</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211</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p>
        </w:tc>
      </w:tr>
      <w:tr w:rsidR="00853F1D" w:rsidRPr="00853F1D" w:rsidTr="00853F1D">
        <w:trPr>
          <w:trHeight w:val="300"/>
          <w:jc w:val="center"/>
        </w:trPr>
        <w:tc>
          <w:tcPr>
            <w:tcW w:w="1624"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N</w:t>
            </w:r>
            <w:r w:rsidRPr="00853F1D">
              <w:rPr>
                <w:rFonts w:ascii="Calibri" w:eastAsia="Times New Roman" w:hAnsi="Calibri" w:cs="Times New Roman"/>
                <w:sz w:val="20"/>
                <w:szCs w:val="20"/>
                <w:vertAlign w:val="subscript"/>
              </w:rPr>
              <w:t>2</w:t>
            </w:r>
          </w:p>
        </w:tc>
        <w:tc>
          <w:tcPr>
            <w:tcW w:w="1195"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2</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202</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205</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212</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p>
        </w:tc>
      </w:tr>
      <w:tr w:rsidR="00853F1D" w:rsidRPr="00853F1D" w:rsidTr="00853F1D">
        <w:trPr>
          <w:trHeight w:val="300"/>
          <w:jc w:val="center"/>
        </w:trPr>
        <w:tc>
          <w:tcPr>
            <w:tcW w:w="1624"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NH</w:t>
            </w:r>
            <w:r w:rsidRPr="00853F1D">
              <w:rPr>
                <w:rFonts w:ascii="Calibri" w:eastAsia="Times New Roman" w:hAnsi="Calibri" w:cs="Times New Roman"/>
                <w:sz w:val="20"/>
                <w:szCs w:val="20"/>
                <w:vertAlign w:val="subscript"/>
              </w:rPr>
              <w:t>3</w:t>
            </w:r>
          </w:p>
        </w:tc>
        <w:tc>
          <w:tcPr>
            <w:tcW w:w="1195"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3</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p>
        </w:tc>
      </w:tr>
      <w:tr w:rsidR="00853F1D" w:rsidRPr="00853F1D" w:rsidTr="00853F1D">
        <w:trPr>
          <w:trHeight w:val="285"/>
          <w:jc w:val="center"/>
        </w:trPr>
        <w:tc>
          <w:tcPr>
            <w:tcW w:w="1624"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H</w:t>
            </w:r>
            <w:r w:rsidRPr="00853F1D">
              <w:rPr>
                <w:rFonts w:ascii="Calibri" w:eastAsia="Times New Roman" w:hAnsi="Calibri" w:cs="Times New Roman"/>
                <w:sz w:val="20"/>
                <w:szCs w:val="20"/>
                <w:vertAlign w:val="subscript"/>
              </w:rPr>
              <w:t>2</w:t>
            </w:r>
          </w:p>
        </w:tc>
        <w:tc>
          <w:tcPr>
            <w:tcW w:w="1195"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5</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p>
        </w:tc>
      </w:tr>
      <w:tr w:rsidR="00853F1D" w:rsidRPr="00853F1D" w:rsidTr="00853F1D">
        <w:trPr>
          <w:trHeight w:val="255"/>
          <w:jc w:val="center"/>
        </w:trPr>
        <w:tc>
          <w:tcPr>
            <w:tcW w:w="1624"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HF</w:t>
            </w:r>
          </w:p>
        </w:tc>
        <w:tc>
          <w:tcPr>
            <w:tcW w:w="1195"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6</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201</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203</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206</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213</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p>
        </w:tc>
      </w:tr>
      <w:tr w:rsidR="00853F1D" w:rsidRPr="00853F1D" w:rsidTr="00853F1D">
        <w:trPr>
          <w:trHeight w:val="285"/>
          <w:jc w:val="center"/>
        </w:trPr>
        <w:tc>
          <w:tcPr>
            <w:tcW w:w="1624"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CO</w:t>
            </w:r>
            <w:r w:rsidRPr="00853F1D">
              <w:rPr>
                <w:rFonts w:ascii="Calibri" w:eastAsia="Times New Roman" w:hAnsi="Calibri" w:cs="Times New Roman"/>
                <w:sz w:val="20"/>
                <w:szCs w:val="20"/>
                <w:vertAlign w:val="subscript"/>
              </w:rPr>
              <w:t>2</w:t>
            </w:r>
          </w:p>
        </w:tc>
        <w:tc>
          <w:tcPr>
            <w:tcW w:w="1195"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8</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p>
        </w:tc>
      </w:tr>
      <w:tr w:rsidR="00853F1D" w:rsidRPr="00853F1D" w:rsidTr="00853F1D">
        <w:trPr>
          <w:trHeight w:val="285"/>
          <w:jc w:val="center"/>
        </w:trPr>
        <w:tc>
          <w:tcPr>
            <w:tcW w:w="1624"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UF</w:t>
            </w:r>
            <w:r w:rsidRPr="00853F1D">
              <w:rPr>
                <w:rFonts w:ascii="Calibri" w:eastAsia="Times New Roman" w:hAnsi="Calibri" w:cs="Times New Roman"/>
                <w:sz w:val="20"/>
                <w:szCs w:val="20"/>
                <w:vertAlign w:val="subscript"/>
              </w:rPr>
              <w:t>4</w:t>
            </w:r>
          </w:p>
        </w:tc>
        <w:tc>
          <w:tcPr>
            <w:tcW w:w="1195"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16</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207</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214</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218</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p>
        </w:tc>
      </w:tr>
      <w:tr w:rsidR="00853F1D" w:rsidRPr="00853F1D" w:rsidTr="00853F1D">
        <w:trPr>
          <w:trHeight w:val="285"/>
          <w:jc w:val="center"/>
        </w:trPr>
        <w:tc>
          <w:tcPr>
            <w:tcW w:w="1624"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UO</w:t>
            </w:r>
            <w:r w:rsidRPr="00853F1D">
              <w:rPr>
                <w:rFonts w:ascii="Calibri" w:eastAsia="Times New Roman" w:hAnsi="Calibri" w:cs="Times New Roman"/>
                <w:sz w:val="20"/>
                <w:szCs w:val="20"/>
                <w:vertAlign w:val="subscript"/>
              </w:rPr>
              <w:t>2</w:t>
            </w:r>
          </w:p>
        </w:tc>
        <w:tc>
          <w:tcPr>
            <w:tcW w:w="1195"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17</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198</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208</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215</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219</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p>
        </w:tc>
      </w:tr>
      <w:tr w:rsidR="00853F1D" w:rsidRPr="00853F1D" w:rsidTr="00853F1D">
        <w:trPr>
          <w:trHeight w:val="285"/>
          <w:jc w:val="center"/>
        </w:trPr>
        <w:tc>
          <w:tcPr>
            <w:tcW w:w="1624"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U</w:t>
            </w:r>
            <w:r w:rsidRPr="00853F1D">
              <w:rPr>
                <w:rFonts w:ascii="Calibri" w:eastAsia="Times New Roman" w:hAnsi="Calibri" w:cs="Times New Roman"/>
                <w:sz w:val="20"/>
                <w:szCs w:val="20"/>
                <w:vertAlign w:val="subscript"/>
              </w:rPr>
              <w:t>3</w:t>
            </w:r>
            <w:r w:rsidRPr="00853F1D">
              <w:rPr>
                <w:rFonts w:ascii="Calibri" w:eastAsia="Times New Roman" w:hAnsi="Calibri" w:cs="Times New Roman"/>
                <w:sz w:val="20"/>
                <w:szCs w:val="20"/>
              </w:rPr>
              <w:t>O</w:t>
            </w:r>
            <w:r w:rsidRPr="00853F1D">
              <w:rPr>
                <w:rFonts w:ascii="Calibri" w:eastAsia="Times New Roman" w:hAnsi="Calibri" w:cs="Times New Roman"/>
                <w:sz w:val="20"/>
                <w:szCs w:val="20"/>
                <w:vertAlign w:val="subscript"/>
              </w:rPr>
              <w:t>8</w:t>
            </w:r>
          </w:p>
        </w:tc>
        <w:tc>
          <w:tcPr>
            <w:tcW w:w="1195"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18</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199</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209</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216</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220</w:t>
            </w:r>
          </w:p>
        </w:tc>
        <w:tc>
          <w:tcPr>
            <w:tcW w:w="521"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p>
        </w:tc>
      </w:tr>
      <w:tr w:rsidR="00853F1D" w:rsidRPr="00853F1D" w:rsidTr="00853F1D">
        <w:trPr>
          <w:trHeight w:val="300"/>
          <w:jc w:val="center"/>
        </w:trPr>
        <w:tc>
          <w:tcPr>
            <w:tcW w:w="1624" w:type="dxa"/>
            <w:tcBorders>
              <w:top w:val="nil"/>
              <w:left w:val="nil"/>
              <w:bottom w:val="single" w:sz="8" w:space="0" w:color="auto"/>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(NH</w:t>
            </w:r>
            <w:r w:rsidRPr="00853F1D">
              <w:rPr>
                <w:rFonts w:ascii="Calibri" w:eastAsia="Times New Roman" w:hAnsi="Calibri" w:cs="Times New Roman"/>
                <w:sz w:val="20"/>
                <w:szCs w:val="20"/>
                <w:vertAlign w:val="subscript"/>
              </w:rPr>
              <w:t>4</w:t>
            </w:r>
            <w:r w:rsidRPr="00853F1D">
              <w:rPr>
                <w:rFonts w:ascii="Calibri" w:eastAsia="Times New Roman" w:hAnsi="Calibri" w:cs="Times New Roman"/>
                <w:sz w:val="20"/>
                <w:szCs w:val="20"/>
              </w:rPr>
              <w:t>)</w:t>
            </w:r>
            <w:r w:rsidRPr="00853F1D">
              <w:rPr>
                <w:rFonts w:ascii="Calibri" w:eastAsia="Times New Roman" w:hAnsi="Calibri" w:cs="Times New Roman"/>
                <w:sz w:val="20"/>
                <w:szCs w:val="20"/>
                <w:vertAlign w:val="subscript"/>
              </w:rPr>
              <w:t>4</w:t>
            </w:r>
            <w:r w:rsidRPr="00853F1D">
              <w:rPr>
                <w:rFonts w:ascii="Calibri" w:eastAsia="Times New Roman" w:hAnsi="Calibri" w:cs="Times New Roman"/>
                <w:sz w:val="20"/>
                <w:szCs w:val="20"/>
              </w:rPr>
              <w:t>UO</w:t>
            </w:r>
            <w:r w:rsidRPr="00853F1D">
              <w:rPr>
                <w:rFonts w:ascii="Calibri" w:eastAsia="Times New Roman" w:hAnsi="Calibri" w:cs="Times New Roman"/>
                <w:sz w:val="20"/>
                <w:szCs w:val="20"/>
                <w:vertAlign w:val="subscript"/>
              </w:rPr>
              <w:t>2</w:t>
            </w:r>
            <w:r w:rsidRPr="00853F1D">
              <w:rPr>
                <w:rFonts w:ascii="Calibri" w:eastAsia="Times New Roman" w:hAnsi="Calibri" w:cs="Times New Roman"/>
                <w:sz w:val="20"/>
                <w:szCs w:val="20"/>
              </w:rPr>
              <w:t>(CO</w:t>
            </w:r>
            <w:r w:rsidRPr="00853F1D">
              <w:rPr>
                <w:rFonts w:ascii="Calibri" w:eastAsia="Times New Roman" w:hAnsi="Calibri" w:cs="Times New Roman"/>
                <w:sz w:val="20"/>
                <w:szCs w:val="20"/>
                <w:vertAlign w:val="subscript"/>
              </w:rPr>
              <w:t>3</w:t>
            </w:r>
            <w:r w:rsidRPr="00853F1D">
              <w:rPr>
                <w:rFonts w:ascii="Calibri" w:eastAsia="Times New Roman" w:hAnsi="Calibri" w:cs="Times New Roman"/>
                <w:sz w:val="20"/>
                <w:szCs w:val="20"/>
              </w:rPr>
              <w:t>)</w:t>
            </w:r>
            <w:r w:rsidRPr="00853F1D">
              <w:rPr>
                <w:rFonts w:ascii="Calibri" w:eastAsia="Times New Roman" w:hAnsi="Calibri" w:cs="Times New Roman"/>
                <w:sz w:val="20"/>
                <w:szCs w:val="20"/>
                <w:vertAlign w:val="subscript"/>
              </w:rPr>
              <w:t>3</w:t>
            </w:r>
          </w:p>
        </w:tc>
        <w:tc>
          <w:tcPr>
            <w:tcW w:w="1195" w:type="dxa"/>
            <w:tcBorders>
              <w:top w:val="nil"/>
              <w:left w:val="nil"/>
              <w:bottom w:val="single" w:sz="8" w:space="0" w:color="auto"/>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19</w:t>
            </w:r>
          </w:p>
        </w:tc>
        <w:tc>
          <w:tcPr>
            <w:tcW w:w="521"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200</w:t>
            </w:r>
          </w:p>
        </w:tc>
        <w:tc>
          <w:tcPr>
            <w:tcW w:w="521"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210</w:t>
            </w:r>
          </w:p>
        </w:tc>
        <w:tc>
          <w:tcPr>
            <w:tcW w:w="521"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217</w:t>
            </w:r>
          </w:p>
        </w:tc>
        <w:tc>
          <w:tcPr>
            <w:tcW w:w="521"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521"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 </w:t>
            </w:r>
          </w:p>
        </w:tc>
      </w:tr>
    </w:tbl>
    <w:p w:rsidR="00853F1D" w:rsidRDefault="00853F1D"/>
    <w:p w:rsidR="00853F1D" w:rsidRDefault="00853F1D"/>
    <w:p w:rsidR="00DC329E" w:rsidRDefault="00DC329E">
      <w:r>
        <w:br w:type="page"/>
      </w:r>
    </w:p>
    <w:tbl>
      <w:tblPr>
        <w:tblW w:w="5616" w:type="dxa"/>
        <w:jc w:val="center"/>
        <w:tblLook w:val="04A0" w:firstRow="1" w:lastRow="0" w:firstColumn="1" w:lastColumn="0" w:noHBand="0" w:noVBand="1"/>
      </w:tblPr>
      <w:tblGrid>
        <w:gridCol w:w="1208"/>
        <w:gridCol w:w="1208"/>
        <w:gridCol w:w="521"/>
        <w:gridCol w:w="521"/>
        <w:gridCol w:w="521"/>
        <w:gridCol w:w="521"/>
        <w:gridCol w:w="521"/>
        <w:gridCol w:w="521"/>
        <w:gridCol w:w="521"/>
        <w:gridCol w:w="521"/>
      </w:tblGrid>
      <w:tr w:rsidR="00853F1D" w:rsidRPr="00853F1D" w:rsidTr="00853F1D">
        <w:trPr>
          <w:trHeight w:val="315"/>
          <w:jc w:val="center"/>
        </w:trPr>
        <w:tc>
          <w:tcPr>
            <w:tcW w:w="5520" w:type="dxa"/>
            <w:gridSpan w:val="10"/>
            <w:tcBorders>
              <w:top w:val="nil"/>
              <w:left w:val="nil"/>
              <w:bottom w:val="single" w:sz="8" w:space="0" w:color="auto"/>
              <w:right w:val="nil"/>
            </w:tcBorders>
            <w:shd w:val="clear" w:color="auto" w:fill="auto"/>
            <w:noWrap/>
            <w:vAlign w:val="center"/>
            <w:hideMark/>
          </w:tcPr>
          <w:p w:rsidR="00853F1D" w:rsidRPr="00853F1D" w:rsidRDefault="00853F1D" w:rsidP="00F32FD3">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lastRenderedPageBreak/>
              <w:t>Table 3.6. State Variable Numbers for Module 5</w:t>
            </w:r>
            <w:r w:rsidR="00F32FD3">
              <w:rPr>
                <w:rFonts w:ascii="Calibri" w:eastAsia="Times New Roman" w:hAnsi="Calibri" w:cs="Times New Roman"/>
                <w:b/>
                <w:bCs/>
                <w:color w:val="000000"/>
                <w:sz w:val="20"/>
                <w:szCs w:val="20"/>
              </w:rPr>
              <w:t xml:space="preserve"> </w:t>
            </w:r>
            <w:r w:rsidR="00F32FD3" w:rsidRPr="00F32FD3">
              <w:rPr>
                <w:rFonts w:ascii="Calibri" w:eastAsia="Times New Roman" w:hAnsi="Calibri" w:cs="Times New Roman"/>
                <w:b/>
                <w:bCs/>
                <w:color w:val="000000"/>
                <w:sz w:val="20"/>
                <w:szCs w:val="20"/>
              </w:rPr>
              <w:t>[</w:t>
            </w:r>
            <w:proofErr w:type="spellStart"/>
            <w:r w:rsidR="00F32FD3" w:rsidRPr="00F32FD3">
              <w:rPr>
                <w:rFonts w:ascii="Calibri" w:eastAsia="Times New Roman" w:hAnsi="Calibri" w:cs="Times New Roman"/>
                <w:b/>
                <w:bCs/>
                <w:color w:val="000000"/>
                <w:sz w:val="20"/>
                <w:szCs w:val="20"/>
              </w:rPr>
              <w:t>Xss</w:t>
            </w:r>
            <w:proofErr w:type="spellEnd"/>
            <w:r w:rsidR="00F32FD3" w:rsidRPr="00F32FD3">
              <w:rPr>
                <w:rFonts w:ascii="Calibri" w:eastAsia="Times New Roman" w:hAnsi="Calibri" w:cs="Times New Roman"/>
                <w:b/>
                <w:bCs/>
                <w:color w:val="000000"/>
                <w:sz w:val="20"/>
                <w:szCs w:val="20"/>
              </w:rPr>
              <w:t>(</w:t>
            </w:r>
            <w:r w:rsidR="00F32FD3">
              <w:rPr>
                <w:rFonts w:ascii="Calibri" w:eastAsia="Times New Roman" w:hAnsi="Calibri" w:cs="Times New Roman"/>
                <w:b/>
                <w:bCs/>
                <w:color w:val="000000"/>
                <w:sz w:val="20"/>
                <w:szCs w:val="20"/>
              </w:rPr>
              <w:t>221–273</w:t>
            </w:r>
            <w:r w:rsidR="00F32FD3" w:rsidRPr="00F32FD3">
              <w:rPr>
                <w:rFonts w:ascii="Calibri" w:eastAsia="Times New Roman" w:hAnsi="Calibri" w:cs="Times New Roman"/>
                <w:b/>
                <w:bCs/>
                <w:color w:val="000000"/>
                <w:sz w:val="20"/>
                <w:szCs w:val="20"/>
              </w:rPr>
              <w:t>)]</w:t>
            </w:r>
          </w:p>
        </w:tc>
      </w:tr>
      <w:tr w:rsidR="00853F1D" w:rsidRPr="00853F1D" w:rsidTr="00853F1D">
        <w:trPr>
          <w:trHeight w:val="255"/>
          <w:jc w:val="center"/>
        </w:trPr>
        <w:tc>
          <w:tcPr>
            <w:tcW w:w="120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p>
        </w:tc>
        <w:tc>
          <w:tcPr>
            <w:tcW w:w="1208" w:type="dxa"/>
            <w:tcBorders>
              <w:top w:val="nil"/>
              <w:left w:val="nil"/>
              <w:bottom w:val="nil"/>
              <w:right w:val="single" w:sz="4" w:space="0" w:color="auto"/>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 </w:t>
            </w:r>
          </w:p>
        </w:tc>
        <w:tc>
          <w:tcPr>
            <w:tcW w:w="3104" w:type="dxa"/>
            <w:gridSpan w:val="8"/>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Stream Number</w:t>
            </w:r>
          </w:p>
        </w:tc>
      </w:tr>
      <w:tr w:rsidR="00853F1D" w:rsidRPr="00853F1D" w:rsidTr="00853F1D">
        <w:trPr>
          <w:trHeight w:val="255"/>
          <w:jc w:val="center"/>
        </w:trPr>
        <w:tc>
          <w:tcPr>
            <w:tcW w:w="1208"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Chemical</w:t>
            </w:r>
          </w:p>
        </w:tc>
        <w:tc>
          <w:tcPr>
            <w:tcW w:w="1208"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Component</w:t>
            </w:r>
          </w:p>
        </w:tc>
        <w:tc>
          <w:tcPr>
            <w:tcW w:w="388"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45</w:t>
            </w:r>
          </w:p>
        </w:tc>
        <w:tc>
          <w:tcPr>
            <w:tcW w:w="388"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46</w:t>
            </w:r>
          </w:p>
        </w:tc>
        <w:tc>
          <w:tcPr>
            <w:tcW w:w="388"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47</w:t>
            </w:r>
          </w:p>
        </w:tc>
        <w:tc>
          <w:tcPr>
            <w:tcW w:w="388"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48</w:t>
            </w:r>
          </w:p>
        </w:tc>
        <w:tc>
          <w:tcPr>
            <w:tcW w:w="388"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49</w:t>
            </w:r>
          </w:p>
        </w:tc>
        <w:tc>
          <w:tcPr>
            <w:tcW w:w="388"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50</w:t>
            </w:r>
          </w:p>
        </w:tc>
        <w:tc>
          <w:tcPr>
            <w:tcW w:w="388"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51</w:t>
            </w:r>
          </w:p>
        </w:tc>
        <w:tc>
          <w:tcPr>
            <w:tcW w:w="388"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52</w:t>
            </w:r>
          </w:p>
        </w:tc>
      </w:tr>
      <w:tr w:rsidR="00853F1D" w:rsidRPr="00853F1D" w:rsidTr="00853F1D">
        <w:trPr>
          <w:trHeight w:val="255"/>
          <w:jc w:val="center"/>
        </w:trPr>
        <w:tc>
          <w:tcPr>
            <w:tcW w:w="1208" w:type="dxa"/>
            <w:tcBorders>
              <w:top w:val="nil"/>
              <w:left w:val="nil"/>
              <w:bottom w:val="single" w:sz="4" w:space="0" w:color="auto"/>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Component</w:t>
            </w:r>
          </w:p>
        </w:tc>
        <w:tc>
          <w:tcPr>
            <w:tcW w:w="1208" w:type="dxa"/>
            <w:tcBorders>
              <w:top w:val="nil"/>
              <w:left w:val="nil"/>
              <w:bottom w:val="single" w:sz="4" w:space="0" w:color="auto"/>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Number</w:t>
            </w:r>
          </w:p>
        </w:tc>
        <w:tc>
          <w:tcPr>
            <w:tcW w:w="3104" w:type="dxa"/>
            <w:gridSpan w:val="8"/>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proofErr w:type="spellStart"/>
            <w:r w:rsidRPr="00853F1D">
              <w:rPr>
                <w:rFonts w:ascii="Calibri" w:eastAsia="Times New Roman" w:hAnsi="Calibri" w:cs="Times New Roman"/>
                <w:b/>
                <w:bCs/>
                <w:color w:val="000000"/>
                <w:sz w:val="20"/>
                <w:szCs w:val="20"/>
              </w:rPr>
              <w:t>Xss</w:t>
            </w:r>
            <w:proofErr w:type="spellEnd"/>
            <w:r w:rsidRPr="00853F1D">
              <w:rPr>
                <w:rFonts w:ascii="Calibri" w:eastAsia="Times New Roman" w:hAnsi="Calibri" w:cs="Times New Roman"/>
                <w:b/>
                <w:bCs/>
                <w:color w:val="000000"/>
                <w:sz w:val="20"/>
                <w:szCs w:val="20"/>
              </w:rPr>
              <w:t xml:space="preserve"> Number</w:t>
            </w:r>
          </w:p>
        </w:tc>
      </w:tr>
      <w:tr w:rsidR="00853F1D" w:rsidRPr="00853F1D" w:rsidTr="00853F1D">
        <w:trPr>
          <w:trHeight w:val="285"/>
          <w:jc w:val="center"/>
        </w:trPr>
        <w:tc>
          <w:tcPr>
            <w:tcW w:w="1208"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N</w:t>
            </w:r>
            <w:r w:rsidRPr="00853F1D">
              <w:rPr>
                <w:rFonts w:ascii="Calibri" w:eastAsia="Times New Roman" w:hAnsi="Calibri" w:cs="Times New Roman"/>
                <w:sz w:val="20"/>
                <w:szCs w:val="20"/>
                <w:vertAlign w:val="subscript"/>
              </w:rPr>
              <w:t>2</w:t>
            </w:r>
          </w:p>
        </w:tc>
        <w:tc>
          <w:tcPr>
            <w:tcW w:w="1208"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2</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228</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233</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242</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r>
      <w:tr w:rsidR="00853F1D" w:rsidRPr="00853F1D" w:rsidTr="00853F1D">
        <w:trPr>
          <w:trHeight w:val="285"/>
          <w:jc w:val="center"/>
        </w:trPr>
        <w:tc>
          <w:tcPr>
            <w:tcW w:w="1208"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F</w:t>
            </w:r>
            <w:r w:rsidRPr="00853F1D">
              <w:rPr>
                <w:rFonts w:ascii="Calibri" w:eastAsia="Times New Roman" w:hAnsi="Calibri" w:cs="Times New Roman"/>
                <w:sz w:val="20"/>
                <w:szCs w:val="20"/>
                <w:vertAlign w:val="subscript"/>
              </w:rPr>
              <w:t>2</w:t>
            </w:r>
          </w:p>
        </w:tc>
        <w:tc>
          <w:tcPr>
            <w:tcW w:w="1208"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7</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227</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229</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234</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243</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r>
      <w:tr w:rsidR="00853F1D" w:rsidRPr="00853F1D" w:rsidTr="00853F1D">
        <w:trPr>
          <w:trHeight w:val="285"/>
          <w:jc w:val="center"/>
        </w:trPr>
        <w:tc>
          <w:tcPr>
            <w:tcW w:w="1208"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UF</w:t>
            </w:r>
            <w:r w:rsidRPr="00853F1D">
              <w:rPr>
                <w:rFonts w:ascii="Calibri" w:eastAsia="Times New Roman" w:hAnsi="Calibri" w:cs="Times New Roman"/>
                <w:sz w:val="20"/>
                <w:szCs w:val="20"/>
                <w:vertAlign w:val="subscript"/>
              </w:rPr>
              <w:t>6</w:t>
            </w:r>
          </w:p>
        </w:tc>
        <w:tc>
          <w:tcPr>
            <w:tcW w:w="1208"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15</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235</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244</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246</w:t>
            </w:r>
          </w:p>
        </w:tc>
      </w:tr>
      <w:tr w:rsidR="00853F1D" w:rsidRPr="00853F1D" w:rsidTr="00853F1D">
        <w:trPr>
          <w:trHeight w:val="285"/>
          <w:jc w:val="center"/>
        </w:trPr>
        <w:tc>
          <w:tcPr>
            <w:tcW w:w="1208"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UF</w:t>
            </w:r>
            <w:r w:rsidRPr="00853F1D">
              <w:rPr>
                <w:rFonts w:ascii="Calibri" w:eastAsia="Times New Roman" w:hAnsi="Calibri" w:cs="Times New Roman"/>
                <w:sz w:val="20"/>
                <w:szCs w:val="20"/>
                <w:vertAlign w:val="subscript"/>
              </w:rPr>
              <w:t>4</w:t>
            </w:r>
          </w:p>
        </w:tc>
        <w:tc>
          <w:tcPr>
            <w:tcW w:w="1208"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16</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221</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224</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230</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236</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239</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245</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r>
      <w:tr w:rsidR="00853F1D" w:rsidRPr="00853F1D" w:rsidTr="00853F1D">
        <w:trPr>
          <w:trHeight w:val="285"/>
          <w:jc w:val="center"/>
        </w:trPr>
        <w:tc>
          <w:tcPr>
            <w:tcW w:w="1208"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UO</w:t>
            </w:r>
            <w:r w:rsidRPr="00853F1D">
              <w:rPr>
                <w:rFonts w:ascii="Calibri" w:eastAsia="Times New Roman" w:hAnsi="Calibri" w:cs="Times New Roman"/>
                <w:sz w:val="20"/>
                <w:szCs w:val="20"/>
                <w:vertAlign w:val="subscript"/>
              </w:rPr>
              <w:t>2</w:t>
            </w:r>
          </w:p>
        </w:tc>
        <w:tc>
          <w:tcPr>
            <w:tcW w:w="1208"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17</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222</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225</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231</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237</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240</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r>
      <w:tr w:rsidR="00853F1D" w:rsidRPr="00853F1D" w:rsidTr="00853F1D">
        <w:trPr>
          <w:trHeight w:val="300"/>
          <w:jc w:val="center"/>
        </w:trPr>
        <w:tc>
          <w:tcPr>
            <w:tcW w:w="1208" w:type="dxa"/>
            <w:tcBorders>
              <w:top w:val="nil"/>
              <w:left w:val="nil"/>
              <w:bottom w:val="single" w:sz="8" w:space="0" w:color="auto"/>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U</w:t>
            </w:r>
            <w:r w:rsidRPr="00853F1D">
              <w:rPr>
                <w:rFonts w:ascii="Calibri" w:eastAsia="Times New Roman" w:hAnsi="Calibri" w:cs="Times New Roman"/>
                <w:sz w:val="20"/>
                <w:szCs w:val="20"/>
                <w:vertAlign w:val="subscript"/>
              </w:rPr>
              <w:t>3</w:t>
            </w:r>
            <w:r w:rsidRPr="00853F1D">
              <w:rPr>
                <w:rFonts w:ascii="Calibri" w:eastAsia="Times New Roman" w:hAnsi="Calibri" w:cs="Times New Roman"/>
                <w:sz w:val="20"/>
                <w:szCs w:val="20"/>
              </w:rPr>
              <w:t>O</w:t>
            </w:r>
            <w:r w:rsidRPr="00853F1D">
              <w:rPr>
                <w:rFonts w:ascii="Calibri" w:eastAsia="Times New Roman" w:hAnsi="Calibri" w:cs="Times New Roman"/>
                <w:sz w:val="20"/>
                <w:szCs w:val="20"/>
                <w:vertAlign w:val="subscript"/>
              </w:rPr>
              <w:t>8</w:t>
            </w:r>
          </w:p>
        </w:tc>
        <w:tc>
          <w:tcPr>
            <w:tcW w:w="1208" w:type="dxa"/>
            <w:tcBorders>
              <w:top w:val="nil"/>
              <w:left w:val="nil"/>
              <w:bottom w:val="single" w:sz="8" w:space="0" w:color="auto"/>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18</w:t>
            </w:r>
          </w:p>
        </w:tc>
        <w:tc>
          <w:tcPr>
            <w:tcW w:w="388"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223</w:t>
            </w:r>
          </w:p>
        </w:tc>
        <w:tc>
          <w:tcPr>
            <w:tcW w:w="388"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226</w:t>
            </w:r>
          </w:p>
        </w:tc>
        <w:tc>
          <w:tcPr>
            <w:tcW w:w="388"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388"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232</w:t>
            </w:r>
          </w:p>
        </w:tc>
        <w:tc>
          <w:tcPr>
            <w:tcW w:w="388"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238</w:t>
            </w:r>
          </w:p>
        </w:tc>
        <w:tc>
          <w:tcPr>
            <w:tcW w:w="388"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241</w:t>
            </w:r>
          </w:p>
        </w:tc>
        <w:tc>
          <w:tcPr>
            <w:tcW w:w="388"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388"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r>
      <w:tr w:rsidR="00853F1D" w:rsidRPr="00853F1D" w:rsidTr="00853F1D">
        <w:trPr>
          <w:trHeight w:val="255"/>
          <w:jc w:val="center"/>
        </w:trPr>
        <w:tc>
          <w:tcPr>
            <w:tcW w:w="120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p>
        </w:tc>
        <w:tc>
          <w:tcPr>
            <w:tcW w:w="1208" w:type="dxa"/>
            <w:tcBorders>
              <w:top w:val="nil"/>
              <w:left w:val="nil"/>
              <w:bottom w:val="nil"/>
              <w:right w:val="single" w:sz="4" w:space="0" w:color="auto"/>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 </w:t>
            </w:r>
          </w:p>
        </w:tc>
        <w:tc>
          <w:tcPr>
            <w:tcW w:w="3104" w:type="dxa"/>
            <w:gridSpan w:val="8"/>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Stream Number</w:t>
            </w:r>
          </w:p>
        </w:tc>
      </w:tr>
      <w:tr w:rsidR="00853F1D" w:rsidRPr="00853F1D" w:rsidTr="00853F1D">
        <w:trPr>
          <w:trHeight w:val="255"/>
          <w:jc w:val="center"/>
        </w:trPr>
        <w:tc>
          <w:tcPr>
            <w:tcW w:w="1208"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Chemical</w:t>
            </w:r>
          </w:p>
        </w:tc>
        <w:tc>
          <w:tcPr>
            <w:tcW w:w="1208"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Component</w:t>
            </w:r>
          </w:p>
        </w:tc>
        <w:tc>
          <w:tcPr>
            <w:tcW w:w="388"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53</w:t>
            </w:r>
          </w:p>
        </w:tc>
        <w:tc>
          <w:tcPr>
            <w:tcW w:w="388"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54</w:t>
            </w:r>
          </w:p>
        </w:tc>
        <w:tc>
          <w:tcPr>
            <w:tcW w:w="388"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55</w:t>
            </w:r>
          </w:p>
        </w:tc>
        <w:tc>
          <w:tcPr>
            <w:tcW w:w="388"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56</w:t>
            </w:r>
          </w:p>
        </w:tc>
        <w:tc>
          <w:tcPr>
            <w:tcW w:w="388"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57</w:t>
            </w:r>
          </w:p>
        </w:tc>
        <w:tc>
          <w:tcPr>
            <w:tcW w:w="388"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58</w:t>
            </w:r>
          </w:p>
        </w:tc>
        <w:tc>
          <w:tcPr>
            <w:tcW w:w="388"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59</w:t>
            </w:r>
          </w:p>
        </w:tc>
        <w:tc>
          <w:tcPr>
            <w:tcW w:w="388" w:type="dxa"/>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60</w:t>
            </w:r>
          </w:p>
        </w:tc>
      </w:tr>
      <w:tr w:rsidR="00853F1D" w:rsidRPr="00853F1D" w:rsidTr="00853F1D">
        <w:trPr>
          <w:trHeight w:val="255"/>
          <w:jc w:val="center"/>
        </w:trPr>
        <w:tc>
          <w:tcPr>
            <w:tcW w:w="1208" w:type="dxa"/>
            <w:tcBorders>
              <w:top w:val="nil"/>
              <w:left w:val="nil"/>
              <w:bottom w:val="single" w:sz="4" w:space="0" w:color="auto"/>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Component</w:t>
            </w:r>
          </w:p>
        </w:tc>
        <w:tc>
          <w:tcPr>
            <w:tcW w:w="1208" w:type="dxa"/>
            <w:tcBorders>
              <w:top w:val="nil"/>
              <w:left w:val="nil"/>
              <w:bottom w:val="single" w:sz="4" w:space="0" w:color="auto"/>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r w:rsidRPr="00853F1D">
              <w:rPr>
                <w:rFonts w:ascii="Calibri" w:eastAsia="Times New Roman" w:hAnsi="Calibri" w:cs="Times New Roman"/>
                <w:b/>
                <w:bCs/>
                <w:color w:val="000000"/>
                <w:sz w:val="20"/>
                <w:szCs w:val="20"/>
              </w:rPr>
              <w:t>Number</w:t>
            </w:r>
          </w:p>
        </w:tc>
        <w:tc>
          <w:tcPr>
            <w:tcW w:w="3104" w:type="dxa"/>
            <w:gridSpan w:val="8"/>
            <w:tcBorders>
              <w:top w:val="nil"/>
              <w:left w:val="nil"/>
              <w:bottom w:val="single" w:sz="4"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b/>
                <w:bCs/>
                <w:color w:val="000000"/>
                <w:sz w:val="20"/>
                <w:szCs w:val="20"/>
              </w:rPr>
            </w:pPr>
            <w:proofErr w:type="spellStart"/>
            <w:r w:rsidRPr="00853F1D">
              <w:rPr>
                <w:rFonts w:ascii="Calibri" w:eastAsia="Times New Roman" w:hAnsi="Calibri" w:cs="Times New Roman"/>
                <w:b/>
                <w:bCs/>
                <w:color w:val="000000"/>
                <w:sz w:val="20"/>
                <w:szCs w:val="20"/>
              </w:rPr>
              <w:t>Xss</w:t>
            </w:r>
            <w:proofErr w:type="spellEnd"/>
            <w:r w:rsidRPr="00853F1D">
              <w:rPr>
                <w:rFonts w:ascii="Calibri" w:eastAsia="Times New Roman" w:hAnsi="Calibri" w:cs="Times New Roman"/>
                <w:b/>
                <w:bCs/>
                <w:color w:val="000000"/>
                <w:sz w:val="20"/>
                <w:szCs w:val="20"/>
              </w:rPr>
              <w:t xml:space="preserve"> Number</w:t>
            </w:r>
          </w:p>
        </w:tc>
      </w:tr>
      <w:tr w:rsidR="00853F1D" w:rsidRPr="00853F1D" w:rsidTr="00853F1D">
        <w:trPr>
          <w:trHeight w:val="285"/>
          <w:jc w:val="center"/>
        </w:trPr>
        <w:tc>
          <w:tcPr>
            <w:tcW w:w="1208"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N</w:t>
            </w:r>
            <w:r w:rsidRPr="00853F1D">
              <w:rPr>
                <w:rFonts w:ascii="Calibri" w:eastAsia="Times New Roman" w:hAnsi="Calibri" w:cs="Times New Roman"/>
                <w:sz w:val="20"/>
                <w:szCs w:val="20"/>
                <w:vertAlign w:val="subscript"/>
              </w:rPr>
              <w:t>2</w:t>
            </w:r>
          </w:p>
        </w:tc>
        <w:tc>
          <w:tcPr>
            <w:tcW w:w="1208"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2</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247</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251</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257</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263</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r>
      <w:tr w:rsidR="00853F1D" w:rsidRPr="00853F1D" w:rsidTr="00853F1D">
        <w:trPr>
          <w:trHeight w:val="285"/>
          <w:jc w:val="center"/>
        </w:trPr>
        <w:tc>
          <w:tcPr>
            <w:tcW w:w="1208"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F</w:t>
            </w:r>
            <w:r w:rsidRPr="00853F1D">
              <w:rPr>
                <w:rFonts w:ascii="Calibri" w:eastAsia="Times New Roman" w:hAnsi="Calibri" w:cs="Times New Roman"/>
                <w:sz w:val="20"/>
                <w:szCs w:val="20"/>
                <w:vertAlign w:val="subscript"/>
              </w:rPr>
              <w:t>2</w:t>
            </w:r>
          </w:p>
        </w:tc>
        <w:tc>
          <w:tcPr>
            <w:tcW w:w="1208"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7</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248</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252</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258</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264</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r>
      <w:tr w:rsidR="00853F1D" w:rsidRPr="00853F1D" w:rsidTr="00853F1D">
        <w:trPr>
          <w:trHeight w:val="285"/>
          <w:jc w:val="center"/>
        </w:trPr>
        <w:tc>
          <w:tcPr>
            <w:tcW w:w="1208"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UF</w:t>
            </w:r>
            <w:r w:rsidRPr="00853F1D">
              <w:rPr>
                <w:rFonts w:ascii="Calibri" w:eastAsia="Times New Roman" w:hAnsi="Calibri" w:cs="Times New Roman"/>
                <w:sz w:val="20"/>
                <w:szCs w:val="20"/>
                <w:vertAlign w:val="subscript"/>
              </w:rPr>
              <w:t>6</w:t>
            </w:r>
          </w:p>
        </w:tc>
        <w:tc>
          <w:tcPr>
            <w:tcW w:w="1208"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15</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249</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253</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259</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265</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272</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273</w:t>
            </w:r>
          </w:p>
        </w:tc>
      </w:tr>
      <w:tr w:rsidR="00853F1D" w:rsidRPr="00853F1D" w:rsidTr="00853F1D">
        <w:trPr>
          <w:trHeight w:val="285"/>
          <w:jc w:val="center"/>
        </w:trPr>
        <w:tc>
          <w:tcPr>
            <w:tcW w:w="1208"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UF</w:t>
            </w:r>
            <w:r w:rsidRPr="00853F1D">
              <w:rPr>
                <w:rFonts w:ascii="Calibri" w:eastAsia="Times New Roman" w:hAnsi="Calibri" w:cs="Times New Roman"/>
                <w:sz w:val="20"/>
                <w:szCs w:val="20"/>
                <w:vertAlign w:val="subscript"/>
              </w:rPr>
              <w:t>4</w:t>
            </w:r>
          </w:p>
        </w:tc>
        <w:tc>
          <w:tcPr>
            <w:tcW w:w="1208"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16</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250</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254</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260</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266</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269</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r>
      <w:tr w:rsidR="00853F1D" w:rsidRPr="00853F1D" w:rsidTr="00853F1D">
        <w:trPr>
          <w:trHeight w:val="285"/>
          <w:jc w:val="center"/>
        </w:trPr>
        <w:tc>
          <w:tcPr>
            <w:tcW w:w="1208" w:type="dxa"/>
            <w:tcBorders>
              <w:top w:val="nil"/>
              <w:left w:val="nil"/>
              <w:bottom w:val="nil"/>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UO</w:t>
            </w:r>
            <w:r w:rsidRPr="00853F1D">
              <w:rPr>
                <w:rFonts w:ascii="Calibri" w:eastAsia="Times New Roman" w:hAnsi="Calibri" w:cs="Times New Roman"/>
                <w:sz w:val="20"/>
                <w:szCs w:val="20"/>
                <w:vertAlign w:val="subscript"/>
              </w:rPr>
              <w:t>2</w:t>
            </w:r>
          </w:p>
        </w:tc>
        <w:tc>
          <w:tcPr>
            <w:tcW w:w="1208" w:type="dxa"/>
            <w:tcBorders>
              <w:top w:val="nil"/>
              <w:left w:val="nil"/>
              <w:bottom w:val="nil"/>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17</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255</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261</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267</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270</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388" w:type="dxa"/>
            <w:tcBorders>
              <w:top w:val="nil"/>
              <w:left w:val="nil"/>
              <w:bottom w:val="nil"/>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r>
      <w:tr w:rsidR="00853F1D" w:rsidRPr="00853F1D" w:rsidTr="00853F1D">
        <w:trPr>
          <w:trHeight w:val="300"/>
          <w:jc w:val="center"/>
        </w:trPr>
        <w:tc>
          <w:tcPr>
            <w:tcW w:w="1208" w:type="dxa"/>
            <w:tcBorders>
              <w:top w:val="nil"/>
              <w:left w:val="nil"/>
              <w:bottom w:val="single" w:sz="8" w:space="0" w:color="auto"/>
              <w:right w:val="nil"/>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U</w:t>
            </w:r>
            <w:r w:rsidRPr="00853F1D">
              <w:rPr>
                <w:rFonts w:ascii="Calibri" w:eastAsia="Times New Roman" w:hAnsi="Calibri" w:cs="Times New Roman"/>
                <w:sz w:val="20"/>
                <w:szCs w:val="20"/>
                <w:vertAlign w:val="subscript"/>
              </w:rPr>
              <w:t>3</w:t>
            </w:r>
            <w:r w:rsidRPr="00853F1D">
              <w:rPr>
                <w:rFonts w:ascii="Calibri" w:eastAsia="Times New Roman" w:hAnsi="Calibri" w:cs="Times New Roman"/>
                <w:sz w:val="20"/>
                <w:szCs w:val="20"/>
              </w:rPr>
              <w:t>O</w:t>
            </w:r>
            <w:r w:rsidRPr="00853F1D">
              <w:rPr>
                <w:rFonts w:ascii="Calibri" w:eastAsia="Times New Roman" w:hAnsi="Calibri" w:cs="Times New Roman"/>
                <w:sz w:val="20"/>
                <w:szCs w:val="20"/>
                <w:vertAlign w:val="subscript"/>
              </w:rPr>
              <w:t>8</w:t>
            </w:r>
          </w:p>
        </w:tc>
        <w:tc>
          <w:tcPr>
            <w:tcW w:w="1208" w:type="dxa"/>
            <w:tcBorders>
              <w:top w:val="nil"/>
              <w:left w:val="nil"/>
              <w:bottom w:val="single" w:sz="8" w:space="0" w:color="auto"/>
              <w:right w:val="single" w:sz="4" w:space="0" w:color="auto"/>
            </w:tcBorders>
            <w:shd w:val="clear" w:color="auto" w:fill="auto"/>
            <w:vAlign w:val="center"/>
            <w:hideMark/>
          </w:tcPr>
          <w:p w:rsidR="00853F1D" w:rsidRPr="00853F1D" w:rsidRDefault="00853F1D" w:rsidP="00853F1D">
            <w:pPr>
              <w:spacing w:after="0" w:line="240" w:lineRule="auto"/>
              <w:jc w:val="center"/>
              <w:rPr>
                <w:rFonts w:ascii="Calibri" w:eastAsia="Times New Roman" w:hAnsi="Calibri" w:cs="Times New Roman"/>
                <w:sz w:val="20"/>
                <w:szCs w:val="20"/>
              </w:rPr>
            </w:pPr>
            <w:r w:rsidRPr="00853F1D">
              <w:rPr>
                <w:rFonts w:ascii="Calibri" w:eastAsia="Times New Roman" w:hAnsi="Calibri" w:cs="Times New Roman"/>
                <w:sz w:val="20"/>
                <w:szCs w:val="20"/>
              </w:rPr>
              <w:t>18</w:t>
            </w:r>
          </w:p>
        </w:tc>
        <w:tc>
          <w:tcPr>
            <w:tcW w:w="388"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388"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256</w:t>
            </w:r>
          </w:p>
        </w:tc>
        <w:tc>
          <w:tcPr>
            <w:tcW w:w="388"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262</w:t>
            </w:r>
          </w:p>
        </w:tc>
        <w:tc>
          <w:tcPr>
            <w:tcW w:w="388"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388"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268</w:t>
            </w:r>
          </w:p>
        </w:tc>
        <w:tc>
          <w:tcPr>
            <w:tcW w:w="388"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271</w:t>
            </w:r>
          </w:p>
        </w:tc>
        <w:tc>
          <w:tcPr>
            <w:tcW w:w="388"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c>
          <w:tcPr>
            <w:tcW w:w="388" w:type="dxa"/>
            <w:tcBorders>
              <w:top w:val="nil"/>
              <w:left w:val="nil"/>
              <w:bottom w:val="single" w:sz="8" w:space="0" w:color="auto"/>
              <w:right w:val="nil"/>
            </w:tcBorders>
            <w:shd w:val="clear" w:color="auto" w:fill="auto"/>
            <w:noWrap/>
            <w:vAlign w:val="center"/>
            <w:hideMark/>
          </w:tcPr>
          <w:p w:rsidR="00853F1D" w:rsidRPr="00853F1D" w:rsidRDefault="00853F1D" w:rsidP="00853F1D">
            <w:pPr>
              <w:spacing w:after="0" w:line="240" w:lineRule="auto"/>
              <w:jc w:val="center"/>
              <w:rPr>
                <w:rFonts w:ascii="Calibri" w:eastAsia="Times New Roman" w:hAnsi="Calibri" w:cs="Times New Roman"/>
                <w:color w:val="000000"/>
                <w:sz w:val="20"/>
                <w:szCs w:val="20"/>
              </w:rPr>
            </w:pPr>
            <w:r w:rsidRPr="00853F1D">
              <w:rPr>
                <w:rFonts w:ascii="Calibri" w:eastAsia="Times New Roman" w:hAnsi="Calibri" w:cs="Times New Roman"/>
                <w:color w:val="000000"/>
                <w:sz w:val="20"/>
                <w:szCs w:val="20"/>
              </w:rPr>
              <w:t>--</w:t>
            </w:r>
          </w:p>
        </w:tc>
      </w:tr>
    </w:tbl>
    <w:p w:rsidR="00853F1D" w:rsidRDefault="00853F1D"/>
    <w:p w:rsidR="00BD31C2" w:rsidRDefault="00BD31C2"/>
    <w:p w:rsidR="00853F1D" w:rsidRDefault="00853F1D"/>
    <w:tbl>
      <w:tblPr>
        <w:tblW w:w="5680" w:type="dxa"/>
        <w:jc w:val="center"/>
        <w:tblInd w:w="93" w:type="dxa"/>
        <w:tblLook w:val="04A0" w:firstRow="1" w:lastRow="0" w:firstColumn="1" w:lastColumn="0" w:noHBand="0" w:noVBand="1"/>
      </w:tblPr>
      <w:tblGrid>
        <w:gridCol w:w="863"/>
        <w:gridCol w:w="1118"/>
        <w:gridCol w:w="1322"/>
        <w:gridCol w:w="1204"/>
        <w:gridCol w:w="1173"/>
      </w:tblGrid>
      <w:tr w:rsidR="00E664E4" w:rsidRPr="002B6AB8" w:rsidTr="003D664B">
        <w:trPr>
          <w:trHeight w:val="270"/>
          <w:jc w:val="center"/>
        </w:trPr>
        <w:tc>
          <w:tcPr>
            <w:tcW w:w="5680" w:type="dxa"/>
            <w:gridSpan w:val="5"/>
            <w:tcBorders>
              <w:top w:val="nil"/>
              <w:left w:val="nil"/>
              <w:bottom w:val="single" w:sz="8" w:space="0" w:color="auto"/>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b/>
                <w:bCs/>
                <w:color w:val="000000"/>
                <w:sz w:val="20"/>
                <w:szCs w:val="20"/>
              </w:rPr>
            </w:pPr>
            <w:r w:rsidRPr="002B6AB8">
              <w:rPr>
                <w:rFonts w:ascii="Calibri" w:eastAsia="Times New Roman" w:hAnsi="Calibri" w:cs="Times New Roman"/>
                <w:b/>
                <w:bCs/>
                <w:color w:val="000000"/>
                <w:sz w:val="20"/>
                <w:szCs w:val="20"/>
              </w:rPr>
              <w:t>Table 3.7. Summary of the Modules</w:t>
            </w:r>
          </w:p>
        </w:tc>
      </w:tr>
      <w:tr w:rsidR="00E664E4" w:rsidRPr="002B6AB8" w:rsidTr="00BD31C2">
        <w:trPr>
          <w:trHeight w:val="765"/>
          <w:jc w:val="center"/>
        </w:trPr>
        <w:tc>
          <w:tcPr>
            <w:tcW w:w="863" w:type="dxa"/>
            <w:tcBorders>
              <w:top w:val="nil"/>
              <w:left w:val="nil"/>
              <w:bottom w:val="single" w:sz="4" w:space="0" w:color="auto"/>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b/>
                <w:bCs/>
                <w:color w:val="000000"/>
                <w:sz w:val="20"/>
                <w:szCs w:val="20"/>
              </w:rPr>
            </w:pPr>
            <w:r w:rsidRPr="002B6AB8">
              <w:rPr>
                <w:rFonts w:ascii="Calibri" w:eastAsia="Times New Roman" w:hAnsi="Calibri" w:cs="Times New Roman"/>
                <w:b/>
                <w:bCs/>
                <w:color w:val="000000"/>
                <w:sz w:val="20"/>
                <w:szCs w:val="20"/>
              </w:rPr>
              <w:t>Module</w:t>
            </w:r>
          </w:p>
        </w:tc>
        <w:tc>
          <w:tcPr>
            <w:tcW w:w="1118" w:type="dxa"/>
            <w:tcBorders>
              <w:top w:val="nil"/>
              <w:left w:val="nil"/>
              <w:bottom w:val="single" w:sz="4" w:space="0" w:color="auto"/>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b/>
                <w:bCs/>
                <w:color w:val="000000"/>
                <w:sz w:val="20"/>
                <w:szCs w:val="20"/>
              </w:rPr>
            </w:pPr>
            <w:r w:rsidRPr="002B6AB8">
              <w:rPr>
                <w:rFonts w:ascii="Calibri" w:eastAsia="Times New Roman" w:hAnsi="Calibri" w:cs="Times New Roman"/>
                <w:b/>
                <w:bCs/>
                <w:color w:val="000000"/>
                <w:sz w:val="20"/>
                <w:szCs w:val="20"/>
              </w:rPr>
              <w:t>Number of External Inputs</w:t>
            </w:r>
          </w:p>
        </w:tc>
        <w:tc>
          <w:tcPr>
            <w:tcW w:w="1322" w:type="dxa"/>
            <w:tcBorders>
              <w:top w:val="nil"/>
              <w:left w:val="nil"/>
              <w:bottom w:val="single" w:sz="4" w:space="0" w:color="auto"/>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b/>
                <w:bCs/>
                <w:color w:val="000000"/>
                <w:sz w:val="20"/>
                <w:szCs w:val="20"/>
              </w:rPr>
            </w:pPr>
            <w:r w:rsidRPr="002B6AB8">
              <w:rPr>
                <w:rFonts w:ascii="Calibri" w:eastAsia="Times New Roman" w:hAnsi="Calibri" w:cs="Times New Roman"/>
                <w:b/>
                <w:bCs/>
                <w:color w:val="000000"/>
                <w:sz w:val="20"/>
                <w:szCs w:val="20"/>
              </w:rPr>
              <w:t xml:space="preserve">Number of </w:t>
            </w:r>
            <w:proofErr w:type="spellStart"/>
            <w:r w:rsidRPr="002B6AB8">
              <w:rPr>
                <w:rFonts w:ascii="Calibri" w:eastAsia="Times New Roman" w:hAnsi="Calibri" w:cs="Times New Roman"/>
                <w:b/>
                <w:bCs/>
                <w:color w:val="000000"/>
                <w:sz w:val="20"/>
                <w:szCs w:val="20"/>
              </w:rPr>
              <w:t>Intermodular</w:t>
            </w:r>
            <w:proofErr w:type="spellEnd"/>
            <w:r w:rsidRPr="002B6AB8">
              <w:rPr>
                <w:rFonts w:ascii="Calibri" w:eastAsia="Times New Roman" w:hAnsi="Calibri" w:cs="Times New Roman"/>
                <w:b/>
                <w:bCs/>
                <w:color w:val="000000"/>
                <w:sz w:val="20"/>
                <w:szCs w:val="20"/>
              </w:rPr>
              <w:t xml:space="preserve"> Inputs</w:t>
            </w:r>
          </w:p>
        </w:tc>
        <w:tc>
          <w:tcPr>
            <w:tcW w:w="1204" w:type="dxa"/>
            <w:tcBorders>
              <w:top w:val="nil"/>
              <w:left w:val="nil"/>
              <w:bottom w:val="single" w:sz="4" w:space="0" w:color="auto"/>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b/>
                <w:bCs/>
                <w:color w:val="000000"/>
                <w:sz w:val="20"/>
                <w:szCs w:val="20"/>
              </w:rPr>
            </w:pPr>
            <w:r w:rsidRPr="002B6AB8">
              <w:rPr>
                <w:rFonts w:ascii="Calibri" w:eastAsia="Times New Roman" w:hAnsi="Calibri" w:cs="Times New Roman"/>
                <w:b/>
                <w:bCs/>
                <w:color w:val="000000"/>
                <w:sz w:val="20"/>
                <w:szCs w:val="20"/>
              </w:rPr>
              <w:t>Number of Output Streams</w:t>
            </w:r>
          </w:p>
        </w:tc>
        <w:tc>
          <w:tcPr>
            <w:tcW w:w="1173" w:type="dxa"/>
            <w:tcBorders>
              <w:top w:val="nil"/>
              <w:left w:val="nil"/>
              <w:bottom w:val="single" w:sz="4" w:space="0" w:color="auto"/>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b/>
                <w:bCs/>
                <w:color w:val="000000"/>
                <w:sz w:val="20"/>
                <w:szCs w:val="20"/>
              </w:rPr>
            </w:pPr>
            <w:r w:rsidRPr="002B6AB8">
              <w:rPr>
                <w:rFonts w:ascii="Calibri" w:eastAsia="Times New Roman" w:hAnsi="Calibri" w:cs="Times New Roman"/>
                <w:b/>
                <w:bCs/>
                <w:color w:val="000000"/>
                <w:sz w:val="20"/>
                <w:szCs w:val="20"/>
              </w:rPr>
              <w:t>Number of Streams</w:t>
            </w:r>
          </w:p>
        </w:tc>
      </w:tr>
      <w:tr w:rsidR="00E664E4" w:rsidRPr="002B6AB8" w:rsidTr="00BD31C2">
        <w:trPr>
          <w:trHeight w:val="255"/>
          <w:jc w:val="center"/>
        </w:trPr>
        <w:tc>
          <w:tcPr>
            <w:tcW w:w="863"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1</w:t>
            </w:r>
          </w:p>
        </w:tc>
        <w:tc>
          <w:tcPr>
            <w:tcW w:w="1118"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4</w:t>
            </w:r>
          </w:p>
        </w:tc>
        <w:tc>
          <w:tcPr>
            <w:tcW w:w="1322"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0</w:t>
            </w:r>
          </w:p>
        </w:tc>
        <w:tc>
          <w:tcPr>
            <w:tcW w:w="1204"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4</w:t>
            </w:r>
          </w:p>
        </w:tc>
        <w:tc>
          <w:tcPr>
            <w:tcW w:w="1173"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13</w:t>
            </w:r>
          </w:p>
        </w:tc>
      </w:tr>
      <w:tr w:rsidR="00E664E4" w:rsidRPr="002B6AB8" w:rsidTr="00BD31C2">
        <w:trPr>
          <w:trHeight w:val="255"/>
          <w:jc w:val="center"/>
        </w:trPr>
        <w:tc>
          <w:tcPr>
            <w:tcW w:w="863"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2</w:t>
            </w:r>
          </w:p>
        </w:tc>
        <w:tc>
          <w:tcPr>
            <w:tcW w:w="1118"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5</w:t>
            </w:r>
          </w:p>
        </w:tc>
        <w:tc>
          <w:tcPr>
            <w:tcW w:w="1322"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1</w:t>
            </w:r>
          </w:p>
        </w:tc>
        <w:tc>
          <w:tcPr>
            <w:tcW w:w="1204"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3</w:t>
            </w:r>
          </w:p>
        </w:tc>
        <w:tc>
          <w:tcPr>
            <w:tcW w:w="1173"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7</w:t>
            </w:r>
          </w:p>
        </w:tc>
      </w:tr>
      <w:tr w:rsidR="00E664E4" w:rsidRPr="002B6AB8" w:rsidTr="00BD31C2">
        <w:trPr>
          <w:trHeight w:val="255"/>
          <w:jc w:val="center"/>
        </w:trPr>
        <w:tc>
          <w:tcPr>
            <w:tcW w:w="863"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3</w:t>
            </w:r>
          </w:p>
        </w:tc>
        <w:tc>
          <w:tcPr>
            <w:tcW w:w="1118"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1</w:t>
            </w:r>
          </w:p>
        </w:tc>
        <w:tc>
          <w:tcPr>
            <w:tcW w:w="1322"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1</w:t>
            </w:r>
          </w:p>
        </w:tc>
        <w:tc>
          <w:tcPr>
            <w:tcW w:w="1204"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4</w:t>
            </w:r>
          </w:p>
        </w:tc>
        <w:tc>
          <w:tcPr>
            <w:tcW w:w="1173"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11</w:t>
            </w:r>
          </w:p>
        </w:tc>
      </w:tr>
      <w:tr w:rsidR="00E664E4" w:rsidRPr="002B6AB8" w:rsidTr="00BD31C2">
        <w:trPr>
          <w:trHeight w:val="255"/>
          <w:jc w:val="center"/>
        </w:trPr>
        <w:tc>
          <w:tcPr>
            <w:tcW w:w="863"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4</w:t>
            </w:r>
          </w:p>
        </w:tc>
        <w:tc>
          <w:tcPr>
            <w:tcW w:w="1118"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2</w:t>
            </w:r>
          </w:p>
        </w:tc>
        <w:tc>
          <w:tcPr>
            <w:tcW w:w="1322"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1</w:t>
            </w:r>
          </w:p>
        </w:tc>
        <w:tc>
          <w:tcPr>
            <w:tcW w:w="1204"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3</w:t>
            </w:r>
          </w:p>
        </w:tc>
        <w:tc>
          <w:tcPr>
            <w:tcW w:w="1173"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13</w:t>
            </w:r>
          </w:p>
        </w:tc>
      </w:tr>
      <w:tr w:rsidR="00E664E4" w:rsidRPr="002B6AB8" w:rsidTr="00BD31C2">
        <w:trPr>
          <w:trHeight w:val="270"/>
          <w:jc w:val="center"/>
        </w:trPr>
        <w:tc>
          <w:tcPr>
            <w:tcW w:w="863" w:type="dxa"/>
            <w:tcBorders>
              <w:top w:val="nil"/>
              <w:left w:val="nil"/>
              <w:bottom w:val="single" w:sz="8" w:space="0" w:color="auto"/>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5</w:t>
            </w:r>
          </w:p>
        </w:tc>
        <w:tc>
          <w:tcPr>
            <w:tcW w:w="1118" w:type="dxa"/>
            <w:tcBorders>
              <w:top w:val="nil"/>
              <w:left w:val="nil"/>
              <w:bottom w:val="single" w:sz="8" w:space="0" w:color="auto"/>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1</w:t>
            </w:r>
          </w:p>
        </w:tc>
        <w:tc>
          <w:tcPr>
            <w:tcW w:w="1322" w:type="dxa"/>
            <w:tcBorders>
              <w:top w:val="nil"/>
              <w:left w:val="nil"/>
              <w:bottom w:val="single" w:sz="8" w:space="0" w:color="auto"/>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1</w:t>
            </w:r>
          </w:p>
        </w:tc>
        <w:tc>
          <w:tcPr>
            <w:tcW w:w="1204" w:type="dxa"/>
            <w:tcBorders>
              <w:top w:val="nil"/>
              <w:left w:val="nil"/>
              <w:bottom w:val="single" w:sz="8" w:space="0" w:color="auto"/>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4</w:t>
            </w:r>
          </w:p>
        </w:tc>
        <w:tc>
          <w:tcPr>
            <w:tcW w:w="1173" w:type="dxa"/>
            <w:tcBorders>
              <w:top w:val="nil"/>
              <w:left w:val="nil"/>
              <w:bottom w:val="single" w:sz="8" w:space="0" w:color="auto"/>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16</w:t>
            </w:r>
          </w:p>
        </w:tc>
      </w:tr>
      <w:tr w:rsidR="00E664E4" w:rsidRPr="002B6AB8" w:rsidTr="00BD31C2">
        <w:trPr>
          <w:trHeight w:val="765"/>
          <w:jc w:val="center"/>
        </w:trPr>
        <w:tc>
          <w:tcPr>
            <w:tcW w:w="863" w:type="dxa"/>
            <w:tcBorders>
              <w:top w:val="nil"/>
              <w:left w:val="nil"/>
              <w:bottom w:val="single" w:sz="4" w:space="0" w:color="auto"/>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b/>
                <w:bCs/>
                <w:color w:val="000000"/>
                <w:sz w:val="20"/>
                <w:szCs w:val="20"/>
              </w:rPr>
            </w:pPr>
            <w:r w:rsidRPr="002B6AB8">
              <w:rPr>
                <w:rFonts w:ascii="Calibri" w:eastAsia="Times New Roman" w:hAnsi="Calibri" w:cs="Times New Roman"/>
                <w:b/>
                <w:bCs/>
                <w:color w:val="000000"/>
                <w:sz w:val="20"/>
                <w:szCs w:val="20"/>
              </w:rPr>
              <w:t>Module</w:t>
            </w:r>
          </w:p>
        </w:tc>
        <w:tc>
          <w:tcPr>
            <w:tcW w:w="1118" w:type="dxa"/>
            <w:tcBorders>
              <w:top w:val="nil"/>
              <w:left w:val="nil"/>
              <w:bottom w:val="single" w:sz="4" w:space="0" w:color="auto"/>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b/>
                <w:bCs/>
                <w:color w:val="000000"/>
                <w:sz w:val="20"/>
                <w:szCs w:val="20"/>
              </w:rPr>
            </w:pPr>
            <w:r w:rsidRPr="002B6AB8">
              <w:rPr>
                <w:rFonts w:ascii="Calibri" w:eastAsia="Times New Roman" w:hAnsi="Calibri" w:cs="Times New Roman"/>
                <w:b/>
                <w:bCs/>
                <w:color w:val="000000"/>
                <w:sz w:val="20"/>
                <w:szCs w:val="20"/>
              </w:rPr>
              <w:t>Stream Numbers</w:t>
            </w:r>
          </w:p>
        </w:tc>
        <w:tc>
          <w:tcPr>
            <w:tcW w:w="1322" w:type="dxa"/>
            <w:tcBorders>
              <w:top w:val="nil"/>
              <w:left w:val="nil"/>
              <w:bottom w:val="single" w:sz="4" w:space="0" w:color="auto"/>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b/>
                <w:bCs/>
                <w:color w:val="000000"/>
                <w:sz w:val="20"/>
                <w:szCs w:val="20"/>
              </w:rPr>
            </w:pPr>
            <w:r w:rsidRPr="002B6AB8">
              <w:rPr>
                <w:rFonts w:ascii="Calibri" w:eastAsia="Times New Roman" w:hAnsi="Calibri" w:cs="Times New Roman"/>
                <w:b/>
                <w:bCs/>
                <w:color w:val="000000"/>
                <w:sz w:val="20"/>
                <w:szCs w:val="20"/>
              </w:rPr>
              <w:t>Number of Chemical Components</w:t>
            </w:r>
          </w:p>
        </w:tc>
        <w:tc>
          <w:tcPr>
            <w:tcW w:w="1204" w:type="dxa"/>
            <w:tcBorders>
              <w:top w:val="nil"/>
              <w:left w:val="nil"/>
              <w:bottom w:val="single" w:sz="4" w:space="0" w:color="auto"/>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b/>
                <w:bCs/>
                <w:color w:val="000000"/>
                <w:sz w:val="20"/>
                <w:szCs w:val="20"/>
              </w:rPr>
            </w:pPr>
            <w:r w:rsidRPr="002B6AB8">
              <w:rPr>
                <w:rFonts w:ascii="Calibri" w:eastAsia="Times New Roman" w:hAnsi="Calibri" w:cs="Times New Roman"/>
                <w:b/>
                <w:bCs/>
                <w:color w:val="000000"/>
                <w:sz w:val="20"/>
                <w:szCs w:val="20"/>
              </w:rPr>
              <w:t>Number of State Variables</w:t>
            </w:r>
          </w:p>
        </w:tc>
        <w:tc>
          <w:tcPr>
            <w:tcW w:w="1173" w:type="dxa"/>
            <w:tcBorders>
              <w:top w:val="nil"/>
              <w:left w:val="nil"/>
              <w:bottom w:val="single" w:sz="4" w:space="0" w:color="auto"/>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b/>
                <w:bCs/>
                <w:color w:val="000000"/>
                <w:sz w:val="20"/>
                <w:szCs w:val="20"/>
              </w:rPr>
            </w:pPr>
            <w:r w:rsidRPr="002B6AB8">
              <w:rPr>
                <w:rFonts w:ascii="Calibri" w:eastAsia="Times New Roman" w:hAnsi="Calibri" w:cs="Times New Roman"/>
                <w:b/>
                <w:bCs/>
                <w:color w:val="000000"/>
                <w:sz w:val="20"/>
                <w:szCs w:val="20"/>
              </w:rPr>
              <w:t>State Variable Numbers</w:t>
            </w:r>
          </w:p>
        </w:tc>
      </w:tr>
      <w:tr w:rsidR="00E664E4" w:rsidRPr="002B6AB8" w:rsidTr="00BD31C2">
        <w:trPr>
          <w:trHeight w:val="255"/>
          <w:jc w:val="center"/>
        </w:trPr>
        <w:tc>
          <w:tcPr>
            <w:tcW w:w="863"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1</w:t>
            </w:r>
          </w:p>
        </w:tc>
        <w:tc>
          <w:tcPr>
            <w:tcW w:w="1118"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1–</w:t>
            </w:r>
            <w:r w:rsidRPr="002B6AB8">
              <w:rPr>
                <w:rFonts w:ascii="Calibri" w:eastAsia="Times New Roman" w:hAnsi="Calibri" w:cs="Times New Roman"/>
                <w:color w:val="000000"/>
                <w:sz w:val="20"/>
                <w:szCs w:val="20"/>
              </w:rPr>
              <w:t>13</w:t>
            </w:r>
          </w:p>
        </w:tc>
        <w:tc>
          <w:tcPr>
            <w:tcW w:w="1322"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7</w:t>
            </w:r>
          </w:p>
        </w:tc>
        <w:tc>
          <w:tcPr>
            <w:tcW w:w="1204"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73</w:t>
            </w:r>
          </w:p>
        </w:tc>
        <w:tc>
          <w:tcPr>
            <w:tcW w:w="1173"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1</w:t>
            </w:r>
            <w:r>
              <w:rPr>
                <w:rFonts w:ascii="Calibri" w:eastAsia="Times New Roman" w:hAnsi="Calibri" w:cs="Times New Roman"/>
                <w:color w:val="000000"/>
                <w:sz w:val="20"/>
                <w:szCs w:val="20"/>
              </w:rPr>
              <w:t>–</w:t>
            </w:r>
            <w:r w:rsidRPr="002B6AB8">
              <w:rPr>
                <w:rFonts w:ascii="Calibri" w:eastAsia="Times New Roman" w:hAnsi="Calibri" w:cs="Times New Roman"/>
                <w:color w:val="000000"/>
                <w:sz w:val="20"/>
                <w:szCs w:val="20"/>
              </w:rPr>
              <w:t>73</w:t>
            </w:r>
          </w:p>
        </w:tc>
      </w:tr>
      <w:tr w:rsidR="00E664E4" w:rsidRPr="002B6AB8" w:rsidTr="00BD31C2">
        <w:trPr>
          <w:trHeight w:val="255"/>
          <w:jc w:val="center"/>
        </w:trPr>
        <w:tc>
          <w:tcPr>
            <w:tcW w:w="863"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2</w:t>
            </w:r>
          </w:p>
        </w:tc>
        <w:tc>
          <w:tcPr>
            <w:tcW w:w="1118"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14–</w:t>
            </w:r>
            <w:r w:rsidRPr="002B6AB8">
              <w:rPr>
                <w:rFonts w:ascii="Calibri" w:eastAsia="Times New Roman" w:hAnsi="Calibri" w:cs="Times New Roman"/>
                <w:color w:val="000000"/>
                <w:sz w:val="20"/>
                <w:szCs w:val="20"/>
              </w:rPr>
              <w:t>20</w:t>
            </w:r>
          </w:p>
        </w:tc>
        <w:tc>
          <w:tcPr>
            <w:tcW w:w="1322"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7</w:t>
            </w:r>
          </w:p>
        </w:tc>
        <w:tc>
          <w:tcPr>
            <w:tcW w:w="1204"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47</w:t>
            </w:r>
          </w:p>
        </w:tc>
        <w:tc>
          <w:tcPr>
            <w:tcW w:w="1173"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74–</w:t>
            </w:r>
            <w:r w:rsidRPr="002B6AB8">
              <w:rPr>
                <w:rFonts w:ascii="Calibri" w:eastAsia="Times New Roman" w:hAnsi="Calibri" w:cs="Times New Roman"/>
                <w:color w:val="000000"/>
                <w:sz w:val="20"/>
                <w:szCs w:val="20"/>
              </w:rPr>
              <w:t>120</w:t>
            </w:r>
          </w:p>
        </w:tc>
      </w:tr>
      <w:tr w:rsidR="00E664E4" w:rsidRPr="002B6AB8" w:rsidTr="00BD31C2">
        <w:trPr>
          <w:trHeight w:val="255"/>
          <w:jc w:val="center"/>
        </w:trPr>
        <w:tc>
          <w:tcPr>
            <w:tcW w:w="863"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3</w:t>
            </w:r>
          </w:p>
        </w:tc>
        <w:tc>
          <w:tcPr>
            <w:tcW w:w="1118"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21–</w:t>
            </w:r>
            <w:r w:rsidRPr="002B6AB8">
              <w:rPr>
                <w:rFonts w:ascii="Calibri" w:eastAsia="Times New Roman" w:hAnsi="Calibri" w:cs="Times New Roman"/>
                <w:color w:val="000000"/>
                <w:sz w:val="20"/>
                <w:szCs w:val="20"/>
              </w:rPr>
              <w:t>31</w:t>
            </w:r>
          </w:p>
        </w:tc>
        <w:tc>
          <w:tcPr>
            <w:tcW w:w="1322"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11</w:t>
            </w:r>
          </w:p>
        </w:tc>
        <w:tc>
          <w:tcPr>
            <w:tcW w:w="1204"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52</w:t>
            </w:r>
          </w:p>
        </w:tc>
        <w:tc>
          <w:tcPr>
            <w:tcW w:w="1173"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121–</w:t>
            </w:r>
            <w:r w:rsidRPr="002B6AB8">
              <w:rPr>
                <w:rFonts w:ascii="Calibri" w:eastAsia="Times New Roman" w:hAnsi="Calibri" w:cs="Times New Roman"/>
                <w:color w:val="000000"/>
                <w:sz w:val="20"/>
                <w:szCs w:val="20"/>
              </w:rPr>
              <w:t>172</w:t>
            </w:r>
          </w:p>
        </w:tc>
      </w:tr>
      <w:tr w:rsidR="00E664E4" w:rsidRPr="002B6AB8" w:rsidTr="00BD31C2">
        <w:trPr>
          <w:trHeight w:val="255"/>
          <w:jc w:val="center"/>
        </w:trPr>
        <w:tc>
          <w:tcPr>
            <w:tcW w:w="863"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4</w:t>
            </w:r>
          </w:p>
        </w:tc>
        <w:tc>
          <w:tcPr>
            <w:tcW w:w="1118"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32</w:t>
            </w:r>
            <w:r>
              <w:rPr>
                <w:rFonts w:ascii="Calibri" w:eastAsia="Times New Roman" w:hAnsi="Calibri" w:cs="Times New Roman"/>
                <w:color w:val="000000"/>
                <w:sz w:val="20"/>
                <w:szCs w:val="20"/>
              </w:rPr>
              <w:t>–</w:t>
            </w:r>
            <w:r w:rsidRPr="002B6AB8">
              <w:rPr>
                <w:rFonts w:ascii="Calibri" w:eastAsia="Times New Roman" w:hAnsi="Calibri" w:cs="Times New Roman"/>
                <w:color w:val="000000"/>
                <w:sz w:val="20"/>
                <w:szCs w:val="20"/>
              </w:rPr>
              <w:t>44</w:t>
            </w:r>
          </w:p>
        </w:tc>
        <w:tc>
          <w:tcPr>
            <w:tcW w:w="1322"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10</w:t>
            </w:r>
          </w:p>
        </w:tc>
        <w:tc>
          <w:tcPr>
            <w:tcW w:w="1204"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48</w:t>
            </w:r>
          </w:p>
        </w:tc>
        <w:tc>
          <w:tcPr>
            <w:tcW w:w="1173" w:type="dxa"/>
            <w:tcBorders>
              <w:top w:val="nil"/>
              <w:left w:val="nil"/>
              <w:bottom w:val="nil"/>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173–</w:t>
            </w:r>
            <w:r w:rsidRPr="002B6AB8">
              <w:rPr>
                <w:rFonts w:ascii="Calibri" w:eastAsia="Times New Roman" w:hAnsi="Calibri" w:cs="Times New Roman"/>
                <w:color w:val="000000"/>
                <w:sz w:val="20"/>
                <w:szCs w:val="20"/>
              </w:rPr>
              <w:t>220</w:t>
            </w:r>
          </w:p>
        </w:tc>
      </w:tr>
      <w:tr w:rsidR="00E664E4" w:rsidRPr="002B6AB8" w:rsidTr="00BD31C2">
        <w:trPr>
          <w:trHeight w:val="270"/>
          <w:jc w:val="center"/>
        </w:trPr>
        <w:tc>
          <w:tcPr>
            <w:tcW w:w="863" w:type="dxa"/>
            <w:tcBorders>
              <w:top w:val="nil"/>
              <w:left w:val="nil"/>
              <w:bottom w:val="single" w:sz="8" w:space="0" w:color="auto"/>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5</w:t>
            </w:r>
          </w:p>
        </w:tc>
        <w:tc>
          <w:tcPr>
            <w:tcW w:w="1118" w:type="dxa"/>
            <w:tcBorders>
              <w:top w:val="nil"/>
              <w:left w:val="nil"/>
              <w:bottom w:val="single" w:sz="8" w:space="0" w:color="auto"/>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45–</w:t>
            </w:r>
            <w:r w:rsidRPr="002B6AB8">
              <w:rPr>
                <w:rFonts w:ascii="Calibri" w:eastAsia="Times New Roman" w:hAnsi="Calibri" w:cs="Times New Roman"/>
                <w:color w:val="000000"/>
                <w:sz w:val="20"/>
                <w:szCs w:val="20"/>
              </w:rPr>
              <w:t>60</w:t>
            </w:r>
          </w:p>
        </w:tc>
        <w:tc>
          <w:tcPr>
            <w:tcW w:w="1322" w:type="dxa"/>
            <w:tcBorders>
              <w:top w:val="nil"/>
              <w:left w:val="nil"/>
              <w:bottom w:val="single" w:sz="8" w:space="0" w:color="auto"/>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6</w:t>
            </w:r>
          </w:p>
        </w:tc>
        <w:tc>
          <w:tcPr>
            <w:tcW w:w="1204" w:type="dxa"/>
            <w:tcBorders>
              <w:top w:val="nil"/>
              <w:left w:val="nil"/>
              <w:bottom w:val="single" w:sz="8" w:space="0" w:color="auto"/>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sidRPr="002B6AB8">
              <w:rPr>
                <w:rFonts w:ascii="Calibri" w:eastAsia="Times New Roman" w:hAnsi="Calibri" w:cs="Times New Roman"/>
                <w:color w:val="000000"/>
                <w:sz w:val="20"/>
                <w:szCs w:val="20"/>
              </w:rPr>
              <w:t>53</w:t>
            </w:r>
          </w:p>
        </w:tc>
        <w:tc>
          <w:tcPr>
            <w:tcW w:w="1173" w:type="dxa"/>
            <w:tcBorders>
              <w:top w:val="nil"/>
              <w:left w:val="nil"/>
              <w:bottom w:val="single" w:sz="8" w:space="0" w:color="auto"/>
              <w:right w:val="nil"/>
            </w:tcBorders>
            <w:shd w:val="clear" w:color="auto" w:fill="auto"/>
            <w:vAlign w:val="center"/>
            <w:hideMark/>
          </w:tcPr>
          <w:p w:rsidR="00E664E4" w:rsidRPr="002B6AB8" w:rsidRDefault="00E664E4" w:rsidP="003D664B">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221–</w:t>
            </w:r>
            <w:r w:rsidRPr="002B6AB8">
              <w:rPr>
                <w:rFonts w:ascii="Calibri" w:eastAsia="Times New Roman" w:hAnsi="Calibri" w:cs="Times New Roman"/>
                <w:color w:val="000000"/>
                <w:sz w:val="20"/>
                <w:szCs w:val="20"/>
              </w:rPr>
              <w:t>273</w:t>
            </w:r>
          </w:p>
        </w:tc>
      </w:tr>
    </w:tbl>
    <w:p w:rsidR="00B81072" w:rsidRDefault="00B81072">
      <w:r>
        <w:br w:type="page"/>
      </w:r>
    </w:p>
    <w:tbl>
      <w:tblPr>
        <w:tblW w:w="5760" w:type="dxa"/>
        <w:jc w:val="center"/>
        <w:tblLook w:val="04A0" w:firstRow="1" w:lastRow="0" w:firstColumn="1" w:lastColumn="0" w:noHBand="0" w:noVBand="1"/>
      </w:tblPr>
      <w:tblGrid>
        <w:gridCol w:w="1096"/>
        <w:gridCol w:w="974"/>
        <w:gridCol w:w="1083"/>
        <w:gridCol w:w="1074"/>
        <w:gridCol w:w="1533"/>
      </w:tblGrid>
      <w:tr w:rsidR="00734DF6" w:rsidRPr="00734DF6" w:rsidTr="00734DF6">
        <w:trPr>
          <w:trHeight w:val="270"/>
          <w:jc w:val="center"/>
        </w:trPr>
        <w:tc>
          <w:tcPr>
            <w:tcW w:w="4260" w:type="dxa"/>
            <w:gridSpan w:val="5"/>
            <w:tcBorders>
              <w:top w:val="nil"/>
              <w:left w:val="nil"/>
              <w:bottom w:val="single" w:sz="8" w:space="0" w:color="auto"/>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0000"/>
                <w:sz w:val="20"/>
                <w:szCs w:val="20"/>
              </w:rPr>
            </w:pPr>
            <w:r w:rsidRPr="00734DF6">
              <w:rPr>
                <w:rFonts w:ascii="Calibri" w:eastAsia="Times New Roman" w:hAnsi="Calibri" w:cs="Times New Roman"/>
                <w:b/>
                <w:bCs/>
                <w:color w:val="000000"/>
                <w:sz w:val="20"/>
                <w:szCs w:val="20"/>
              </w:rPr>
              <w:lastRenderedPageBreak/>
              <w:t>Table 3.8. Primary Uranium Bearing State Variables within Each Module</w:t>
            </w:r>
          </w:p>
        </w:tc>
      </w:tr>
      <w:tr w:rsidR="00734DF6" w:rsidRPr="00734DF6" w:rsidTr="00734DF6">
        <w:trPr>
          <w:trHeight w:val="255"/>
          <w:jc w:val="center"/>
        </w:trPr>
        <w:tc>
          <w:tcPr>
            <w:tcW w:w="82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b/>
                <w:bCs/>
                <w:sz w:val="20"/>
                <w:szCs w:val="20"/>
              </w:rPr>
            </w:pPr>
            <w:r w:rsidRPr="00734DF6">
              <w:rPr>
                <w:rFonts w:ascii="Calibri" w:eastAsia="Times New Roman" w:hAnsi="Calibri" w:cs="Times New Roman"/>
                <w:b/>
                <w:bCs/>
                <w:sz w:val="20"/>
                <w:szCs w:val="20"/>
              </w:rPr>
              <w:t>State</w:t>
            </w:r>
          </w:p>
        </w:tc>
        <w:tc>
          <w:tcPr>
            <w:tcW w:w="700" w:type="dxa"/>
            <w:vMerge w:val="restart"/>
            <w:tcBorders>
              <w:top w:val="nil"/>
              <w:left w:val="nil"/>
              <w:bottom w:val="single" w:sz="4" w:space="0" w:color="000000"/>
              <w:right w:val="nil"/>
            </w:tcBorders>
            <w:shd w:val="clear" w:color="auto" w:fill="auto"/>
            <w:vAlign w:val="bottom"/>
            <w:hideMark/>
          </w:tcPr>
          <w:p w:rsidR="00734DF6" w:rsidRPr="00734DF6" w:rsidRDefault="00734DF6" w:rsidP="00734DF6">
            <w:pPr>
              <w:spacing w:after="0" w:line="240" w:lineRule="auto"/>
              <w:jc w:val="center"/>
              <w:rPr>
                <w:rFonts w:ascii="Calibri" w:eastAsia="Times New Roman" w:hAnsi="Calibri" w:cs="Times New Roman"/>
                <w:b/>
                <w:bCs/>
                <w:color w:val="000000"/>
                <w:sz w:val="20"/>
                <w:szCs w:val="20"/>
              </w:rPr>
            </w:pPr>
            <w:r w:rsidRPr="00734DF6">
              <w:rPr>
                <w:rFonts w:ascii="Calibri" w:eastAsia="Times New Roman" w:hAnsi="Calibri" w:cs="Times New Roman"/>
                <w:b/>
                <w:bCs/>
                <w:color w:val="000000"/>
                <w:sz w:val="20"/>
                <w:szCs w:val="20"/>
              </w:rPr>
              <w:t>Stream</w:t>
            </w:r>
          </w:p>
        </w:tc>
        <w:tc>
          <w:tcPr>
            <w:tcW w:w="1580" w:type="dxa"/>
            <w:gridSpan w:val="2"/>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b/>
                <w:bCs/>
                <w:color w:val="000000"/>
                <w:sz w:val="20"/>
                <w:szCs w:val="20"/>
              </w:rPr>
            </w:pPr>
            <w:r w:rsidRPr="00734DF6">
              <w:rPr>
                <w:rFonts w:ascii="Calibri" w:eastAsia="Times New Roman" w:hAnsi="Calibri" w:cs="Times New Roman"/>
                <w:b/>
                <w:bCs/>
                <w:color w:val="000000"/>
                <w:sz w:val="20"/>
                <w:szCs w:val="20"/>
              </w:rPr>
              <w:t>Component</w:t>
            </w:r>
          </w:p>
        </w:tc>
        <w:tc>
          <w:tcPr>
            <w:tcW w:w="116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b/>
                <w:bCs/>
                <w:color w:val="000000"/>
                <w:sz w:val="20"/>
                <w:szCs w:val="20"/>
              </w:rPr>
            </w:pPr>
            <w:r w:rsidRPr="00734DF6">
              <w:rPr>
                <w:rFonts w:ascii="Calibri" w:eastAsia="Times New Roman" w:hAnsi="Calibri" w:cs="Times New Roman"/>
                <w:b/>
                <w:bCs/>
                <w:color w:val="000000"/>
                <w:sz w:val="20"/>
                <w:szCs w:val="20"/>
              </w:rPr>
              <w:t>Type of</w:t>
            </w:r>
          </w:p>
        </w:tc>
      </w:tr>
      <w:tr w:rsidR="00734DF6" w:rsidRPr="00734DF6" w:rsidTr="00734DF6">
        <w:trPr>
          <w:trHeight w:val="255"/>
          <w:jc w:val="center"/>
        </w:trPr>
        <w:tc>
          <w:tcPr>
            <w:tcW w:w="820" w:type="dxa"/>
            <w:tcBorders>
              <w:top w:val="nil"/>
              <w:left w:val="nil"/>
              <w:bottom w:val="single" w:sz="4" w:space="0" w:color="auto"/>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b/>
                <w:bCs/>
                <w:sz w:val="20"/>
                <w:szCs w:val="20"/>
              </w:rPr>
            </w:pPr>
            <w:r w:rsidRPr="00734DF6">
              <w:rPr>
                <w:rFonts w:ascii="Calibri" w:eastAsia="Times New Roman" w:hAnsi="Calibri" w:cs="Times New Roman"/>
                <w:b/>
                <w:bCs/>
                <w:sz w:val="20"/>
                <w:szCs w:val="20"/>
              </w:rPr>
              <w:t>Variable</w:t>
            </w:r>
          </w:p>
        </w:tc>
        <w:tc>
          <w:tcPr>
            <w:tcW w:w="700" w:type="dxa"/>
            <w:vMerge/>
            <w:tcBorders>
              <w:top w:val="nil"/>
              <w:left w:val="nil"/>
              <w:bottom w:val="single" w:sz="4" w:space="0" w:color="000000"/>
              <w:right w:val="nil"/>
            </w:tcBorders>
            <w:vAlign w:val="center"/>
            <w:hideMark/>
          </w:tcPr>
          <w:p w:rsidR="00734DF6" w:rsidRPr="00734DF6" w:rsidRDefault="00734DF6" w:rsidP="00734DF6">
            <w:pPr>
              <w:spacing w:after="0" w:line="240" w:lineRule="auto"/>
              <w:rPr>
                <w:rFonts w:ascii="Calibri" w:eastAsia="Times New Roman" w:hAnsi="Calibri" w:cs="Times New Roman"/>
                <w:b/>
                <w:bCs/>
                <w:color w:val="000000"/>
                <w:sz w:val="20"/>
                <w:szCs w:val="20"/>
              </w:rPr>
            </w:pPr>
          </w:p>
        </w:tc>
        <w:tc>
          <w:tcPr>
            <w:tcW w:w="780" w:type="dxa"/>
            <w:tcBorders>
              <w:top w:val="nil"/>
              <w:left w:val="nil"/>
              <w:bottom w:val="single" w:sz="4" w:space="0" w:color="auto"/>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b/>
                <w:bCs/>
                <w:color w:val="000000"/>
                <w:sz w:val="20"/>
                <w:szCs w:val="20"/>
              </w:rPr>
            </w:pPr>
            <w:r w:rsidRPr="00734DF6">
              <w:rPr>
                <w:rFonts w:ascii="Calibri" w:eastAsia="Times New Roman" w:hAnsi="Calibri" w:cs="Times New Roman"/>
                <w:b/>
                <w:bCs/>
                <w:color w:val="000000"/>
                <w:sz w:val="20"/>
                <w:szCs w:val="20"/>
              </w:rPr>
              <w:t>Formula</w:t>
            </w:r>
          </w:p>
        </w:tc>
        <w:tc>
          <w:tcPr>
            <w:tcW w:w="800" w:type="dxa"/>
            <w:tcBorders>
              <w:top w:val="nil"/>
              <w:left w:val="nil"/>
              <w:bottom w:val="single" w:sz="4" w:space="0" w:color="auto"/>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b/>
                <w:bCs/>
                <w:color w:val="000000"/>
                <w:sz w:val="20"/>
                <w:szCs w:val="20"/>
              </w:rPr>
            </w:pPr>
            <w:r w:rsidRPr="00734DF6">
              <w:rPr>
                <w:rFonts w:ascii="Calibri" w:eastAsia="Times New Roman" w:hAnsi="Calibri" w:cs="Times New Roman"/>
                <w:b/>
                <w:bCs/>
                <w:color w:val="000000"/>
                <w:sz w:val="20"/>
                <w:szCs w:val="20"/>
              </w:rPr>
              <w:t>Number</w:t>
            </w:r>
          </w:p>
        </w:tc>
        <w:tc>
          <w:tcPr>
            <w:tcW w:w="1160" w:type="dxa"/>
            <w:tcBorders>
              <w:top w:val="nil"/>
              <w:left w:val="nil"/>
              <w:bottom w:val="single" w:sz="4" w:space="0" w:color="auto"/>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b/>
                <w:bCs/>
                <w:color w:val="000000"/>
                <w:sz w:val="20"/>
                <w:szCs w:val="20"/>
              </w:rPr>
            </w:pPr>
            <w:r w:rsidRPr="00734DF6">
              <w:rPr>
                <w:rFonts w:ascii="Calibri" w:eastAsia="Times New Roman" w:hAnsi="Calibri" w:cs="Times New Roman"/>
                <w:b/>
                <w:bCs/>
                <w:color w:val="000000"/>
                <w:sz w:val="20"/>
                <w:szCs w:val="20"/>
              </w:rPr>
              <w:t>Stream</w:t>
            </w:r>
          </w:p>
        </w:tc>
      </w:tr>
      <w:tr w:rsidR="00734DF6" w:rsidRPr="00734DF6" w:rsidTr="00734DF6">
        <w:trPr>
          <w:trHeight w:val="255"/>
          <w:jc w:val="center"/>
        </w:trPr>
        <w:tc>
          <w:tcPr>
            <w:tcW w:w="4260" w:type="dxa"/>
            <w:gridSpan w:val="5"/>
            <w:tcBorders>
              <w:top w:val="single" w:sz="4" w:space="0" w:color="auto"/>
              <w:left w:val="nil"/>
              <w:bottom w:val="single" w:sz="4" w:space="0" w:color="auto"/>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0000"/>
                <w:sz w:val="20"/>
                <w:szCs w:val="20"/>
              </w:rPr>
            </w:pPr>
            <w:r w:rsidRPr="00734DF6">
              <w:rPr>
                <w:rFonts w:ascii="Calibri" w:eastAsia="Times New Roman" w:hAnsi="Calibri" w:cs="Times New Roman"/>
                <w:b/>
                <w:bCs/>
                <w:color w:val="000000"/>
                <w:sz w:val="20"/>
                <w:szCs w:val="20"/>
              </w:rPr>
              <w:t>Module 1</w:t>
            </w:r>
          </w:p>
        </w:tc>
      </w:tr>
      <w:tr w:rsidR="00734DF6" w:rsidRPr="00734DF6" w:rsidTr="00734DF6">
        <w:trPr>
          <w:trHeight w:val="25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proofErr w:type="spellStart"/>
            <w:r w:rsidRPr="00734DF6">
              <w:rPr>
                <w:rFonts w:ascii="Calibri" w:eastAsia="Times New Roman" w:hAnsi="Calibri" w:cs="Times New Roman"/>
                <w:color w:val="000000"/>
                <w:sz w:val="20"/>
                <w:szCs w:val="20"/>
              </w:rPr>
              <w:t>Xss</w:t>
            </w:r>
            <w:proofErr w:type="spellEnd"/>
            <w:r w:rsidRPr="00734DF6">
              <w:rPr>
                <w:rFonts w:ascii="Calibri" w:eastAsia="Times New Roman" w:hAnsi="Calibri" w:cs="Times New Roman"/>
                <w:color w:val="000000"/>
                <w:sz w:val="20"/>
                <w:szCs w:val="20"/>
              </w:rPr>
              <w:t>(3)</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1</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UN</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14</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Intermediate</w:t>
            </w:r>
          </w:p>
        </w:tc>
      </w:tr>
      <w:tr w:rsidR="00734DF6" w:rsidRPr="00734DF6" w:rsidTr="00734DF6">
        <w:trPr>
          <w:trHeight w:val="25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proofErr w:type="spellStart"/>
            <w:r w:rsidRPr="00734DF6">
              <w:rPr>
                <w:rFonts w:ascii="Calibri" w:eastAsia="Times New Roman" w:hAnsi="Calibri" w:cs="Times New Roman"/>
                <w:color w:val="000000"/>
                <w:sz w:val="20"/>
                <w:szCs w:val="20"/>
              </w:rPr>
              <w:t>Xss</w:t>
            </w:r>
            <w:proofErr w:type="spellEnd"/>
            <w:r w:rsidRPr="00734DF6">
              <w:rPr>
                <w:rFonts w:ascii="Calibri" w:eastAsia="Times New Roman" w:hAnsi="Calibri" w:cs="Times New Roman"/>
                <w:color w:val="000000"/>
                <w:sz w:val="20"/>
                <w:szCs w:val="20"/>
              </w:rPr>
              <w:t>(10)</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3</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UN</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14</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Intermediate</w:t>
            </w:r>
          </w:p>
        </w:tc>
      </w:tr>
      <w:tr w:rsidR="00734DF6" w:rsidRPr="00734DF6" w:rsidTr="00734DF6">
        <w:trPr>
          <w:trHeight w:val="25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proofErr w:type="spellStart"/>
            <w:r w:rsidRPr="00734DF6">
              <w:rPr>
                <w:rFonts w:ascii="Calibri" w:eastAsia="Times New Roman" w:hAnsi="Calibri" w:cs="Times New Roman"/>
                <w:color w:val="000000"/>
                <w:sz w:val="20"/>
                <w:szCs w:val="20"/>
              </w:rPr>
              <w:t>Xss</w:t>
            </w:r>
            <w:proofErr w:type="spellEnd"/>
            <w:r w:rsidRPr="00734DF6">
              <w:rPr>
                <w:rFonts w:ascii="Calibri" w:eastAsia="Times New Roman" w:hAnsi="Calibri" w:cs="Times New Roman"/>
                <w:color w:val="000000"/>
                <w:sz w:val="20"/>
                <w:szCs w:val="20"/>
              </w:rPr>
              <w:t>(16)</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4</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UN</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14</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Intermediate</w:t>
            </w:r>
          </w:p>
        </w:tc>
      </w:tr>
      <w:tr w:rsidR="00734DF6" w:rsidRPr="00734DF6" w:rsidTr="00734DF6">
        <w:trPr>
          <w:trHeight w:val="25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proofErr w:type="spellStart"/>
            <w:r w:rsidRPr="00734DF6">
              <w:rPr>
                <w:rFonts w:ascii="Calibri" w:eastAsia="Times New Roman" w:hAnsi="Calibri" w:cs="Times New Roman"/>
                <w:b/>
                <w:bCs/>
                <w:color w:val="00B050"/>
                <w:sz w:val="20"/>
                <w:szCs w:val="20"/>
              </w:rPr>
              <w:t>Xss</w:t>
            </w:r>
            <w:proofErr w:type="spellEnd"/>
            <w:r w:rsidRPr="00734DF6">
              <w:rPr>
                <w:rFonts w:ascii="Calibri" w:eastAsia="Times New Roman" w:hAnsi="Calibri" w:cs="Times New Roman"/>
                <w:b/>
                <w:bCs/>
                <w:color w:val="00B050"/>
                <w:sz w:val="20"/>
                <w:szCs w:val="20"/>
              </w:rPr>
              <w:t>(40)</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8</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UN</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14</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Waste</w:t>
            </w:r>
          </w:p>
        </w:tc>
      </w:tr>
      <w:tr w:rsidR="00734DF6" w:rsidRPr="00734DF6" w:rsidTr="00734DF6">
        <w:trPr>
          <w:trHeight w:val="28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proofErr w:type="spellStart"/>
            <w:r w:rsidRPr="00734DF6">
              <w:rPr>
                <w:rFonts w:ascii="Calibri" w:eastAsia="Times New Roman" w:hAnsi="Calibri" w:cs="Times New Roman"/>
                <w:b/>
                <w:bCs/>
                <w:color w:val="00B050"/>
                <w:sz w:val="20"/>
                <w:szCs w:val="20"/>
              </w:rPr>
              <w:t>Xss</w:t>
            </w:r>
            <w:proofErr w:type="spellEnd"/>
            <w:r w:rsidRPr="00734DF6">
              <w:rPr>
                <w:rFonts w:ascii="Calibri" w:eastAsia="Times New Roman" w:hAnsi="Calibri" w:cs="Times New Roman"/>
                <w:b/>
                <w:bCs/>
                <w:color w:val="00B050"/>
                <w:sz w:val="20"/>
                <w:szCs w:val="20"/>
              </w:rPr>
              <w:t>(41)</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8</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U</w:t>
            </w:r>
            <w:r w:rsidRPr="00734DF6">
              <w:rPr>
                <w:rFonts w:ascii="Calibri" w:eastAsia="Times New Roman" w:hAnsi="Calibri" w:cs="Times New Roman"/>
                <w:b/>
                <w:bCs/>
                <w:color w:val="00B050"/>
                <w:sz w:val="20"/>
                <w:szCs w:val="20"/>
                <w:vertAlign w:val="subscript"/>
              </w:rPr>
              <w:t>3</w:t>
            </w:r>
            <w:r w:rsidRPr="00734DF6">
              <w:rPr>
                <w:rFonts w:ascii="Calibri" w:eastAsia="Times New Roman" w:hAnsi="Calibri" w:cs="Times New Roman"/>
                <w:b/>
                <w:bCs/>
                <w:color w:val="00B050"/>
                <w:sz w:val="20"/>
                <w:szCs w:val="20"/>
              </w:rPr>
              <w:t>O</w:t>
            </w:r>
            <w:r w:rsidRPr="00734DF6">
              <w:rPr>
                <w:rFonts w:ascii="Calibri" w:eastAsia="Times New Roman" w:hAnsi="Calibri" w:cs="Times New Roman"/>
                <w:b/>
                <w:bCs/>
                <w:color w:val="00B050"/>
                <w:sz w:val="20"/>
                <w:szCs w:val="20"/>
                <w:vertAlign w:val="subscript"/>
              </w:rPr>
              <w:t>8</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18</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Waste</w:t>
            </w:r>
          </w:p>
        </w:tc>
      </w:tr>
      <w:tr w:rsidR="00734DF6" w:rsidRPr="00734DF6" w:rsidTr="00734DF6">
        <w:trPr>
          <w:trHeight w:val="25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FF0000"/>
                <w:sz w:val="20"/>
                <w:szCs w:val="20"/>
              </w:rPr>
            </w:pPr>
            <w:proofErr w:type="spellStart"/>
            <w:r w:rsidRPr="00734DF6">
              <w:rPr>
                <w:rFonts w:ascii="Calibri" w:eastAsia="Times New Roman" w:hAnsi="Calibri" w:cs="Times New Roman"/>
                <w:b/>
                <w:bCs/>
                <w:color w:val="FF0000"/>
                <w:sz w:val="20"/>
                <w:szCs w:val="20"/>
              </w:rPr>
              <w:t>Xss</w:t>
            </w:r>
            <w:proofErr w:type="spellEnd"/>
            <w:r w:rsidRPr="00734DF6">
              <w:rPr>
                <w:rFonts w:ascii="Calibri" w:eastAsia="Times New Roman" w:hAnsi="Calibri" w:cs="Times New Roman"/>
                <w:b/>
                <w:bCs/>
                <w:color w:val="FF0000"/>
                <w:sz w:val="20"/>
                <w:szCs w:val="20"/>
              </w:rPr>
              <w:t>(64)</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FF0000"/>
                <w:sz w:val="20"/>
                <w:szCs w:val="20"/>
              </w:rPr>
            </w:pPr>
            <w:r w:rsidRPr="00734DF6">
              <w:rPr>
                <w:rFonts w:ascii="Calibri" w:eastAsia="Times New Roman" w:hAnsi="Calibri" w:cs="Times New Roman"/>
                <w:b/>
                <w:bCs/>
                <w:color w:val="FF0000"/>
                <w:sz w:val="20"/>
                <w:szCs w:val="20"/>
              </w:rPr>
              <w:t>12</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b/>
                <w:bCs/>
                <w:color w:val="FF0000"/>
                <w:sz w:val="20"/>
                <w:szCs w:val="20"/>
              </w:rPr>
            </w:pPr>
            <w:r w:rsidRPr="00734DF6">
              <w:rPr>
                <w:rFonts w:ascii="Calibri" w:eastAsia="Times New Roman" w:hAnsi="Calibri" w:cs="Times New Roman"/>
                <w:b/>
                <w:bCs/>
                <w:color w:val="FF0000"/>
                <w:sz w:val="20"/>
                <w:szCs w:val="20"/>
              </w:rPr>
              <w:t>UN</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FF0000"/>
                <w:sz w:val="20"/>
                <w:szCs w:val="20"/>
              </w:rPr>
            </w:pPr>
            <w:r w:rsidRPr="00734DF6">
              <w:rPr>
                <w:rFonts w:ascii="Calibri" w:eastAsia="Times New Roman" w:hAnsi="Calibri" w:cs="Times New Roman"/>
                <w:b/>
                <w:bCs/>
                <w:color w:val="FF0000"/>
                <w:sz w:val="20"/>
                <w:szCs w:val="20"/>
              </w:rPr>
              <w:t>14</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FF0000"/>
                <w:sz w:val="20"/>
                <w:szCs w:val="20"/>
              </w:rPr>
            </w:pPr>
            <w:r w:rsidRPr="00734DF6">
              <w:rPr>
                <w:rFonts w:ascii="Calibri" w:eastAsia="Times New Roman" w:hAnsi="Calibri" w:cs="Times New Roman"/>
                <w:b/>
                <w:bCs/>
                <w:color w:val="FF0000"/>
                <w:sz w:val="20"/>
                <w:szCs w:val="20"/>
              </w:rPr>
              <w:t>Product</w:t>
            </w:r>
          </w:p>
        </w:tc>
      </w:tr>
      <w:tr w:rsidR="00734DF6" w:rsidRPr="00734DF6" w:rsidTr="00734DF6">
        <w:trPr>
          <w:trHeight w:val="270"/>
          <w:jc w:val="center"/>
        </w:trPr>
        <w:tc>
          <w:tcPr>
            <w:tcW w:w="820" w:type="dxa"/>
            <w:tcBorders>
              <w:top w:val="nil"/>
              <w:left w:val="nil"/>
              <w:bottom w:val="single" w:sz="8" w:space="0" w:color="auto"/>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proofErr w:type="spellStart"/>
            <w:r w:rsidRPr="00734DF6">
              <w:rPr>
                <w:rFonts w:ascii="Calibri" w:eastAsia="Times New Roman" w:hAnsi="Calibri" w:cs="Times New Roman"/>
                <w:b/>
                <w:bCs/>
                <w:color w:val="00B050"/>
                <w:sz w:val="20"/>
                <w:szCs w:val="20"/>
              </w:rPr>
              <w:t>Xss</w:t>
            </w:r>
            <w:proofErr w:type="spellEnd"/>
            <w:r w:rsidRPr="00734DF6">
              <w:rPr>
                <w:rFonts w:ascii="Calibri" w:eastAsia="Times New Roman" w:hAnsi="Calibri" w:cs="Times New Roman"/>
                <w:b/>
                <w:bCs/>
                <w:color w:val="00B050"/>
                <w:sz w:val="20"/>
                <w:szCs w:val="20"/>
              </w:rPr>
              <w:t>(70)</w:t>
            </w:r>
          </w:p>
        </w:tc>
        <w:tc>
          <w:tcPr>
            <w:tcW w:w="700" w:type="dxa"/>
            <w:tcBorders>
              <w:top w:val="nil"/>
              <w:left w:val="nil"/>
              <w:bottom w:val="single" w:sz="8" w:space="0" w:color="auto"/>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13</w:t>
            </w:r>
          </w:p>
        </w:tc>
        <w:tc>
          <w:tcPr>
            <w:tcW w:w="780" w:type="dxa"/>
            <w:tcBorders>
              <w:top w:val="nil"/>
              <w:left w:val="nil"/>
              <w:bottom w:val="single" w:sz="8" w:space="0" w:color="auto"/>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UN</w:t>
            </w:r>
          </w:p>
        </w:tc>
        <w:tc>
          <w:tcPr>
            <w:tcW w:w="800" w:type="dxa"/>
            <w:tcBorders>
              <w:top w:val="nil"/>
              <w:left w:val="nil"/>
              <w:bottom w:val="single" w:sz="8" w:space="0" w:color="auto"/>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14</w:t>
            </w:r>
          </w:p>
        </w:tc>
        <w:tc>
          <w:tcPr>
            <w:tcW w:w="1160" w:type="dxa"/>
            <w:tcBorders>
              <w:top w:val="nil"/>
              <w:left w:val="nil"/>
              <w:bottom w:val="single" w:sz="8" w:space="0" w:color="auto"/>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Waste</w:t>
            </w:r>
          </w:p>
        </w:tc>
      </w:tr>
      <w:tr w:rsidR="00734DF6" w:rsidRPr="00734DF6" w:rsidTr="00734DF6">
        <w:trPr>
          <w:trHeight w:val="255"/>
          <w:jc w:val="center"/>
        </w:trPr>
        <w:tc>
          <w:tcPr>
            <w:tcW w:w="4260" w:type="dxa"/>
            <w:gridSpan w:val="5"/>
            <w:tcBorders>
              <w:top w:val="nil"/>
              <w:left w:val="nil"/>
              <w:bottom w:val="single" w:sz="4" w:space="0" w:color="auto"/>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0000"/>
                <w:sz w:val="20"/>
                <w:szCs w:val="20"/>
              </w:rPr>
            </w:pPr>
            <w:r w:rsidRPr="00734DF6">
              <w:rPr>
                <w:rFonts w:ascii="Calibri" w:eastAsia="Times New Roman" w:hAnsi="Calibri" w:cs="Times New Roman"/>
                <w:b/>
                <w:bCs/>
                <w:color w:val="000000"/>
                <w:sz w:val="20"/>
                <w:szCs w:val="20"/>
              </w:rPr>
              <w:t>Module 2</w:t>
            </w:r>
          </w:p>
        </w:tc>
      </w:tr>
      <w:tr w:rsidR="00734DF6" w:rsidRPr="00734DF6" w:rsidTr="00734DF6">
        <w:trPr>
          <w:trHeight w:val="25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proofErr w:type="spellStart"/>
            <w:r w:rsidRPr="00734DF6">
              <w:rPr>
                <w:rFonts w:ascii="Calibri" w:eastAsia="Times New Roman" w:hAnsi="Calibri" w:cs="Times New Roman"/>
                <w:color w:val="000000"/>
                <w:sz w:val="20"/>
                <w:szCs w:val="20"/>
              </w:rPr>
              <w:t>Xss</w:t>
            </w:r>
            <w:proofErr w:type="spellEnd"/>
            <w:r w:rsidRPr="00734DF6">
              <w:rPr>
                <w:rFonts w:ascii="Calibri" w:eastAsia="Times New Roman" w:hAnsi="Calibri" w:cs="Times New Roman"/>
                <w:color w:val="000000"/>
                <w:sz w:val="20"/>
                <w:szCs w:val="20"/>
              </w:rPr>
              <w:t>(77)</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14</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UN</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14</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Intermediate</w:t>
            </w:r>
          </w:p>
        </w:tc>
      </w:tr>
      <w:tr w:rsidR="00734DF6" w:rsidRPr="00734DF6" w:rsidTr="00734DF6">
        <w:trPr>
          <w:trHeight w:val="25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proofErr w:type="spellStart"/>
            <w:r w:rsidRPr="00734DF6">
              <w:rPr>
                <w:rFonts w:ascii="Calibri" w:eastAsia="Times New Roman" w:hAnsi="Calibri" w:cs="Times New Roman"/>
                <w:color w:val="000000"/>
                <w:sz w:val="20"/>
                <w:szCs w:val="20"/>
              </w:rPr>
              <w:t>Xss</w:t>
            </w:r>
            <w:proofErr w:type="spellEnd"/>
            <w:r w:rsidRPr="00734DF6">
              <w:rPr>
                <w:rFonts w:ascii="Calibri" w:eastAsia="Times New Roman" w:hAnsi="Calibri" w:cs="Times New Roman"/>
                <w:color w:val="000000"/>
                <w:sz w:val="20"/>
                <w:szCs w:val="20"/>
              </w:rPr>
              <w:t>(84)</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15</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UN</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14</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Intermediate</w:t>
            </w:r>
          </w:p>
        </w:tc>
      </w:tr>
      <w:tr w:rsidR="00734DF6" w:rsidRPr="00734DF6" w:rsidTr="00734DF6">
        <w:trPr>
          <w:trHeight w:val="25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proofErr w:type="spellStart"/>
            <w:r w:rsidRPr="00734DF6">
              <w:rPr>
                <w:rFonts w:ascii="Calibri" w:eastAsia="Times New Roman" w:hAnsi="Calibri" w:cs="Times New Roman"/>
                <w:b/>
                <w:bCs/>
                <w:color w:val="00B050"/>
                <w:sz w:val="20"/>
                <w:szCs w:val="20"/>
              </w:rPr>
              <w:t>Xss</w:t>
            </w:r>
            <w:proofErr w:type="spellEnd"/>
            <w:r w:rsidRPr="00734DF6">
              <w:rPr>
                <w:rFonts w:ascii="Calibri" w:eastAsia="Times New Roman" w:hAnsi="Calibri" w:cs="Times New Roman"/>
                <w:b/>
                <w:bCs/>
                <w:color w:val="00B050"/>
                <w:sz w:val="20"/>
                <w:szCs w:val="20"/>
              </w:rPr>
              <w:t>(91)</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16</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UN</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14</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Waste</w:t>
            </w:r>
          </w:p>
        </w:tc>
      </w:tr>
      <w:tr w:rsidR="00734DF6" w:rsidRPr="00734DF6" w:rsidTr="00734DF6">
        <w:trPr>
          <w:trHeight w:val="28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proofErr w:type="spellStart"/>
            <w:r w:rsidRPr="00734DF6">
              <w:rPr>
                <w:rFonts w:ascii="Calibri" w:eastAsia="Times New Roman" w:hAnsi="Calibri" w:cs="Times New Roman"/>
                <w:b/>
                <w:bCs/>
                <w:color w:val="00B050"/>
                <w:sz w:val="20"/>
                <w:szCs w:val="20"/>
              </w:rPr>
              <w:t>Xss</w:t>
            </w:r>
            <w:proofErr w:type="spellEnd"/>
            <w:r w:rsidRPr="00734DF6">
              <w:rPr>
                <w:rFonts w:ascii="Calibri" w:eastAsia="Times New Roman" w:hAnsi="Calibri" w:cs="Times New Roman"/>
                <w:b/>
                <w:bCs/>
                <w:color w:val="00B050"/>
                <w:sz w:val="20"/>
                <w:szCs w:val="20"/>
              </w:rPr>
              <w:t>(92)</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16</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U</w:t>
            </w:r>
            <w:r w:rsidRPr="00734DF6">
              <w:rPr>
                <w:rFonts w:ascii="Calibri" w:eastAsia="Times New Roman" w:hAnsi="Calibri" w:cs="Times New Roman"/>
                <w:b/>
                <w:bCs/>
                <w:color w:val="00B050"/>
                <w:sz w:val="20"/>
                <w:szCs w:val="20"/>
                <w:vertAlign w:val="subscript"/>
              </w:rPr>
              <w:t>3</w:t>
            </w:r>
            <w:r w:rsidRPr="00734DF6">
              <w:rPr>
                <w:rFonts w:ascii="Calibri" w:eastAsia="Times New Roman" w:hAnsi="Calibri" w:cs="Times New Roman"/>
                <w:b/>
                <w:bCs/>
                <w:color w:val="00B050"/>
                <w:sz w:val="20"/>
                <w:szCs w:val="20"/>
              </w:rPr>
              <w:t>O</w:t>
            </w:r>
            <w:r w:rsidRPr="00734DF6">
              <w:rPr>
                <w:rFonts w:ascii="Calibri" w:eastAsia="Times New Roman" w:hAnsi="Calibri" w:cs="Times New Roman"/>
                <w:b/>
                <w:bCs/>
                <w:color w:val="00B050"/>
                <w:sz w:val="20"/>
                <w:szCs w:val="20"/>
                <w:vertAlign w:val="subscript"/>
              </w:rPr>
              <w:t>8</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18</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Waste</w:t>
            </w:r>
          </w:p>
        </w:tc>
      </w:tr>
      <w:tr w:rsidR="00734DF6" w:rsidRPr="00734DF6" w:rsidTr="00734DF6">
        <w:trPr>
          <w:trHeight w:val="25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proofErr w:type="spellStart"/>
            <w:r w:rsidRPr="00734DF6">
              <w:rPr>
                <w:rFonts w:ascii="Calibri" w:eastAsia="Times New Roman" w:hAnsi="Calibri" w:cs="Times New Roman"/>
                <w:color w:val="000000"/>
                <w:sz w:val="20"/>
                <w:szCs w:val="20"/>
              </w:rPr>
              <w:t>Xss</w:t>
            </w:r>
            <w:proofErr w:type="spellEnd"/>
            <w:r w:rsidRPr="00734DF6">
              <w:rPr>
                <w:rFonts w:ascii="Calibri" w:eastAsia="Times New Roman" w:hAnsi="Calibri" w:cs="Times New Roman"/>
                <w:color w:val="000000"/>
                <w:sz w:val="20"/>
                <w:szCs w:val="20"/>
              </w:rPr>
              <w:t>(98)</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17</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UN</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14</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Intermediate</w:t>
            </w:r>
          </w:p>
        </w:tc>
      </w:tr>
      <w:tr w:rsidR="00734DF6" w:rsidRPr="00734DF6" w:rsidTr="00734DF6">
        <w:trPr>
          <w:trHeight w:val="25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FF0000"/>
                <w:sz w:val="20"/>
                <w:szCs w:val="20"/>
              </w:rPr>
            </w:pPr>
            <w:proofErr w:type="spellStart"/>
            <w:r w:rsidRPr="00734DF6">
              <w:rPr>
                <w:rFonts w:ascii="Calibri" w:eastAsia="Times New Roman" w:hAnsi="Calibri" w:cs="Times New Roman"/>
                <w:b/>
                <w:bCs/>
                <w:color w:val="FF0000"/>
                <w:sz w:val="20"/>
                <w:szCs w:val="20"/>
              </w:rPr>
              <w:t>Xss</w:t>
            </w:r>
            <w:proofErr w:type="spellEnd"/>
            <w:r w:rsidRPr="00734DF6">
              <w:rPr>
                <w:rFonts w:ascii="Calibri" w:eastAsia="Times New Roman" w:hAnsi="Calibri" w:cs="Times New Roman"/>
                <w:b/>
                <w:bCs/>
                <w:color w:val="FF0000"/>
                <w:sz w:val="20"/>
                <w:szCs w:val="20"/>
              </w:rPr>
              <w:t>(111)</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FF0000"/>
                <w:sz w:val="20"/>
                <w:szCs w:val="20"/>
              </w:rPr>
            </w:pPr>
            <w:r w:rsidRPr="00734DF6">
              <w:rPr>
                <w:rFonts w:ascii="Calibri" w:eastAsia="Times New Roman" w:hAnsi="Calibri" w:cs="Times New Roman"/>
                <w:b/>
                <w:bCs/>
                <w:color w:val="FF0000"/>
                <w:sz w:val="20"/>
                <w:szCs w:val="20"/>
              </w:rPr>
              <w:t>19</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b/>
                <w:bCs/>
                <w:color w:val="FF0000"/>
                <w:sz w:val="20"/>
                <w:szCs w:val="20"/>
              </w:rPr>
            </w:pPr>
            <w:r w:rsidRPr="00734DF6">
              <w:rPr>
                <w:rFonts w:ascii="Calibri" w:eastAsia="Times New Roman" w:hAnsi="Calibri" w:cs="Times New Roman"/>
                <w:b/>
                <w:bCs/>
                <w:color w:val="FF0000"/>
                <w:sz w:val="20"/>
                <w:szCs w:val="20"/>
              </w:rPr>
              <w:t>UN</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FF0000"/>
                <w:sz w:val="20"/>
                <w:szCs w:val="20"/>
              </w:rPr>
            </w:pPr>
            <w:r w:rsidRPr="00734DF6">
              <w:rPr>
                <w:rFonts w:ascii="Calibri" w:eastAsia="Times New Roman" w:hAnsi="Calibri" w:cs="Times New Roman"/>
                <w:b/>
                <w:bCs/>
                <w:color w:val="FF0000"/>
                <w:sz w:val="20"/>
                <w:szCs w:val="20"/>
              </w:rPr>
              <w:t>14</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FF0000"/>
                <w:sz w:val="20"/>
                <w:szCs w:val="20"/>
              </w:rPr>
            </w:pPr>
            <w:r w:rsidRPr="00734DF6">
              <w:rPr>
                <w:rFonts w:ascii="Calibri" w:eastAsia="Times New Roman" w:hAnsi="Calibri" w:cs="Times New Roman"/>
                <w:b/>
                <w:bCs/>
                <w:color w:val="FF0000"/>
                <w:sz w:val="20"/>
                <w:szCs w:val="20"/>
              </w:rPr>
              <w:t>Product</w:t>
            </w:r>
          </w:p>
        </w:tc>
      </w:tr>
      <w:tr w:rsidR="00734DF6" w:rsidRPr="00734DF6" w:rsidTr="00734DF6">
        <w:trPr>
          <w:trHeight w:val="270"/>
          <w:jc w:val="center"/>
        </w:trPr>
        <w:tc>
          <w:tcPr>
            <w:tcW w:w="820" w:type="dxa"/>
            <w:tcBorders>
              <w:top w:val="nil"/>
              <w:left w:val="nil"/>
              <w:bottom w:val="single" w:sz="8" w:space="0" w:color="auto"/>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proofErr w:type="spellStart"/>
            <w:r w:rsidRPr="00734DF6">
              <w:rPr>
                <w:rFonts w:ascii="Calibri" w:eastAsia="Times New Roman" w:hAnsi="Calibri" w:cs="Times New Roman"/>
                <w:b/>
                <w:bCs/>
                <w:color w:val="00B050"/>
                <w:sz w:val="20"/>
                <w:szCs w:val="20"/>
              </w:rPr>
              <w:t>Xss</w:t>
            </w:r>
            <w:proofErr w:type="spellEnd"/>
            <w:r w:rsidRPr="00734DF6">
              <w:rPr>
                <w:rFonts w:ascii="Calibri" w:eastAsia="Times New Roman" w:hAnsi="Calibri" w:cs="Times New Roman"/>
                <w:b/>
                <w:bCs/>
                <w:color w:val="00B050"/>
                <w:sz w:val="20"/>
                <w:szCs w:val="20"/>
              </w:rPr>
              <w:t>(117)</w:t>
            </w:r>
          </w:p>
        </w:tc>
        <w:tc>
          <w:tcPr>
            <w:tcW w:w="700" w:type="dxa"/>
            <w:tcBorders>
              <w:top w:val="nil"/>
              <w:left w:val="nil"/>
              <w:bottom w:val="single" w:sz="8" w:space="0" w:color="auto"/>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20</w:t>
            </w:r>
          </w:p>
        </w:tc>
        <w:tc>
          <w:tcPr>
            <w:tcW w:w="780" w:type="dxa"/>
            <w:tcBorders>
              <w:top w:val="nil"/>
              <w:left w:val="nil"/>
              <w:bottom w:val="single" w:sz="8" w:space="0" w:color="auto"/>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UN</w:t>
            </w:r>
          </w:p>
        </w:tc>
        <w:tc>
          <w:tcPr>
            <w:tcW w:w="800" w:type="dxa"/>
            <w:tcBorders>
              <w:top w:val="nil"/>
              <w:left w:val="nil"/>
              <w:bottom w:val="single" w:sz="8" w:space="0" w:color="auto"/>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14</w:t>
            </w:r>
          </w:p>
        </w:tc>
        <w:tc>
          <w:tcPr>
            <w:tcW w:w="1160" w:type="dxa"/>
            <w:tcBorders>
              <w:top w:val="nil"/>
              <w:left w:val="nil"/>
              <w:bottom w:val="single" w:sz="8" w:space="0" w:color="auto"/>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Waste</w:t>
            </w:r>
          </w:p>
        </w:tc>
      </w:tr>
      <w:tr w:rsidR="00734DF6" w:rsidRPr="00734DF6" w:rsidTr="00734DF6">
        <w:trPr>
          <w:trHeight w:val="255"/>
          <w:jc w:val="center"/>
        </w:trPr>
        <w:tc>
          <w:tcPr>
            <w:tcW w:w="4260" w:type="dxa"/>
            <w:gridSpan w:val="5"/>
            <w:tcBorders>
              <w:top w:val="nil"/>
              <w:left w:val="nil"/>
              <w:bottom w:val="single" w:sz="4" w:space="0" w:color="auto"/>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0000"/>
                <w:sz w:val="20"/>
                <w:szCs w:val="20"/>
              </w:rPr>
            </w:pPr>
            <w:r w:rsidRPr="00734DF6">
              <w:rPr>
                <w:rFonts w:ascii="Calibri" w:eastAsia="Times New Roman" w:hAnsi="Calibri" w:cs="Times New Roman"/>
                <w:b/>
                <w:bCs/>
                <w:color w:val="000000"/>
                <w:sz w:val="20"/>
                <w:szCs w:val="20"/>
              </w:rPr>
              <w:t>Module 3</w:t>
            </w:r>
          </w:p>
        </w:tc>
      </w:tr>
      <w:tr w:rsidR="00734DF6" w:rsidRPr="00734DF6" w:rsidTr="00734DF6">
        <w:trPr>
          <w:trHeight w:val="25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proofErr w:type="spellStart"/>
            <w:r w:rsidRPr="00734DF6">
              <w:rPr>
                <w:rFonts w:ascii="Calibri" w:eastAsia="Times New Roman" w:hAnsi="Calibri" w:cs="Times New Roman"/>
                <w:b/>
                <w:bCs/>
                <w:color w:val="00B050"/>
                <w:sz w:val="20"/>
                <w:szCs w:val="20"/>
              </w:rPr>
              <w:t>Xss</w:t>
            </w:r>
            <w:proofErr w:type="spellEnd"/>
            <w:r w:rsidRPr="00734DF6">
              <w:rPr>
                <w:rFonts w:ascii="Calibri" w:eastAsia="Times New Roman" w:hAnsi="Calibri" w:cs="Times New Roman"/>
                <w:b/>
                <w:bCs/>
                <w:color w:val="00B050"/>
                <w:sz w:val="20"/>
                <w:szCs w:val="20"/>
              </w:rPr>
              <w:t>(123)</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21</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UN</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14</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Waste</w:t>
            </w:r>
          </w:p>
        </w:tc>
      </w:tr>
      <w:tr w:rsidR="00734DF6" w:rsidRPr="00734DF6" w:rsidTr="00734DF6">
        <w:trPr>
          <w:trHeight w:val="25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proofErr w:type="spellStart"/>
            <w:r w:rsidRPr="00734DF6">
              <w:rPr>
                <w:rFonts w:ascii="Calibri" w:eastAsia="Times New Roman" w:hAnsi="Calibri" w:cs="Times New Roman"/>
                <w:color w:val="000000"/>
                <w:sz w:val="20"/>
                <w:szCs w:val="20"/>
              </w:rPr>
              <w:t>Xss</w:t>
            </w:r>
            <w:proofErr w:type="spellEnd"/>
            <w:r w:rsidRPr="00734DF6">
              <w:rPr>
                <w:rFonts w:ascii="Calibri" w:eastAsia="Times New Roman" w:hAnsi="Calibri" w:cs="Times New Roman"/>
                <w:color w:val="000000"/>
                <w:sz w:val="20"/>
                <w:szCs w:val="20"/>
              </w:rPr>
              <w:t>(128)</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22</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UN</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14</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Intermediate</w:t>
            </w:r>
          </w:p>
        </w:tc>
      </w:tr>
      <w:tr w:rsidR="00734DF6" w:rsidRPr="00734DF6" w:rsidTr="00734DF6">
        <w:trPr>
          <w:trHeight w:val="25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proofErr w:type="spellStart"/>
            <w:r w:rsidRPr="00734DF6">
              <w:rPr>
                <w:rFonts w:ascii="Calibri" w:eastAsia="Times New Roman" w:hAnsi="Calibri" w:cs="Times New Roman"/>
                <w:color w:val="000000"/>
                <w:sz w:val="20"/>
                <w:szCs w:val="20"/>
              </w:rPr>
              <w:t>Xss</w:t>
            </w:r>
            <w:proofErr w:type="spellEnd"/>
            <w:r w:rsidRPr="00734DF6">
              <w:rPr>
                <w:rFonts w:ascii="Calibri" w:eastAsia="Times New Roman" w:hAnsi="Calibri" w:cs="Times New Roman"/>
                <w:color w:val="000000"/>
                <w:sz w:val="20"/>
                <w:szCs w:val="20"/>
              </w:rPr>
              <w:t>(138)</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26</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UN</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14</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Intermediate</w:t>
            </w:r>
          </w:p>
        </w:tc>
      </w:tr>
      <w:tr w:rsidR="00734DF6" w:rsidRPr="00734DF6" w:rsidTr="00734DF6">
        <w:trPr>
          <w:trHeight w:val="25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proofErr w:type="spellStart"/>
            <w:r w:rsidRPr="00734DF6">
              <w:rPr>
                <w:rFonts w:ascii="Calibri" w:eastAsia="Times New Roman" w:hAnsi="Calibri" w:cs="Times New Roman"/>
                <w:color w:val="000000"/>
                <w:sz w:val="20"/>
                <w:szCs w:val="20"/>
              </w:rPr>
              <w:t>Xss</w:t>
            </w:r>
            <w:proofErr w:type="spellEnd"/>
            <w:r w:rsidRPr="00734DF6">
              <w:rPr>
                <w:rFonts w:ascii="Calibri" w:eastAsia="Times New Roman" w:hAnsi="Calibri" w:cs="Times New Roman"/>
                <w:color w:val="000000"/>
                <w:sz w:val="20"/>
                <w:szCs w:val="20"/>
              </w:rPr>
              <w:t>(148)</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27</w:t>
            </w:r>
          </w:p>
        </w:tc>
        <w:tc>
          <w:tcPr>
            <w:tcW w:w="78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AUC</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19</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Intermediate</w:t>
            </w:r>
          </w:p>
        </w:tc>
      </w:tr>
      <w:tr w:rsidR="00734DF6" w:rsidRPr="00734DF6" w:rsidTr="00734DF6">
        <w:trPr>
          <w:trHeight w:val="25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proofErr w:type="spellStart"/>
            <w:r w:rsidRPr="00734DF6">
              <w:rPr>
                <w:rFonts w:ascii="Calibri" w:eastAsia="Times New Roman" w:hAnsi="Calibri" w:cs="Times New Roman"/>
                <w:color w:val="000000"/>
                <w:sz w:val="20"/>
                <w:szCs w:val="20"/>
              </w:rPr>
              <w:t>Xss</w:t>
            </w:r>
            <w:proofErr w:type="spellEnd"/>
            <w:r w:rsidRPr="00734DF6">
              <w:rPr>
                <w:rFonts w:ascii="Calibri" w:eastAsia="Times New Roman" w:hAnsi="Calibri" w:cs="Times New Roman"/>
                <w:color w:val="000000"/>
                <w:sz w:val="20"/>
                <w:szCs w:val="20"/>
              </w:rPr>
              <w:t>(159)</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29</w:t>
            </w:r>
          </w:p>
        </w:tc>
        <w:tc>
          <w:tcPr>
            <w:tcW w:w="78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AUC</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19</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Intermediate</w:t>
            </w:r>
          </w:p>
        </w:tc>
      </w:tr>
      <w:tr w:rsidR="00734DF6" w:rsidRPr="00734DF6" w:rsidTr="00734DF6">
        <w:trPr>
          <w:trHeight w:val="25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FF0000"/>
                <w:sz w:val="20"/>
                <w:szCs w:val="20"/>
              </w:rPr>
            </w:pPr>
            <w:proofErr w:type="spellStart"/>
            <w:r w:rsidRPr="00734DF6">
              <w:rPr>
                <w:rFonts w:ascii="Calibri" w:eastAsia="Times New Roman" w:hAnsi="Calibri" w:cs="Times New Roman"/>
                <w:b/>
                <w:bCs/>
                <w:color w:val="FF0000"/>
                <w:sz w:val="20"/>
                <w:szCs w:val="20"/>
              </w:rPr>
              <w:t>Xss</w:t>
            </w:r>
            <w:proofErr w:type="spellEnd"/>
            <w:r w:rsidRPr="00734DF6">
              <w:rPr>
                <w:rFonts w:ascii="Calibri" w:eastAsia="Times New Roman" w:hAnsi="Calibri" w:cs="Times New Roman"/>
                <w:b/>
                <w:bCs/>
                <w:color w:val="FF0000"/>
                <w:sz w:val="20"/>
                <w:szCs w:val="20"/>
              </w:rPr>
              <w:t>(163)</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FF0000"/>
                <w:sz w:val="20"/>
                <w:szCs w:val="20"/>
              </w:rPr>
            </w:pPr>
            <w:r w:rsidRPr="00734DF6">
              <w:rPr>
                <w:rFonts w:ascii="Calibri" w:eastAsia="Times New Roman" w:hAnsi="Calibri" w:cs="Times New Roman"/>
                <w:b/>
                <w:bCs/>
                <w:color w:val="FF0000"/>
                <w:sz w:val="20"/>
                <w:szCs w:val="20"/>
              </w:rPr>
              <w:t>30</w:t>
            </w:r>
          </w:p>
        </w:tc>
        <w:tc>
          <w:tcPr>
            <w:tcW w:w="78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FF0000"/>
                <w:sz w:val="20"/>
                <w:szCs w:val="20"/>
              </w:rPr>
            </w:pPr>
            <w:r w:rsidRPr="00734DF6">
              <w:rPr>
                <w:rFonts w:ascii="Calibri" w:eastAsia="Times New Roman" w:hAnsi="Calibri" w:cs="Times New Roman"/>
                <w:b/>
                <w:bCs/>
                <w:color w:val="FF0000"/>
                <w:sz w:val="20"/>
                <w:szCs w:val="20"/>
              </w:rPr>
              <w:t>AUC</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FF0000"/>
                <w:sz w:val="20"/>
                <w:szCs w:val="20"/>
              </w:rPr>
            </w:pPr>
            <w:r w:rsidRPr="00734DF6">
              <w:rPr>
                <w:rFonts w:ascii="Calibri" w:eastAsia="Times New Roman" w:hAnsi="Calibri" w:cs="Times New Roman"/>
                <w:b/>
                <w:bCs/>
                <w:color w:val="FF0000"/>
                <w:sz w:val="20"/>
                <w:szCs w:val="20"/>
              </w:rPr>
              <w:t>19</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FF0000"/>
                <w:sz w:val="20"/>
                <w:szCs w:val="20"/>
              </w:rPr>
            </w:pPr>
            <w:r w:rsidRPr="00734DF6">
              <w:rPr>
                <w:rFonts w:ascii="Calibri" w:eastAsia="Times New Roman" w:hAnsi="Calibri" w:cs="Times New Roman"/>
                <w:b/>
                <w:bCs/>
                <w:color w:val="FF0000"/>
                <w:sz w:val="20"/>
                <w:szCs w:val="20"/>
              </w:rPr>
              <w:t>Product</w:t>
            </w:r>
          </w:p>
        </w:tc>
      </w:tr>
      <w:tr w:rsidR="00734DF6" w:rsidRPr="00734DF6" w:rsidTr="00734DF6">
        <w:trPr>
          <w:trHeight w:val="25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proofErr w:type="spellStart"/>
            <w:r w:rsidRPr="00734DF6">
              <w:rPr>
                <w:rFonts w:ascii="Calibri" w:eastAsia="Times New Roman" w:hAnsi="Calibri" w:cs="Times New Roman"/>
                <w:b/>
                <w:bCs/>
                <w:color w:val="00B050"/>
                <w:sz w:val="20"/>
                <w:szCs w:val="20"/>
              </w:rPr>
              <w:t>Xss</w:t>
            </w:r>
            <w:proofErr w:type="spellEnd"/>
            <w:r w:rsidRPr="00734DF6">
              <w:rPr>
                <w:rFonts w:ascii="Calibri" w:eastAsia="Times New Roman" w:hAnsi="Calibri" w:cs="Times New Roman"/>
                <w:b/>
                <w:bCs/>
                <w:color w:val="00B050"/>
                <w:sz w:val="20"/>
                <w:szCs w:val="20"/>
              </w:rPr>
              <w:t>(169)</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31</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UN</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14</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Waste</w:t>
            </w:r>
          </w:p>
        </w:tc>
      </w:tr>
      <w:tr w:rsidR="00734DF6" w:rsidRPr="00734DF6" w:rsidTr="00734DF6">
        <w:trPr>
          <w:trHeight w:val="270"/>
          <w:jc w:val="center"/>
        </w:trPr>
        <w:tc>
          <w:tcPr>
            <w:tcW w:w="820" w:type="dxa"/>
            <w:tcBorders>
              <w:top w:val="nil"/>
              <w:left w:val="nil"/>
              <w:bottom w:val="single" w:sz="8" w:space="0" w:color="auto"/>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proofErr w:type="spellStart"/>
            <w:r w:rsidRPr="00734DF6">
              <w:rPr>
                <w:rFonts w:ascii="Calibri" w:eastAsia="Times New Roman" w:hAnsi="Calibri" w:cs="Times New Roman"/>
                <w:b/>
                <w:bCs/>
                <w:color w:val="00B050"/>
                <w:sz w:val="20"/>
                <w:szCs w:val="20"/>
              </w:rPr>
              <w:t>Xss</w:t>
            </w:r>
            <w:proofErr w:type="spellEnd"/>
            <w:r w:rsidRPr="00734DF6">
              <w:rPr>
                <w:rFonts w:ascii="Calibri" w:eastAsia="Times New Roman" w:hAnsi="Calibri" w:cs="Times New Roman"/>
                <w:b/>
                <w:bCs/>
                <w:color w:val="00B050"/>
                <w:sz w:val="20"/>
                <w:szCs w:val="20"/>
              </w:rPr>
              <w:t>(171)</w:t>
            </w:r>
          </w:p>
        </w:tc>
        <w:tc>
          <w:tcPr>
            <w:tcW w:w="700" w:type="dxa"/>
            <w:tcBorders>
              <w:top w:val="nil"/>
              <w:left w:val="nil"/>
              <w:bottom w:val="single" w:sz="8" w:space="0" w:color="auto"/>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31</w:t>
            </w:r>
          </w:p>
        </w:tc>
        <w:tc>
          <w:tcPr>
            <w:tcW w:w="780" w:type="dxa"/>
            <w:tcBorders>
              <w:top w:val="nil"/>
              <w:left w:val="nil"/>
              <w:bottom w:val="single" w:sz="8" w:space="0" w:color="auto"/>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AUC</w:t>
            </w:r>
          </w:p>
        </w:tc>
        <w:tc>
          <w:tcPr>
            <w:tcW w:w="800" w:type="dxa"/>
            <w:tcBorders>
              <w:top w:val="nil"/>
              <w:left w:val="nil"/>
              <w:bottom w:val="single" w:sz="8" w:space="0" w:color="auto"/>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19</w:t>
            </w:r>
          </w:p>
        </w:tc>
        <w:tc>
          <w:tcPr>
            <w:tcW w:w="1160" w:type="dxa"/>
            <w:tcBorders>
              <w:top w:val="nil"/>
              <w:left w:val="nil"/>
              <w:bottom w:val="single" w:sz="8" w:space="0" w:color="auto"/>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Waste</w:t>
            </w:r>
          </w:p>
        </w:tc>
      </w:tr>
      <w:tr w:rsidR="00734DF6" w:rsidRPr="00734DF6" w:rsidTr="00734DF6">
        <w:trPr>
          <w:trHeight w:val="255"/>
          <w:jc w:val="center"/>
        </w:trPr>
        <w:tc>
          <w:tcPr>
            <w:tcW w:w="4260" w:type="dxa"/>
            <w:gridSpan w:val="5"/>
            <w:tcBorders>
              <w:top w:val="nil"/>
              <w:left w:val="nil"/>
              <w:bottom w:val="single" w:sz="4" w:space="0" w:color="auto"/>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0000"/>
                <w:sz w:val="20"/>
                <w:szCs w:val="20"/>
              </w:rPr>
            </w:pPr>
            <w:r w:rsidRPr="00734DF6">
              <w:rPr>
                <w:rFonts w:ascii="Calibri" w:eastAsia="Times New Roman" w:hAnsi="Calibri" w:cs="Times New Roman"/>
                <w:b/>
                <w:bCs/>
                <w:color w:val="000000"/>
                <w:sz w:val="20"/>
                <w:szCs w:val="20"/>
              </w:rPr>
              <w:t>Module 4</w:t>
            </w:r>
          </w:p>
        </w:tc>
      </w:tr>
      <w:tr w:rsidR="00734DF6" w:rsidRPr="00734DF6" w:rsidTr="00734DF6">
        <w:trPr>
          <w:trHeight w:val="28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proofErr w:type="spellStart"/>
            <w:r w:rsidRPr="00734DF6">
              <w:rPr>
                <w:rFonts w:ascii="Calibri" w:eastAsia="Times New Roman" w:hAnsi="Calibri" w:cs="Times New Roman"/>
                <w:color w:val="000000"/>
                <w:sz w:val="20"/>
                <w:szCs w:val="20"/>
              </w:rPr>
              <w:t>Xss</w:t>
            </w:r>
            <w:proofErr w:type="spellEnd"/>
            <w:r w:rsidRPr="00734DF6">
              <w:rPr>
                <w:rFonts w:ascii="Calibri" w:eastAsia="Times New Roman" w:hAnsi="Calibri" w:cs="Times New Roman"/>
                <w:color w:val="000000"/>
                <w:sz w:val="20"/>
                <w:szCs w:val="20"/>
              </w:rPr>
              <w:t>(181)</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34</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UO</w:t>
            </w:r>
            <w:r w:rsidRPr="00734DF6">
              <w:rPr>
                <w:rFonts w:ascii="Calibri" w:eastAsia="Times New Roman" w:hAnsi="Calibri" w:cs="Times New Roman"/>
                <w:sz w:val="20"/>
                <w:szCs w:val="20"/>
                <w:vertAlign w:val="subscript"/>
              </w:rPr>
              <w:t>2</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17</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Intermediate</w:t>
            </w:r>
          </w:p>
        </w:tc>
      </w:tr>
      <w:tr w:rsidR="00734DF6" w:rsidRPr="00734DF6" w:rsidTr="00734DF6">
        <w:trPr>
          <w:trHeight w:val="28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proofErr w:type="spellStart"/>
            <w:r w:rsidRPr="00734DF6">
              <w:rPr>
                <w:rFonts w:ascii="Calibri" w:eastAsia="Times New Roman" w:hAnsi="Calibri" w:cs="Times New Roman"/>
                <w:color w:val="000000"/>
                <w:sz w:val="20"/>
                <w:szCs w:val="20"/>
              </w:rPr>
              <w:t>Xss</w:t>
            </w:r>
            <w:proofErr w:type="spellEnd"/>
            <w:r w:rsidRPr="00734DF6">
              <w:rPr>
                <w:rFonts w:ascii="Calibri" w:eastAsia="Times New Roman" w:hAnsi="Calibri" w:cs="Times New Roman"/>
                <w:color w:val="000000"/>
                <w:sz w:val="20"/>
                <w:szCs w:val="20"/>
              </w:rPr>
              <w:t>(184)</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35</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UO</w:t>
            </w:r>
            <w:r w:rsidRPr="00734DF6">
              <w:rPr>
                <w:rFonts w:ascii="Calibri" w:eastAsia="Times New Roman" w:hAnsi="Calibri" w:cs="Times New Roman"/>
                <w:sz w:val="20"/>
                <w:szCs w:val="20"/>
                <w:vertAlign w:val="subscript"/>
              </w:rPr>
              <w:t>2</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17</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Intermediate</w:t>
            </w:r>
          </w:p>
        </w:tc>
      </w:tr>
      <w:tr w:rsidR="00734DF6" w:rsidRPr="00734DF6" w:rsidTr="00734DF6">
        <w:trPr>
          <w:trHeight w:val="28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proofErr w:type="spellStart"/>
            <w:r w:rsidRPr="00734DF6">
              <w:rPr>
                <w:rFonts w:ascii="Calibri" w:eastAsia="Times New Roman" w:hAnsi="Calibri" w:cs="Times New Roman"/>
                <w:color w:val="000000"/>
                <w:sz w:val="20"/>
                <w:szCs w:val="20"/>
              </w:rPr>
              <w:t>Xss</w:t>
            </w:r>
            <w:proofErr w:type="spellEnd"/>
            <w:r w:rsidRPr="00734DF6">
              <w:rPr>
                <w:rFonts w:ascii="Calibri" w:eastAsia="Times New Roman" w:hAnsi="Calibri" w:cs="Times New Roman"/>
                <w:color w:val="000000"/>
                <w:sz w:val="20"/>
                <w:szCs w:val="20"/>
              </w:rPr>
              <w:t>(198)</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39</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UO</w:t>
            </w:r>
            <w:r w:rsidRPr="00734DF6">
              <w:rPr>
                <w:rFonts w:ascii="Calibri" w:eastAsia="Times New Roman" w:hAnsi="Calibri" w:cs="Times New Roman"/>
                <w:sz w:val="20"/>
                <w:szCs w:val="20"/>
                <w:vertAlign w:val="subscript"/>
              </w:rPr>
              <w:t>2</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17</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Intermediate</w:t>
            </w:r>
          </w:p>
        </w:tc>
      </w:tr>
      <w:tr w:rsidR="00734DF6" w:rsidRPr="00734DF6" w:rsidTr="00734DF6">
        <w:trPr>
          <w:trHeight w:val="28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proofErr w:type="spellStart"/>
            <w:r w:rsidRPr="00734DF6">
              <w:rPr>
                <w:rFonts w:ascii="Calibri" w:eastAsia="Times New Roman" w:hAnsi="Calibri" w:cs="Times New Roman"/>
                <w:color w:val="000000"/>
                <w:sz w:val="20"/>
                <w:szCs w:val="20"/>
              </w:rPr>
              <w:t>Xss</w:t>
            </w:r>
            <w:proofErr w:type="spellEnd"/>
            <w:r w:rsidRPr="00734DF6">
              <w:rPr>
                <w:rFonts w:ascii="Calibri" w:eastAsia="Times New Roman" w:hAnsi="Calibri" w:cs="Times New Roman"/>
                <w:color w:val="000000"/>
                <w:sz w:val="20"/>
                <w:szCs w:val="20"/>
              </w:rPr>
              <w:t>(207)</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42</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UF</w:t>
            </w:r>
            <w:r w:rsidRPr="00734DF6">
              <w:rPr>
                <w:rFonts w:ascii="Calibri" w:eastAsia="Times New Roman" w:hAnsi="Calibri" w:cs="Times New Roman"/>
                <w:sz w:val="20"/>
                <w:szCs w:val="20"/>
                <w:vertAlign w:val="subscript"/>
              </w:rPr>
              <w:t>4</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16</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Intermediate</w:t>
            </w:r>
          </w:p>
        </w:tc>
      </w:tr>
      <w:tr w:rsidR="00734DF6" w:rsidRPr="00734DF6" w:rsidTr="00734DF6">
        <w:trPr>
          <w:trHeight w:val="28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proofErr w:type="spellStart"/>
            <w:r w:rsidRPr="00734DF6">
              <w:rPr>
                <w:rFonts w:ascii="Calibri" w:eastAsia="Times New Roman" w:hAnsi="Calibri" w:cs="Times New Roman"/>
                <w:color w:val="000000"/>
                <w:sz w:val="20"/>
                <w:szCs w:val="20"/>
              </w:rPr>
              <w:t>Xss</w:t>
            </w:r>
            <w:proofErr w:type="spellEnd"/>
            <w:r w:rsidRPr="00734DF6">
              <w:rPr>
                <w:rFonts w:ascii="Calibri" w:eastAsia="Times New Roman" w:hAnsi="Calibri" w:cs="Times New Roman"/>
                <w:color w:val="000000"/>
                <w:sz w:val="20"/>
                <w:szCs w:val="20"/>
              </w:rPr>
              <w:t>(208)</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42</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UO</w:t>
            </w:r>
            <w:r w:rsidRPr="00734DF6">
              <w:rPr>
                <w:rFonts w:ascii="Calibri" w:eastAsia="Times New Roman" w:hAnsi="Calibri" w:cs="Times New Roman"/>
                <w:sz w:val="20"/>
                <w:szCs w:val="20"/>
                <w:vertAlign w:val="subscript"/>
              </w:rPr>
              <w:t>2</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17</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Intermediate</w:t>
            </w:r>
          </w:p>
        </w:tc>
      </w:tr>
      <w:tr w:rsidR="00734DF6" w:rsidRPr="00734DF6" w:rsidTr="00734DF6">
        <w:trPr>
          <w:trHeight w:val="28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proofErr w:type="spellStart"/>
            <w:r w:rsidRPr="00734DF6">
              <w:rPr>
                <w:rFonts w:ascii="Calibri" w:eastAsia="Times New Roman" w:hAnsi="Calibri" w:cs="Times New Roman"/>
                <w:b/>
                <w:bCs/>
                <w:color w:val="00B050"/>
                <w:sz w:val="20"/>
                <w:szCs w:val="20"/>
              </w:rPr>
              <w:t>Xss</w:t>
            </w:r>
            <w:proofErr w:type="spellEnd"/>
            <w:r w:rsidRPr="00734DF6">
              <w:rPr>
                <w:rFonts w:ascii="Calibri" w:eastAsia="Times New Roman" w:hAnsi="Calibri" w:cs="Times New Roman"/>
                <w:b/>
                <w:bCs/>
                <w:color w:val="00B050"/>
                <w:sz w:val="20"/>
                <w:szCs w:val="20"/>
              </w:rPr>
              <w:t>(214)</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43</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UF</w:t>
            </w:r>
            <w:r w:rsidRPr="00734DF6">
              <w:rPr>
                <w:rFonts w:ascii="Calibri" w:eastAsia="Times New Roman" w:hAnsi="Calibri" w:cs="Times New Roman"/>
                <w:b/>
                <w:bCs/>
                <w:color w:val="00B050"/>
                <w:sz w:val="20"/>
                <w:szCs w:val="20"/>
                <w:vertAlign w:val="subscript"/>
              </w:rPr>
              <w:t>4</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16</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Waste</w:t>
            </w:r>
          </w:p>
        </w:tc>
      </w:tr>
      <w:tr w:rsidR="00734DF6" w:rsidRPr="00734DF6" w:rsidTr="00734DF6">
        <w:trPr>
          <w:trHeight w:val="28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proofErr w:type="spellStart"/>
            <w:r w:rsidRPr="00734DF6">
              <w:rPr>
                <w:rFonts w:ascii="Calibri" w:eastAsia="Times New Roman" w:hAnsi="Calibri" w:cs="Times New Roman"/>
                <w:b/>
                <w:bCs/>
                <w:color w:val="00B050"/>
                <w:sz w:val="20"/>
                <w:szCs w:val="20"/>
              </w:rPr>
              <w:t>Xss</w:t>
            </w:r>
            <w:proofErr w:type="spellEnd"/>
            <w:r w:rsidRPr="00734DF6">
              <w:rPr>
                <w:rFonts w:ascii="Calibri" w:eastAsia="Times New Roman" w:hAnsi="Calibri" w:cs="Times New Roman"/>
                <w:b/>
                <w:bCs/>
                <w:color w:val="00B050"/>
                <w:sz w:val="20"/>
                <w:szCs w:val="20"/>
              </w:rPr>
              <w:t>(215)</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43</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UO</w:t>
            </w:r>
            <w:r w:rsidRPr="00734DF6">
              <w:rPr>
                <w:rFonts w:ascii="Calibri" w:eastAsia="Times New Roman" w:hAnsi="Calibri" w:cs="Times New Roman"/>
                <w:b/>
                <w:bCs/>
                <w:color w:val="00B050"/>
                <w:sz w:val="20"/>
                <w:szCs w:val="20"/>
                <w:vertAlign w:val="subscript"/>
              </w:rPr>
              <w:t>2</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17</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Waste</w:t>
            </w:r>
          </w:p>
        </w:tc>
      </w:tr>
      <w:tr w:rsidR="00734DF6" w:rsidRPr="00734DF6" w:rsidTr="00734DF6">
        <w:trPr>
          <w:trHeight w:val="25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proofErr w:type="spellStart"/>
            <w:r w:rsidRPr="00734DF6">
              <w:rPr>
                <w:rFonts w:ascii="Calibri" w:eastAsia="Times New Roman" w:hAnsi="Calibri" w:cs="Times New Roman"/>
                <w:b/>
                <w:bCs/>
                <w:color w:val="00B050"/>
                <w:sz w:val="20"/>
                <w:szCs w:val="20"/>
              </w:rPr>
              <w:t>Xss</w:t>
            </w:r>
            <w:proofErr w:type="spellEnd"/>
            <w:r w:rsidRPr="00734DF6">
              <w:rPr>
                <w:rFonts w:ascii="Calibri" w:eastAsia="Times New Roman" w:hAnsi="Calibri" w:cs="Times New Roman"/>
                <w:b/>
                <w:bCs/>
                <w:color w:val="00B050"/>
                <w:sz w:val="20"/>
                <w:szCs w:val="20"/>
              </w:rPr>
              <w:t>(217)</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43</w:t>
            </w:r>
          </w:p>
        </w:tc>
        <w:tc>
          <w:tcPr>
            <w:tcW w:w="78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AUC</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19</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Waste</w:t>
            </w:r>
          </w:p>
        </w:tc>
      </w:tr>
      <w:tr w:rsidR="00734DF6" w:rsidRPr="00734DF6" w:rsidTr="00734DF6">
        <w:trPr>
          <w:trHeight w:val="28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FF0000"/>
                <w:sz w:val="20"/>
                <w:szCs w:val="20"/>
              </w:rPr>
            </w:pPr>
            <w:proofErr w:type="spellStart"/>
            <w:r w:rsidRPr="00734DF6">
              <w:rPr>
                <w:rFonts w:ascii="Calibri" w:eastAsia="Times New Roman" w:hAnsi="Calibri" w:cs="Times New Roman"/>
                <w:b/>
                <w:bCs/>
                <w:color w:val="FF0000"/>
                <w:sz w:val="20"/>
                <w:szCs w:val="20"/>
              </w:rPr>
              <w:t>Xss</w:t>
            </w:r>
            <w:proofErr w:type="spellEnd"/>
            <w:r w:rsidRPr="00734DF6">
              <w:rPr>
                <w:rFonts w:ascii="Calibri" w:eastAsia="Times New Roman" w:hAnsi="Calibri" w:cs="Times New Roman"/>
                <w:b/>
                <w:bCs/>
                <w:color w:val="FF0000"/>
                <w:sz w:val="20"/>
                <w:szCs w:val="20"/>
              </w:rPr>
              <w:t>(218)</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FF0000"/>
                <w:sz w:val="20"/>
                <w:szCs w:val="20"/>
              </w:rPr>
            </w:pPr>
            <w:r w:rsidRPr="00734DF6">
              <w:rPr>
                <w:rFonts w:ascii="Calibri" w:eastAsia="Times New Roman" w:hAnsi="Calibri" w:cs="Times New Roman"/>
                <w:b/>
                <w:bCs/>
                <w:color w:val="FF0000"/>
                <w:sz w:val="20"/>
                <w:szCs w:val="20"/>
              </w:rPr>
              <w:t>44</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b/>
                <w:bCs/>
                <w:color w:val="FF0000"/>
                <w:sz w:val="20"/>
                <w:szCs w:val="20"/>
              </w:rPr>
            </w:pPr>
            <w:r w:rsidRPr="00734DF6">
              <w:rPr>
                <w:rFonts w:ascii="Calibri" w:eastAsia="Times New Roman" w:hAnsi="Calibri" w:cs="Times New Roman"/>
                <w:b/>
                <w:bCs/>
                <w:color w:val="FF0000"/>
                <w:sz w:val="20"/>
                <w:szCs w:val="20"/>
              </w:rPr>
              <w:t>UF</w:t>
            </w:r>
            <w:r w:rsidRPr="00734DF6">
              <w:rPr>
                <w:rFonts w:ascii="Calibri" w:eastAsia="Times New Roman" w:hAnsi="Calibri" w:cs="Times New Roman"/>
                <w:b/>
                <w:bCs/>
                <w:color w:val="FF0000"/>
                <w:sz w:val="20"/>
                <w:szCs w:val="20"/>
                <w:vertAlign w:val="subscript"/>
              </w:rPr>
              <w:t>4</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FF0000"/>
                <w:sz w:val="20"/>
                <w:szCs w:val="20"/>
              </w:rPr>
            </w:pPr>
            <w:r w:rsidRPr="00734DF6">
              <w:rPr>
                <w:rFonts w:ascii="Calibri" w:eastAsia="Times New Roman" w:hAnsi="Calibri" w:cs="Times New Roman"/>
                <w:b/>
                <w:bCs/>
                <w:color w:val="FF0000"/>
                <w:sz w:val="20"/>
                <w:szCs w:val="20"/>
              </w:rPr>
              <w:t>16</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FF0000"/>
                <w:sz w:val="20"/>
                <w:szCs w:val="20"/>
              </w:rPr>
            </w:pPr>
            <w:r w:rsidRPr="00734DF6">
              <w:rPr>
                <w:rFonts w:ascii="Calibri" w:eastAsia="Times New Roman" w:hAnsi="Calibri" w:cs="Times New Roman"/>
                <w:b/>
                <w:bCs/>
                <w:color w:val="FF0000"/>
                <w:sz w:val="20"/>
                <w:szCs w:val="20"/>
              </w:rPr>
              <w:t>Product</w:t>
            </w:r>
          </w:p>
        </w:tc>
      </w:tr>
      <w:tr w:rsidR="00734DF6" w:rsidRPr="00734DF6" w:rsidTr="00734DF6">
        <w:trPr>
          <w:trHeight w:val="300"/>
          <w:jc w:val="center"/>
        </w:trPr>
        <w:tc>
          <w:tcPr>
            <w:tcW w:w="820" w:type="dxa"/>
            <w:tcBorders>
              <w:top w:val="nil"/>
              <w:left w:val="nil"/>
              <w:bottom w:val="single" w:sz="8" w:space="0" w:color="auto"/>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FF0000"/>
                <w:sz w:val="20"/>
                <w:szCs w:val="20"/>
              </w:rPr>
            </w:pPr>
            <w:proofErr w:type="spellStart"/>
            <w:r w:rsidRPr="00734DF6">
              <w:rPr>
                <w:rFonts w:ascii="Calibri" w:eastAsia="Times New Roman" w:hAnsi="Calibri" w:cs="Times New Roman"/>
                <w:b/>
                <w:bCs/>
                <w:color w:val="FF0000"/>
                <w:sz w:val="20"/>
                <w:szCs w:val="20"/>
              </w:rPr>
              <w:t>Xss</w:t>
            </w:r>
            <w:proofErr w:type="spellEnd"/>
            <w:r w:rsidRPr="00734DF6">
              <w:rPr>
                <w:rFonts w:ascii="Calibri" w:eastAsia="Times New Roman" w:hAnsi="Calibri" w:cs="Times New Roman"/>
                <w:b/>
                <w:bCs/>
                <w:color w:val="FF0000"/>
                <w:sz w:val="20"/>
                <w:szCs w:val="20"/>
              </w:rPr>
              <w:t>(219)</w:t>
            </w:r>
          </w:p>
        </w:tc>
        <w:tc>
          <w:tcPr>
            <w:tcW w:w="700" w:type="dxa"/>
            <w:tcBorders>
              <w:top w:val="nil"/>
              <w:left w:val="nil"/>
              <w:bottom w:val="single" w:sz="8" w:space="0" w:color="auto"/>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FF0000"/>
                <w:sz w:val="20"/>
                <w:szCs w:val="20"/>
              </w:rPr>
            </w:pPr>
            <w:r w:rsidRPr="00734DF6">
              <w:rPr>
                <w:rFonts w:ascii="Calibri" w:eastAsia="Times New Roman" w:hAnsi="Calibri" w:cs="Times New Roman"/>
                <w:b/>
                <w:bCs/>
                <w:color w:val="FF0000"/>
                <w:sz w:val="20"/>
                <w:szCs w:val="20"/>
              </w:rPr>
              <w:t>44</w:t>
            </w:r>
          </w:p>
        </w:tc>
        <w:tc>
          <w:tcPr>
            <w:tcW w:w="780" w:type="dxa"/>
            <w:tcBorders>
              <w:top w:val="nil"/>
              <w:left w:val="nil"/>
              <w:bottom w:val="single" w:sz="8" w:space="0" w:color="auto"/>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b/>
                <w:bCs/>
                <w:color w:val="FF0000"/>
                <w:sz w:val="20"/>
                <w:szCs w:val="20"/>
              </w:rPr>
            </w:pPr>
            <w:r w:rsidRPr="00734DF6">
              <w:rPr>
                <w:rFonts w:ascii="Calibri" w:eastAsia="Times New Roman" w:hAnsi="Calibri" w:cs="Times New Roman"/>
                <w:b/>
                <w:bCs/>
                <w:color w:val="FF0000"/>
                <w:sz w:val="20"/>
                <w:szCs w:val="20"/>
              </w:rPr>
              <w:t>UO</w:t>
            </w:r>
            <w:r w:rsidRPr="00734DF6">
              <w:rPr>
                <w:rFonts w:ascii="Calibri" w:eastAsia="Times New Roman" w:hAnsi="Calibri" w:cs="Times New Roman"/>
                <w:b/>
                <w:bCs/>
                <w:color w:val="FF0000"/>
                <w:sz w:val="20"/>
                <w:szCs w:val="20"/>
                <w:vertAlign w:val="subscript"/>
              </w:rPr>
              <w:t>2</w:t>
            </w:r>
          </w:p>
        </w:tc>
        <w:tc>
          <w:tcPr>
            <w:tcW w:w="800" w:type="dxa"/>
            <w:tcBorders>
              <w:top w:val="nil"/>
              <w:left w:val="nil"/>
              <w:bottom w:val="single" w:sz="8" w:space="0" w:color="auto"/>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FF0000"/>
                <w:sz w:val="20"/>
                <w:szCs w:val="20"/>
              </w:rPr>
            </w:pPr>
            <w:r w:rsidRPr="00734DF6">
              <w:rPr>
                <w:rFonts w:ascii="Calibri" w:eastAsia="Times New Roman" w:hAnsi="Calibri" w:cs="Times New Roman"/>
                <w:b/>
                <w:bCs/>
                <w:color w:val="FF0000"/>
                <w:sz w:val="20"/>
                <w:szCs w:val="20"/>
              </w:rPr>
              <w:t>17</w:t>
            </w:r>
          </w:p>
        </w:tc>
        <w:tc>
          <w:tcPr>
            <w:tcW w:w="1160" w:type="dxa"/>
            <w:tcBorders>
              <w:top w:val="nil"/>
              <w:left w:val="nil"/>
              <w:bottom w:val="single" w:sz="8" w:space="0" w:color="auto"/>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FF0000"/>
                <w:sz w:val="20"/>
                <w:szCs w:val="20"/>
              </w:rPr>
            </w:pPr>
            <w:r w:rsidRPr="00734DF6">
              <w:rPr>
                <w:rFonts w:ascii="Calibri" w:eastAsia="Times New Roman" w:hAnsi="Calibri" w:cs="Times New Roman"/>
                <w:b/>
                <w:bCs/>
                <w:color w:val="FF0000"/>
                <w:sz w:val="20"/>
                <w:szCs w:val="20"/>
              </w:rPr>
              <w:t>Product</w:t>
            </w:r>
          </w:p>
        </w:tc>
      </w:tr>
    </w:tbl>
    <w:p w:rsidR="00B81072" w:rsidRDefault="00B81072">
      <w:r>
        <w:br w:type="page"/>
      </w:r>
    </w:p>
    <w:tbl>
      <w:tblPr>
        <w:tblW w:w="5760" w:type="dxa"/>
        <w:jc w:val="center"/>
        <w:tblLook w:val="04A0" w:firstRow="1" w:lastRow="0" w:firstColumn="1" w:lastColumn="0" w:noHBand="0" w:noVBand="1"/>
      </w:tblPr>
      <w:tblGrid>
        <w:gridCol w:w="1096"/>
        <w:gridCol w:w="974"/>
        <w:gridCol w:w="1083"/>
        <w:gridCol w:w="1074"/>
        <w:gridCol w:w="1533"/>
      </w:tblGrid>
      <w:tr w:rsidR="00734DF6" w:rsidRPr="00734DF6" w:rsidTr="00734DF6">
        <w:trPr>
          <w:trHeight w:val="270"/>
          <w:jc w:val="center"/>
        </w:trPr>
        <w:tc>
          <w:tcPr>
            <w:tcW w:w="4260" w:type="dxa"/>
            <w:gridSpan w:val="5"/>
            <w:tcBorders>
              <w:top w:val="nil"/>
              <w:left w:val="nil"/>
              <w:bottom w:val="single" w:sz="8" w:space="0" w:color="auto"/>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0000"/>
                <w:sz w:val="20"/>
                <w:szCs w:val="20"/>
              </w:rPr>
            </w:pPr>
            <w:r w:rsidRPr="00734DF6">
              <w:rPr>
                <w:rFonts w:ascii="Calibri" w:eastAsia="Times New Roman" w:hAnsi="Calibri" w:cs="Times New Roman"/>
                <w:b/>
                <w:bCs/>
                <w:color w:val="000000"/>
                <w:sz w:val="20"/>
                <w:szCs w:val="20"/>
              </w:rPr>
              <w:lastRenderedPageBreak/>
              <w:t>Table 3.8. Primary Uranium Bearing State Variables within Each Module (continued)</w:t>
            </w:r>
          </w:p>
        </w:tc>
      </w:tr>
      <w:tr w:rsidR="00734DF6" w:rsidRPr="00734DF6" w:rsidTr="00734DF6">
        <w:trPr>
          <w:trHeight w:val="255"/>
          <w:jc w:val="center"/>
        </w:trPr>
        <w:tc>
          <w:tcPr>
            <w:tcW w:w="82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b/>
                <w:bCs/>
                <w:sz w:val="20"/>
                <w:szCs w:val="20"/>
              </w:rPr>
            </w:pPr>
            <w:r w:rsidRPr="00734DF6">
              <w:rPr>
                <w:rFonts w:ascii="Calibri" w:eastAsia="Times New Roman" w:hAnsi="Calibri" w:cs="Times New Roman"/>
                <w:b/>
                <w:bCs/>
                <w:sz w:val="20"/>
                <w:szCs w:val="20"/>
              </w:rPr>
              <w:t>State</w:t>
            </w:r>
          </w:p>
        </w:tc>
        <w:tc>
          <w:tcPr>
            <w:tcW w:w="700" w:type="dxa"/>
            <w:vMerge w:val="restart"/>
            <w:tcBorders>
              <w:top w:val="nil"/>
              <w:left w:val="nil"/>
              <w:bottom w:val="single" w:sz="4" w:space="0" w:color="000000"/>
              <w:right w:val="nil"/>
            </w:tcBorders>
            <w:shd w:val="clear" w:color="auto" w:fill="auto"/>
            <w:vAlign w:val="bottom"/>
            <w:hideMark/>
          </w:tcPr>
          <w:p w:rsidR="00734DF6" w:rsidRPr="00734DF6" w:rsidRDefault="00734DF6" w:rsidP="00734DF6">
            <w:pPr>
              <w:spacing w:after="0" w:line="240" w:lineRule="auto"/>
              <w:jc w:val="center"/>
              <w:rPr>
                <w:rFonts w:ascii="Calibri" w:eastAsia="Times New Roman" w:hAnsi="Calibri" w:cs="Times New Roman"/>
                <w:b/>
                <w:bCs/>
                <w:color w:val="000000"/>
                <w:sz w:val="20"/>
                <w:szCs w:val="20"/>
              </w:rPr>
            </w:pPr>
            <w:r w:rsidRPr="00734DF6">
              <w:rPr>
                <w:rFonts w:ascii="Calibri" w:eastAsia="Times New Roman" w:hAnsi="Calibri" w:cs="Times New Roman"/>
                <w:b/>
                <w:bCs/>
                <w:color w:val="000000"/>
                <w:sz w:val="20"/>
                <w:szCs w:val="20"/>
              </w:rPr>
              <w:t>Stream</w:t>
            </w:r>
          </w:p>
        </w:tc>
        <w:tc>
          <w:tcPr>
            <w:tcW w:w="1580" w:type="dxa"/>
            <w:gridSpan w:val="2"/>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b/>
                <w:bCs/>
                <w:color w:val="000000"/>
                <w:sz w:val="20"/>
                <w:szCs w:val="20"/>
              </w:rPr>
            </w:pPr>
            <w:r w:rsidRPr="00734DF6">
              <w:rPr>
                <w:rFonts w:ascii="Calibri" w:eastAsia="Times New Roman" w:hAnsi="Calibri" w:cs="Times New Roman"/>
                <w:b/>
                <w:bCs/>
                <w:color w:val="000000"/>
                <w:sz w:val="20"/>
                <w:szCs w:val="20"/>
              </w:rPr>
              <w:t>Component</w:t>
            </w:r>
          </w:p>
        </w:tc>
        <w:tc>
          <w:tcPr>
            <w:tcW w:w="116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b/>
                <w:bCs/>
                <w:color w:val="000000"/>
                <w:sz w:val="20"/>
                <w:szCs w:val="20"/>
              </w:rPr>
            </w:pPr>
            <w:r w:rsidRPr="00734DF6">
              <w:rPr>
                <w:rFonts w:ascii="Calibri" w:eastAsia="Times New Roman" w:hAnsi="Calibri" w:cs="Times New Roman"/>
                <w:b/>
                <w:bCs/>
                <w:color w:val="000000"/>
                <w:sz w:val="20"/>
                <w:szCs w:val="20"/>
              </w:rPr>
              <w:t>Type of</w:t>
            </w:r>
          </w:p>
        </w:tc>
      </w:tr>
      <w:tr w:rsidR="00734DF6" w:rsidRPr="00734DF6" w:rsidTr="00734DF6">
        <w:trPr>
          <w:trHeight w:val="255"/>
          <w:jc w:val="center"/>
        </w:trPr>
        <w:tc>
          <w:tcPr>
            <w:tcW w:w="820" w:type="dxa"/>
            <w:tcBorders>
              <w:top w:val="nil"/>
              <w:left w:val="nil"/>
              <w:bottom w:val="single" w:sz="4" w:space="0" w:color="auto"/>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b/>
                <w:bCs/>
                <w:sz w:val="20"/>
                <w:szCs w:val="20"/>
              </w:rPr>
            </w:pPr>
            <w:r w:rsidRPr="00734DF6">
              <w:rPr>
                <w:rFonts w:ascii="Calibri" w:eastAsia="Times New Roman" w:hAnsi="Calibri" w:cs="Times New Roman"/>
                <w:b/>
                <w:bCs/>
                <w:sz w:val="20"/>
                <w:szCs w:val="20"/>
              </w:rPr>
              <w:t>Variable</w:t>
            </w:r>
          </w:p>
        </w:tc>
        <w:tc>
          <w:tcPr>
            <w:tcW w:w="700" w:type="dxa"/>
            <w:vMerge/>
            <w:tcBorders>
              <w:top w:val="nil"/>
              <w:left w:val="nil"/>
              <w:bottom w:val="single" w:sz="4" w:space="0" w:color="000000"/>
              <w:right w:val="nil"/>
            </w:tcBorders>
            <w:vAlign w:val="center"/>
            <w:hideMark/>
          </w:tcPr>
          <w:p w:rsidR="00734DF6" w:rsidRPr="00734DF6" w:rsidRDefault="00734DF6" w:rsidP="00734DF6">
            <w:pPr>
              <w:spacing w:after="0" w:line="240" w:lineRule="auto"/>
              <w:rPr>
                <w:rFonts w:ascii="Calibri" w:eastAsia="Times New Roman" w:hAnsi="Calibri" w:cs="Times New Roman"/>
                <w:b/>
                <w:bCs/>
                <w:color w:val="000000"/>
                <w:sz w:val="20"/>
                <w:szCs w:val="20"/>
              </w:rPr>
            </w:pPr>
          </w:p>
        </w:tc>
        <w:tc>
          <w:tcPr>
            <w:tcW w:w="780" w:type="dxa"/>
            <w:tcBorders>
              <w:top w:val="nil"/>
              <w:left w:val="nil"/>
              <w:bottom w:val="single" w:sz="4" w:space="0" w:color="auto"/>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b/>
                <w:bCs/>
                <w:color w:val="000000"/>
                <w:sz w:val="20"/>
                <w:szCs w:val="20"/>
              </w:rPr>
            </w:pPr>
            <w:r w:rsidRPr="00734DF6">
              <w:rPr>
                <w:rFonts w:ascii="Calibri" w:eastAsia="Times New Roman" w:hAnsi="Calibri" w:cs="Times New Roman"/>
                <w:b/>
                <w:bCs/>
                <w:color w:val="000000"/>
                <w:sz w:val="20"/>
                <w:szCs w:val="20"/>
              </w:rPr>
              <w:t>Formula</w:t>
            </w:r>
          </w:p>
        </w:tc>
        <w:tc>
          <w:tcPr>
            <w:tcW w:w="800" w:type="dxa"/>
            <w:tcBorders>
              <w:top w:val="nil"/>
              <w:left w:val="nil"/>
              <w:bottom w:val="single" w:sz="4" w:space="0" w:color="auto"/>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b/>
                <w:bCs/>
                <w:color w:val="000000"/>
                <w:sz w:val="20"/>
                <w:szCs w:val="20"/>
              </w:rPr>
            </w:pPr>
            <w:r w:rsidRPr="00734DF6">
              <w:rPr>
                <w:rFonts w:ascii="Calibri" w:eastAsia="Times New Roman" w:hAnsi="Calibri" w:cs="Times New Roman"/>
                <w:b/>
                <w:bCs/>
                <w:color w:val="000000"/>
                <w:sz w:val="20"/>
                <w:szCs w:val="20"/>
              </w:rPr>
              <w:t>Number</w:t>
            </w:r>
          </w:p>
        </w:tc>
        <w:tc>
          <w:tcPr>
            <w:tcW w:w="1160" w:type="dxa"/>
            <w:tcBorders>
              <w:top w:val="nil"/>
              <w:left w:val="nil"/>
              <w:bottom w:val="single" w:sz="4" w:space="0" w:color="auto"/>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b/>
                <w:bCs/>
                <w:color w:val="000000"/>
                <w:sz w:val="20"/>
                <w:szCs w:val="20"/>
              </w:rPr>
            </w:pPr>
            <w:r w:rsidRPr="00734DF6">
              <w:rPr>
                <w:rFonts w:ascii="Calibri" w:eastAsia="Times New Roman" w:hAnsi="Calibri" w:cs="Times New Roman"/>
                <w:b/>
                <w:bCs/>
                <w:color w:val="000000"/>
                <w:sz w:val="20"/>
                <w:szCs w:val="20"/>
              </w:rPr>
              <w:t>Stream</w:t>
            </w:r>
          </w:p>
        </w:tc>
      </w:tr>
      <w:tr w:rsidR="00734DF6" w:rsidRPr="00734DF6" w:rsidTr="00734DF6">
        <w:trPr>
          <w:trHeight w:val="255"/>
          <w:jc w:val="center"/>
        </w:trPr>
        <w:tc>
          <w:tcPr>
            <w:tcW w:w="4260" w:type="dxa"/>
            <w:gridSpan w:val="5"/>
            <w:tcBorders>
              <w:top w:val="nil"/>
              <w:left w:val="nil"/>
              <w:bottom w:val="single" w:sz="4" w:space="0" w:color="auto"/>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0000"/>
                <w:sz w:val="20"/>
                <w:szCs w:val="20"/>
              </w:rPr>
            </w:pPr>
            <w:r w:rsidRPr="00734DF6">
              <w:rPr>
                <w:rFonts w:ascii="Calibri" w:eastAsia="Times New Roman" w:hAnsi="Calibri" w:cs="Times New Roman"/>
                <w:b/>
                <w:bCs/>
                <w:color w:val="000000"/>
                <w:sz w:val="20"/>
                <w:szCs w:val="20"/>
              </w:rPr>
              <w:t>Module 5</w:t>
            </w:r>
          </w:p>
        </w:tc>
      </w:tr>
      <w:tr w:rsidR="00734DF6" w:rsidRPr="00734DF6" w:rsidTr="00734DF6">
        <w:trPr>
          <w:trHeight w:val="28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proofErr w:type="spellStart"/>
            <w:r w:rsidRPr="00734DF6">
              <w:rPr>
                <w:rFonts w:ascii="Calibri" w:eastAsia="Times New Roman" w:hAnsi="Calibri" w:cs="Times New Roman"/>
                <w:color w:val="000000"/>
                <w:sz w:val="20"/>
                <w:szCs w:val="20"/>
              </w:rPr>
              <w:t>Xss</w:t>
            </w:r>
            <w:proofErr w:type="spellEnd"/>
            <w:r w:rsidRPr="00734DF6">
              <w:rPr>
                <w:rFonts w:ascii="Calibri" w:eastAsia="Times New Roman" w:hAnsi="Calibri" w:cs="Times New Roman"/>
                <w:color w:val="000000"/>
                <w:sz w:val="20"/>
                <w:szCs w:val="20"/>
              </w:rPr>
              <w:t>(221)</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45</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UF</w:t>
            </w:r>
            <w:r w:rsidRPr="00734DF6">
              <w:rPr>
                <w:rFonts w:ascii="Calibri" w:eastAsia="Times New Roman" w:hAnsi="Calibri" w:cs="Times New Roman"/>
                <w:sz w:val="20"/>
                <w:szCs w:val="20"/>
                <w:vertAlign w:val="subscript"/>
              </w:rPr>
              <w:t>4</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16</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Intermediate</w:t>
            </w:r>
          </w:p>
        </w:tc>
      </w:tr>
      <w:tr w:rsidR="00734DF6" w:rsidRPr="00734DF6" w:rsidTr="00734DF6">
        <w:trPr>
          <w:trHeight w:val="28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proofErr w:type="spellStart"/>
            <w:r w:rsidRPr="00734DF6">
              <w:rPr>
                <w:rFonts w:ascii="Calibri" w:eastAsia="Times New Roman" w:hAnsi="Calibri" w:cs="Times New Roman"/>
                <w:color w:val="000000"/>
                <w:sz w:val="20"/>
                <w:szCs w:val="20"/>
              </w:rPr>
              <w:t>Xss</w:t>
            </w:r>
            <w:proofErr w:type="spellEnd"/>
            <w:r w:rsidRPr="00734DF6">
              <w:rPr>
                <w:rFonts w:ascii="Calibri" w:eastAsia="Times New Roman" w:hAnsi="Calibri" w:cs="Times New Roman"/>
                <w:color w:val="000000"/>
                <w:sz w:val="20"/>
                <w:szCs w:val="20"/>
              </w:rPr>
              <w:t>(222)</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45</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UO</w:t>
            </w:r>
            <w:r w:rsidRPr="00734DF6">
              <w:rPr>
                <w:rFonts w:ascii="Calibri" w:eastAsia="Times New Roman" w:hAnsi="Calibri" w:cs="Times New Roman"/>
                <w:sz w:val="20"/>
                <w:szCs w:val="20"/>
                <w:vertAlign w:val="subscript"/>
              </w:rPr>
              <w:t>2</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17</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Intermediate</w:t>
            </w:r>
          </w:p>
        </w:tc>
      </w:tr>
      <w:tr w:rsidR="00734DF6" w:rsidRPr="00734DF6" w:rsidTr="00734DF6">
        <w:trPr>
          <w:trHeight w:val="28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proofErr w:type="spellStart"/>
            <w:r w:rsidRPr="00734DF6">
              <w:rPr>
                <w:rFonts w:ascii="Calibri" w:eastAsia="Times New Roman" w:hAnsi="Calibri" w:cs="Times New Roman"/>
                <w:color w:val="000000"/>
                <w:sz w:val="20"/>
                <w:szCs w:val="20"/>
              </w:rPr>
              <w:t>Xss</w:t>
            </w:r>
            <w:proofErr w:type="spellEnd"/>
            <w:r w:rsidRPr="00734DF6">
              <w:rPr>
                <w:rFonts w:ascii="Calibri" w:eastAsia="Times New Roman" w:hAnsi="Calibri" w:cs="Times New Roman"/>
                <w:color w:val="000000"/>
                <w:sz w:val="20"/>
                <w:szCs w:val="20"/>
              </w:rPr>
              <w:t>(224)</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46</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UF</w:t>
            </w:r>
            <w:r w:rsidRPr="00734DF6">
              <w:rPr>
                <w:rFonts w:ascii="Calibri" w:eastAsia="Times New Roman" w:hAnsi="Calibri" w:cs="Times New Roman"/>
                <w:sz w:val="20"/>
                <w:szCs w:val="20"/>
                <w:vertAlign w:val="subscript"/>
              </w:rPr>
              <w:t>4</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16</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Intermediate</w:t>
            </w:r>
          </w:p>
        </w:tc>
      </w:tr>
      <w:tr w:rsidR="00734DF6" w:rsidRPr="00734DF6" w:rsidTr="00734DF6">
        <w:trPr>
          <w:trHeight w:val="28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proofErr w:type="spellStart"/>
            <w:r w:rsidRPr="00734DF6">
              <w:rPr>
                <w:rFonts w:ascii="Calibri" w:eastAsia="Times New Roman" w:hAnsi="Calibri" w:cs="Times New Roman"/>
                <w:color w:val="000000"/>
                <w:sz w:val="20"/>
                <w:szCs w:val="20"/>
              </w:rPr>
              <w:t>Xss</w:t>
            </w:r>
            <w:proofErr w:type="spellEnd"/>
            <w:r w:rsidRPr="00734DF6">
              <w:rPr>
                <w:rFonts w:ascii="Calibri" w:eastAsia="Times New Roman" w:hAnsi="Calibri" w:cs="Times New Roman"/>
                <w:color w:val="000000"/>
                <w:sz w:val="20"/>
                <w:szCs w:val="20"/>
              </w:rPr>
              <w:t>(225)</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46</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UO</w:t>
            </w:r>
            <w:r w:rsidRPr="00734DF6">
              <w:rPr>
                <w:rFonts w:ascii="Calibri" w:eastAsia="Times New Roman" w:hAnsi="Calibri" w:cs="Times New Roman"/>
                <w:sz w:val="20"/>
                <w:szCs w:val="20"/>
                <w:vertAlign w:val="subscript"/>
              </w:rPr>
              <w:t>2</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17</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Intermediate</w:t>
            </w:r>
          </w:p>
        </w:tc>
      </w:tr>
      <w:tr w:rsidR="00734DF6" w:rsidRPr="00734DF6" w:rsidTr="00734DF6">
        <w:trPr>
          <w:trHeight w:val="28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proofErr w:type="spellStart"/>
            <w:r w:rsidRPr="00734DF6">
              <w:rPr>
                <w:rFonts w:ascii="Calibri" w:eastAsia="Times New Roman" w:hAnsi="Calibri" w:cs="Times New Roman"/>
                <w:color w:val="000000"/>
                <w:sz w:val="20"/>
                <w:szCs w:val="20"/>
              </w:rPr>
              <w:t>Xss</w:t>
            </w:r>
            <w:proofErr w:type="spellEnd"/>
            <w:r w:rsidRPr="00734DF6">
              <w:rPr>
                <w:rFonts w:ascii="Calibri" w:eastAsia="Times New Roman" w:hAnsi="Calibri" w:cs="Times New Roman"/>
                <w:color w:val="000000"/>
                <w:sz w:val="20"/>
                <w:szCs w:val="20"/>
              </w:rPr>
              <w:t>(230)</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48</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UF</w:t>
            </w:r>
            <w:r w:rsidRPr="00734DF6">
              <w:rPr>
                <w:rFonts w:ascii="Calibri" w:eastAsia="Times New Roman" w:hAnsi="Calibri" w:cs="Times New Roman"/>
                <w:sz w:val="20"/>
                <w:szCs w:val="20"/>
                <w:vertAlign w:val="subscript"/>
              </w:rPr>
              <w:t>4</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16</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Intermediate</w:t>
            </w:r>
          </w:p>
        </w:tc>
      </w:tr>
      <w:tr w:rsidR="00734DF6" w:rsidRPr="00734DF6" w:rsidTr="00734DF6">
        <w:trPr>
          <w:trHeight w:val="28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proofErr w:type="spellStart"/>
            <w:r w:rsidRPr="00734DF6">
              <w:rPr>
                <w:rFonts w:ascii="Calibri" w:eastAsia="Times New Roman" w:hAnsi="Calibri" w:cs="Times New Roman"/>
                <w:color w:val="000000"/>
                <w:sz w:val="20"/>
                <w:szCs w:val="20"/>
              </w:rPr>
              <w:t>Xss</w:t>
            </w:r>
            <w:proofErr w:type="spellEnd"/>
            <w:r w:rsidRPr="00734DF6">
              <w:rPr>
                <w:rFonts w:ascii="Calibri" w:eastAsia="Times New Roman" w:hAnsi="Calibri" w:cs="Times New Roman"/>
                <w:color w:val="000000"/>
                <w:sz w:val="20"/>
                <w:szCs w:val="20"/>
              </w:rPr>
              <w:t>(235)</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49</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UF</w:t>
            </w:r>
            <w:r w:rsidRPr="00734DF6">
              <w:rPr>
                <w:rFonts w:ascii="Calibri" w:eastAsia="Times New Roman" w:hAnsi="Calibri" w:cs="Times New Roman"/>
                <w:sz w:val="20"/>
                <w:szCs w:val="20"/>
                <w:vertAlign w:val="subscript"/>
              </w:rPr>
              <w:t>6</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15</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Intermediate</w:t>
            </w:r>
          </w:p>
        </w:tc>
      </w:tr>
      <w:tr w:rsidR="00734DF6" w:rsidRPr="00734DF6" w:rsidTr="00734DF6">
        <w:trPr>
          <w:trHeight w:val="28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proofErr w:type="spellStart"/>
            <w:r w:rsidRPr="00734DF6">
              <w:rPr>
                <w:rFonts w:ascii="Calibri" w:eastAsia="Times New Roman" w:hAnsi="Calibri" w:cs="Times New Roman"/>
                <w:b/>
                <w:bCs/>
                <w:color w:val="00B050"/>
                <w:sz w:val="20"/>
                <w:szCs w:val="20"/>
              </w:rPr>
              <w:t>Xss</w:t>
            </w:r>
            <w:proofErr w:type="spellEnd"/>
            <w:r w:rsidRPr="00734DF6">
              <w:rPr>
                <w:rFonts w:ascii="Calibri" w:eastAsia="Times New Roman" w:hAnsi="Calibri" w:cs="Times New Roman"/>
                <w:b/>
                <w:bCs/>
                <w:color w:val="00B050"/>
                <w:sz w:val="20"/>
                <w:szCs w:val="20"/>
              </w:rPr>
              <w:t>(239)</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50</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UF</w:t>
            </w:r>
            <w:r w:rsidRPr="00734DF6">
              <w:rPr>
                <w:rFonts w:ascii="Calibri" w:eastAsia="Times New Roman" w:hAnsi="Calibri" w:cs="Times New Roman"/>
                <w:b/>
                <w:bCs/>
                <w:color w:val="00B050"/>
                <w:sz w:val="20"/>
                <w:szCs w:val="20"/>
                <w:vertAlign w:val="subscript"/>
              </w:rPr>
              <w:t>4</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16</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Waste</w:t>
            </w:r>
          </w:p>
        </w:tc>
      </w:tr>
      <w:tr w:rsidR="00734DF6" w:rsidRPr="00734DF6" w:rsidTr="00734DF6">
        <w:trPr>
          <w:trHeight w:val="28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proofErr w:type="spellStart"/>
            <w:r w:rsidRPr="00734DF6">
              <w:rPr>
                <w:rFonts w:ascii="Calibri" w:eastAsia="Times New Roman" w:hAnsi="Calibri" w:cs="Times New Roman"/>
                <w:b/>
                <w:bCs/>
                <w:color w:val="00B050"/>
                <w:sz w:val="20"/>
                <w:szCs w:val="20"/>
              </w:rPr>
              <w:t>Xss</w:t>
            </w:r>
            <w:proofErr w:type="spellEnd"/>
            <w:r w:rsidRPr="00734DF6">
              <w:rPr>
                <w:rFonts w:ascii="Calibri" w:eastAsia="Times New Roman" w:hAnsi="Calibri" w:cs="Times New Roman"/>
                <w:b/>
                <w:bCs/>
                <w:color w:val="00B050"/>
                <w:sz w:val="20"/>
                <w:szCs w:val="20"/>
              </w:rPr>
              <w:t>(240)</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50</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UO</w:t>
            </w:r>
            <w:r w:rsidRPr="00734DF6">
              <w:rPr>
                <w:rFonts w:ascii="Calibri" w:eastAsia="Times New Roman" w:hAnsi="Calibri" w:cs="Times New Roman"/>
                <w:b/>
                <w:bCs/>
                <w:color w:val="00B050"/>
                <w:sz w:val="20"/>
                <w:szCs w:val="20"/>
                <w:vertAlign w:val="subscript"/>
              </w:rPr>
              <w:t>2</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17</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Waste</w:t>
            </w:r>
          </w:p>
        </w:tc>
      </w:tr>
      <w:tr w:rsidR="00734DF6" w:rsidRPr="00734DF6" w:rsidTr="00734DF6">
        <w:trPr>
          <w:trHeight w:val="28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proofErr w:type="spellStart"/>
            <w:r w:rsidRPr="00734DF6">
              <w:rPr>
                <w:rFonts w:ascii="Calibri" w:eastAsia="Times New Roman" w:hAnsi="Calibri" w:cs="Times New Roman"/>
                <w:color w:val="000000"/>
                <w:sz w:val="20"/>
                <w:szCs w:val="20"/>
              </w:rPr>
              <w:t>Xss</w:t>
            </w:r>
            <w:proofErr w:type="spellEnd"/>
            <w:r w:rsidRPr="00734DF6">
              <w:rPr>
                <w:rFonts w:ascii="Calibri" w:eastAsia="Times New Roman" w:hAnsi="Calibri" w:cs="Times New Roman"/>
                <w:color w:val="000000"/>
                <w:sz w:val="20"/>
                <w:szCs w:val="20"/>
              </w:rPr>
              <w:t>(244)</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51</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UF</w:t>
            </w:r>
            <w:r w:rsidRPr="00734DF6">
              <w:rPr>
                <w:rFonts w:ascii="Calibri" w:eastAsia="Times New Roman" w:hAnsi="Calibri" w:cs="Times New Roman"/>
                <w:sz w:val="20"/>
                <w:szCs w:val="20"/>
                <w:vertAlign w:val="subscript"/>
              </w:rPr>
              <w:t>6</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15</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Intermediate</w:t>
            </w:r>
          </w:p>
        </w:tc>
      </w:tr>
      <w:tr w:rsidR="00734DF6" w:rsidRPr="00734DF6" w:rsidTr="00734DF6">
        <w:trPr>
          <w:trHeight w:val="28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proofErr w:type="spellStart"/>
            <w:r w:rsidRPr="00734DF6">
              <w:rPr>
                <w:rFonts w:ascii="Calibri" w:eastAsia="Times New Roman" w:hAnsi="Calibri" w:cs="Times New Roman"/>
                <w:color w:val="000000"/>
                <w:sz w:val="20"/>
                <w:szCs w:val="20"/>
              </w:rPr>
              <w:t>Xss</w:t>
            </w:r>
            <w:proofErr w:type="spellEnd"/>
            <w:r w:rsidRPr="00734DF6">
              <w:rPr>
                <w:rFonts w:ascii="Calibri" w:eastAsia="Times New Roman" w:hAnsi="Calibri" w:cs="Times New Roman"/>
                <w:color w:val="000000"/>
                <w:sz w:val="20"/>
                <w:szCs w:val="20"/>
              </w:rPr>
              <w:t>(246)</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52</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UF</w:t>
            </w:r>
            <w:r w:rsidRPr="00734DF6">
              <w:rPr>
                <w:rFonts w:ascii="Calibri" w:eastAsia="Times New Roman" w:hAnsi="Calibri" w:cs="Times New Roman"/>
                <w:sz w:val="20"/>
                <w:szCs w:val="20"/>
                <w:vertAlign w:val="subscript"/>
              </w:rPr>
              <w:t>6</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15</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Intermediate</w:t>
            </w:r>
          </w:p>
        </w:tc>
      </w:tr>
      <w:tr w:rsidR="00734DF6" w:rsidRPr="00734DF6" w:rsidTr="00734DF6">
        <w:trPr>
          <w:trHeight w:val="28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proofErr w:type="spellStart"/>
            <w:r w:rsidRPr="00734DF6">
              <w:rPr>
                <w:rFonts w:ascii="Calibri" w:eastAsia="Times New Roman" w:hAnsi="Calibri" w:cs="Times New Roman"/>
                <w:color w:val="000000"/>
                <w:sz w:val="20"/>
                <w:szCs w:val="20"/>
              </w:rPr>
              <w:t>Xss</w:t>
            </w:r>
            <w:proofErr w:type="spellEnd"/>
            <w:r w:rsidRPr="00734DF6">
              <w:rPr>
                <w:rFonts w:ascii="Calibri" w:eastAsia="Times New Roman" w:hAnsi="Calibri" w:cs="Times New Roman"/>
                <w:color w:val="000000"/>
                <w:sz w:val="20"/>
                <w:szCs w:val="20"/>
              </w:rPr>
              <w:t>(249)</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53</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UF</w:t>
            </w:r>
            <w:r w:rsidRPr="00734DF6">
              <w:rPr>
                <w:rFonts w:ascii="Calibri" w:eastAsia="Times New Roman" w:hAnsi="Calibri" w:cs="Times New Roman"/>
                <w:sz w:val="20"/>
                <w:szCs w:val="20"/>
                <w:vertAlign w:val="subscript"/>
              </w:rPr>
              <w:t>6</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15</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Intermediate</w:t>
            </w:r>
          </w:p>
        </w:tc>
      </w:tr>
      <w:tr w:rsidR="00734DF6" w:rsidRPr="00734DF6" w:rsidTr="00734DF6">
        <w:trPr>
          <w:trHeight w:val="28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proofErr w:type="spellStart"/>
            <w:r w:rsidRPr="00734DF6">
              <w:rPr>
                <w:rFonts w:ascii="Calibri" w:eastAsia="Times New Roman" w:hAnsi="Calibri" w:cs="Times New Roman"/>
                <w:color w:val="000000"/>
                <w:sz w:val="20"/>
                <w:szCs w:val="20"/>
              </w:rPr>
              <w:t>Xss</w:t>
            </w:r>
            <w:proofErr w:type="spellEnd"/>
            <w:r w:rsidRPr="00734DF6">
              <w:rPr>
                <w:rFonts w:ascii="Calibri" w:eastAsia="Times New Roman" w:hAnsi="Calibri" w:cs="Times New Roman"/>
                <w:color w:val="000000"/>
                <w:sz w:val="20"/>
                <w:szCs w:val="20"/>
              </w:rPr>
              <w:t>(253)</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54</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UF</w:t>
            </w:r>
            <w:r w:rsidRPr="00734DF6">
              <w:rPr>
                <w:rFonts w:ascii="Calibri" w:eastAsia="Times New Roman" w:hAnsi="Calibri" w:cs="Times New Roman"/>
                <w:sz w:val="20"/>
                <w:szCs w:val="20"/>
                <w:vertAlign w:val="subscript"/>
              </w:rPr>
              <w:t>6</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15</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Intermediate</w:t>
            </w:r>
          </w:p>
        </w:tc>
      </w:tr>
      <w:tr w:rsidR="00734DF6" w:rsidRPr="00734DF6" w:rsidTr="00734DF6">
        <w:trPr>
          <w:trHeight w:val="28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proofErr w:type="spellStart"/>
            <w:r w:rsidRPr="00734DF6">
              <w:rPr>
                <w:rFonts w:ascii="Calibri" w:eastAsia="Times New Roman" w:hAnsi="Calibri" w:cs="Times New Roman"/>
                <w:color w:val="000000"/>
                <w:sz w:val="20"/>
                <w:szCs w:val="20"/>
              </w:rPr>
              <w:t>Xss</w:t>
            </w:r>
            <w:proofErr w:type="spellEnd"/>
            <w:r w:rsidRPr="00734DF6">
              <w:rPr>
                <w:rFonts w:ascii="Calibri" w:eastAsia="Times New Roman" w:hAnsi="Calibri" w:cs="Times New Roman"/>
                <w:color w:val="000000"/>
                <w:sz w:val="20"/>
                <w:szCs w:val="20"/>
              </w:rPr>
              <w:t>(254)</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54</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UF</w:t>
            </w:r>
            <w:r w:rsidRPr="00734DF6">
              <w:rPr>
                <w:rFonts w:ascii="Calibri" w:eastAsia="Times New Roman" w:hAnsi="Calibri" w:cs="Times New Roman"/>
                <w:sz w:val="20"/>
                <w:szCs w:val="20"/>
                <w:vertAlign w:val="subscript"/>
              </w:rPr>
              <w:t>4</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16</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Intermediate</w:t>
            </w:r>
          </w:p>
        </w:tc>
      </w:tr>
      <w:tr w:rsidR="00734DF6" w:rsidRPr="00734DF6" w:rsidTr="00734DF6">
        <w:trPr>
          <w:trHeight w:val="28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proofErr w:type="spellStart"/>
            <w:r w:rsidRPr="00734DF6">
              <w:rPr>
                <w:rFonts w:ascii="Calibri" w:eastAsia="Times New Roman" w:hAnsi="Calibri" w:cs="Times New Roman"/>
                <w:color w:val="000000"/>
                <w:sz w:val="20"/>
                <w:szCs w:val="20"/>
              </w:rPr>
              <w:t>Xss</w:t>
            </w:r>
            <w:proofErr w:type="spellEnd"/>
            <w:r w:rsidRPr="00734DF6">
              <w:rPr>
                <w:rFonts w:ascii="Calibri" w:eastAsia="Times New Roman" w:hAnsi="Calibri" w:cs="Times New Roman"/>
                <w:color w:val="000000"/>
                <w:sz w:val="20"/>
                <w:szCs w:val="20"/>
              </w:rPr>
              <w:t>(259)</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55</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UF</w:t>
            </w:r>
            <w:r w:rsidRPr="00734DF6">
              <w:rPr>
                <w:rFonts w:ascii="Calibri" w:eastAsia="Times New Roman" w:hAnsi="Calibri" w:cs="Times New Roman"/>
                <w:sz w:val="20"/>
                <w:szCs w:val="20"/>
                <w:vertAlign w:val="subscript"/>
              </w:rPr>
              <w:t>6</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15</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Intermediate</w:t>
            </w:r>
          </w:p>
        </w:tc>
      </w:tr>
      <w:tr w:rsidR="00734DF6" w:rsidRPr="00734DF6" w:rsidTr="00734DF6">
        <w:trPr>
          <w:trHeight w:val="28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proofErr w:type="spellStart"/>
            <w:r w:rsidRPr="00734DF6">
              <w:rPr>
                <w:rFonts w:ascii="Calibri" w:eastAsia="Times New Roman" w:hAnsi="Calibri" w:cs="Times New Roman"/>
                <w:color w:val="000000"/>
                <w:sz w:val="20"/>
                <w:szCs w:val="20"/>
              </w:rPr>
              <w:t>Xss</w:t>
            </w:r>
            <w:proofErr w:type="spellEnd"/>
            <w:r w:rsidRPr="00734DF6">
              <w:rPr>
                <w:rFonts w:ascii="Calibri" w:eastAsia="Times New Roman" w:hAnsi="Calibri" w:cs="Times New Roman"/>
                <w:color w:val="000000"/>
                <w:sz w:val="20"/>
                <w:szCs w:val="20"/>
              </w:rPr>
              <w:t>(265)</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57</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UF</w:t>
            </w:r>
            <w:r w:rsidRPr="00734DF6">
              <w:rPr>
                <w:rFonts w:ascii="Calibri" w:eastAsia="Times New Roman" w:hAnsi="Calibri" w:cs="Times New Roman"/>
                <w:sz w:val="20"/>
                <w:szCs w:val="20"/>
                <w:vertAlign w:val="subscript"/>
              </w:rPr>
              <w:t>6</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15</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Intermediate</w:t>
            </w:r>
          </w:p>
        </w:tc>
      </w:tr>
      <w:tr w:rsidR="00734DF6" w:rsidRPr="00734DF6" w:rsidTr="00734DF6">
        <w:trPr>
          <w:trHeight w:val="28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proofErr w:type="spellStart"/>
            <w:r w:rsidRPr="00734DF6">
              <w:rPr>
                <w:rFonts w:ascii="Calibri" w:eastAsia="Times New Roman" w:hAnsi="Calibri" w:cs="Times New Roman"/>
                <w:b/>
                <w:bCs/>
                <w:color w:val="00B050"/>
                <w:sz w:val="20"/>
                <w:szCs w:val="20"/>
              </w:rPr>
              <w:t>Xss</w:t>
            </w:r>
            <w:proofErr w:type="spellEnd"/>
            <w:r w:rsidRPr="00734DF6">
              <w:rPr>
                <w:rFonts w:ascii="Calibri" w:eastAsia="Times New Roman" w:hAnsi="Calibri" w:cs="Times New Roman"/>
                <w:b/>
                <w:bCs/>
                <w:color w:val="00B050"/>
                <w:sz w:val="20"/>
                <w:szCs w:val="20"/>
              </w:rPr>
              <w:t>(269)</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58</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UF</w:t>
            </w:r>
            <w:r w:rsidRPr="00734DF6">
              <w:rPr>
                <w:rFonts w:ascii="Calibri" w:eastAsia="Times New Roman" w:hAnsi="Calibri" w:cs="Times New Roman"/>
                <w:b/>
                <w:bCs/>
                <w:color w:val="00B050"/>
                <w:sz w:val="20"/>
                <w:szCs w:val="20"/>
                <w:vertAlign w:val="subscript"/>
              </w:rPr>
              <w:t>4</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16</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Waste</w:t>
            </w:r>
          </w:p>
        </w:tc>
      </w:tr>
      <w:tr w:rsidR="00734DF6" w:rsidRPr="00734DF6" w:rsidTr="00734DF6">
        <w:trPr>
          <w:trHeight w:val="28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proofErr w:type="spellStart"/>
            <w:r w:rsidRPr="00734DF6">
              <w:rPr>
                <w:rFonts w:ascii="Calibri" w:eastAsia="Times New Roman" w:hAnsi="Calibri" w:cs="Times New Roman"/>
                <w:b/>
                <w:bCs/>
                <w:color w:val="00B050"/>
                <w:sz w:val="20"/>
                <w:szCs w:val="20"/>
              </w:rPr>
              <w:t>Xss</w:t>
            </w:r>
            <w:proofErr w:type="spellEnd"/>
            <w:r w:rsidRPr="00734DF6">
              <w:rPr>
                <w:rFonts w:ascii="Calibri" w:eastAsia="Times New Roman" w:hAnsi="Calibri" w:cs="Times New Roman"/>
                <w:b/>
                <w:bCs/>
                <w:color w:val="00B050"/>
                <w:sz w:val="20"/>
                <w:szCs w:val="20"/>
              </w:rPr>
              <w:t>(270)</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58</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UO</w:t>
            </w:r>
            <w:r w:rsidRPr="00734DF6">
              <w:rPr>
                <w:rFonts w:ascii="Calibri" w:eastAsia="Times New Roman" w:hAnsi="Calibri" w:cs="Times New Roman"/>
                <w:b/>
                <w:bCs/>
                <w:color w:val="00B050"/>
                <w:sz w:val="20"/>
                <w:szCs w:val="20"/>
                <w:vertAlign w:val="subscript"/>
              </w:rPr>
              <w:t>2</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17</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00B050"/>
                <w:sz w:val="20"/>
                <w:szCs w:val="20"/>
              </w:rPr>
            </w:pPr>
            <w:r w:rsidRPr="00734DF6">
              <w:rPr>
                <w:rFonts w:ascii="Calibri" w:eastAsia="Times New Roman" w:hAnsi="Calibri" w:cs="Times New Roman"/>
                <w:b/>
                <w:bCs/>
                <w:color w:val="00B050"/>
                <w:sz w:val="20"/>
                <w:szCs w:val="20"/>
              </w:rPr>
              <w:t>Waste</w:t>
            </w:r>
          </w:p>
        </w:tc>
      </w:tr>
      <w:tr w:rsidR="00734DF6" w:rsidRPr="00734DF6" w:rsidTr="00734DF6">
        <w:trPr>
          <w:trHeight w:val="285"/>
          <w:jc w:val="center"/>
        </w:trPr>
        <w:tc>
          <w:tcPr>
            <w:tcW w:w="82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proofErr w:type="spellStart"/>
            <w:r w:rsidRPr="00734DF6">
              <w:rPr>
                <w:rFonts w:ascii="Calibri" w:eastAsia="Times New Roman" w:hAnsi="Calibri" w:cs="Times New Roman"/>
                <w:color w:val="000000"/>
                <w:sz w:val="20"/>
                <w:szCs w:val="20"/>
              </w:rPr>
              <w:t>Xss</w:t>
            </w:r>
            <w:proofErr w:type="spellEnd"/>
            <w:r w:rsidRPr="00734DF6">
              <w:rPr>
                <w:rFonts w:ascii="Calibri" w:eastAsia="Times New Roman" w:hAnsi="Calibri" w:cs="Times New Roman"/>
                <w:color w:val="000000"/>
                <w:sz w:val="20"/>
                <w:szCs w:val="20"/>
              </w:rPr>
              <w:t>(272)</w:t>
            </w:r>
          </w:p>
        </w:tc>
        <w:tc>
          <w:tcPr>
            <w:tcW w:w="7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59</w:t>
            </w:r>
          </w:p>
        </w:tc>
        <w:tc>
          <w:tcPr>
            <w:tcW w:w="780" w:type="dxa"/>
            <w:tcBorders>
              <w:top w:val="nil"/>
              <w:left w:val="nil"/>
              <w:bottom w:val="nil"/>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UF</w:t>
            </w:r>
            <w:r w:rsidRPr="00734DF6">
              <w:rPr>
                <w:rFonts w:ascii="Calibri" w:eastAsia="Times New Roman" w:hAnsi="Calibri" w:cs="Times New Roman"/>
                <w:sz w:val="20"/>
                <w:szCs w:val="20"/>
                <w:vertAlign w:val="subscript"/>
              </w:rPr>
              <w:t>6</w:t>
            </w:r>
          </w:p>
        </w:tc>
        <w:tc>
          <w:tcPr>
            <w:tcW w:w="80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sz w:val="20"/>
                <w:szCs w:val="20"/>
              </w:rPr>
            </w:pPr>
            <w:r w:rsidRPr="00734DF6">
              <w:rPr>
                <w:rFonts w:ascii="Calibri" w:eastAsia="Times New Roman" w:hAnsi="Calibri" w:cs="Times New Roman"/>
                <w:sz w:val="20"/>
                <w:szCs w:val="20"/>
              </w:rPr>
              <w:t>15</w:t>
            </w:r>
          </w:p>
        </w:tc>
        <w:tc>
          <w:tcPr>
            <w:tcW w:w="1160" w:type="dxa"/>
            <w:tcBorders>
              <w:top w:val="nil"/>
              <w:left w:val="nil"/>
              <w:bottom w:val="nil"/>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color w:val="000000"/>
                <w:sz w:val="20"/>
                <w:szCs w:val="20"/>
              </w:rPr>
            </w:pPr>
            <w:r w:rsidRPr="00734DF6">
              <w:rPr>
                <w:rFonts w:ascii="Calibri" w:eastAsia="Times New Roman" w:hAnsi="Calibri" w:cs="Times New Roman"/>
                <w:color w:val="000000"/>
                <w:sz w:val="20"/>
                <w:szCs w:val="20"/>
              </w:rPr>
              <w:t>Intermediate</w:t>
            </w:r>
          </w:p>
        </w:tc>
      </w:tr>
      <w:tr w:rsidR="00734DF6" w:rsidRPr="00734DF6" w:rsidTr="00734DF6">
        <w:trPr>
          <w:trHeight w:val="300"/>
          <w:jc w:val="center"/>
        </w:trPr>
        <w:tc>
          <w:tcPr>
            <w:tcW w:w="820" w:type="dxa"/>
            <w:tcBorders>
              <w:top w:val="nil"/>
              <w:left w:val="nil"/>
              <w:bottom w:val="single" w:sz="8" w:space="0" w:color="auto"/>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FF0000"/>
                <w:sz w:val="20"/>
                <w:szCs w:val="20"/>
              </w:rPr>
            </w:pPr>
            <w:proofErr w:type="spellStart"/>
            <w:r w:rsidRPr="00734DF6">
              <w:rPr>
                <w:rFonts w:ascii="Calibri" w:eastAsia="Times New Roman" w:hAnsi="Calibri" w:cs="Times New Roman"/>
                <w:b/>
                <w:bCs/>
                <w:color w:val="FF0000"/>
                <w:sz w:val="20"/>
                <w:szCs w:val="20"/>
              </w:rPr>
              <w:t>Xss</w:t>
            </w:r>
            <w:proofErr w:type="spellEnd"/>
            <w:r w:rsidRPr="00734DF6">
              <w:rPr>
                <w:rFonts w:ascii="Calibri" w:eastAsia="Times New Roman" w:hAnsi="Calibri" w:cs="Times New Roman"/>
                <w:b/>
                <w:bCs/>
                <w:color w:val="FF0000"/>
                <w:sz w:val="20"/>
                <w:szCs w:val="20"/>
              </w:rPr>
              <w:t>(273)</w:t>
            </w:r>
          </w:p>
        </w:tc>
        <w:tc>
          <w:tcPr>
            <w:tcW w:w="700" w:type="dxa"/>
            <w:tcBorders>
              <w:top w:val="nil"/>
              <w:left w:val="nil"/>
              <w:bottom w:val="single" w:sz="8" w:space="0" w:color="auto"/>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FF0000"/>
                <w:sz w:val="20"/>
                <w:szCs w:val="20"/>
              </w:rPr>
            </w:pPr>
            <w:r w:rsidRPr="00734DF6">
              <w:rPr>
                <w:rFonts w:ascii="Calibri" w:eastAsia="Times New Roman" w:hAnsi="Calibri" w:cs="Times New Roman"/>
                <w:b/>
                <w:bCs/>
                <w:color w:val="FF0000"/>
                <w:sz w:val="20"/>
                <w:szCs w:val="20"/>
              </w:rPr>
              <w:t>60</w:t>
            </w:r>
          </w:p>
        </w:tc>
        <w:tc>
          <w:tcPr>
            <w:tcW w:w="780" w:type="dxa"/>
            <w:tcBorders>
              <w:top w:val="nil"/>
              <w:left w:val="nil"/>
              <w:bottom w:val="single" w:sz="8" w:space="0" w:color="auto"/>
              <w:right w:val="nil"/>
            </w:tcBorders>
            <w:shd w:val="clear" w:color="auto" w:fill="auto"/>
            <w:vAlign w:val="center"/>
            <w:hideMark/>
          </w:tcPr>
          <w:p w:rsidR="00734DF6" w:rsidRPr="00734DF6" w:rsidRDefault="00734DF6" w:rsidP="00734DF6">
            <w:pPr>
              <w:spacing w:after="0" w:line="240" w:lineRule="auto"/>
              <w:jc w:val="center"/>
              <w:rPr>
                <w:rFonts w:ascii="Calibri" w:eastAsia="Times New Roman" w:hAnsi="Calibri" w:cs="Times New Roman"/>
                <w:b/>
                <w:bCs/>
                <w:color w:val="FF0000"/>
                <w:sz w:val="20"/>
                <w:szCs w:val="20"/>
              </w:rPr>
            </w:pPr>
            <w:r w:rsidRPr="00734DF6">
              <w:rPr>
                <w:rFonts w:ascii="Calibri" w:eastAsia="Times New Roman" w:hAnsi="Calibri" w:cs="Times New Roman"/>
                <w:b/>
                <w:bCs/>
                <w:color w:val="FF0000"/>
                <w:sz w:val="20"/>
                <w:szCs w:val="20"/>
              </w:rPr>
              <w:t>UF</w:t>
            </w:r>
            <w:r w:rsidRPr="00734DF6">
              <w:rPr>
                <w:rFonts w:ascii="Calibri" w:eastAsia="Times New Roman" w:hAnsi="Calibri" w:cs="Times New Roman"/>
                <w:b/>
                <w:bCs/>
                <w:color w:val="FF0000"/>
                <w:sz w:val="20"/>
                <w:szCs w:val="20"/>
                <w:vertAlign w:val="subscript"/>
              </w:rPr>
              <w:t>6</w:t>
            </w:r>
          </w:p>
        </w:tc>
        <w:tc>
          <w:tcPr>
            <w:tcW w:w="800" w:type="dxa"/>
            <w:tcBorders>
              <w:top w:val="nil"/>
              <w:left w:val="nil"/>
              <w:bottom w:val="single" w:sz="8" w:space="0" w:color="auto"/>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FF0000"/>
                <w:sz w:val="20"/>
                <w:szCs w:val="20"/>
              </w:rPr>
            </w:pPr>
            <w:r w:rsidRPr="00734DF6">
              <w:rPr>
                <w:rFonts w:ascii="Calibri" w:eastAsia="Times New Roman" w:hAnsi="Calibri" w:cs="Times New Roman"/>
                <w:b/>
                <w:bCs/>
                <w:color w:val="FF0000"/>
                <w:sz w:val="20"/>
                <w:szCs w:val="20"/>
              </w:rPr>
              <w:t>15</w:t>
            </w:r>
          </w:p>
        </w:tc>
        <w:tc>
          <w:tcPr>
            <w:tcW w:w="1160" w:type="dxa"/>
            <w:tcBorders>
              <w:top w:val="nil"/>
              <w:left w:val="nil"/>
              <w:bottom w:val="single" w:sz="8" w:space="0" w:color="auto"/>
              <w:right w:val="nil"/>
            </w:tcBorders>
            <w:shd w:val="clear" w:color="auto" w:fill="auto"/>
            <w:noWrap/>
            <w:vAlign w:val="center"/>
            <w:hideMark/>
          </w:tcPr>
          <w:p w:rsidR="00734DF6" w:rsidRPr="00734DF6" w:rsidRDefault="00734DF6" w:rsidP="00734DF6">
            <w:pPr>
              <w:spacing w:after="0" w:line="240" w:lineRule="auto"/>
              <w:jc w:val="center"/>
              <w:rPr>
                <w:rFonts w:ascii="Calibri" w:eastAsia="Times New Roman" w:hAnsi="Calibri" w:cs="Times New Roman"/>
                <w:b/>
                <w:bCs/>
                <w:color w:val="FF0000"/>
                <w:sz w:val="20"/>
                <w:szCs w:val="20"/>
              </w:rPr>
            </w:pPr>
            <w:r w:rsidRPr="00734DF6">
              <w:rPr>
                <w:rFonts w:ascii="Calibri" w:eastAsia="Times New Roman" w:hAnsi="Calibri" w:cs="Times New Roman"/>
                <w:b/>
                <w:bCs/>
                <w:color w:val="FF0000"/>
                <w:sz w:val="20"/>
                <w:szCs w:val="20"/>
              </w:rPr>
              <w:t>Product</w:t>
            </w:r>
          </w:p>
        </w:tc>
      </w:tr>
    </w:tbl>
    <w:p w:rsidR="00BD31C2" w:rsidRDefault="00BD31C2">
      <w:pPr>
        <w:rPr>
          <w:rFonts w:asciiTheme="majorHAnsi" w:hAnsiTheme="majorHAnsi"/>
          <w:b/>
        </w:rPr>
      </w:pPr>
      <w:r>
        <w:rPr>
          <w:rFonts w:asciiTheme="majorHAnsi" w:hAnsiTheme="majorHAnsi"/>
          <w:b/>
        </w:rPr>
        <w:br w:type="page"/>
      </w:r>
    </w:p>
    <w:p w:rsidR="00E664E4" w:rsidRDefault="00E664E4" w:rsidP="00E664E4">
      <w:pPr>
        <w:rPr>
          <w:rFonts w:asciiTheme="majorHAnsi" w:hAnsiTheme="majorHAnsi"/>
          <w:b/>
        </w:rPr>
      </w:pPr>
      <w:r w:rsidRPr="00C26992">
        <w:rPr>
          <w:rFonts w:asciiTheme="majorHAnsi" w:hAnsiTheme="majorHAnsi"/>
          <w:b/>
        </w:rPr>
        <w:lastRenderedPageBreak/>
        <w:t>3.2.1 Module 1: Dissolution</w:t>
      </w:r>
    </w:p>
    <w:p w:rsidR="00E664E4" w:rsidRPr="00911975" w:rsidRDefault="00E664E4" w:rsidP="00E664E4">
      <w:r>
        <w:t xml:space="preserve">Yellowcake </w:t>
      </w:r>
      <w:r w:rsidRPr="00911975">
        <w:t>(also known as, uranium ore concentrate)</w:t>
      </w:r>
      <w:r>
        <w:t xml:space="preserve"> </w:t>
      </w:r>
      <w:r w:rsidRPr="00911975">
        <w:t>contains impurities at a level such that it cannot be used directly as feed for producing uranium compounds or metal for a nuclear program and must be purified. Purification of yellowcake generally starts with a dissolution process</w:t>
      </w:r>
      <w:r>
        <w:t>. The dissolution process</w:t>
      </w:r>
      <w:r w:rsidRPr="00911975">
        <w:t xml:space="preserve"> </w:t>
      </w:r>
      <w:r>
        <w:t>wa</w:t>
      </w:r>
      <w:r w:rsidRPr="00911975">
        <w:t xml:space="preserve">s </w:t>
      </w:r>
      <w:r>
        <w:t xml:space="preserve">used as </w:t>
      </w:r>
      <w:r w:rsidRPr="00911975">
        <w:t>the start of the ideal natural</w:t>
      </w:r>
      <w:r>
        <w:t xml:space="preserve"> uranium conversion plant that was</w:t>
      </w:r>
      <w:r w:rsidRPr="00911975">
        <w:t xml:space="preserve"> the focus of this effort. </w:t>
      </w:r>
    </w:p>
    <w:p w:rsidR="00E664E4" w:rsidRDefault="00E664E4" w:rsidP="00E664E4">
      <w:r w:rsidRPr="00911975">
        <w:t>Module 1, Dissolution, encompasse</w:t>
      </w:r>
      <w:r>
        <w:t>d</w:t>
      </w:r>
      <w:r w:rsidRPr="00911975">
        <w:t xml:space="preserve"> the receipt of yellowcake at the facility to the transfer of uranyl nitrate to the solvent extraction process. Module 1 has been </w:t>
      </w:r>
      <w:r w:rsidRPr="009D034F">
        <w:t xml:space="preserve">further subdivided into five sub-modules. The </w:t>
      </w:r>
      <w:proofErr w:type="spellStart"/>
      <w:r w:rsidRPr="009D034F">
        <w:t>flowsheet</w:t>
      </w:r>
      <w:proofErr w:type="spellEnd"/>
      <w:r w:rsidRPr="009D034F">
        <w:t xml:space="preserve"> for Module 1 is shown in Figure 3.3.</w:t>
      </w:r>
    </w:p>
    <w:p w:rsidR="00BD31C2" w:rsidRDefault="00BD31C2" w:rsidP="00BD31C2">
      <w:r w:rsidRPr="00911975">
        <w:t>Yellowcake dissolution is typically performed using nitric acid in some type of stirred, heated vessel. The uranium concentration in the dissolver product solution is varied, depending upon the downstream process requirements (typically ranging between 200</w:t>
      </w:r>
      <w:r w:rsidRPr="00911975">
        <w:sym w:font="Symbol" w:char="F02D"/>
      </w:r>
      <w:r w:rsidRPr="00911975">
        <w:t xml:space="preserve">400 g U/L of solution). Both batch and continuous modes of operation can be used in the dissolution process. The equipment utilized must be constructed of materials that are resistant to nitric acid corrosion (e.g., stainless steels). This effort has been limited to only consider a conversion plant that process 100 MTU/yr. Although the model assumes continuous operation at steady state, </w:t>
      </w:r>
      <w:r>
        <w:t>the input flow rate of uranium wa</w:t>
      </w:r>
      <w:r w:rsidRPr="00911975">
        <w:t xml:space="preserve">s based on operation of 8 h/day, </w:t>
      </w:r>
    </w:p>
    <w:p w:rsidR="00BD31C2" w:rsidRDefault="00BD31C2" w:rsidP="00E664E4"/>
    <w:p w:rsidR="00E664E4" w:rsidRDefault="00E664E4" w:rsidP="00E664E4">
      <w:pPr>
        <w:jc w:val="center"/>
      </w:pPr>
      <w:r>
        <w:object w:dxaOrig="12449" w:dyaOrig="67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35pt;height:253.65pt" o:ole="">
            <v:imagedata r:id="rId27" o:title=""/>
          </v:shape>
          <o:OLEObject Type="Embed" ProgID="Visio.Drawing.11" ShapeID="_x0000_i1025" DrawAspect="Content" ObjectID="_1445525550" r:id="rId28"/>
        </w:object>
      </w:r>
    </w:p>
    <w:p w:rsidR="00E664E4" w:rsidRPr="00911975" w:rsidRDefault="00E664E4" w:rsidP="00E664E4">
      <w:pPr>
        <w:rPr>
          <w:sz w:val="20"/>
          <w:szCs w:val="20"/>
        </w:rPr>
      </w:pPr>
      <w:r w:rsidRPr="009D034F">
        <w:rPr>
          <w:b/>
          <w:sz w:val="20"/>
          <w:szCs w:val="20"/>
        </w:rPr>
        <w:t>Figure 3.3. Module 1: The Dissolution Process of a Natural Uranium Conversion Plant.</w:t>
      </w:r>
      <w:r w:rsidRPr="009D034F">
        <w:rPr>
          <w:sz w:val="20"/>
          <w:szCs w:val="20"/>
        </w:rPr>
        <w:t xml:space="preserve"> In this figure, the plant is</w:t>
      </w:r>
      <w:r w:rsidRPr="00911975">
        <w:rPr>
          <w:sz w:val="20"/>
          <w:szCs w:val="20"/>
        </w:rPr>
        <w:t xml:space="preserve"> processing 100 MTU/</w:t>
      </w:r>
      <w:proofErr w:type="spellStart"/>
      <w:r w:rsidRPr="00911975">
        <w:rPr>
          <w:sz w:val="20"/>
          <w:szCs w:val="20"/>
        </w:rPr>
        <w:t>yr</w:t>
      </w:r>
      <w:proofErr w:type="spellEnd"/>
      <w:r w:rsidRPr="00911975">
        <w:rPr>
          <w:sz w:val="20"/>
          <w:szCs w:val="20"/>
        </w:rPr>
        <w:t xml:space="preserve"> and utilizing uranium recovery to reduce uranium losses to waste.</w:t>
      </w:r>
    </w:p>
    <w:p w:rsidR="00002CAE" w:rsidRDefault="00002CAE" w:rsidP="00002CAE">
      <w:r w:rsidRPr="00911975">
        <w:lastRenderedPageBreak/>
        <w:t>5 </w:t>
      </w:r>
      <w:proofErr w:type="gramStart"/>
      <w:r w:rsidRPr="00911975">
        <w:t>day</w:t>
      </w:r>
      <w:r>
        <w:t>s</w:t>
      </w:r>
      <w:r w:rsidRPr="00911975">
        <w:t>/wee</w:t>
      </w:r>
      <w:r>
        <w:t>k,</w:t>
      </w:r>
      <w:proofErr w:type="gramEnd"/>
      <w:r>
        <w:t xml:space="preserve"> and 50 weeks/yr. This resulted</w:t>
      </w:r>
      <w:r w:rsidRPr="00911975">
        <w:t xml:space="preserve"> in an input flow rate of 50 kg U</w:t>
      </w:r>
      <w:r>
        <w:t>/h</w:t>
      </w:r>
      <w:r w:rsidRPr="00911975">
        <w:t>.</w:t>
      </w:r>
    </w:p>
    <w:p w:rsidR="00E664E4" w:rsidRDefault="00E664E4" w:rsidP="00E664E4">
      <w:r w:rsidRPr="009D034F">
        <w:t xml:space="preserve">Module 1 (Figure 3.3) </w:t>
      </w:r>
      <w:r>
        <w:t xml:space="preserve">started </w:t>
      </w:r>
      <w:r w:rsidRPr="009D034F">
        <w:t>with the dissolution of yellowcake in nitric acid to produce uranyl nitrate</w:t>
      </w:r>
      <w:r>
        <w:t xml:space="preserve"> [</w:t>
      </w:r>
      <w:proofErr w:type="gramStart"/>
      <w:r>
        <w:t>UO</w:t>
      </w:r>
      <w:r w:rsidRPr="00DC756F">
        <w:rPr>
          <w:vertAlign w:val="subscript"/>
        </w:rPr>
        <w:t>2</w:t>
      </w:r>
      <w:r>
        <w:t>(</w:t>
      </w:r>
      <w:proofErr w:type="gramEnd"/>
      <w:r>
        <w:t>NO</w:t>
      </w:r>
      <w:r w:rsidRPr="00DC756F">
        <w:rPr>
          <w:vertAlign w:val="subscript"/>
        </w:rPr>
        <w:t>3</w:t>
      </w:r>
      <w:r>
        <w:t>)</w:t>
      </w:r>
      <w:r w:rsidRPr="00DC756F">
        <w:rPr>
          <w:vertAlign w:val="subscript"/>
        </w:rPr>
        <w:t>2</w:t>
      </w:r>
      <w:r>
        <w:t>]</w:t>
      </w:r>
      <w:r w:rsidRPr="009D034F">
        <w:t>.</w:t>
      </w:r>
      <w:r w:rsidRPr="00911975">
        <w:t xml:space="preserve"> Yellowcake</w:t>
      </w:r>
      <w:r>
        <w:t xml:space="preserve">, as impure </w:t>
      </w:r>
      <w:r w:rsidRPr="00911975">
        <w:t>U</w:t>
      </w:r>
      <w:r w:rsidRPr="00911975">
        <w:rPr>
          <w:vertAlign w:val="subscript"/>
        </w:rPr>
        <w:t>3</w:t>
      </w:r>
      <w:r w:rsidRPr="00911975">
        <w:t>O</w:t>
      </w:r>
      <w:r w:rsidRPr="00911975">
        <w:rPr>
          <w:vertAlign w:val="subscript"/>
        </w:rPr>
        <w:t>8</w:t>
      </w:r>
      <w:r>
        <w:t>,</w:t>
      </w:r>
      <w:r w:rsidRPr="00911975">
        <w:t xml:space="preserve"> </w:t>
      </w:r>
      <w:r>
        <w:t>wa</w:t>
      </w:r>
      <w:r w:rsidRPr="00911975">
        <w:t>s fed into a material feed hopper that feeds a dissolver tank by means of a screw con</w:t>
      </w:r>
      <w:r>
        <w:t>veyor. The dissolution process wa</w:t>
      </w:r>
      <w:r w:rsidRPr="00911975">
        <w:t>s carried out at 80</w:t>
      </w:r>
      <w:r>
        <w:t>°C. Heat wa</w:t>
      </w:r>
      <w:r w:rsidRPr="00911975">
        <w:t>s provided indirectly through a steam jacket surrounding the dissolver tank. A</w:t>
      </w:r>
      <w:r>
        <w:t>fter dissolution, the material wa</w:t>
      </w:r>
      <w:r w:rsidRPr="00911975">
        <w:t>s sen</w:t>
      </w:r>
      <w:r>
        <w:t>t to a slurry-aging vessel; this is</w:t>
      </w:r>
      <w:r w:rsidRPr="00911975">
        <w:t xml:space="preserve"> especially</w:t>
      </w:r>
      <w:r>
        <w:t xml:space="preserve"> necessary</w:t>
      </w:r>
      <w:r w:rsidRPr="00911975">
        <w:t xml:space="preserve"> if </w:t>
      </w:r>
      <w:proofErr w:type="spellStart"/>
      <w:r w:rsidRPr="00911975">
        <w:t>silicas</w:t>
      </w:r>
      <w:proofErr w:type="spellEnd"/>
      <w:r w:rsidRPr="00911975">
        <w:t xml:space="preserve"> </w:t>
      </w:r>
      <w:r>
        <w:t>we</w:t>
      </w:r>
      <w:r w:rsidRPr="00911975">
        <w:t>re present in the incoming yello</w:t>
      </w:r>
      <w:r>
        <w:t>wcake. The slurry-aging vessel wa</w:t>
      </w:r>
      <w:r w:rsidRPr="00911975">
        <w:t>s also heated at 90–95</w:t>
      </w:r>
      <w:r>
        <w:t>°</w:t>
      </w:r>
      <w:r w:rsidRPr="00911975">
        <w:t xml:space="preserve">C indirectly by means of a steam jacket. The </w:t>
      </w:r>
      <w:r>
        <w:t>final concentration of uranium wa</w:t>
      </w:r>
      <w:r w:rsidRPr="00911975">
        <w:t xml:space="preserve">s expected within the range of 400–450 g U/L with a 2.5 </w:t>
      </w:r>
      <w:r w:rsidRPr="00911975">
        <w:rPr>
          <w:i/>
        </w:rPr>
        <w:t>N</w:t>
      </w:r>
      <w:r w:rsidRPr="00911975">
        <w:t xml:space="preserve"> free HNO</w:t>
      </w:r>
      <w:r w:rsidRPr="00911975">
        <w:rPr>
          <w:vertAlign w:val="subscript"/>
        </w:rPr>
        <w:t>3</w:t>
      </w:r>
      <w:r w:rsidRPr="00911975">
        <w:t>. The slurry</w:t>
      </w:r>
      <w:r>
        <w:t xml:space="preserve"> wa</w:t>
      </w:r>
      <w:r w:rsidRPr="00911975">
        <w:t xml:space="preserve">s then cooled with chilled water and sent to a vacuum filter system. The </w:t>
      </w:r>
      <w:r>
        <w:t>liquids from the vacuum filter we</w:t>
      </w:r>
      <w:r w:rsidRPr="00911975">
        <w:t xml:space="preserve">re pumped to a centrifuge that separates the last solid particles from the liquid. The retained solid particles </w:t>
      </w:r>
      <w:r>
        <w:t>we</w:t>
      </w:r>
      <w:r w:rsidRPr="00911975">
        <w:t>re part of the solid waste</w:t>
      </w:r>
      <w:r>
        <w:t>,</w:t>
      </w:r>
      <w:r w:rsidRPr="00911975">
        <w:t xml:space="preserve"> and the l</w:t>
      </w:r>
      <w:r>
        <w:t>iquid wa</w:t>
      </w:r>
      <w:r w:rsidRPr="00911975">
        <w:t>s then sent to the solvent extraction pu</w:t>
      </w:r>
      <w:r>
        <w:t>rification system. This liquid wa</w:t>
      </w:r>
      <w:r w:rsidRPr="00911975">
        <w:t>s sent to a uranyl nitrate holding tank. The concentration in this tank reache</w:t>
      </w:r>
      <w:r>
        <w:t>d</w:t>
      </w:r>
      <w:r w:rsidRPr="00911975">
        <w:t xml:space="preserve"> 350–400</w:t>
      </w:r>
      <w:r>
        <w:t> </w:t>
      </w:r>
      <w:r w:rsidRPr="00911975">
        <w:t>g U/L with a concentration of HNO</w:t>
      </w:r>
      <w:r w:rsidRPr="00911975">
        <w:rPr>
          <w:vertAlign w:val="subscript"/>
        </w:rPr>
        <w:t>3</w:t>
      </w:r>
      <w:r w:rsidRPr="00911975">
        <w:t xml:space="preserve"> ranging from 1.5 </w:t>
      </w:r>
      <w:r w:rsidRPr="00911975">
        <w:rPr>
          <w:i/>
        </w:rPr>
        <w:t>N</w:t>
      </w:r>
      <w:r w:rsidRPr="00911975">
        <w:t xml:space="preserve"> to 2 </w:t>
      </w:r>
      <w:r w:rsidRPr="00911975">
        <w:rPr>
          <w:i/>
        </w:rPr>
        <w:t>N</w:t>
      </w:r>
      <w:r w:rsidRPr="00911975">
        <w:t xml:space="preserve"> free acid. Uranium losses in the waste stream from the centrifuge can </w:t>
      </w:r>
      <w:r>
        <w:t>range from less than 0.2% with uranium recovery to 2% for a low efficiency case in a small plant. Module 1 included</w:t>
      </w:r>
      <w:r w:rsidRPr="00911975">
        <w:t xml:space="preserve"> uranium recovery. The</w:t>
      </w:r>
      <w:r>
        <w:t xml:space="preserve"> solids from the vacuum filter we</w:t>
      </w:r>
      <w:r w:rsidRPr="00911975">
        <w:t xml:space="preserve">re transferred to a </w:t>
      </w:r>
      <w:proofErr w:type="spellStart"/>
      <w:r w:rsidRPr="00911975">
        <w:t>resuspension</w:t>
      </w:r>
      <w:proofErr w:type="spellEnd"/>
      <w:r w:rsidRPr="00911975">
        <w:t xml:space="preserve"> ta</w:t>
      </w:r>
      <w:r>
        <w:t>nk. This tank wa</w:t>
      </w:r>
      <w:r w:rsidRPr="00911975">
        <w:t>s a</w:t>
      </w:r>
      <w:r>
        <w:t>gitated at 25–50 rpm, and water was added. The suspended slurry wa</w:t>
      </w:r>
      <w:r w:rsidRPr="00911975">
        <w:t>s sent to a secondary va</w:t>
      </w:r>
      <w:r>
        <w:t>cuum filter where the filtrate wa</w:t>
      </w:r>
      <w:r w:rsidRPr="00911975">
        <w:t>s sent back to the dissolver unit, and the wet solids constitute</w:t>
      </w:r>
      <w:r>
        <w:t>d</w:t>
      </w:r>
      <w:r w:rsidRPr="00911975">
        <w:t xml:space="preserve"> solid waste. </w:t>
      </w:r>
    </w:p>
    <w:p w:rsidR="00E664E4" w:rsidRPr="007D26C0" w:rsidRDefault="00E664E4" w:rsidP="00E664E4"/>
    <w:p w:rsidR="00E664E4" w:rsidRDefault="00E664E4" w:rsidP="00E664E4">
      <w:pPr>
        <w:rPr>
          <w:rFonts w:asciiTheme="majorHAnsi" w:hAnsiTheme="majorHAnsi"/>
          <w:b/>
          <w:i/>
        </w:rPr>
      </w:pPr>
      <w:r w:rsidRPr="00C26992">
        <w:rPr>
          <w:rFonts w:asciiTheme="majorHAnsi" w:hAnsiTheme="majorHAnsi"/>
          <w:b/>
          <w:i/>
        </w:rPr>
        <w:t>3.2.1.1 Module 1A</w:t>
      </w:r>
    </w:p>
    <w:p w:rsidR="00E664E4" w:rsidRPr="0016631E" w:rsidRDefault="00E664E4" w:rsidP="00E664E4">
      <w:r w:rsidRPr="0016631E">
        <w:t>The inputs to the dis</w:t>
      </w:r>
      <w:r>
        <w:t>solver we</w:t>
      </w:r>
      <w:r w:rsidRPr="0016631E">
        <w:t xml:space="preserve">re the </w:t>
      </w:r>
      <w:r>
        <w:t>uranium ore concentrate which wa</w:t>
      </w:r>
      <w:r w:rsidRPr="0016631E">
        <w:t xml:space="preserve">s assumed to </w:t>
      </w:r>
      <w:r>
        <w:t xml:space="preserve">be </w:t>
      </w:r>
      <w:r w:rsidRPr="0016631E">
        <w:t>85</w:t>
      </w:r>
      <w:r>
        <w:t>-wt</w:t>
      </w:r>
      <w:r w:rsidRPr="0016631E">
        <w:t>% U</w:t>
      </w:r>
      <w:r w:rsidRPr="0016631E">
        <w:rPr>
          <w:vertAlign w:val="subscript"/>
        </w:rPr>
        <w:t>3</w:t>
      </w:r>
      <w:r w:rsidRPr="0016631E">
        <w:t>O</w:t>
      </w:r>
      <w:r w:rsidRPr="0016631E">
        <w:rPr>
          <w:vertAlign w:val="subscript"/>
        </w:rPr>
        <w:t>8</w:t>
      </w:r>
      <w:r w:rsidRPr="0016631E">
        <w:t xml:space="preserve"> and 15</w:t>
      </w:r>
      <w:r>
        <w:t>-wt</w:t>
      </w:r>
      <w:r w:rsidRPr="0016631E">
        <w:t>% impurities (7.5</w:t>
      </w:r>
      <w:r>
        <w:t>-wt</w:t>
      </w:r>
      <w:r w:rsidRPr="0016631E">
        <w:t>% soluble impurities and 7.5</w:t>
      </w:r>
      <w:r>
        <w:t>-wt</w:t>
      </w:r>
      <w:r w:rsidRPr="0016631E">
        <w:t>% insoluble impurities), nitric acid, water, and a recycle stream from Module 1D</w:t>
      </w:r>
      <w:r>
        <w:t xml:space="preserve"> (internal to Module 1). There we</w:t>
      </w:r>
      <w:r w:rsidRPr="0016631E">
        <w:t>re two outputs from the dissolver: 1) the liquid product stream and 2) NO</w:t>
      </w:r>
      <w:r w:rsidRPr="0016631E">
        <w:rPr>
          <w:vertAlign w:val="subscript"/>
        </w:rPr>
        <w:t>2</w:t>
      </w:r>
      <w:r>
        <w:t xml:space="preserve"> which wa</w:t>
      </w:r>
      <w:r w:rsidRPr="0016631E">
        <w:t xml:space="preserve">s vented as waste. The reaction that </w:t>
      </w:r>
      <w:r>
        <w:t xml:space="preserve">occurred </w:t>
      </w:r>
      <w:r w:rsidRPr="0016631E">
        <w:t xml:space="preserve">in the dissolver is shown in Eq. </w:t>
      </w:r>
      <w:r>
        <w:t>3.2.1.</w:t>
      </w:r>
      <w:r w:rsidRPr="0016631E">
        <w:t xml:space="preserve">1. </w:t>
      </w:r>
    </w:p>
    <w:p w:rsidR="00E664E4" w:rsidRPr="0016631E" w:rsidRDefault="00C851DF" w:rsidP="00E664E4">
      <w:pPr>
        <w:jc w:val="right"/>
      </w:pPr>
      <m:oMath>
        <m:sSub>
          <m:sSubPr>
            <m:ctrlPr>
              <w:rPr>
                <w:rFonts w:ascii="Cambria Math" w:hAnsi="Cambria Math"/>
              </w:rPr>
            </m:ctrlPr>
          </m:sSubPr>
          <m:e>
            <m:r>
              <w:rPr>
                <w:rFonts w:ascii="Cambria Math" w:hAnsi="Cambria Math"/>
              </w:rPr>
              <m:t>U</m:t>
            </m:r>
          </m:e>
          <m:sub>
            <m:r>
              <m:rPr>
                <m:sty m:val="p"/>
              </m:rPr>
              <w:rPr>
                <w:rFonts w:ascii="Cambria Math" w:hAnsi="Cambria Math"/>
              </w:rPr>
              <m:t>3</m:t>
            </m:r>
          </m:sub>
        </m:sSub>
        <m:sSub>
          <m:sSubPr>
            <m:ctrlPr>
              <w:rPr>
                <w:rFonts w:ascii="Cambria Math" w:hAnsi="Cambria Math"/>
              </w:rPr>
            </m:ctrlPr>
          </m:sSubPr>
          <m:e>
            <m:r>
              <w:rPr>
                <w:rFonts w:ascii="Cambria Math" w:hAnsi="Cambria Math"/>
              </w:rPr>
              <m:t>O</m:t>
            </m:r>
          </m:e>
          <m:sub>
            <m:r>
              <m:rPr>
                <m:sty m:val="p"/>
              </m:rPr>
              <w:rPr>
                <w:rFonts w:ascii="Cambria Math" w:hAnsi="Cambria Math"/>
              </w:rPr>
              <m:t>8</m:t>
            </m:r>
          </m:sub>
        </m:sSub>
        <m:r>
          <m:rPr>
            <m:sty m:val="p"/>
          </m:rPr>
          <w:rPr>
            <w:rFonts w:ascii="Cambria Math" w:hAnsi="Cambria Math"/>
          </w:rPr>
          <m:t>+8</m:t>
        </m:r>
        <m:sSub>
          <m:sSubPr>
            <m:ctrlPr>
              <w:rPr>
                <w:rFonts w:ascii="Cambria Math" w:hAnsi="Cambria Math"/>
              </w:rPr>
            </m:ctrlPr>
          </m:sSubPr>
          <m:e>
            <m:r>
              <w:rPr>
                <w:rFonts w:ascii="Cambria Math" w:hAnsi="Cambria Math"/>
              </w:rPr>
              <m:t>HNO</m:t>
            </m:r>
          </m:e>
          <m:sub>
            <m:r>
              <m:rPr>
                <m:sty m:val="p"/>
              </m:rPr>
              <w:rPr>
                <w:rFonts w:ascii="Cambria Math" w:hAnsi="Cambria Math"/>
              </w:rPr>
              <m:t>3</m:t>
            </m:r>
          </m:sub>
        </m:sSub>
        <m:r>
          <m:rPr>
            <m:sty m:val="p"/>
          </m:rPr>
          <w:rPr>
            <w:rFonts w:ascii="Cambria Math" w:hAnsi="Cambria Math"/>
          </w:rPr>
          <m:t>→3</m:t>
        </m:r>
        <m:sSub>
          <m:sSubPr>
            <m:ctrlPr>
              <w:rPr>
                <w:rFonts w:ascii="Cambria Math" w:hAnsi="Cambria Math"/>
              </w:rPr>
            </m:ctrlPr>
          </m:sSubPr>
          <m:e>
            <m:r>
              <w:rPr>
                <w:rFonts w:ascii="Cambria Math" w:hAnsi="Cambria Math"/>
              </w:rPr>
              <m:t>UO</m:t>
            </m:r>
          </m:e>
          <m:sub>
            <m:r>
              <m:rPr>
                <m:sty m:val="p"/>
              </m:rPr>
              <w:rPr>
                <w:rFonts w:ascii="Cambria Math" w:hAnsi="Cambria Math"/>
              </w:rPr>
              <m:t>2</m:t>
            </m:r>
          </m:sub>
        </m:sSub>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NO</m:t>
                    </m:r>
                  </m:e>
                  <m:sub>
                    <m:r>
                      <m:rPr>
                        <m:sty m:val="p"/>
                      </m:rPr>
                      <w:rPr>
                        <w:rFonts w:ascii="Cambria Math" w:hAnsi="Cambria Math"/>
                      </w:rPr>
                      <m:t>3</m:t>
                    </m:r>
                  </m:sub>
                </m:sSub>
              </m:e>
            </m:d>
          </m:e>
          <m:sub>
            <m:r>
              <m:rPr>
                <m:sty m:val="p"/>
              </m:rPr>
              <w:rPr>
                <w:rFonts w:ascii="Cambria Math" w:hAnsi="Cambria Math"/>
              </w:rPr>
              <m:t>2</m:t>
            </m:r>
          </m:sub>
        </m:sSub>
        <m:r>
          <m:rPr>
            <m:sty m:val="p"/>
          </m:rPr>
          <w:rPr>
            <w:rFonts w:ascii="Cambria Math" w:hAnsi="Cambria Math"/>
          </w:rPr>
          <m:t>+2</m:t>
        </m:r>
        <m:sSub>
          <m:sSubPr>
            <m:ctrlPr>
              <w:rPr>
                <w:rFonts w:ascii="Cambria Math" w:hAnsi="Cambria Math"/>
              </w:rPr>
            </m:ctrlPr>
          </m:sSubPr>
          <m:e>
            <m:r>
              <w:rPr>
                <w:rFonts w:ascii="Cambria Math" w:hAnsi="Cambria Math"/>
              </w:rPr>
              <m:t>NO</m:t>
            </m:r>
          </m:e>
          <m:sub>
            <m:r>
              <m:rPr>
                <m:sty m:val="p"/>
              </m:rPr>
              <w:rPr>
                <w:rFonts w:ascii="Cambria Math" w:hAnsi="Cambria Math"/>
              </w:rPr>
              <m:t>2</m:t>
            </m:r>
          </m:sub>
        </m:sSub>
        <m:r>
          <m:rPr>
            <m:sty m:val="p"/>
          </m:rPr>
          <w:rPr>
            <w:rFonts w:ascii="Cambria Math" w:hAnsi="Cambria Math"/>
          </w:rPr>
          <m:t>+4</m:t>
        </m:r>
        <m:sSub>
          <m:sSubPr>
            <m:ctrlPr>
              <w:rPr>
                <w:rFonts w:ascii="Cambria Math" w:hAnsi="Cambria Math"/>
              </w:rPr>
            </m:ctrlPr>
          </m:sSubPr>
          <m:e>
            <m:r>
              <w:rPr>
                <w:rFonts w:ascii="Cambria Math" w:hAnsi="Cambria Math"/>
              </w:rPr>
              <m:t>H</m:t>
            </m:r>
          </m:e>
          <m:sub>
            <m:r>
              <m:rPr>
                <m:sty m:val="p"/>
              </m:rPr>
              <w:rPr>
                <w:rFonts w:ascii="Cambria Math" w:hAnsi="Cambria Math"/>
              </w:rPr>
              <m:t>2</m:t>
            </m:r>
          </m:sub>
        </m:sSub>
        <m:r>
          <w:rPr>
            <w:rFonts w:ascii="Cambria Math" w:hAnsi="Cambria Math"/>
          </w:rPr>
          <m:t>O</m:t>
        </m:r>
      </m:oMath>
      <w:r w:rsidR="00E664E4" w:rsidRPr="0016631E">
        <w:t xml:space="preserve"> </w:t>
      </w:r>
      <w:r w:rsidR="00E664E4" w:rsidRPr="0016631E">
        <w:tab/>
      </w:r>
      <w:r w:rsidR="00E664E4">
        <w:tab/>
      </w:r>
      <w:r w:rsidR="00E664E4">
        <w:tab/>
        <w:t>Eq. (3.2.1.</w:t>
      </w:r>
      <w:r w:rsidR="00E664E4" w:rsidRPr="0016631E">
        <w:t>1)</w:t>
      </w:r>
    </w:p>
    <w:p w:rsidR="00E664E4" w:rsidRDefault="00E664E4" w:rsidP="00E664E4">
      <w:r>
        <w:t xml:space="preserve">Equation 3.2.1.1 is the idealized form of the reaction. In reality, various forms of </w:t>
      </w:r>
      <w:proofErr w:type="spellStart"/>
      <w:r>
        <w:t>NO</w:t>
      </w:r>
      <w:r w:rsidRPr="005432D8">
        <w:rPr>
          <w:vertAlign w:val="subscript"/>
        </w:rPr>
        <w:t>x</w:t>
      </w:r>
      <w:proofErr w:type="spellEnd"/>
      <w:r>
        <w:t xml:space="preserve"> are formed. Additionally, t</w:t>
      </w:r>
      <w:r w:rsidRPr="0016631E">
        <w:t xml:space="preserve">he reaction does not go to completion; the extent of reaction is 0.9799, meaning that 97.99% of the </w:t>
      </w:r>
      <w:r w:rsidRPr="009D034F">
        <w:t>uranium in the U</w:t>
      </w:r>
      <w:r w:rsidRPr="009D034F">
        <w:rPr>
          <w:vertAlign w:val="subscript"/>
        </w:rPr>
        <w:t>3</w:t>
      </w:r>
      <w:r w:rsidRPr="009D034F">
        <w:t>O</w:t>
      </w:r>
      <w:r w:rsidRPr="009D034F">
        <w:rPr>
          <w:vertAlign w:val="subscript"/>
        </w:rPr>
        <w:t>8</w:t>
      </w:r>
      <w:r w:rsidRPr="009D034F">
        <w:t xml:space="preserve"> is converted to uranyl nitrate [UO</w:t>
      </w:r>
      <w:r w:rsidRPr="009D034F">
        <w:rPr>
          <w:vertAlign w:val="subscript"/>
        </w:rPr>
        <w:t>2</w:t>
      </w:r>
      <w:r w:rsidRPr="009D034F">
        <w:t>(NO</w:t>
      </w:r>
      <w:r w:rsidRPr="009D034F">
        <w:rPr>
          <w:vertAlign w:val="subscript"/>
        </w:rPr>
        <w:t>3</w:t>
      </w:r>
      <w:r w:rsidRPr="009D034F">
        <w:t>)</w:t>
      </w:r>
      <w:r w:rsidRPr="009D034F">
        <w:rPr>
          <w:vertAlign w:val="subscript"/>
        </w:rPr>
        <w:t>2</w:t>
      </w:r>
      <w:r w:rsidRPr="009D034F">
        <w:t>]. Figure 3.4 shows a block diagram of</w:t>
      </w:r>
      <w:r w:rsidRPr="0016631E">
        <w:t xml:space="preserve"> Module 1A with the input and output streams labeled. </w:t>
      </w:r>
    </w:p>
    <w:p w:rsidR="00BD31C2" w:rsidRDefault="00BD31C2" w:rsidP="00BD31C2">
      <w:r>
        <w:t>Stream 1A wa</w:t>
      </w:r>
      <w:r w:rsidRPr="00327B85">
        <w:t xml:space="preserve">s the uranium-bearing input </w:t>
      </w:r>
      <w:r>
        <w:t>stream which wa</w:t>
      </w:r>
      <w:r w:rsidRPr="00327B85">
        <w:t>s assumed to be 85 </w:t>
      </w:r>
      <w:proofErr w:type="spellStart"/>
      <w:r w:rsidRPr="00327B85">
        <w:t>wt</w:t>
      </w:r>
      <w:proofErr w:type="spellEnd"/>
      <w:r>
        <w:t>-</w:t>
      </w:r>
      <w:r w:rsidRPr="00327B85">
        <w:t>% U</w:t>
      </w:r>
      <w:r w:rsidRPr="00327B85">
        <w:rPr>
          <w:vertAlign w:val="subscript"/>
        </w:rPr>
        <w:t>3</w:t>
      </w:r>
      <w:r w:rsidRPr="00327B85">
        <w:t>O</w:t>
      </w:r>
      <w:r w:rsidRPr="00327B85">
        <w:rPr>
          <w:vertAlign w:val="subscript"/>
        </w:rPr>
        <w:t>8</w:t>
      </w:r>
      <w:r w:rsidRPr="00327B85">
        <w:t xml:space="preserve"> and 15 </w:t>
      </w:r>
      <w:proofErr w:type="spellStart"/>
      <w:r w:rsidRPr="00327B85">
        <w:t>wt</w:t>
      </w:r>
      <w:proofErr w:type="spellEnd"/>
      <w:r>
        <w:t>-</w:t>
      </w:r>
      <w:r w:rsidRPr="00327B85">
        <w:t>% impurities (7.5 </w:t>
      </w:r>
      <w:proofErr w:type="spellStart"/>
      <w:r w:rsidRPr="00327B85">
        <w:t>wt</w:t>
      </w:r>
      <w:proofErr w:type="spellEnd"/>
      <w:r>
        <w:t>-</w:t>
      </w:r>
      <w:r w:rsidRPr="00327B85">
        <w:t>% soluble impurities and 7.5 </w:t>
      </w:r>
      <w:proofErr w:type="spellStart"/>
      <w:r w:rsidRPr="00327B85">
        <w:t>wt</w:t>
      </w:r>
      <w:proofErr w:type="spellEnd"/>
      <w:r>
        <w:t>-</w:t>
      </w:r>
      <w:r w:rsidRPr="00327B85">
        <w:t xml:space="preserve">% insoluble impurities). </w:t>
      </w:r>
      <w:r>
        <w:t xml:space="preserve">The molecular weight of </w:t>
      </w:r>
      <w:r w:rsidRPr="00327B85">
        <w:t>U</w:t>
      </w:r>
      <w:r w:rsidRPr="00327B85">
        <w:rPr>
          <w:vertAlign w:val="subscript"/>
        </w:rPr>
        <w:t>3</w:t>
      </w:r>
      <w:r w:rsidRPr="00327B85">
        <w:t>O</w:t>
      </w:r>
      <w:r w:rsidRPr="00327B85">
        <w:rPr>
          <w:vertAlign w:val="subscript"/>
        </w:rPr>
        <w:t>8</w:t>
      </w:r>
      <w:r>
        <w:t xml:space="preserve"> is 842.1 g/mol. Also, U</w:t>
      </w:r>
      <w:r w:rsidRPr="00B22819">
        <w:rPr>
          <w:vertAlign w:val="subscript"/>
        </w:rPr>
        <w:t>3</w:t>
      </w:r>
      <w:r>
        <w:t>O</w:t>
      </w:r>
      <w:r w:rsidRPr="00B22819">
        <w:rPr>
          <w:vertAlign w:val="subscript"/>
        </w:rPr>
        <w:t>8</w:t>
      </w:r>
      <w:r>
        <w:t xml:space="preserve"> </w:t>
      </w:r>
      <w:r w:rsidRPr="00327B85">
        <w:t xml:space="preserve">is insoluble in water but soluble in nitric acid. The flow rate of </w:t>
      </w:r>
      <w:r>
        <w:t xml:space="preserve">elemental </w:t>
      </w:r>
      <w:r w:rsidRPr="00327B85">
        <w:t xml:space="preserve">uranium </w:t>
      </w:r>
      <w:r>
        <w:t>to the dissolver wa</w:t>
      </w:r>
      <w:r w:rsidRPr="00327B85">
        <w:t xml:space="preserve">s specified at 50 kg/h. </w:t>
      </w:r>
      <w:proofErr w:type="gramStart"/>
      <w:r w:rsidRPr="00327B85">
        <w:t>Additionally</w:t>
      </w:r>
      <w:proofErr w:type="gramEnd"/>
      <w:r w:rsidRPr="00327B85">
        <w:t xml:space="preserve">, the soluble and insoluble impurities do </w:t>
      </w:r>
    </w:p>
    <w:p w:rsidR="00E664E4" w:rsidRPr="0016631E" w:rsidRDefault="00E664E4" w:rsidP="00E664E4">
      <w:pPr>
        <w:jc w:val="center"/>
      </w:pPr>
      <w:r w:rsidRPr="0016631E">
        <w:object w:dxaOrig="7575" w:dyaOrig="4582">
          <v:shape id="_x0000_i1026" type="#_x0000_t75" style="width:377.85pt;height:229.85pt" o:ole="">
            <v:imagedata r:id="rId29" o:title=""/>
          </v:shape>
          <o:OLEObject Type="Embed" ProgID="Visio.Drawing.11" ShapeID="_x0000_i1026" DrawAspect="Content" ObjectID="_1445525551" r:id="rId30"/>
        </w:object>
      </w:r>
    </w:p>
    <w:p w:rsidR="00E664E4" w:rsidRDefault="00E664E4" w:rsidP="00E664E4">
      <w:pPr>
        <w:jc w:val="center"/>
        <w:rPr>
          <w:b/>
          <w:sz w:val="20"/>
          <w:szCs w:val="20"/>
        </w:rPr>
      </w:pPr>
      <w:r w:rsidRPr="009D034F">
        <w:rPr>
          <w:b/>
          <w:sz w:val="20"/>
          <w:szCs w:val="20"/>
        </w:rPr>
        <w:t xml:space="preserve">Figure 3.4. Block Diagram of the Module 1A </w:t>
      </w:r>
      <w:r w:rsidR="004045DF">
        <w:rPr>
          <w:b/>
          <w:sz w:val="20"/>
          <w:szCs w:val="20"/>
        </w:rPr>
        <w:t>Showing Input and Output Streams</w:t>
      </w:r>
      <w:r w:rsidRPr="009D034F">
        <w:rPr>
          <w:b/>
          <w:sz w:val="20"/>
          <w:szCs w:val="20"/>
        </w:rPr>
        <w:t>.</w:t>
      </w:r>
    </w:p>
    <w:p w:rsidR="00BD31C2" w:rsidRPr="00BD31C2" w:rsidRDefault="00BD31C2" w:rsidP="00BD31C2"/>
    <w:p w:rsidR="001D0EF6" w:rsidRDefault="00002CAE" w:rsidP="00E664E4">
      <w:proofErr w:type="gramStart"/>
      <w:r w:rsidRPr="00327B85">
        <w:t>not</w:t>
      </w:r>
      <w:proofErr w:type="gramEnd"/>
      <w:r w:rsidRPr="00327B85">
        <w:t xml:space="preserve"> participate in the reaction. The molecular weight for each impurity </w:t>
      </w:r>
      <w:r>
        <w:t>wa</w:t>
      </w:r>
      <w:r w:rsidRPr="00327B85">
        <w:t xml:space="preserve">s assumed to be </w:t>
      </w:r>
      <w:r>
        <w:t xml:space="preserve">500 g/mol. These impurities are the other metal oxides that would be present following the mining a milling </w:t>
      </w:r>
      <w:r w:rsidR="001D0EF6">
        <w:t>operations that are performed prior to the conversion process. The mass flow rate of U</w:t>
      </w:r>
      <w:r w:rsidR="001D0EF6" w:rsidRPr="00327B85">
        <w:rPr>
          <w:vertAlign w:val="subscript"/>
        </w:rPr>
        <w:t>3</w:t>
      </w:r>
      <w:r w:rsidR="001D0EF6">
        <w:t>O</w:t>
      </w:r>
      <w:r w:rsidR="001D0EF6" w:rsidRPr="00327B85">
        <w:rPr>
          <w:vertAlign w:val="subscript"/>
        </w:rPr>
        <w:t>8</w:t>
      </w:r>
      <w:r w:rsidR="001D0EF6">
        <w:t xml:space="preserve"> in Stream 1A based on the assumptions above was 69.37 kg/h.</w:t>
      </w:r>
    </w:p>
    <w:p w:rsidR="00E664E4" w:rsidRPr="00327B85" w:rsidRDefault="00E664E4" w:rsidP="00E664E4">
      <w:r>
        <w:t>Stream 2A wa</w:t>
      </w:r>
      <w:r w:rsidRPr="00327B85">
        <w:t>s the nitric acid inp</w:t>
      </w:r>
      <w:r>
        <w:t>ut stream to the dissolver. It wa</w:t>
      </w:r>
      <w:r w:rsidRPr="00327B85">
        <w:t>s assumed th</w:t>
      </w:r>
      <w:r>
        <w:t>at the nitric acid feed stream wa</w:t>
      </w:r>
      <w:r w:rsidRPr="00327B85">
        <w:t>s commercial</w:t>
      </w:r>
      <w:r>
        <w:t>ly available nitric acid which wa</w:t>
      </w:r>
      <w:r w:rsidRPr="00327B85">
        <w:t>s 70 </w:t>
      </w:r>
      <w:proofErr w:type="spellStart"/>
      <w:r w:rsidRPr="00327B85">
        <w:t>wt</w:t>
      </w:r>
      <w:proofErr w:type="spellEnd"/>
      <w:r w:rsidRPr="00327B85">
        <w:t>% HNO</w:t>
      </w:r>
      <w:r w:rsidRPr="00327B85">
        <w:rPr>
          <w:vertAlign w:val="subscript"/>
        </w:rPr>
        <w:t>3</w:t>
      </w:r>
      <w:r w:rsidRPr="00327B85">
        <w:t xml:space="preserve"> (15.698 M) with a density of 1.413 g/mL and a molecular weight of 63.01 g/mol</w:t>
      </w:r>
      <w:r>
        <w:t xml:space="preserve">. </w:t>
      </w:r>
      <w:r w:rsidRPr="00327B85">
        <w:t xml:space="preserve">Using the flow rate of uranium into the dissolver and the stoichiometric coefficients from the reaction, the volumetric flow rate of nitric acid needed for the reaction </w:t>
      </w:r>
      <w:r>
        <w:t>was calculated to be 35.68 L/h. Stream 2A wa</w:t>
      </w:r>
      <w:r w:rsidRPr="00327B85">
        <w:t xml:space="preserve">s fed in 20% excess, so the </w:t>
      </w:r>
      <w:r>
        <w:t>actual flow rate of nitric acid wa</w:t>
      </w:r>
      <w:r w:rsidRPr="00327B85">
        <w:t xml:space="preserve">s 42.82 L/h. </w:t>
      </w:r>
      <w:r w:rsidR="00C851DF">
        <w:t>Nitric acid recycle is not considered as part of this work but it is expected that a plant of this size especially feeding nitric acid in excess would use a nitric acid recovery system for cost savings.</w:t>
      </w:r>
    </w:p>
    <w:p w:rsidR="00E664E4" w:rsidRDefault="00E664E4" w:rsidP="00E664E4">
      <w:r>
        <w:t>Stream 3A wa</w:t>
      </w:r>
      <w:r w:rsidRPr="00327B85">
        <w:t>s the w</w:t>
      </w:r>
      <w:r>
        <w:t>ater input stream. This stream wa</w:t>
      </w:r>
      <w:r w:rsidRPr="00327B85">
        <w:t>s used to adjust the nitric acid concentration in the dissolver to 6</w:t>
      </w:r>
      <w:r>
        <w:t> </w:t>
      </w:r>
      <w:r w:rsidRPr="00327B85">
        <w:rPr>
          <w:i/>
        </w:rPr>
        <w:t>N</w:t>
      </w:r>
      <w:r w:rsidRPr="00327B85">
        <w:t>,</w:t>
      </w:r>
      <w:r>
        <w:t xml:space="preserve"> which wa</w:t>
      </w:r>
      <w:r w:rsidRPr="00327B85">
        <w:t>s the specified concentrati</w:t>
      </w:r>
      <w:r>
        <w:t>on. The volume of water needed wa</w:t>
      </w:r>
      <w:r w:rsidRPr="00327B85">
        <w:t xml:space="preserve">s calculated using the dilution equation, </w:t>
      </w:r>
      <m:oMath>
        <m:sSub>
          <m:sSubPr>
            <m:ctrlPr>
              <w:rPr>
                <w:rFonts w:ascii="Cambria Math" w:hAnsi="Cambria Math"/>
              </w:rPr>
            </m:ctrlPr>
          </m:sSubPr>
          <m:e>
            <m:r>
              <w:rPr>
                <w:rFonts w:ascii="Cambria Math" w:hAnsi="Cambria Math"/>
              </w:rPr>
              <m:t>C</m:t>
            </m:r>
          </m:e>
          <m:sub>
            <m:r>
              <m:rPr>
                <m:sty m:val="p"/>
              </m:rPr>
              <w:rPr>
                <w:rFonts w:ascii="Cambria Math" w:hAnsi="Cambria Math"/>
              </w:rPr>
              <m:t>1</m:t>
            </m:r>
          </m:sub>
        </m:sSub>
        <m:sSub>
          <m:sSubPr>
            <m:ctrlPr>
              <w:rPr>
                <w:rFonts w:ascii="Cambria Math" w:hAnsi="Cambria Math"/>
              </w:rPr>
            </m:ctrlPr>
          </m:sSubPr>
          <m:e>
            <m:r>
              <w:rPr>
                <w:rFonts w:ascii="Cambria Math" w:hAnsi="Cambria Math"/>
              </w:rPr>
              <m:t>V</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m:rPr>
                <m:sty m:val="p"/>
              </m:rPr>
              <w:rPr>
                <w:rFonts w:ascii="Cambria Math" w:hAnsi="Cambria Math"/>
              </w:rPr>
              <m:t>2</m:t>
            </m:r>
          </m:sub>
        </m:sSub>
        <m:sSub>
          <m:sSubPr>
            <m:ctrlPr>
              <w:rPr>
                <w:rFonts w:ascii="Cambria Math" w:hAnsi="Cambria Math"/>
              </w:rPr>
            </m:ctrlPr>
          </m:sSubPr>
          <m:e>
            <m:r>
              <w:rPr>
                <w:rFonts w:ascii="Cambria Math" w:hAnsi="Cambria Math"/>
              </w:rPr>
              <m:t>V</m:t>
            </m:r>
          </m:e>
          <m:sub>
            <m:r>
              <m:rPr>
                <m:sty m:val="p"/>
              </m:rPr>
              <w:rPr>
                <w:rFonts w:ascii="Cambria Math" w:hAnsi="Cambria Math"/>
              </w:rPr>
              <m:t>2</m:t>
            </m:r>
          </m:sub>
        </m:sSub>
      </m:oMath>
      <w:r w:rsidRPr="00327B85">
        <w:t>. Based on the flow rate of nitri</w:t>
      </w:r>
      <w:r>
        <w:t>c acid, the flow rate of water was 69.21 L/h. Stream 11 wa</w:t>
      </w:r>
      <w:r w:rsidRPr="00327B85">
        <w:t>s a rec</w:t>
      </w:r>
      <w:r>
        <w:t>ycle stream from Module 1D and wa</w:t>
      </w:r>
      <w:r w:rsidRPr="00327B85">
        <w:t>s calculate</w:t>
      </w:r>
      <w:r>
        <w:t>d simultaneously when Module 1 wa</w:t>
      </w:r>
      <w:r w:rsidRPr="00327B85">
        <w:t xml:space="preserve">s </w:t>
      </w:r>
      <w:r>
        <w:t>simulated</w:t>
      </w:r>
      <w:r w:rsidRPr="00327B85">
        <w:t>.</w:t>
      </w:r>
    </w:p>
    <w:p w:rsidR="00E664E4" w:rsidRPr="00FF268C" w:rsidRDefault="00E664E4" w:rsidP="00E664E4">
      <w:r w:rsidRPr="00FF268C">
        <w:lastRenderedPageBreak/>
        <w:t>A reaction rate for the dissolution of U</w:t>
      </w:r>
      <w:r w:rsidRPr="00FF268C">
        <w:rPr>
          <w:vertAlign w:val="subscript"/>
        </w:rPr>
        <w:t>3</w:t>
      </w:r>
      <w:r w:rsidRPr="00FF268C">
        <w:t>O</w:t>
      </w:r>
      <w:r w:rsidRPr="00FF268C">
        <w:rPr>
          <w:vertAlign w:val="subscript"/>
        </w:rPr>
        <w:t>8</w:t>
      </w:r>
      <w:r w:rsidRPr="00FF268C">
        <w:t xml:space="preserve"> in nitric acid based on concentration</w:t>
      </w:r>
      <w:r>
        <w:t xml:space="preserve"> was not found</w:t>
      </w:r>
      <w:r w:rsidRPr="00FF268C">
        <w:t xml:space="preserve">. </w:t>
      </w:r>
      <w:r>
        <w:t xml:space="preserve">However, </w:t>
      </w:r>
      <w:r w:rsidRPr="00FF268C">
        <w:t>the dissolution rate based on particle surface area</w:t>
      </w:r>
      <w:r>
        <w:t xml:space="preserve"> was available</w:t>
      </w:r>
      <w:r w:rsidRPr="00FF268C">
        <w:t>. Both Inoue</w:t>
      </w:r>
      <w:r>
        <w:t xml:space="preserve"> and </w:t>
      </w:r>
      <w:proofErr w:type="spellStart"/>
      <w:r w:rsidRPr="00D77D8A">
        <w:t>Tsujino</w:t>
      </w:r>
      <w:proofErr w:type="spellEnd"/>
      <w:r>
        <w:t xml:space="preserve"> </w:t>
      </w:r>
      <w:r w:rsidRPr="00FF268C">
        <w:t xml:space="preserve">1984 and </w:t>
      </w:r>
      <w:proofErr w:type="spellStart"/>
      <w:r w:rsidRPr="00FF268C">
        <w:t>Yasuike</w:t>
      </w:r>
      <w:proofErr w:type="spellEnd"/>
      <w:r>
        <w:t xml:space="preserve">, </w:t>
      </w:r>
      <w:r w:rsidRPr="00D77D8A">
        <w:t>Ikeda, and Takashima</w:t>
      </w:r>
      <w:r w:rsidRPr="00FF268C">
        <w:t xml:space="preserve"> 1995 provide dissolution rate information for U</w:t>
      </w:r>
      <w:r w:rsidRPr="00FF268C">
        <w:rPr>
          <w:vertAlign w:val="subscript"/>
        </w:rPr>
        <w:t>3</w:t>
      </w:r>
      <w:r w:rsidRPr="00FF268C">
        <w:t>O</w:t>
      </w:r>
      <w:r w:rsidRPr="00FF268C">
        <w:rPr>
          <w:vertAlign w:val="subscript"/>
        </w:rPr>
        <w:t>8</w:t>
      </w:r>
      <w:r w:rsidRPr="00FF268C">
        <w:t xml:space="preserve"> powders in nitric acid. The flux, </w:t>
      </w:r>
      <m:oMath>
        <m:r>
          <w:rPr>
            <w:rFonts w:ascii="Cambria Math" w:hAnsi="Cambria Math"/>
          </w:rPr>
          <m:t>ϕ</m:t>
        </m:r>
      </m:oMath>
      <w:r w:rsidRPr="00FF268C">
        <w:t xml:space="preserve"> (mol/cm</w:t>
      </w:r>
      <w:r w:rsidRPr="00FF268C">
        <w:rPr>
          <w:vertAlign w:val="superscript"/>
        </w:rPr>
        <w:t>2</w:t>
      </w:r>
      <w:r>
        <w:t>/min), wa</w:t>
      </w:r>
      <w:r w:rsidRPr="00FF268C">
        <w:t>s defined as the dissolution rate per unit surface area of U</w:t>
      </w:r>
      <w:r w:rsidRPr="00FF268C">
        <w:rPr>
          <w:vertAlign w:val="subscript"/>
        </w:rPr>
        <w:t>3</w:t>
      </w:r>
      <w:r w:rsidRPr="00FF268C">
        <w:t>O</w:t>
      </w:r>
      <w:r w:rsidRPr="00FF268C">
        <w:rPr>
          <w:vertAlign w:val="subscript"/>
        </w:rPr>
        <w:t>8</w:t>
      </w:r>
      <w:r>
        <w:t xml:space="preserve"> powder. In order to determine the dissolution rate, the following assumptions were made: </w:t>
      </w:r>
      <w:r w:rsidRPr="00FF268C">
        <w:t>the U</w:t>
      </w:r>
      <w:r w:rsidRPr="00FF268C">
        <w:rPr>
          <w:vertAlign w:val="subscript"/>
        </w:rPr>
        <w:t>3</w:t>
      </w:r>
      <w:r w:rsidRPr="00FF268C">
        <w:t>O</w:t>
      </w:r>
      <w:r w:rsidRPr="00FF268C">
        <w:rPr>
          <w:vertAlign w:val="subscript"/>
        </w:rPr>
        <w:t>8</w:t>
      </w:r>
      <w:r>
        <w:t xml:space="preserve"> powders we</w:t>
      </w:r>
      <w:r w:rsidRPr="00FF268C">
        <w:t>re spherical particles and dissolve</w:t>
      </w:r>
      <w:r>
        <w:t>d</w:t>
      </w:r>
      <w:r w:rsidRPr="00FF268C">
        <w:t xml:space="preserve"> homogeneously from their external surface. The dissolution rate from</w:t>
      </w:r>
      <w:r>
        <w:t xml:space="preserve"> </w:t>
      </w:r>
      <w:proofErr w:type="spellStart"/>
      <w:r w:rsidRPr="00FF268C">
        <w:t>Yasuike</w:t>
      </w:r>
      <w:proofErr w:type="spellEnd"/>
      <w:r>
        <w:t xml:space="preserve">, </w:t>
      </w:r>
      <w:r w:rsidRPr="00D77D8A">
        <w:t>Ikeda, and Takashima</w:t>
      </w:r>
      <w:r w:rsidRPr="00FF268C">
        <w:t xml:space="preserve"> 1995 is shown in Eq.</w:t>
      </w:r>
      <w:r>
        <w:t xml:space="preserve"> 3.2.1.2</w:t>
      </w:r>
    </w:p>
    <w:p w:rsidR="00E664E4" w:rsidRPr="00FF268C" w:rsidRDefault="00E664E4" w:rsidP="00E664E4">
      <w:pPr>
        <w:jc w:val="right"/>
      </w:pPr>
      <m:oMath>
        <m:r>
          <w:rPr>
            <w:rFonts w:ascii="Cambria Math" w:hAnsi="Cambria Math"/>
          </w:rPr>
          <m:t>ϕ</m:t>
        </m:r>
        <m:r>
          <m:rPr>
            <m:sty m:val="p"/>
          </m:rP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1</m:t>
            </m:r>
          </m:sub>
        </m:sSub>
        <m:r>
          <m:rPr>
            <m:sty m:val="p"/>
          </m:rPr>
          <w:rPr>
            <w:rFonts w:ascii="Cambria Math" w:hAnsi="Cambria Math"/>
          </w:rPr>
          <m:t>exp⁡</m:t>
        </m:r>
        <m:d>
          <m:dPr>
            <m:ctrlPr>
              <w:rPr>
                <w:rFonts w:ascii="Cambria Math" w:hAnsi="Cambria Math"/>
              </w:rPr>
            </m:ctrlPr>
          </m:dPr>
          <m:e>
            <m:r>
              <m:rPr>
                <m:sty m:val="p"/>
              </m:rPr>
              <w:rPr>
                <w:rFonts w:ascii="Cambria Math" w:hAnsi="Cambria Math"/>
              </w:rPr>
              <m:t>-5.58×</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r>
              <m:rPr>
                <m:sty m:val="p"/>
              </m:rPr>
              <w:rPr>
                <w:rFonts w:ascii="Cambria Math" w:hAnsi="Cambria Math"/>
              </w:rPr>
              <m:t>/</m:t>
            </m:r>
            <m:r>
              <w:rPr>
                <w:rFonts w:ascii="Cambria Math" w:hAnsi="Cambria Math"/>
              </w:rPr>
              <m:t>RT</m:t>
            </m:r>
          </m:e>
        </m:d>
        <m:d>
          <m:dPr>
            <m:begChr m:val="["/>
            <m:endChr m:val="]"/>
            <m:ctrlPr>
              <w:rPr>
                <w:rFonts w:ascii="Cambria Math" w:hAnsi="Cambria Math"/>
              </w:rPr>
            </m:ctrlPr>
          </m:dPr>
          <m:e>
            <m:sSub>
              <m:sSubPr>
                <m:ctrlPr>
                  <w:rPr>
                    <w:rFonts w:ascii="Cambria Math" w:hAnsi="Cambria Math"/>
                  </w:rPr>
                </m:ctrlPr>
              </m:sSubPr>
              <m:e>
                <m:r>
                  <w:rPr>
                    <w:rFonts w:ascii="Cambria Math" w:hAnsi="Cambria Math"/>
                  </w:rPr>
                  <m:t>HNO</m:t>
                </m:r>
              </m:e>
              <m:sub>
                <m:r>
                  <m:rPr>
                    <m:sty m:val="p"/>
                  </m:rPr>
                  <w:rPr>
                    <w:rFonts w:ascii="Cambria Math" w:hAnsi="Cambria Math"/>
                  </w:rPr>
                  <m:t>3</m:t>
                </m:r>
              </m:sub>
            </m:sSub>
          </m:e>
        </m:d>
        <m:r>
          <m:rPr>
            <m:sty m:val="p"/>
          </m:rP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2</m:t>
            </m:r>
          </m:sub>
        </m:sSub>
        <m:r>
          <m:rPr>
            <m:sty m:val="p"/>
          </m:rPr>
          <w:rPr>
            <w:rFonts w:ascii="Cambria Math" w:hAnsi="Cambria Math"/>
          </w:rPr>
          <m:t>exp⁡</m:t>
        </m:r>
        <m:d>
          <m:dPr>
            <m:ctrlPr>
              <w:rPr>
                <w:rFonts w:ascii="Cambria Math" w:hAnsi="Cambria Math"/>
              </w:rPr>
            </m:ctrlPr>
          </m:dPr>
          <m:e>
            <m:r>
              <m:rPr>
                <m:sty m:val="p"/>
              </m:rPr>
              <w:rPr>
                <w:rFonts w:ascii="Cambria Math" w:hAnsi="Cambria Math"/>
              </w:rPr>
              <m:t>-6.60×</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r>
              <m:rPr>
                <m:sty m:val="p"/>
              </m:rPr>
              <w:rPr>
                <w:rFonts w:ascii="Cambria Math" w:hAnsi="Cambria Math"/>
              </w:rPr>
              <m:t>/</m:t>
            </m:r>
            <m:r>
              <w:rPr>
                <w:rFonts w:ascii="Cambria Math" w:hAnsi="Cambria Math"/>
              </w:rPr>
              <m:t>RT</m:t>
            </m:r>
          </m:e>
        </m:d>
        <m:d>
          <m:dPr>
            <m:begChr m:val="["/>
            <m:endChr m:val="]"/>
            <m:ctrlPr>
              <w:rPr>
                <w:rFonts w:ascii="Cambria Math" w:hAnsi="Cambria Math"/>
              </w:rPr>
            </m:ctrlPr>
          </m:dPr>
          <m:e>
            <m:sSub>
              <m:sSubPr>
                <m:ctrlPr>
                  <w:rPr>
                    <w:rFonts w:ascii="Cambria Math" w:hAnsi="Cambria Math"/>
                  </w:rPr>
                </m:ctrlPr>
              </m:sSubPr>
              <m:e>
                <m:r>
                  <w:rPr>
                    <w:rFonts w:ascii="Cambria Math" w:hAnsi="Cambria Math"/>
                  </w:rPr>
                  <m:t>HNO</m:t>
                </m:r>
              </m:e>
              <m:sub>
                <m:r>
                  <m:rPr>
                    <m:sty m:val="p"/>
                  </m:rPr>
                  <w:rPr>
                    <w:rFonts w:ascii="Cambria Math" w:hAnsi="Cambria Math"/>
                  </w:rPr>
                  <m:t>2</m:t>
                </m:r>
              </m:sub>
            </m:sSub>
          </m:e>
        </m:d>
        <m:r>
          <m:rPr>
            <m:sty m:val="p"/>
          </m:rPr>
          <w:rPr>
            <w:rFonts w:ascii="Cambria Math" w:hAnsi="Cambria Math"/>
          </w:rPr>
          <m:t>∙</m:t>
        </m:r>
        <m:sSup>
          <m:sSupPr>
            <m:ctrlPr>
              <w:rPr>
                <w:rFonts w:ascii="Cambria Math" w:hAnsi="Cambria Math"/>
              </w:rPr>
            </m:ctrlPr>
          </m:sSupPr>
          <m:e>
            <m:d>
              <m:dPr>
                <m:begChr m:val="["/>
                <m:endChr m:val="]"/>
                <m:ctrlPr>
                  <w:rPr>
                    <w:rFonts w:ascii="Cambria Math" w:hAnsi="Cambria Math"/>
                  </w:rPr>
                </m:ctrlPr>
              </m:dPr>
              <m:e>
                <m:sSub>
                  <m:sSubPr>
                    <m:ctrlPr>
                      <w:rPr>
                        <w:rFonts w:ascii="Cambria Math" w:hAnsi="Cambria Math"/>
                      </w:rPr>
                    </m:ctrlPr>
                  </m:sSubPr>
                  <m:e>
                    <m:r>
                      <w:rPr>
                        <w:rFonts w:ascii="Cambria Math" w:hAnsi="Cambria Math"/>
                      </w:rPr>
                      <m:t>HNO</m:t>
                    </m:r>
                  </m:e>
                  <m:sub>
                    <m:r>
                      <m:rPr>
                        <m:sty m:val="p"/>
                      </m:rPr>
                      <w:rPr>
                        <w:rFonts w:ascii="Cambria Math" w:hAnsi="Cambria Math"/>
                      </w:rPr>
                      <m:t>3</m:t>
                    </m:r>
                  </m:sub>
                </m:sSub>
              </m:e>
            </m:d>
          </m:e>
          <m:sup>
            <m:r>
              <m:rPr>
                <m:sty m:val="p"/>
              </m:rPr>
              <w:rPr>
                <w:rFonts w:ascii="Cambria Math" w:hAnsi="Cambria Math"/>
              </w:rPr>
              <m:t>2</m:t>
            </m:r>
          </m:sup>
        </m:sSup>
      </m:oMath>
      <w:r w:rsidRPr="00FF268C">
        <w:tab/>
      </w:r>
      <w:r>
        <w:t xml:space="preserve">       Eq. (3.2.1.</w:t>
      </w:r>
      <w:r w:rsidRPr="00FF268C">
        <w:t>2)</w:t>
      </w:r>
    </w:p>
    <w:p w:rsidR="00E664E4" w:rsidRPr="009155BC" w:rsidRDefault="00E664E4" w:rsidP="00E664E4">
      <w:proofErr w:type="gramStart"/>
      <w:r w:rsidRPr="00FF268C">
        <w:t xml:space="preserve">where </w:t>
      </w:r>
      <w:proofErr w:type="gramEnd"/>
      <m:oMath>
        <m:sSub>
          <m:sSubPr>
            <m:ctrlPr>
              <w:rPr>
                <w:rFonts w:ascii="Cambria Math" w:hAnsi="Cambria Math"/>
                <w:i/>
              </w:rPr>
            </m:ctrlPr>
          </m:sSubPr>
          <m:e>
            <m:r>
              <w:rPr>
                <w:rFonts w:ascii="Cambria Math" w:hAnsi="Cambria Math"/>
              </w:rPr>
              <m:t>A</m:t>
            </m:r>
          </m:e>
          <m:sub>
            <m:r>
              <w:rPr>
                <w:rFonts w:ascii="Cambria Math" w:hAnsi="Cambria Math"/>
              </w:rPr>
              <m:t>1</m:t>
            </m:r>
          </m:sub>
        </m:sSub>
      </m:oMath>
      <w:r w:rsidRPr="00FF268C">
        <w:t xml:space="preserve">, </w:t>
      </w:r>
      <m:oMath>
        <m:sSub>
          <m:sSubPr>
            <m:ctrlPr>
              <w:rPr>
                <w:rFonts w:ascii="Cambria Math" w:hAnsi="Cambria Math"/>
                <w:i/>
              </w:rPr>
            </m:ctrlPr>
          </m:sSubPr>
          <m:e>
            <m:r>
              <w:rPr>
                <w:rFonts w:ascii="Cambria Math" w:hAnsi="Cambria Math"/>
              </w:rPr>
              <m:t>A</m:t>
            </m:r>
          </m:e>
          <m:sub>
            <m:r>
              <w:rPr>
                <w:rFonts w:ascii="Cambria Math" w:hAnsi="Cambria Math"/>
              </w:rPr>
              <m:t>2</m:t>
            </m:r>
          </m:sub>
        </m:sSub>
      </m:oMath>
      <w:r w:rsidRPr="00FF268C">
        <w:t xml:space="preserve">, </w:t>
      </w:r>
      <m:oMath>
        <m:r>
          <w:rPr>
            <w:rFonts w:ascii="Cambria Math" w:hAnsi="Cambria Math"/>
          </w:rPr>
          <m:t>R</m:t>
        </m:r>
      </m:oMath>
      <w:r w:rsidRPr="00FF268C">
        <w:t xml:space="preserve">, and </w:t>
      </w:r>
      <m:oMath>
        <m:r>
          <w:rPr>
            <w:rFonts w:ascii="Cambria Math" w:hAnsi="Cambria Math"/>
          </w:rPr>
          <m:t>T</m:t>
        </m:r>
      </m:oMath>
      <w:r w:rsidRPr="00FF268C">
        <w:t xml:space="preserve"> are 35</w:t>
      </w:r>
      <w:r w:rsidR="00FE3781">
        <w:t xml:space="preserve"> cm/min</w:t>
      </w:r>
      <w:r w:rsidRPr="00FF268C">
        <w:t>, 2.0×10</w:t>
      </w:r>
      <w:r w:rsidRPr="00FF268C">
        <w:rPr>
          <w:vertAlign w:val="superscript"/>
        </w:rPr>
        <w:t>4</w:t>
      </w:r>
      <w:r w:rsidR="00FE3781">
        <w:t xml:space="preserve"> cm</w:t>
      </w:r>
      <w:r w:rsidR="00FE3781" w:rsidRPr="00FE3781">
        <w:rPr>
          <w:vertAlign w:val="superscript"/>
        </w:rPr>
        <w:t>7</w:t>
      </w:r>
      <w:r w:rsidR="00FE3781">
        <w:t>/mol</w:t>
      </w:r>
      <w:r w:rsidR="00FE3781" w:rsidRPr="00FE3781">
        <w:rPr>
          <w:vertAlign w:val="superscript"/>
        </w:rPr>
        <w:t>2</w:t>
      </w:r>
      <w:r w:rsidR="00FE3781">
        <w:t>·min</w:t>
      </w:r>
      <w:r w:rsidRPr="00FF268C">
        <w:t>, the gas constant (8.314</w:t>
      </w:r>
      <w:r>
        <w:t> </w:t>
      </w:r>
      <w:r w:rsidRPr="00FF268C">
        <w:t>J/</w:t>
      </w:r>
      <w:proofErr w:type="spellStart"/>
      <w:r w:rsidR="00FE3781">
        <w:t>mol·</w:t>
      </w:r>
      <w:r w:rsidRPr="00FF268C">
        <w:t>K</w:t>
      </w:r>
      <w:proofErr w:type="spellEnd"/>
      <w:r w:rsidRPr="00FF268C">
        <w:t xml:space="preserve">), and the absolute temperature (K), respectively. The units of the concentration are </w:t>
      </w:r>
      <w:proofErr w:type="spellStart"/>
      <w:r w:rsidRPr="00FF268C">
        <w:t>mol</w:t>
      </w:r>
      <w:proofErr w:type="spellEnd"/>
      <w:r w:rsidRPr="00FF268C">
        <w:t>/</w:t>
      </w:r>
      <w:r w:rsidR="00FE3781">
        <w:t>cm</w:t>
      </w:r>
      <w:r w:rsidR="00FE3781" w:rsidRPr="00FE3781">
        <w:rPr>
          <w:vertAlign w:val="superscript"/>
        </w:rPr>
        <w:t>3</w:t>
      </w:r>
      <w:r w:rsidRPr="00FF268C">
        <w:t>. In order to use the rate equation</w:t>
      </w:r>
      <w:r w:rsidR="00FE3781">
        <w:t xml:space="preserve"> in the development of state equations</w:t>
      </w:r>
      <w:r w:rsidRPr="00FF268C">
        <w:t xml:space="preserve">, it </w:t>
      </w:r>
      <w:r>
        <w:t xml:space="preserve">would have been </w:t>
      </w:r>
      <w:r w:rsidRPr="00FF268C">
        <w:t>necessary to make many assumptions. Due to this and since the extent of reactio</w:t>
      </w:r>
      <w:r>
        <w:t>n wa</w:t>
      </w:r>
      <w:r w:rsidRPr="00FF268C">
        <w:t>s known, it was determined to be reasonable to use the extent of reaction instead of the dissolution rate</w:t>
      </w:r>
      <w:r>
        <w:t xml:space="preserve"> especially since this process wa</w:t>
      </w:r>
      <w:r w:rsidRPr="00FF268C">
        <w:t>s being modeled at steady-state.</w:t>
      </w:r>
    </w:p>
    <w:p w:rsidR="00E664E4" w:rsidRDefault="00E664E4" w:rsidP="00E664E4">
      <w:pPr>
        <w:rPr>
          <w:rFonts w:eastAsiaTheme="minorEastAsia" w:cstheme="minorHAnsi"/>
        </w:rPr>
      </w:pPr>
      <w:r w:rsidRPr="009155BC">
        <w:t xml:space="preserve">The </w:t>
      </w:r>
      <w:r>
        <w:t xml:space="preserve">component mole balance </w:t>
      </w:r>
      <w:r w:rsidRPr="009155BC">
        <w:t>equations used to model the dissolver are shown below. There are 7</w:t>
      </w:r>
      <w:r w:rsidR="00FE42DF">
        <w:t> </w:t>
      </w:r>
      <w:r w:rsidRPr="009155BC">
        <w:t>chemical components present in Module 1: U</w:t>
      </w:r>
      <w:r w:rsidRPr="009155BC">
        <w:rPr>
          <w:vertAlign w:val="subscript"/>
        </w:rPr>
        <w:t>3</w:t>
      </w:r>
      <w:r w:rsidRPr="009155BC">
        <w:t>O</w:t>
      </w:r>
      <w:r w:rsidRPr="009155BC">
        <w:rPr>
          <w:vertAlign w:val="subscript"/>
        </w:rPr>
        <w:t>8</w:t>
      </w:r>
      <w:r>
        <w:t>, HN</w:t>
      </w:r>
      <w:r w:rsidRPr="009155BC">
        <w:t>O</w:t>
      </w:r>
      <w:r w:rsidRPr="009155BC">
        <w:rPr>
          <w:vertAlign w:val="subscript"/>
        </w:rPr>
        <w:t>3</w:t>
      </w:r>
      <w:r w:rsidRPr="009155BC">
        <w:t>, H</w:t>
      </w:r>
      <w:r w:rsidRPr="009155BC">
        <w:rPr>
          <w:vertAlign w:val="subscript"/>
        </w:rPr>
        <w:t>2</w:t>
      </w:r>
      <w:r w:rsidRPr="009155BC">
        <w:t xml:space="preserve">O, </w:t>
      </w:r>
      <w:proofErr w:type="gramStart"/>
      <w:r w:rsidRPr="009155BC">
        <w:t>UO</w:t>
      </w:r>
      <w:r w:rsidRPr="009155BC">
        <w:rPr>
          <w:vertAlign w:val="subscript"/>
        </w:rPr>
        <w:t>2</w:t>
      </w:r>
      <w:r w:rsidRPr="009155BC">
        <w:t>(</w:t>
      </w:r>
      <w:proofErr w:type="gramEnd"/>
      <w:r w:rsidRPr="009155BC">
        <w:t>NO</w:t>
      </w:r>
      <w:r w:rsidRPr="009155BC">
        <w:rPr>
          <w:vertAlign w:val="subscript"/>
        </w:rPr>
        <w:t>3</w:t>
      </w:r>
      <w:r w:rsidRPr="009155BC">
        <w:t>)</w:t>
      </w:r>
      <w:r w:rsidRPr="009155BC">
        <w:rPr>
          <w:vertAlign w:val="subscript"/>
        </w:rPr>
        <w:t>2</w:t>
      </w:r>
      <w:r w:rsidRPr="009155BC">
        <w:t>, NO</w:t>
      </w:r>
      <w:r w:rsidRPr="009155BC">
        <w:rPr>
          <w:vertAlign w:val="subscript"/>
        </w:rPr>
        <w:t>2</w:t>
      </w:r>
      <w:r w:rsidRPr="009155BC">
        <w:t xml:space="preserve">, insoluble and soluble impurities. </w:t>
      </w:r>
      <w:r>
        <w:t>Equation 3.2.1.3 is the conversion of the input mass flow rate of U</w:t>
      </w:r>
      <w:r w:rsidRPr="009155BC">
        <w:rPr>
          <w:vertAlign w:val="subscript"/>
        </w:rPr>
        <w:t>3</w:t>
      </w:r>
      <w:r>
        <w:t>O</w:t>
      </w:r>
      <w:r w:rsidRPr="009155BC">
        <w:rPr>
          <w:vertAlign w:val="subscript"/>
        </w:rPr>
        <w:t>8</w:t>
      </w:r>
      <w:r>
        <w:t xml:space="preserve"> to moles, w</w:t>
      </w:r>
      <w:r>
        <w:rPr>
          <w:rFonts w:cstheme="minorHAnsi"/>
        </w:rPr>
        <w:t xml:space="preserve">here </w:t>
      </w: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iA</m:t>
            </m:r>
          </m:sub>
        </m:sSub>
      </m:oMath>
      <w:r>
        <w:rPr>
          <w:rFonts w:eastAsiaTheme="minorEastAsia" w:cstheme="minorHAnsi"/>
        </w:rPr>
        <w:t xml:space="preserve"> is the mass flow rate of </w:t>
      </w:r>
      <w:r w:rsidR="00FE42DF">
        <w:rPr>
          <w:rFonts w:eastAsiaTheme="minorEastAsia" w:cstheme="minorHAnsi"/>
        </w:rPr>
        <w:t xml:space="preserve">input </w:t>
      </w:r>
      <w:r>
        <w:rPr>
          <w:rFonts w:eastAsiaTheme="minorEastAsia" w:cstheme="minorHAnsi"/>
        </w:rPr>
        <w:t xml:space="preserve">stream </w:t>
      </w:r>
      <m:oMath>
        <m:r>
          <w:rPr>
            <w:rFonts w:ascii="Cambria Math" w:eastAsiaTheme="minorEastAsia" w:hAnsi="Cambria Math" w:cstheme="minorHAnsi"/>
          </w:rPr>
          <m:t>iA</m:t>
        </m:r>
      </m:oMath>
      <w:r>
        <w:rPr>
          <w:rFonts w:eastAsiaTheme="minorEastAsia" w:cstheme="minorHAnsi"/>
        </w:rPr>
        <w:t xml:space="preserve"> (kg/h), </w:t>
      </w:r>
      <m:oMath>
        <m:sSub>
          <m:sSubPr>
            <m:ctrlPr>
              <w:rPr>
                <w:rFonts w:ascii="Cambria Math" w:eastAsiaTheme="minorEastAsia" w:hAnsi="Cambria Math" w:cstheme="minorHAnsi"/>
                <w:i/>
              </w:rPr>
            </m:ctrlPr>
          </m:sSubPr>
          <m:e>
            <m:r>
              <w:rPr>
                <w:rFonts w:ascii="Cambria Math" w:eastAsiaTheme="minorEastAsia" w:hAnsi="Cambria Math" w:cstheme="minorHAnsi"/>
              </w:rPr>
              <m:t>x</m:t>
            </m:r>
          </m:e>
          <m:sub>
            <m:r>
              <w:rPr>
                <w:rFonts w:ascii="Cambria Math" w:eastAsiaTheme="minorEastAsia" w:hAnsi="Cambria Math" w:cstheme="minorHAnsi"/>
              </w:rPr>
              <m:t>i,j</m:t>
            </m:r>
          </m:sub>
        </m:sSub>
      </m:oMath>
      <w:r>
        <w:rPr>
          <w:rFonts w:eastAsiaTheme="minorEastAsia" w:cstheme="minorHAnsi"/>
        </w:rPr>
        <w:t xml:space="preserve"> is the mass fraction of component </w:t>
      </w:r>
      <m:oMath>
        <m:r>
          <w:rPr>
            <w:rFonts w:ascii="Cambria Math" w:eastAsiaTheme="minorEastAsia" w:hAnsi="Cambria Math" w:cstheme="minorHAnsi"/>
          </w:rPr>
          <m:t>j</m:t>
        </m:r>
      </m:oMath>
      <w:r>
        <w:rPr>
          <w:rFonts w:eastAsiaTheme="minorEastAsia" w:cstheme="minorHAnsi"/>
        </w:rPr>
        <w:t xml:space="preserve"> in stream </w:t>
      </w:r>
      <m:oMath>
        <m:r>
          <w:rPr>
            <w:rFonts w:ascii="Cambria Math" w:eastAsiaTheme="minorEastAsia" w:hAnsi="Cambria Math" w:cstheme="minorHAnsi"/>
          </w:rPr>
          <m:t>i</m:t>
        </m:r>
      </m:oMath>
      <w:r>
        <w:rPr>
          <w:rFonts w:eastAsiaTheme="minorEastAsia" w:cstheme="minorHAnsi"/>
        </w:rPr>
        <w:t xml:space="preserve"> (wt-%), </w:t>
      </w:r>
      <m:oMath>
        <m:sSub>
          <m:sSubPr>
            <m:ctrlPr>
              <w:rPr>
                <w:rFonts w:ascii="Cambria Math" w:eastAsiaTheme="minorEastAsia" w:hAnsi="Cambria Math" w:cstheme="minorHAnsi"/>
                <w:i/>
              </w:rPr>
            </m:ctrlPr>
          </m:sSubPr>
          <m:e>
            <m:r>
              <w:rPr>
                <w:rFonts w:ascii="Cambria Math" w:eastAsiaTheme="minorEastAsia" w:hAnsi="Cambria Math" w:cstheme="minorHAnsi"/>
              </w:rPr>
              <m:t>MW</m:t>
            </m:r>
          </m:e>
          <m:sub>
            <m:r>
              <w:rPr>
                <w:rFonts w:ascii="Cambria Math" w:eastAsiaTheme="minorEastAsia" w:hAnsi="Cambria Math" w:cstheme="minorHAnsi"/>
              </w:rPr>
              <m:t>j</m:t>
            </m:r>
          </m:sub>
        </m:sSub>
      </m:oMath>
      <w:r>
        <w:rPr>
          <w:rFonts w:eastAsiaTheme="minorEastAsia" w:cstheme="minorHAnsi"/>
        </w:rPr>
        <w:t xml:space="preserve"> is the molecular weight of component </w:t>
      </w:r>
      <m:oMath>
        <m:r>
          <w:rPr>
            <w:rFonts w:ascii="Cambria Math" w:eastAsiaTheme="minorEastAsia" w:hAnsi="Cambria Math" w:cstheme="minorHAnsi"/>
          </w:rPr>
          <m:t>j</m:t>
        </m:r>
      </m:oMath>
      <w:r>
        <w:rPr>
          <w:rFonts w:eastAsiaTheme="minorEastAsia" w:cstheme="minorHAnsi"/>
        </w:rPr>
        <w:t xml:space="preserve"> (g/mol), and </w:t>
      </w:r>
      <m:oMath>
        <m:sSub>
          <m:sSubPr>
            <m:ctrlPr>
              <w:rPr>
                <w:rFonts w:ascii="Cambria Math" w:eastAsiaTheme="minorEastAsia" w:hAnsi="Cambria Math" w:cstheme="minorHAnsi"/>
                <w:i/>
              </w:rPr>
            </m:ctrlPr>
          </m:sSubPr>
          <m:e>
            <m:r>
              <w:rPr>
                <w:rFonts w:ascii="Cambria Math" w:eastAsiaTheme="minorEastAsia" w:hAnsi="Cambria Math" w:cstheme="minorHAnsi"/>
              </w:rPr>
              <m:t>F</m:t>
            </m:r>
          </m:e>
          <m:sub>
            <m:r>
              <w:rPr>
                <w:rFonts w:ascii="Cambria Math" w:eastAsiaTheme="minorEastAsia" w:hAnsi="Cambria Math" w:cstheme="minorHAnsi"/>
              </w:rPr>
              <m:t>i,j</m:t>
            </m:r>
          </m:sub>
        </m:sSub>
      </m:oMath>
      <w:r>
        <w:rPr>
          <w:rFonts w:eastAsiaTheme="minorEastAsia" w:cstheme="minorHAnsi"/>
        </w:rPr>
        <w:t xml:space="preserve"> is the molar flow rate of component </w:t>
      </w:r>
      <m:oMath>
        <m:r>
          <w:rPr>
            <w:rFonts w:ascii="Cambria Math" w:eastAsiaTheme="minorEastAsia" w:hAnsi="Cambria Math" w:cstheme="minorHAnsi"/>
          </w:rPr>
          <m:t>j</m:t>
        </m:r>
      </m:oMath>
      <w:r>
        <w:rPr>
          <w:rFonts w:eastAsiaTheme="minorEastAsia" w:cstheme="minorHAnsi"/>
        </w:rPr>
        <w:t xml:space="preserve"> in stream </w:t>
      </w:r>
      <m:oMath>
        <m:r>
          <w:rPr>
            <w:rFonts w:ascii="Cambria Math" w:eastAsiaTheme="minorEastAsia" w:hAnsi="Cambria Math" w:cstheme="minorHAnsi"/>
          </w:rPr>
          <m:t>i</m:t>
        </m:r>
      </m:oMath>
      <w:r>
        <w:rPr>
          <w:rFonts w:eastAsiaTheme="minorEastAsia" w:cstheme="minorHAnsi"/>
          <w:i/>
        </w:rPr>
        <w:t xml:space="preserve"> </w:t>
      </w:r>
      <w:r>
        <w:rPr>
          <w:rFonts w:eastAsiaTheme="minorEastAsia" w:cstheme="minorHAnsi"/>
        </w:rPr>
        <w:t>(</w:t>
      </w:r>
      <w:proofErr w:type="spellStart"/>
      <w:r>
        <w:rPr>
          <w:rFonts w:eastAsiaTheme="minorEastAsia" w:cstheme="minorHAnsi"/>
        </w:rPr>
        <w:t>mol</w:t>
      </w:r>
      <w:proofErr w:type="spellEnd"/>
      <w:r>
        <w:rPr>
          <w:rFonts w:eastAsiaTheme="minorEastAsia" w:cstheme="minorHAnsi"/>
        </w:rPr>
        <w:t xml:space="preserve">/h). Equation 3.2.1.4 and 3.2.1.5 is the conversion of the input mass flow rate of water to moles in Streams 2A and 3A, respectively. </w:t>
      </w:r>
    </w:p>
    <w:p w:rsidR="00E664E4" w:rsidRDefault="00C851DF" w:rsidP="00E664E4">
      <w:pPr>
        <w:jc w:val="right"/>
        <w:rPr>
          <w:rFonts w:eastAsiaTheme="minorEastAsia"/>
        </w:rPr>
      </w:pPr>
      <m:oMath>
        <m:sSub>
          <m:sSubPr>
            <m:ctrlPr>
              <w:rPr>
                <w:rFonts w:ascii="Cambria Math" w:hAnsi="Cambria Math"/>
                <w:i/>
              </w:rPr>
            </m:ctrlPr>
          </m:sSubPr>
          <m:e>
            <m:r>
              <w:rPr>
                <w:rFonts w:ascii="Cambria Math" w:hAnsi="Cambria Math"/>
              </w:rPr>
              <m:t>F</m:t>
            </m:r>
          </m:e>
          <m:sub>
            <m:r>
              <w:rPr>
                <w:rFonts w:ascii="Cambria Math" w:hAnsi="Cambria Math"/>
              </w:rPr>
              <m:t>1A</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1A,18</m:t>
            </m:r>
          </m:sub>
        </m:sSub>
        <m:r>
          <w:rPr>
            <w:rFonts w:ascii="Cambria Math" w:hAnsi="Cambria Math"/>
          </w:rPr>
          <m:t>*</m:t>
        </m:r>
        <m:f>
          <m:fPr>
            <m:ctrlPr>
              <w:rPr>
                <w:rFonts w:ascii="Cambria Math" w:hAnsi="Cambria Math"/>
                <w:i/>
              </w:rPr>
            </m:ctrlPr>
          </m:fPr>
          <m:num>
            <m:r>
              <w:rPr>
                <w:rFonts w:ascii="Cambria Math" w:hAnsi="Cambria Math"/>
              </w:rPr>
              <m:t>1000</m:t>
            </m:r>
          </m:num>
          <m:den>
            <m:sSub>
              <m:sSubPr>
                <m:ctrlPr>
                  <w:rPr>
                    <w:rFonts w:ascii="Cambria Math" w:hAnsi="Cambria Math"/>
                    <w:i/>
                  </w:rPr>
                </m:ctrlPr>
              </m:sSubPr>
              <m:e>
                <m:r>
                  <w:rPr>
                    <w:rFonts w:ascii="Cambria Math" w:hAnsi="Cambria Math"/>
                  </w:rPr>
                  <m:t>MW</m:t>
                </m:r>
              </m:e>
              <m:sub>
                <m:r>
                  <w:rPr>
                    <w:rFonts w:ascii="Cambria Math" w:hAnsi="Cambria Math"/>
                  </w:rPr>
                  <m:t>18</m:t>
                </m:r>
              </m:sub>
            </m:sSub>
          </m:den>
        </m:f>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1A,18</m:t>
            </m:r>
          </m:sub>
        </m:sSub>
      </m:oMath>
      <w:r w:rsidR="00E664E4">
        <w:rPr>
          <w:rFonts w:eastAsiaTheme="minorEastAsia"/>
        </w:rPr>
        <w:tab/>
      </w:r>
      <w:r w:rsidR="00E664E4">
        <w:rPr>
          <w:rFonts w:eastAsiaTheme="minorEastAsia"/>
        </w:rPr>
        <w:tab/>
      </w:r>
      <w:r w:rsidR="00E664E4">
        <w:rPr>
          <w:rFonts w:eastAsiaTheme="minorEastAsia"/>
        </w:rPr>
        <w:tab/>
      </w:r>
      <w:r w:rsidR="00E664E4">
        <w:rPr>
          <w:rFonts w:eastAsiaTheme="minorEastAsia"/>
        </w:rPr>
        <w:tab/>
        <w:t>Eq. (3.2.1.3)</w:t>
      </w:r>
    </w:p>
    <w:p w:rsidR="00E664E4" w:rsidRDefault="00C851DF" w:rsidP="00E664E4">
      <w:pPr>
        <w:jc w:val="right"/>
        <w:rPr>
          <w:rFonts w:eastAsiaTheme="minorEastAsia"/>
        </w:rPr>
      </w:pPr>
      <m:oMath>
        <m:sSub>
          <m:sSubPr>
            <m:ctrlPr>
              <w:rPr>
                <w:rFonts w:ascii="Cambria Math" w:hAnsi="Cambria Math"/>
                <w:i/>
              </w:rPr>
            </m:ctrlPr>
          </m:sSubPr>
          <m:e>
            <m:r>
              <w:rPr>
                <w:rFonts w:ascii="Cambria Math" w:hAnsi="Cambria Math"/>
              </w:rPr>
              <m:t>F</m:t>
            </m:r>
          </m:e>
          <m:sub>
            <m:r>
              <w:rPr>
                <w:rFonts w:ascii="Cambria Math" w:hAnsi="Cambria Math"/>
              </w:rPr>
              <m:t>2A</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2A,1</m:t>
            </m:r>
          </m:sub>
        </m:sSub>
        <m:r>
          <w:rPr>
            <w:rFonts w:ascii="Cambria Math" w:hAnsi="Cambria Math"/>
          </w:rPr>
          <m:t>*</m:t>
        </m:r>
        <m:f>
          <m:fPr>
            <m:ctrlPr>
              <w:rPr>
                <w:rFonts w:ascii="Cambria Math" w:hAnsi="Cambria Math"/>
                <w:i/>
              </w:rPr>
            </m:ctrlPr>
          </m:fPr>
          <m:num>
            <m:r>
              <w:rPr>
                <w:rFonts w:ascii="Cambria Math" w:hAnsi="Cambria Math"/>
              </w:rPr>
              <m:t>1000</m:t>
            </m:r>
          </m:num>
          <m:den>
            <m:sSub>
              <m:sSubPr>
                <m:ctrlPr>
                  <w:rPr>
                    <w:rFonts w:ascii="Cambria Math" w:hAnsi="Cambria Math"/>
                    <w:i/>
                  </w:rPr>
                </m:ctrlPr>
              </m:sSubPr>
              <m:e>
                <m:r>
                  <w:rPr>
                    <w:rFonts w:ascii="Cambria Math" w:hAnsi="Cambria Math"/>
                  </w:rPr>
                  <m:t>MW</m:t>
                </m:r>
              </m:e>
              <m:sub>
                <m:r>
                  <w:rPr>
                    <w:rFonts w:ascii="Cambria Math" w:hAnsi="Cambria Math"/>
                  </w:rPr>
                  <m:t>1</m:t>
                </m:r>
              </m:sub>
            </m:sSub>
          </m:den>
        </m:f>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2A,1</m:t>
            </m:r>
          </m:sub>
        </m:sSub>
      </m:oMath>
      <w:r w:rsidR="00E664E4">
        <w:rPr>
          <w:rFonts w:eastAsiaTheme="minorEastAsia"/>
        </w:rPr>
        <w:tab/>
      </w:r>
      <w:r w:rsidR="00E664E4">
        <w:rPr>
          <w:rFonts w:eastAsiaTheme="minorEastAsia"/>
        </w:rPr>
        <w:tab/>
      </w:r>
      <w:r w:rsidR="00E664E4">
        <w:rPr>
          <w:rFonts w:eastAsiaTheme="minorEastAsia"/>
        </w:rPr>
        <w:tab/>
      </w:r>
      <w:r w:rsidR="00E664E4">
        <w:rPr>
          <w:rFonts w:eastAsiaTheme="minorEastAsia"/>
        </w:rPr>
        <w:tab/>
        <w:t>Eq. (3.2.1.4)</w:t>
      </w:r>
    </w:p>
    <w:p w:rsidR="00E664E4" w:rsidRDefault="00C851DF" w:rsidP="00E664E4">
      <w:pPr>
        <w:jc w:val="right"/>
        <w:rPr>
          <w:rFonts w:eastAsiaTheme="minorEastAsia"/>
        </w:rPr>
      </w:pPr>
      <m:oMath>
        <m:sSub>
          <m:sSubPr>
            <m:ctrlPr>
              <w:rPr>
                <w:rFonts w:ascii="Cambria Math" w:hAnsi="Cambria Math"/>
                <w:i/>
              </w:rPr>
            </m:ctrlPr>
          </m:sSubPr>
          <m:e>
            <m:r>
              <w:rPr>
                <w:rFonts w:ascii="Cambria Math" w:hAnsi="Cambria Math"/>
              </w:rPr>
              <m:t>F</m:t>
            </m:r>
          </m:e>
          <m:sub>
            <m:r>
              <w:rPr>
                <w:rFonts w:ascii="Cambria Math" w:hAnsi="Cambria Math"/>
              </w:rPr>
              <m:t>3A</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3A,1</m:t>
            </m:r>
          </m:sub>
        </m:sSub>
        <m:r>
          <w:rPr>
            <w:rFonts w:ascii="Cambria Math" w:hAnsi="Cambria Math"/>
          </w:rPr>
          <m:t>*</m:t>
        </m:r>
        <m:f>
          <m:fPr>
            <m:ctrlPr>
              <w:rPr>
                <w:rFonts w:ascii="Cambria Math" w:hAnsi="Cambria Math"/>
                <w:i/>
              </w:rPr>
            </m:ctrlPr>
          </m:fPr>
          <m:num>
            <m:r>
              <w:rPr>
                <w:rFonts w:ascii="Cambria Math" w:hAnsi="Cambria Math"/>
              </w:rPr>
              <m:t>1000</m:t>
            </m:r>
          </m:num>
          <m:den>
            <m:sSub>
              <m:sSubPr>
                <m:ctrlPr>
                  <w:rPr>
                    <w:rFonts w:ascii="Cambria Math" w:hAnsi="Cambria Math"/>
                    <w:i/>
                  </w:rPr>
                </m:ctrlPr>
              </m:sSubPr>
              <m:e>
                <m:r>
                  <w:rPr>
                    <w:rFonts w:ascii="Cambria Math" w:hAnsi="Cambria Math"/>
                  </w:rPr>
                  <m:t>MW</m:t>
                </m:r>
              </m:e>
              <m:sub>
                <m:r>
                  <w:rPr>
                    <w:rFonts w:ascii="Cambria Math" w:hAnsi="Cambria Math"/>
                  </w:rPr>
                  <m:t>1</m:t>
                </m:r>
              </m:sub>
            </m:sSub>
          </m:den>
        </m:f>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3A,1</m:t>
            </m:r>
          </m:sub>
        </m:sSub>
      </m:oMath>
      <w:r w:rsidR="00E664E4">
        <w:rPr>
          <w:rFonts w:eastAsiaTheme="minorEastAsia"/>
        </w:rPr>
        <w:tab/>
      </w:r>
      <w:r w:rsidR="00E664E4">
        <w:rPr>
          <w:rFonts w:eastAsiaTheme="minorEastAsia"/>
        </w:rPr>
        <w:tab/>
      </w:r>
      <w:r w:rsidR="00E664E4">
        <w:rPr>
          <w:rFonts w:eastAsiaTheme="minorEastAsia"/>
        </w:rPr>
        <w:tab/>
      </w:r>
      <w:r w:rsidR="00E664E4">
        <w:rPr>
          <w:rFonts w:eastAsiaTheme="minorEastAsia"/>
        </w:rPr>
        <w:tab/>
        <w:t>Eq. (3.2.1.5)</w:t>
      </w:r>
    </w:p>
    <w:p w:rsidR="00E664E4" w:rsidRPr="0037660E" w:rsidRDefault="00E664E4" w:rsidP="00E664E4">
      <w:r w:rsidRPr="0037660E">
        <w:t>Water enter</w:t>
      </w:r>
      <w:r>
        <w:t>ed</w:t>
      </w:r>
      <w:r w:rsidRPr="0037660E">
        <w:t xml:space="preserve"> the reactor from input streams 2A and 3A as well as the recycle stream, </w:t>
      </w:r>
      <w:r>
        <w:t>Stream 11. Additional water wa</w:t>
      </w:r>
      <w:r w:rsidRPr="0037660E">
        <w:t>s produced in the dissolver during the reaction of U</w:t>
      </w:r>
      <w:r w:rsidRPr="0037660E">
        <w:rPr>
          <w:vertAlign w:val="subscript"/>
        </w:rPr>
        <w:t>3</w:t>
      </w:r>
      <w:r w:rsidRPr="0037660E">
        <w:t>O</w:t>
      </w:r>
      <w:r w:rsidRPr="0037660E">
        <w:rPr>
          <w:vertAlign w:val="subscript"/>
        </w:rPr>
        <w:t>8</w:t>
      </w:r>
      <w:r w:rsidRPr="0037660E">
        <w:t xml:space="preserve"> with nitric acid.</w:t>
      </w:r>
      <w:r>
        <w:t xml:space="preserve"> </w:t>
      </w:r>
      <w:r w:rsidRPr="0037660E">
        <w:t xml:space="preserve">Equation </w:t>
      </w:r>
      <w:r>
        <w:t>3.2.1.6</w:t>
      </w:r>
      <w:r w:rsidRPr="0037660E">
        <w:t xml:space="preserve"> is the mole balance for water</w:t>
      </w:r>
      <w:r>
        <w:t xml:space="preserve">, where </w:t>
      </w:r>
      <m:oMath>
        <m:sSub>
          <m:sSubPr>
            <m:ctrlPr>
              <w:rPr>
                <w:rFonts w:ascii="Cambria Math" w:hAnsi="Cambria Math"/>
                <w:i/>
              </w:rPr>
            </m:ctrlPr>
          </m:sSubPr>
          <m:e>
            <m:r>
              <w:rPr>
                <w:rFonts w:ascii="Cambria Math" w:hAnsi="Cambria Math"/>
              </w:rPr>
              <m:t>n</m:t>
            </m:r>
          </m:e>
          <m:sub>
            <m:r>
              <w:rPr>
                <w:rFonts w:ascii="Cambria Math" w:hAnsi="Cambria Math"/>
              </w:rPr>
              <m:t>Mod1,i</m:t>
            </m:r>
          </m:sub>
        </m:sSub>
      </m:oMath>
      <w:r>
        <w:rPr>
          <w:rFonts w:eastAsiaTheme="minorEastAsia"/>
        </w:rPr>
        <w:t xml:space="preserve"> is</w:t>
      </w:r>
      <w:r w:rsidRPr="0037660E">
        <w:t xml:space="preserve"> the stoichiometric coefficient of the </w:t>
      </w:r>
      <m:oMath>
        <m:r>
          <w:rPr>
            <w:rFonts w:ascii="Cambria Math" w:hAnsi="Cambria Math"/>
          </w:rPr>
          <m:t>i</m:t>
        </m:r>
      </m:oMath>
      <w:r w:rsidRPr="0037660E">
        <w:t>-th compon</w:t>
      </w:r>
      <w:proofErr w:type="spellStart"/>
      <w:r>
        <w:t>ent</w:t>
      </w:r>
      <w:proofErr w:type="spellEnd"/>
      <w:r>
        <w:t xml:space="preserve"> of the dissolution reaction</w:t>
      </w:r>
      <w:r w:rsidRPr="0037660E">
        <w:t xml:space="preserve"> and </w:t>
      </w:r>
      <m:oMath>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1</m:t>
            </m:r>
          </m:sub>
        </m:sSub>
      </m:oMath>
      <w:r w:rsidRPr="0037660E">
        <w:t xml:space="preserve"> is the extent of reaction for the dissolution reaction. The stoichiometric coefficients are positive for products and negat</w:t>
      </w:r>
      <w:proofErr w:type="spellStart"/>
      <w:r w:rsidRPr="0037660E">
        <w:t>ive</w:t>
      </w:r>
      <w:proofErr w:type="spellEnd"/>
      <w:r w:rsidRPr="0037660E">
        <w:t xml:space="preserve"> for reactants. </w:t>
      </w:r>
    </w:p>
    <w:p w:rsidR="00E664E4" w:rsidRPr="0037660E"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m:t>
            </m:r>
            <m:r>
              <w:rPr>
                <w:rFonts w:ascii="Cambria Math" w:hAnsi="Cambria Math"/>
              </w:rPr>
              <m:t>A,1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m:t>
            </m:r>
            <m:r>
              <w:rPr>
                <w:rFonts w:ascii="Cambria Math" w:hAnsi="Cambria Math"/>
              </w:rPr>
              <m:t>A,1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11,1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1,1</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1,1</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1</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F</m:t>
                </m:r>
              </m:e>
              <m:sub>
                <m:r>
                  <m:rPr>
                    <m:sty m:val="p"/>
                  </m:rPr>
                  <w:rPr>
                    <w:rFonts w:ascii="Cambria Math" w:hAnsi="Cambria Math"/>
                  </w:rPr>
                  <m:t>1</m:t>
                </m:r>
                <m:r>
                  <w:rPr>
                    <w:rFonts w:ascii="Cambria Math" w:hAnsi="Cambria Math"/>
                  </w:rPr>
                  <m:t>A,18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11,18</m:t>
                </m:r>
              </m:sub>
            </m:sSub>
          </m:e>
        </m:d>
        <m:r>
          <m:rPr>
            <m:sty m:val="p"/>
          </m:rPr>
          <w:rPr>
            <w:rFonts w:ascii="Cambria Math" w:hAnsi="Cambria Math"/>
          </w:rPr>
          <m:t>=0</m:t>
        </m:r>
      </m:oMath>
      <w:r w:rsidR="00E664E4" w:rsidRPr="0037660E">
        <w:t xml:space="preserve">   </w:t>
      </w:r>
      <w:r w:rsidR="00E664E4">
        <w:tab/>
        <w:t>Eq. (3.2.1.6</w:t>
      </w:r>
      <w:r w:rsidR="00E664E4" w:rsidRPr="0037660E">
        <w:t>)</w:t>
      </w:r>
    </w:p>
    <w:p w:rsidR="00E664E4" w:rsidRPr="00761631" w:rsidRDefault="00E664E4" w:rsidP="00E664E4">
      <w:r>
        <w:t>Nitric acid entered</w:t>
      </w:r>
      <w:r w:rsidRPr="00761631">
        <w:t xml:space="preserve"> the reactor from input stream 2A as well as the recycle stream, Stream 11. Nitric aci</w:t>
      </w:r>
      <w:r>
        <w:t>d wa</w:t>
      </w:r>
      <w:r w:rsidRPr="00761631">
        <w:t>s consumed in the dissolver during the reaction of U</w:t>
      </w:r>
      <w:r w:rsidRPr="00761631">
        <w:rPr>
          <w:vertAlign w:val="subscript"/>
        </w:rPr>
        <w:t>3</w:t>
      </w:r>
      <w:r w:rsidRPr="00761631">
        <w:t>O</w:t>
      </w:r>
      <w:r w:rsidRPr="00761631">
        <w:rPr>
          <w:vertAlign w:val="subscript"/>
        </w:rPr>
        <w:t>8</w:t>
      </w:r>
      <w:r w:rsidRPr="00761631">
        <w:t xml:space="preserve"> with </w:t>
      </w:r>
      <w:r>
        <w:t>nitric acid. Since nitric acid wa</w:t>
      </w:r>
      <w:r w:rsidRPr="00761631">
        <w:t xml:space="preserve">s fed in </w:t>
      </w:r>
      <w:r w:rsidRPr="00761631">
        <w:lastRenderedPageBreak/>
        <w:t>excess and the reaction</w:t>
      </w:r>
      <w:r>
        <w:t xml:space="preserve"> does not go to completion, it wa</w:t>
      </w:r>
      <w:r w:rsidRPr="00761631">
        <w:t>s expected that there w</w:t>
      </w:r>
      <w:r>
        <w:t>ould</w:t>
      </w:r>
      <w:r w:rsidRPr="00761631">
        <w:t xml:space="preserve"> be nitric acid present in the product stream. Equation 3.2.1.7 is the mole balance for nitric acid.</w:t>
      </w:r>
    </w:p>
    <w:p w:rsidR="00E664E4" w:rsidRPr="00761631"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m:t>
            </m:r>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m:rPr>
                <m:sty m:val="p"/>
              </m:rPr>
              <w:rPr>
                <w:rFonts w:ascii="Cambria Math" w:hAnsi="Cambria Math"/>
              </w:rPr>
              <m:t>2</m:t>
            </m:r>
            <m:r>
              <w:rPr>
                <w:rFonts w:ascii="Cambria Math" w:hAnsi="Cambria Math"/>
              </w:rPr>
              <m:t>A</m:t>
            </m:r>
            <m:r>
              <m:rPr>
                <m:sty m:val="p"/>
              </m:rPr>
              <w:rPr>
                <w:rFonts w:ascii="Cambria Math" w:hAnsi="Cambria Math"/>
              </w:rPr>
              <m:t>,9</m:t>
            </m:r>
          </m:sub>
        </m:sSub>
        <m:r>
          <m:rPr>
            <m:sty m:val="p"/>
          </m:rPr>
          <w:rPr>
            <w:rFonts w:ascii="Cambria Math" w:hAnsi="Cambria Math"/>
          </w:rPr>
          <m:t>*</m:t>
        </m:r>
        <m:f>
          <m:fPr>
            <m:ctrlPr>
              <w:rPr>
                <w:rFonts w:ascii="Cambria Math" w:hAnsi="Cambria Math"/>
              </w:rPr>
            </m:ctrlPr>
          </m:fPr>
          <m:num>
            <m:r>
              <m:rPr>
                <m:sty m:val="p"/>
              </m:rPr>
              <w:rPr>
                <w:rFonts w:ascii="Cambria Math" w:hAnsi="Cambria Math"/>
              </w:rPr>
              <m:t>1000</m:t>
            </m:r>
          </m:num>
          <m:den>
            <m:sSub>
              <m:sSubPr>
                <m:ctrlPr>
                  <w:rPr>
                    <w:rFonts w:ascii="Cambria Math" w:hAnsi="Cambria Math"/>
                  </w:rPr>
                </m:ctrlPr>
              </m:sSubPr>
              <m:e>
                <m:r>
                  <w:rPr>
                    <w:rFonts w:ascii="Cambria Math" w:hAnsi="Cambria Math"/>
                  </w:rPr>
                  <m:t>MW</m:t>
                </m:r>
              </m:e>
              <m:sub>
                <m:r>
                  <m:rPr>
                    <m:sty m:val="p"/>
                  </m:rPr>
                  <w:rPr>
                    <w:rFonts w:ascii="Cambria Math" w:hAnsi="Cambria Math"/>
                  </w:rPr>
                  <m:t>9</m:t>
                </m:r>
              </m:sub>
            </m:sSub>
          </m:den>
        </m:f>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11,9</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1,9</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1,9</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1</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F</m:t>
                </m:r>
              </m:e>
              <m:sub>
                <m:r>
                  <m:rPr>
                    <m:sty m:val="p"/>
                  </m:rPr>
                  <w:rPr>
                    <w:rFonts w:ascii="Cambria Math" w:hAnsi="Cambria Math"/>
                  </w:rPr>
                  <m:t>1</m:t>
                </m:r>
                <m:r>
                  <w:rPr>
                    <w:rFonts w:ascii="Cambria Math" w:hAnsi="Cambria Math"/>
                  </w:rPr>
                  <m:t>A</m:t>
                </m:r>
                <m:r>
                  <m:rPr>
                    <m:sty m:val="p"/>
                  </m:rPr>
                  <w:rPr>
                    <w:rFonts w:ascii="Cambria Math" w:hAnsi="Cambria Math"/>
                  </w:rPr>
                  <m:t>,18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11,18</m:t>
                </m:r>
              </m:sub>
            </m:sSub>
          </m:e>
        </m:d>
        <m:r>
          <m:rPr>
            <m:sty m:val="p"/>
          </m:rPr>
          <w:rPr>
            <w:rFonts w:ascii="Cambria Math" w:hAnsi="Cambria Math"/>
          </w:rPr>
          <m:t>=0</m:t>
        </m:r>
      </m:oMath>
      <w:r w:rsidR="00E664E4" w:rsidRPr="00761631">
        <w:t xml:space="preserve">   </w:t>
      </w:r>
      <w:r w:rsidR="00E664E4" w:rsidRPr="00761631">
        <w:tab/>
      </w:r>
      <w:r w:rsidR="00E664E4">
        <w:t>Eq. (</w:t>
      </w:r>
      <w:r w:rsidR="00E664E4" w:rsidRPr="00761631">
        <w:t>3.2.1.7)</w:t>
      </w:r>
    </w:p>
    <w:p w:rsidR="00E664E4" w:rsidRPr="00761631" w:rsidRDefault="00E664E4" w:rsidP="00E664E4">
      <w:r w:rsidRPr="00761631">
        <w:t xml:space="preserve">Equation </w:t>
      </w:r>
      <w:r>
        <w:t>3.2.1.8</w:t>
      </w:r>
      <w:r w:rsidRPr="00761631">
        <w:t xml:space="preserve"> is the mole balance for uranyl nitrate. It enter</w:t>
      </w:r>
      <w:r>
        <w:t>ed</w:t>
      </w:r>
      <w:r w:rsidRPr="00761631">
        <w:t xml:space="preserve"> the r</w:t>
      </w:r>
      <w:r>
        <w:t xml:space="preserve">eactor from the recycle stream (Stream </w:t>
      </w:r>
      <w:r w:rsidRPr="00761631">
        <w:t>11</w:t>
      </w:r>
      <w:r>
        <w:t>) and was</w:t>
      </w:r>
      <w:r w:rsidRPr="00761631">
        <w:t xml:space="preserve"> produced in the dissolver during the reaction of U</w:t>
      </w:r>
      <w:r w:rsidRPr="00761631">
        <w:rPr>
          <w:vertAlign w:val="subscript"/>
        </w:rPr>
        <w:t>3</w:t>
      </w:r>
      <w:r w:rsidRPr="00761631">
        <w:t>O</w:t>
      </w:r>
      <w:r w:rsidRPr="00761631">
        <w:rPr>
          <w:vertAlign w:val="subscript"/>
        </w:rPr>
        <w:t>8</w:t>
      </w:r>
      <w:r w:rsidRPr="00761631">
        <w:t xml:space="preserve"> with nitric acid.</w:t>
      </w:r>
    </w:p>
    <w:p w:rsidR="00E664E4"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11,14</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1,14</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1,14</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1</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F</m:t>
                </m:r>
              </m:e>
              <m:sub>
                <m:r>
                  <m:rPr>
                    <m:sty m:val="p"/>
                  </m:rPr>
                  <w:rPr>
                    <w:rFonts w:ascii="Cambria Math" w:hAnsi="Cambria Math"/>
                  </w:rPr>
                  <m:t>1</m:t>
                </m:r>
                <m:r>
                  <w:rPr>
                    <w:rFonts w:ascii="Cambria Math" w:hAnsi="Cambria Math"/>
                  </w:rPr>
                  <m:t>A,18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11,18</m:t>
                </m:r>
              </m:sub>
            </m:sSub>
          </m:e>
        </m:d>
        <m:r>
          <m:rPr>
            <m:sty m:val="p"/>
          </m:rPr>
          <w:rPr>
            <w:rFonts w:ascii="Cambria Math" w:hAnsi="Cambria Math"/>
          </w:rPr>
          <m:t>=0</m:t>
        </m:r>
      </m:oMath>
      <w:r w:rsidR="00E664E4" w:rsidRPr="00761631">
        <w:t xml:space="preserve">   </w:t>
      </w:r>
      <w:r w:rsidR="00E664E4">
        <w:tab/>
      </w:r>
      <w:r w:rsidR="00E664E4" w:rsidRPr="00761631">
        <w:tab/>
      </w:r>
      <w:r w:rsidR="00E664E4">
        <w:t>Eq. (3.2.1.8</w:t>
      </w:r>
      <w:r w:rsidR="00E664E4" w:rsidRPr="00761631">
        <w:t>)</w:t>
      </w:r>
    </w:p>
    <w:p w:rsidR="00E664E4" w:rsidRPr="00761631" w:rsidRDefault="00E664E4" w:rsidP="00E664E4">
      <w:r w:rsidRPr="00761631">
        <w:t>Equation 3.2.1.9 is the mole balance for U</w:t>
      </w:r>
      <w:r w:rsidRPr="00761631">
        <w:rPr>
          <w:vertAlign w:val="subscript"/>
        </w:rPr>
        <w:t>3</w:t>
      </w:r>
      <w:r w:rsidRPr="00761631">
        <w:t>O</w:t>
      </w:r>
      <w:r w:rsidRPr="00761631">
        <w:rPr>
          <w:vertAlign w:val="subscript"/>
        </w:rPr>
        <w:t>8</w:t>
      </w:r>
      <w:r w:rsidRPr="00761631">
        <w:t>, which enter</w:t>
      </w:r>
      <w:r>
        <w:t>ed</w:t>
      </w:r>
      <w:r w:rsidRPr="00761631">
        <w:t xml:space="preserve"> the reactor from input stream 1A as </w:t>
      </w:r>
      <w:r>
        <w:t>well as the recycle stream and wa</w:t>
      </w:r>
      <w:r w:rsidRPr="00761631">
        <w:t xml:space="preserve">s consumed in the </w:t>
      </w:r>
      <w:r>
        <w:t>reaction</w:t>
      </w:r>
      <w:r w:rsidRPr="00761631">
        <w:t>.</w:t>
      </w:r>
    </w:p>
    <w:p w:rsidR="00E664E4"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1A,18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11,18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1,18</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1,18</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1</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F</m:t>
                </m:r>
              </m:e>
              <m:sub>
                <m:r>
                  <m:rPr>
                    <m:sty m:val="p"/>
                  </m:rPr>
                  <w:rPr>
                    <w:rFonts w:ascii="Cambria Math" w:hAnsi="Cambria Math"/>
                  </w:rPr>
                  <m:t>1</m:t>
                </m:r>
                <m:r>
                  <w:rPr>
                    <w:rFonts w:ascii="Cambria Math" w:hAnsi="Cambria Math"/>
                  </w:rPr>
                  <m:t>A,18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11,18</m:t>
                </m:r>
              </m:sub>
            </m:sSub>
          </m:e>
        </m:d>
        <m:r>
          <m:rPr>
            <m:sty m:val="p"/>
          </m:rPr>
          <w:rPr>
            <w:rFonts w:ascii="Cambria Math" w:hAnsi="Cambria Math"/>
          </w:rPr>
          <m:t>=0</m:t>
        </m:r>
      </m:oMath>
      <w:r w:rsidR="00E664E4" w:rsidRPr="00761631">
        <w:t xml:space="preserve">   </w:t>
      </w:r>
      <w:r w:rsidR="00E664E4" w:rsidRPr="00761631">
        <w:tab/>
      </w:r>
      <w:r w:rsidR="00E664E4">
        <w:tab/>
        <w:t>Eq. (3.2.1.9</w:t>
      </w:r>
      <w:r w:rsidR="00E664E4" w:rsidRPr="00761631">
        <w:t>)</w:t>
      </w:r>
    </w:p>
    <w:p w:rsidR="00E664E4" w:rsidRPr="00761631" w:rsidRDefault="00E664E4" w:rsidP="00E664E4">
      <w:r w:rsidRPr="00761631">
        <w:t xml:space="preserve">Equation </w:t>
      </w:r>
      <w:r>
        <w:t>3.2.1.10 and 3.2.1.11</w:t>
      </w:r>
      <w:r w:rsidRPr="00761631">
        <w:t xml:space="preserve"> are the mole balances for the insoluble and soluble impurities, respectively. Both impurities enter</w:t>
      </w:r>
      <w:r>
        <w:t>ed</w:t>
      </w:r>
      <w:r w:rsidRPr="00761631">
        <w:t xml:space="preserve"> the reactor from input stream 1A as well as the recycle stream, but d</w:t>
      </w:r>
      <w:r>
        <w:t>id</w:t>
      </w:r>
      <w:r w:rsidRPr="00761631">
        <w:t xml:space="preserve"> not participate in the reaction.</w:t>
      </w:r>
    </w:p>
    <w:p w:rsidR="00E664E4" w:rsidRPr="00761631"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m:t>
            </m:r>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m:rPr>
                <m:sty m:val="p"/>
              </m:rPr>
              <w:rPr>
                <w:rFonts w:ascii="Cambria Math" w:hAnsi="Cambria Math"/>
              </w:rPr>
              <m:t>1</m:t>
            </m:r>
            <m:r>
              <w:rPr>
                <w:rFonts w:ascii="Cambria Math" w:hAnsi="Cambria Math"/>
              </w:rPr>
              <m:t>A</m:t>
            </m:r>
            <m:r>
              <m:rPr>
                <m:sty m:val="p"/>
              </m:rPr>
              <w:rPr>
                <w:rFonts w:ascii="Cambria Math" w:hAnsi="Cambria Math"/>
              </w:rPr>
              <m:t>,20</m:t>
            </m:r>
          </m:sub>
        </m:sSub>
        <m:r>
          <m:rPr>
            <m:sty m:val="p"/>
          </m:rPr>
          <w:rPr>
            <w:rFonts w:ascii="Cambria Math" w:hAnsi="Cambria Math"/>
          </w:rPr>
          <m:t>*</m:t>
        </m:r>
        <m:f>
          <m:fPr>
            <m:ctrlPr>
              <w:rPr>
                <w:rFonts w:ascii="Cambria Math" w:hAnsi="Cambria Math"/>
              </w:rPr>
            </m:ctrlPr>
          </m:fPr>
          <m:num>
            <m:r>
              <m:rPr>
                <m:sty m:val="p"/>
              </m:rPr>
              <w:rPr>
                <w:rFonts w:ascii="Cambria Math" w:hAnsi="Cambria Math"/>
              </w:rPr>
              <m:t>1000</m:t>
            </m:r>
          </m:num>
          <m:den>
            <m:sSub>
              <m:sSubPr>
                <m:ctrlPr>
                  <w:rPr>
                    <w:rFonts w:ascii="Cambria Math" w:hAnsi="Cambria Math"/>
                  </w:rPr>
                </m:ctrlPr>
              </m:sSubPr>
              <m:e>
                <m:r>
                  <w:rPr>
                    <w:rFonts w:ascii="Cambria Math" w:hAnsi="Cambria Math"/>
                  </w:rPr>
                  <m:t>MW</m:t>
                </m:r>
              </m:e>
              <m:sub>
                <m:r>
                  <m:rPr>
                    <m:sty m:val="p"/>
                  </m:rPr>
                  <w:rPr>
                    <w:rFonts w:ascii="Cambria Math" w:hAnsi="Cambria Math"/>
                  </w:rPr>
                  <m:t>20</m:t>
                </m:r>
              </m:sub>
            </m:sSub>
          </m:den>
        </m:f>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11,20</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1,20</m:t>
            </m:r>
          </m:sub>
        </m:sSub>
        <m:r>
          <m:rPr>
            <m:sty m:val="p"/>
          </m:rPr>
          <w:rPr>
            <w:rFonts w:ascii="Cambria Math" w:hAnsi="Cambria Math"/>
          </w:rPr>
          <m:t>=0</m:t>
        </m:r>
      </m:oMath>
      <w:r w:rsidR="00E664E4">
        <w:t xml:space="preserve">   </w:t>
      </w:r>
      <w:r w:rsidR="00E664E4">
        <w:tab/>
      </w:r>
      <w:r w:rsidR="00E664E4">
        <w:tab/>
      </w:r>
      <w:r w:rsidR="00E664E4">
        <w:tab/>
        <w:t>Eq. (3.2.1.10</w:t>
      </w:r>
      <w:r w:rsidR="00E664E4" w:rsidRPr="00761631">
        <w:t>)</w:t>
      </w:r>
    </w:p>
    <w:p w:rsidR="00E664E4"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m:t>
            </m:r>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m:rPr>
                <m:sty m:val="p"/>
              </m:rPr>
              <w:rPr>
                <w:rFonts w:ascii="Cambria Math" w:hAnsi="Cambria Math"/>
              </w:rPr>
              <m:t>1</m:t>
            </m:r>
            <m:r>
              <w:rPr>
                <w:rFonts w:ascii="Cambria Math" w:hAnsi="Cambria Math"/>
              </w:rPr>
              <m:t>A</m:t>
            </m:r>
            <m:r>
              <m:rPr>
                <m:sty m:val="p"/>
              </m:rPr>
              <w:rPr>
                <w:rFonts w:ascii="Cambria Math" w:hAnsi="Cambria Math"/>
              </w:rPr>
              <m:t>,21</m:t>
            </m:r>
          </m:sub>
        </m:sSub>
        <m:r>
          <m:rPr>
            <m:sty m:val="p"/>
          </m:rPr>
          <w:rPr>
            <w:rFonts w:ascii="Cambria Math" w:hAnsi="Cambria Math"/>
          </w:rPr>
          <m:t>*</m:t>
        </m:r>
        <m:f>
          <m:fPr>
            <m:ctrlPr>
              <w:rPr>
                <w:rFonts w:ascii="Cambria Math" w:hAnsi="Cambria Math"/>
              </w:rPr>
            </m:ctrlPr>
          </m:fPr>
          <m:num>
            <m:r>
              <m:rPr>
                <m:sty m:val="p"/>
              </m:rPr>
              <w:rPr>
                <w:rFonts w:ascii="Cambria Math" w:hAnsi="Cambria Math"/>
              </w:rPr>
              <m:t>1000</m:t>
            </m:r>
          </m:num>
          <m:den>
            <m:sSub>
              <m:sSubPr>
                <m:ctrlPr>
                  <w:rPr>
                    <w:rFonts w:ascii="Cambria Math" w:hAnsi="Cambria Math"/>
                  </w:rPr>
                </m:ctrlPr>
              </m:sSubPr>
              <m:e>
                <m:r>
                  <w:rPr>
                    <w:rFonts w:ascii="Cambria Math" w:hAnsi="Cambria Math"/>
                  </w:rPr>
                  <m:t>MW</m:t>
                </m:r>
              </m:e>
              <m:sub>
                <m:r>
                  <m:rPr>
                    <m:sty m:val="p"/>
                  </m:rPr>
                  <w:rPr>
                    <w:rFonts w:ascii="Cambria Math" w:hAnsi="Cambria Math"/>
                  </w:rPr>
                  <m:t>21</m:t>
                </m:r>
              </m:sub>
            </m:sSub>
          </m:den>
        </m:f>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11,21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1,21</m:t>
            </m:r>
          </m:sub>
        </m:sSub>
        <m:r>
          <m:rPr>
            <m:sty m:val="p"/>
          </m:rPr>
          <w:rPr>
            <w:rFonts w:ascii="Cambria Math" w:hAnsi="Cambria Math"/>
          </w:rPr>
          <m:t>=0</m:t>
        </m:r>
      </m:oMath>
      <w:r w:rsidR="00E664E4">
        <w:t xml:space="preserve">   </w:t>
      </w:r>
      <w:r w:rsidR="00E664E4">
        <w:tab/>
      </w:r>
      <w:r w:rsidR="00E664E4">
        <w:tab/>
      </w:r>
      <w:r w:rsidR="00E664E4">
        <w:tab/>
        <w:t>Eq. (3.2.1.11</w:t>
      </w:r>
      <w:r w:rsidR="00E664E4" w:rsidRPr="00761631">
        <w:t>)</w:t>
      </w:r>
    </w:p>
    <w:p w:rsidR="00E664E4" w:rsidRPr="001F117C" w:rsidRDefault="00E664E4" w:rsidP="00E664E4">
      <w:r>
        <w:t>Equation 3.2.1.12</w:t>
      </w:r>
      <w:r w:rsidRPr="001F117C">
        <w:t xml:space="preserve"> is the mole balance for NO</w:t>
      </w:r>
      <w:r w:rsidRPr="001F117C">
        <w:rPr>
          <w:vertAlign w:val="subscript"/>
        </w:rPr>
        <w:t>2</w:t>
      </w:r>
      <w:r>
        <w:t xml:space="preserve"> which wa</w:t>
      </w:r>
      <w:r w:rsidRPr="001F117C">
        <w:t xml:space="preserve">s the waste stream, </w:t>
      </w:r>
      <w:r>
        <w:t>Stream 2. It wa</w:t>
      </w:r>
      <w:r w:rsidRPr="001F117C">
        <w:t>s produced during the reaction but d</w:t>
      </w:r>
      <w:r>
        <w:t>id</w:t>
      </w:r>
      <w:r w:rsidRPr="001F117C">
        <w:t xml:space="preserve"> not enter as an input or from the recycle stream. </w:t>
      </w:r>
      <w:r w:rsidR="0036759F">
        <w:t>For this ideal case, i</w:t>
      </w:r>
      <w:r w:rsidRPr="001F117C">
        <w:t xml:space="preserve">t </w:t>
      </w:r>
      <w:r>
        <w:t>wa</w:t>
      </w:r>
      <w:r w:rsidRPr="001F117C">
        <w:t xml:space="preserve">s assumed that no other </w:t>
      </w:r>
      <w:proofErr w:type="spellStart"/>
      <w:r w:rsidRPr="001F117C">
        <w:t>N</w:t>
      </w:r>
      <w:r>
        <w:t>O</w:t>
      </w:r>
      <w:r w:rsidRPr="00597442">
        <w:rPr>
          <w:i/>
          <w:vertAlign w:val="subscript"/>
        </w:rPr>
        <w:t>x</w:t>
      </w:r>
      <w:proofErr w:type="spellEnd"/>
      <w:r>
        <w:t xml:space="preserve"> compounds we</w:t>
      </w:r>
      <w:r w:rsidRPr="001F117C">
        <w:t>re produced and that all NO</w:t>
      </w:r>
      <w:r w:rsidRPr="00597442">
        <w:rPr>
          <w:vertAlign w:val="subscript"/>
        </w:rPr>
        <w:t>2</w:t>
      </w:r>
      <w:r>
        <w:t xml:space="preserve"> exited in S</w:t>
      </w:r>
      <w:r w:rsidRPr="001F117C">
        <w:t>tream 2 and that only NO</w:t>
      </w:r>
      <w:r w:rsidRPr="00597442">
        <w:rPr>
          <w:vertAlign w:val="subscript"/>
        </w:rPr>
        <w:t>2</w:t>
      </w:r>
      <w:r>
        <w:t xml:space="preserve"> was present in S</w:t>
      </w:r>
      <w:r w:rsidRPr="001F117C">
        <w:t xml:space="preserve">tream 2. </w:t>
      </w:r>
    </w:p>
    <w:p w:rsidR="00E664E4" w:rsidRPr="001F117C" w:rsidRDefault="00E664E4" w:rsidP="00E664E4">
      <w:pPr>
        <w:jc w:val="right"/>
      </w:pPr>
      <m:oMath>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2,4</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1,4</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1</m:t>
            </m:r>
          </m:sub>
        </m:sSub>
        <m:r>
          <m:rPr>
            <m:sty m:val="p"/>
          </m:rPr>
          <w:rPr>
            <w:rFonts w:ascii="Cambria Math" w:hAnsi="Cambria Math"/>
          </w:rPr>
          <m:t>*</m:t>
        </m:r>
        <m:d>
          <m:dPr>
            <m:ctrlPr>
              <w:rPr>
                <w:rFonts w:ascii="Cambria Math" w:hAnsi="Cambria Math"/>
              </w:rPr>
            </m:ctrlPr>
          </m:dPr>
          <m:e>
            <m:sSub>
              <m:sSubPr>
                <m:ctrlPr>
                  <w:rPr>
                    <w:rFonts w:ascii="Cambria Math" w:hAnsi="Cambria Math"/>
                    <w:i/>
                  </w:rPr>
                </m:ctrlPr>
              </m:sSubPr>
              <m:e>
                <m:r>
                  <w:rPr>
                    <w:rFonts w:ascii="Cambria Math" w:hAnsi="Cambria Math"/>
                  </w:rPr>
                  <m:t>F</m:t>
                </m:r>
              </m:e>
              <m:sub>
                <m:r>
                  <w:rPr>
                    <w:rFonts w:ascii="Cambria Math" w:hAnsi="Cambria Math"/>
                  </w:rPr>
                  <m:t>1A,18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11,18</m:t>
                </m:r>
              </m:sub>
            </m:sSub>
          </m:e>
        </m:d>
        <m:r>
          <m:rPr>
            <m:sty m:val="p"/>
          </m:rPr>
          <w:rPr>
            <w:rFonts w:ascii="Cambria Math" w:hAnsi="Cambria Math"/>
          </w:rPr>
          <m:t>=0</m:t>
        </m:r>
      </m:oMath>
      <w:r w:rsidRPr="001F117C">
        <w:t xml:space="preserve">   </w:t>
      </w:r>
      <w:r w:rsidRPr="001F117C">
        <w:tab/>
      </w:r>
      <w:r>
        <w:tab/>
        <w:t>Eq. (3.2.1.12</w:t>
      </w:r>
      <w:r w:rsidRPr="001F117C">
        <w:t>)</w:t>
      </w:r>
    </w:p>
    <w:p w:rsidR="00E664E4" w:rsidRDefault="00E664E4" w:rsidP="00E664E4">
      <w:r w:rsidRPr="001F117C">
        <w:t>The</w:t>
      </w:r>
      <w:r>
        <w:t xml:space="preserve"> remainder of Module 1A included</w:t>
      </w:r>
      <w:r w:rsidRPr="001F117C">
        <w:t xml:space="preserve"> the heat exchangers and a slurry-aging vessel. The heat exchangers and vessel do </w:t>
      </w:r>
      <w:r>
        <w:t>not change the composition and wer</w:t>
      </w:r>
      <w:r w:rsidRPr="001F117C">
        <w:t>e not included in the model.</w:t>
      </w:r>
    </w:p>
    <w:p w:rsidR="00E664E4" w:rsidRDefault="00E664E4" w:rsidP="00E664E4"/>
    <w:p w:rsidR="00E664E4" w:rsidRDefault="00E664E4" w:rsidP="00E664E4">
      <w:pPr>
        <w:rPr>
          <w:rFonts w:asciiTheme="majorHAnsi" w:hAnsiTheme="majorHAnsi"/>
          <w:b/>
          <w:i/>
        </w:rPr>
      </w:pPr>
      <w:r w:rsidRPr="00C26992">
        <w:rPr>
          <w:rFonts w:asciiTheme="majorHAnsi" w:hAnsiTheme="majorHAnsi"/>
          <w:b/>
          <w:i/>
        </w:rPr>
        <w:t>3.2.1.</w:t>
      </w:r>
      <w:r>
        <w:rPr>
          <w:rFonts w:asciiTheme="majorHAnsi" w:hAnsiTheme="majorHAnsi"/>
          <w:b/>
          <w:i/>
        </w:rPr>
        <w:t>2 Module 1B</w:t>
      </w:r>
    </w:p>
    <w:p w:rsidR="00E664E4" w:rsidRDefault="00E664E4" w:rsidP="00E664E4">
      <w:r>
        <w:t>Module 1B included</w:t>
      </w:r>
      <w:r w:rsidRPr="00BD1321">
        <w:t xml:space="preserve"> a stream mixer and the primary vacuum filter. The stream mixer </w:t>
      </w:r>
      <w:r>
        <w:t xml:space="preserve">was used to </w:t>
      </w:r>
      <w:r w:rsidRPr="00BD1321">
        <w:t>mix</w:t>
      </w:r>
      <w:r>
        <w:t xml:space="preserve"> </w:t>
      </w:r>
      <w:r w:rsidRPr="00BD1321">
        <w:t>the output of the dissolver with a recycle stream from Module 1D. The vacuum filter separate</w:t>
      </w:r>
      <w:r>
        <w:t>d</w:t>
      </w:r>
      <w:r w:rsidRPr="00BD1321">
        <w:t xml:space="preserve"> the liquid product from </w:t>
      </w:r>
      <w:r>
        <w:t xml:space="preserve">any </w:t>
      </w:r>
      <w:proofErr w:type="spellStart"/>
      <w:r>
        <w:t>undissolved</w:t>
      </w:r>
      <w:proofErr w:type="spellEnd"/>
      <w:r>
        <w:t xml:space="preserve"> solids. The liquid wa</w:t>
      </w:r>
      <w:r w:rsidRPr="00BD1321">
        <w:t>s se</w:t>
      </w:r>
      <w:r>
        <w:t>nt to Module 1E, and the solids we</w:t>
      </w:r>
      <w:r w:rsidRPr="00BD1321">
        <w:t xml:space="preserve">re sent to Module 1C to be </w:t>
      </w:r>
      <w:r w:rsidRPr="009D034F">
        <w:t>recycled through the process. Figure 3.5 shows a block diagram of Module 1B with the input and output</w:t>
      </w:r>
      <w:r w:rsidRPr="00BD1321">
        <w:t xml:space="preserve"> streams labeled. </w:t>
      </w:r>
    </w:p>
    <w:p w:rsidR="00E664E4" w:rsidRPr="00BD1321" w:rsidRDefault="00E664E4" w:rsidP="00E664E4">
      <w:pPr>
        <w:jc w:val="center"/>
      </w:pPr>
      <w:r w:rsidRPr="00BD1321">
        <w:object w:dxaOrig="5224" w:dyaOrig="2834">
          <v:shape id="_x0000_i1027" type="#_x0000_t75" style="width:260.9pt;height:142.7pt" o:ole="">
            <v:imagedata r:id="rId31" o:title=""/>
          </v:shape>
          <o:OLEObject Type="Embed" ProgID="Visio.Drawing.11" ShapeID="_x0000_i1027" DrawAspect="Content" ObjectID="_1445525552" r:id="rId32"/>
        </w:object>
      </w:r>
    </w:p>
    <w:p w:rsidR="00E664E4" w:rsidRDefault="00E664E4" w:rsidP="00E664E4">
      <w:pPr>
        <w:jc w:val="center"/>
        <w:rPr>
          <w:b/>
          <w:sz w:val="20"/>
          <w:szCs w:val="20"/>
        </w:rPr>
      </w:pPr>
      <w:r w:rsidRPr="009D034F">
        <w:rPr>
          <w:b/>
          <w:sz w:val="20"/>
          <w:szCs w:val="20"/>
        </w:rPr>
        <w:t xml:space="preserve">Figure 3.5. Block Diagram of the Module 1B </w:t>
      </w:r>
      <w:r w:rsidR="004045DF">
        <w:rPr>
          <w:b/>
          <w:sz w:val="20"/>
          <w:szCs w:val="20"/>
        </w:rPr>
        <w:t>Showing Input and Output Streams</w:t>
      </w:r>
      <w:r w:rsidRPr="009D034F">
        <w:rPr>
          <w:b/>
          <w:sz w:val="20"/>
          <w:szCs w:val="20"/>
        </w:rPr>
        <w:t>.</w:t>
      </w:r>
    </w:p>
    <w:p w:rsidR="00BD31C2" w:rsidRPr="00BD31C2" w:rsidRDefault="00BD31C2" w:rsidP="00BD31C2"/>
    <w:p w:rsidR="00002CAE" w:rsidRDefault="00002CAE" w:rsidP="00002CAE">
      <w:r>
        <w:t>The component mole balances for the stream mixer are shown below in equations 3.2.1.13–3.2.1.18.</w:t>
      </w:r>
    </w:p>
    <w:p w:rsidR="00002CAE" w:rsidRDefault="00002CAE" w:rsidP="00002CAE">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10,1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3,1</m:t>
            </m:r>
          </m:sub>
        </m:sSub>
        <m:r>
          <w:rPr>
            <w:rFonts w:ascii="Cambria Math" w:hAnsi="Cambria Math" w:cstheme="minorHAnsi"/>
          </w:rPr>
          <m:t>=0</m:t>
        </m:r>
      </m:oMath>
      <w:r>
        <w:rPr>
          <w:rFonts w:eastAsiaTheme="minorEastAsia" w:cstheme="minorHAnsi"/>
        </w:rPr>
        <w:t xml:space="preserve">   </w:t>
      </w:r>
      <w:r>
        <w:rPr>
          <w:rFonts w:eastAsiaTheme="minorEastAsia" w:cstheme="minorHAnsi"/>
        </w:rPr>
        <w:tab/>
      </w:r>
      <w:r>
        <w:rPr>
          <w:rFonts w:eastAsiaTheme="minorEastAsia" w:cstheme="minorHAnsi"/>
        </w:rPr>
        <w:tab/>
      </w:r>
      <w:r>
        <w:rPr>
          <w:rFonts w:eastAsiaTheme="minorEastAsia" w:cstheme="minorHAnsi"/>
        </w:rPr>
        <w:tab/>
      </w:r>
      <w:r>
        <w:rPr>
          <w:rFonts w:eastAsiaTheme="minorEastAsia" w:cstheme="minorHAnsi"/>
        </w:rPr>
        <w:tab/>
        <w:t>Eq. (3.2.1.13)</w:t>
      </w:r>
    </w:p>
    <w:p w:rsidR="00002CAE" w:rsidRDefault="00002CAE" w:rsidP="00002CAE">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1,9</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10,9</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3,9</m:t>
            </m:r>
          </m:sub>
        </m:sSub>
        <m:r>
          <w:rPr>
            <w:rFonts w:ascii="Cambria Math" w:hAnsi="Cambria Math" w:cstheme="minorHAnsi"/>
          </w:rPr>
          <m:t>=0</m:t>
        </m:r>
      </m:oMath>
      <w:r>
        <w:rPr>
          <w:rFonts w:eastAsiaTheme="minorEastAsia" w:cstheme="minorHAnsi"/>
        </w:rPr>
        <w:t xml:space="preserve">   </w:t>
      </w:r>
      <w:r>
        <w:rPr>
          <w:rFonts w:eastAsiaTheme="minorEastAsia" w:cstheme="minorHAnsi"/>
        </w:rPr>
        <w:tab/>
      </w:r>
      <w:r>
        <w:rPr>
          <w:rFonts w:eastAsiaTheme="minorEastAsia" w:cstheme="minorHAnsi"/>
        </w:rPr>
        <w:tab/>
      </w:r>
      <w:r>
        <w:rPr>
          <w:rFonts w:eastAsiaTheme="minorEastAsia" w:cstheme="minorHAnsi"/>
        </w:rPr>
        <w:tab/>
      </w:r>
      <w:r>
        <w:rPr>
          <w:rFonts w:eastAsiaTheme="minorEastAsia" w:cstheme="minorHAnsi"/>
        </w:rPr>
        <w:tab/>
        <w:t>Eq. (3.2.1.14)</w:t>
      </w:r>
    </w:p>
    <w:p w:rsidR="001D0EF6" w:rsidRDefault="00C851DF" w:rsidP="001D0EF6">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1,14</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10,14</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3,14</m:t>
            </m:r>
          </m:sub>
        </m:sSub>
        <m:r>
          <w:rPr>
            <w:rFonts w:ascii="Cambria Math" w:hAnsi="Cambria Math" w:cstheme="minorHAnsi"/>
          </w:rPr>
          <m:t>=0</m:t>
        </m:r>
      </m:oMath>
      <w:r w:rsidR="001D0EF6">
        <w:rPr>
          <w:rFonts w:eastAsiaTheme="minorEastAsia" w:cstheme="minorHAnsi"/>
        </w:rPr>
        <w:t xml:space="preserve">   </w:t>
      </w:r>
      <w:r w:rsidR="001D0EF6">
        <w:rPr>
          <w:rFonts w:eastAsiaTheme="minorEastAsia" w:cstheme="minorHAnsi"/>
        </w:rPr>
        <w:tab/>
      </w:r>
      <w:r w:rsidR="001D0EF6">
        <w:rPr>
          <w:rFonts w:eastAsiaTheme="minorEastAsia" w:cstheme="minorHAnsi"/>
        </w:rPr>
        <w:tab/>
      </w:r>
      <w:r w:rsidR="001D0EF6">
        <w:rPr>
          <w:rFonts w:eastAsiaTheme="minorEastAsia" w:cstheme="minorHAnsi"/>
        </w:rPr>
        <w:tab/>
      </w:r>
      <w:r w:rsidR="001D0EF6">
        <w:rPr>
          <w:rFonts w:eastAsiaTheme="minorEastAsia" w:cstheme="minorHAnsi"/>
        </w:rPr>
        <w:tab/>
        <w:t>Eq. (3.2.1.15)</w:t>
      </w:r>
    </w:p>
    <w:p w:rsidR="001D0EF6" w:rsidRDefault="00C851DF" w:rsidP="001D0EF6">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1,18</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10,18</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3,18</m:t>
            </m:r>
          </m:sub>
        </m:sSub>
        <m:r>
          <w:rPr>
            <w:rFonts w:ascii="Cambria Math" w:hAnsi="Cambria Math" w:cstheme="minorHAnsi"/>
          </w:rPr>
          <m:t>=0</m:t>
        </m:r>
      </m:oMath>
      <w:r w:rsidR="001D0EF6">
        <w:rPr>
          <w:rFonts w:eastAsiaTheme="minorEastAsia" w:cstheme="minorHAnsi"/>
        </w:rPr>
        <w:t xml:space="preserve">   </w:t>
      </w:r>
      <w:r w:rsidR="001D0EF6">
        <w:rPr>
          <w:rFonts w:eastAsiaTheme="minorEastAsia" w:cstheme="minorHAnsi"/>
        </w:rPr>
        <w:tab/>
      </w:r>
      <w:r w:rsidR="001D0EF6">
        <w:rPr>
          <w:rFonts w:eastAsiaTheme="minorEastAsia" w:cstheme="minorHAnsi"/>
        </w:rPr>
        <w:tab/>
      </w:r>
      <w:r w:rsidR="001D0EF6">
        <w:rPr>
          <w:rFonts w:eastAsiaTheme="minorEastAsia" w:cstheme="minorHAnsi"/>
        </w:rPr>
        <w:tab/>
      </w:r>
      <w:r w:rsidR="001D0EF6">
        <w:rPr>
          <w:rFonts w:eastAsiaTheme="minorEastAsia" w:cstheme="minorHAnsi"/>
        </w:rPr>
        <w:tab/>
        <w:t>Eq. (3.2.1.16)</w:t>
      </w:r>
    </w:p>
    <w:p w:rsidR="00BD31C2" w:rsidRDefault="00C851DF" w:rsidP="00BD31C2">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1,20</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10,20</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3,20</m:t>
            </m:r>
          </m:sub>
        </m:sSub>
        <m:r>
          <w:rPr>
            <w:rFonts w:ascii="Cambria Math" w:hAnsi="Cambria Math" w:cstheme="minorHAnsi"/>
          </w:rPr>
          <m:t>=0</m:t>
        </m:r>
      </m:oMath>
      <w:r w:rsidR="00BD31C2">
        <w:rPr>
          <w:rFonts w:eastAsiaTheme="minorEastAsia" w:cstheme="minorHAnsi"/>
        </w:rPr>
        <w:t xml:space="preserve">   </w:t>
      </w:r>
      <w:r w:rsidR="00BD31C2">
        <w:rPr>
          <w:rFonts w:eastAsiaTheme="minorEastAsia" w:cstheme="minorHAnsi"/>
        </w:rPr>
        <w:tab/>
      </w:r>
      <w:r w:rsidR="00BD31C2">
        <w:rPr>
          <w:rFonts w:eastAsiaTheme="minorEastAsia" w:cstheme="minorHAnsi"/>
        </w:rPr>
        <w:tab/>
      </w:r>
      <w:r w:rsidR="00BD31C2">
        <w:rPr>
          <w:rFonts w:eastAsiaTheme="minorEastAsia" w:cstheme="minorHAnsi"/>
        </w:rPr>
        <w:tab/>
      </w:r>
      <w:r w:rsidR="00BD31C2">
        <w:rPr>
          <w:rFonts w:eastAsiaTheme="minorEastAsia" w:cstheme="minorHAnsi"/>
        </w:rPr>
        <w:tab/>
        <w:t>Eq. (3.2.1.17)</w:t>
      </w:r>
    </w:p>
    <w:p w:rsidR="00BD31C2" w:rsidRDefault="00C851DF" w:rsidP="00BD31C2">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1,21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10,21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3,21</m:t>
            </m:r>
          </m:sub>
        </m:sSub>
        <m:r>
          <w:rPr>
            <w:rFonts w:ascii="Cambria Math" w:hAnsi="Cambria Math" w:cstheme="minorHAnsi"/>
          </w:rPr>
          <m:t>=0</m:t>
        </m:r>
      </m:oMath>
      <w:r w:rsidR="00BD31C2">
        <w:rPr>
          <w:rFonts w:eastAsiaTheme="minorEastAsia" w:cstheme="minorHAnsi"/>
        </w:rPr>
        <w:t xml:space="preserve">   </w:t>
      </w:r>
      <w:r w:rsidR="00BD31C2">
        <w:rPr>
          <w:rFonts w:eastAsiaTheme="minorEastAsia" w:cstheme="minorHAnsi"/>
        </w:rPr>
        <w:tab/>
      </w:r>
      <w:r w:rsidR="00BD31C2">
        <w:rPr>
          <w:rFonts w:eastAsiaTheme="minorEastAsia" w:cstheme="minorHAnsi"/>
        </w:rPr>
        <w:tab/>
      </w:r>
      <w:r w:rsidR="00BD31C2">
        <w:rPr>
          <w:rFonts w:eastAsiaTheme="minorEastAsia" w:cstheme="minorHAnsi"/>
        </w:rPr>
        <w:tab/>
      </w:r>
      <w:r w:rsidR="00BD31C2">
        <w:rPr>
          <w:rFonts w:eastAsiaTheme="minorEastAsia" w:cstheme="minorHAnsi"/>
        </w:rPr>
        <w:tab/>
        <w:t>Eq. (3.2.1.18)</w:t>
      </w:r>
    </w:p>
    <w:p w:rsidR="00E664E4" w:rsidRDefault="00E664E4" w:rsidP="00E664E4">
      <w:pPr>
        <w:rPr>
          <w:rFonts w:eastAsiaTheme="minorEastAsia" w:cstheme="minorHAnsi"/>
        </w:rPr>
      </w:pPr>
      <w:r>
        <w:rPr>
          <w:rFonts w:eastAsiaTheme="minorEastAsia" w:cstheme="minorHAnsi"/>
        </w:rPr>
        <w:t xml:space="preserve">The vacuum filter separated Stream 3 into </w:t>
      </w:r>
      <w:r w:rsidR="00584E13">
        <w:rPr>
          <w:rFonts w:eastAsiaTheme="minorEastAsia" w:cstheme="minorHAnsi"/>
        </w:rPr>
        <w:t>two</w:t>
      </w:r>
      <w:r>
        <w:rPr>
          <w:rFonts w:eastAsiaTheme="minorEastAsia" w:cstheme="minorHAnsi"/>
        </w:rPr>
        <w:t xml:space="preserve"> streams. The separation was defined as the fraction that went to the liquid stream from the input stream by parameter, </w:t>
      </w:r>
      <m:oMath>
        <m:sSub>
          <m:sSubPr>
            <m:ctrlPr>
              <w:rPr>
                <w:rFonts w:ascii="Cambria Math" w:eastAsiaTheme="minorEastAsia" w:hAnsi="Cambria Math" w:cstheme="minorHAnsi"/>
                <w:i/>
              </w:rPr>
            </m:ctrlPr>
          </m:sSubPr>
          <m:e>
            <m:r>
              <w:rPr>
                <w:rFonts w:ascii="Cambria Math" w:eastAsiaTheme="minorEastAsia" w:hAnsi="Cambria Math" w:cstheme="minorHAnsi"/>
              </w:rPr>
              <m:t>K</m:t>
            </m:r>
          </m:e>
          <m:sub>
            <m:r>
              <w:rPr>
                <w:rFonts w:ascii="Cambria Math" w:eastAsiaTheme="minorEastAsia" w:hAnsi="Cambria Math" w:cstheme="minorHAnsi"/>
              </w:rPr>
              <m:t>Mod1B,i</m:t>
            </m:r>
          </m:sub>
        </m:sSub>
      </m:oMath>
      <w:r>
        <w:rPr>
          <w:rFonts w:eastAsiaTheme="minorEastAsia" w:cstheme="minorHAnsi"/>
        </w:rPr>
        <w:t xml:space="preserve">, where each component, </w:t>
      </w:r>
      <m:oMath>
        <m:r>
          <w:rPr>
            <w:rFonts w:ascii="Cambria Math" w:eastAsiaTheme="minorEastAsia" w:hAnsi="Cambria Math" w:cstheme="minorHAnsi"/>
          </w:rPr>
          <m:t>i</m:t>
        </m:r>
      </m:oMath>
      <w:r>
        <w:rPr>
          <w:rFonts w:eastAsiaTheme="minorEastAsia" w:cstheme="minorHAnsi"/>
        </w:rPr>
        <w:t>, had a different fractionation. Equations 3.2.1.19–3.2.1.24 define the separation of Stream 3 into Stream 4.</w:t>
      </w:r>
    </w:p>
    <w:p w:rsidR="00E664E4" w:rsidRDefault="00C851DF" w:rsidP="00E664E4">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Mod1B,1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3,1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4,1</m:t>
            </m:r>
          </m:sub>
        </m:sSub>
        <m:r>
          <w:rPr>
            <w:rFonts w:ascii="Cambria Math" w:hAnsi="Cambria Math" w:cstheme="minorHAnsi"/>
          </w:rPr>
          <m:t>=0</m:t>
        </m:r>
      </m:oMath>
      <w:r w:rsidR="00E664E4">
        <w:rPr>
          <w:rFonts w:eastAsiaTheme="minorEastAsia" w:cstheme="minorHAnsi"/>
        </w:rPr>
        <w:t xml:space="preserve">   </w:t>
      </w:r>
      <w:r w:rsidR="00E664E4">
        <w:rPr>
          <w:rFonts w:eastAsiaTheme="minorEastAsia" w:cstheme="minorHAnsi"/>
        </w:rPr>
        <w:tab/>
      </w:r>
      <w:r w:rsidR="00E664E4">
        <w:rPr>
          <w:rFonts w:eastAsiaTheme="minorEastAsia" w:cstheme="minorHAnsi"/>
        </w:rPr>
        <w:tab/>
      </w:r>
      <w:r w:rsidR="00E664E4">
        <w:rPr>
          <w:rFonts w:eastAsiaTheme="minorEastAsia" w:cstheme="minorHAnsi"/>
        </w:rPr>
        <w:tab/>
      </w:r>
      <w:r w:rsidR="00E664E4">
        <w:rPr>
          <w:rFonts w:eastAsiaTheme="minorEastAsia" w:cstheme="minorHAnsi"/>
        </w:rPr>
        <w:tab/>
        <w:t>Eq. (3.2.1.19)</w:t>
      </w:r>
    </w:p>
    <w:p w:rsidR="00E664E4" w:rsidRDefault="00C851DF" w:rsidP="00E664E4">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Mod1B,9</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3,9</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4,9</m:t>
            </m:r>
          </m:sub>
        </m:sSub>
        <m:r>
          <w:rPr>
            <w:rFonts w:ascii="Cambria Math" w:hAnsi="Cambria Math" w:cstheme="minorHAnsi"/>
          </w:rPr>
          <m:t>=0</m:t>
        </m:r>
      </m:oMath>
      <w:r w:rsidR="00E664E4">
        <w:rPr>
          <w:rFonts w:eastAsiaTheme="minorEastAsia" w:cstheme="minorHAnsi"/>
        </w:rPr>
        <w:t xml:space="preserve">   </w:t>
      </w:r>
      <w:r w:rsidR="00E664E4">
        <w:rPr>
          <w:rFonts w:eastAsiaTheme="minorEastAsia" w:cstheme="minorHAnsi"/>
        </w:rPr>
        <w:tab/>
      </w:r>
      <w:r w:rsidR="00E664E4">
        <w:rPr>
          <w:rFonts w:eastAsiaTheme="minorEastAsia" w:cstheme="minorHAnsi"/>
        </w:rPr>
        <w:tab/>
      </w:r>
      <w:r w:rsidR="00E664E4">
        <w:rPr>
          <w:rFonts w:eastAsiaTheme="minorEastAsia" w:cstheme="minorHAnsi"/>
        </w:rPr>
        <w:tab/>
      </w:r>
      <w:r w:rsidR="00E664E4">
        <w:rPr>
          <w:rFonts w:eastAsiaTheme="minorEastAsia" w:cstheme="minorHAnsi"/>
        </w:rPr>
        <w:tab/>
        <w:t>Eq. (3.2.1.20)</w:t>
      </w:r>
    </w:p>
    <w:p w:rsidR="00E664E4" w:rsidRDefault="00C851DF" w:rsidP="00E664E4">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Mod1B,14</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3,14</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4,14</m:t>
            </m:r>
          </m:sub>
        </m:sSub>
        <m:r>
          <w:rPr>
            <w:rFonts w:ascii="Cambria Math" w:hAnsi="Cambria Math" w:cstheme="minorHAnsi"/>
          </w:rPr>
          <m:t>=0</m:t>
        </m:r>
      </m:oMath>
      <w:r w:rsidR="00E664E4">
        <w:rPr>
          <w:rFonts w:eastAsiaTheme="minorEastAsia" w:cstheme="minorHAnsi"/>
        </w:rPr>
        <w:t xml:space="preserve">   </w:t>
      </w:r>
      <w:r w:rsidR="00E664E4">
        <w:rPr>
          <w:rFonts w:eastAsiaTheme="minorEastAsia" w:cstheme="minorHAnsi"/>
        </w:rPr>
        <w:tab/>
      </w:r>
      <w:r w:rsidR="00E664E4">
        <w:rPr>
          <w:rFonts w:eastAsiaTheme="minorEastAsia" w:cstheme="minorHAnsi"/>
        </w:rPr>
        <w:tab/>
      </w:r>
      <w:r w:rsidR="00E664E4">
        <w:rPr>
          <w:rFonts w:eastAsiaTheme="minorEastAsia" w:cstheme="minorHAnsi"/>
        </w:rPr>
        <w:tab/>
      </w:r>
      <w:r w:rsidR="00E664E4">
        <w:rPr>
          <w:rFonts w:eastAsiaTheme="minorEastAsia" w:cstheme="minorHAnsi"/>
        </w:rPr>
        <w:tab/>
        <w:t>Eq. (3.2.1.21)</w:t>
      </w:r>
    </w:p>
    <w:p w:rsidR="00E664E4" w:rsidRDefault="00C851DF" w:rsidP="00E664E4">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Mod1B,18</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3,18</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4,18</m:t>
            </m:r>
          </m:sub>
        </m:sSub>
        <m:r>
          <w:rPr>
            <w:rFonts w:ascii="Cambria Math" w:hAnsi="Cambria Math" w:cstheme="minorHAnsi"/>
          </w:rPr>
          <m:t>=0</m:t>
        </m:r>
      </m:oMath>
      <w:r w:rsidR="00E664E4">
        <w:rPr>
          <w:rFonts w:eastAsiaTheme="minorEastAsia" w:cstheme="minorHAnsi"/>
        </w:rPr>
        <w:t xml:space="preserve">   </w:t>
      </w:r>
      <w:r w:rsidR="00E664E4">
        <w:rPr>
          <w:rFonts w:eastAsiaTheme="minorEastAsia" w:cstheme="minorHAnsi"/>
        </w:rPr>
        <w:tab/>
      </w:r>
      <w:r w:rsidR="00E664E4">
        <w:rPr>
          <w:rFonts w:eastAsiaTheme="minorEastAsia" w:cstheme="minorHAnsi"/>
        </w:rPr>
        <w:tab/>
      </w:r>
      <w:r w:rsidR="00E664E4">
        <w:rPr>
          <w:rFonts w:eastAsiaTheme="minorEastAsia" w:cstheme="minorHAnsi"/>
        </w:rPr>
        <w:tab/>
      </w:r>
      <w:r w:rsidR="00E664E4">
        <w:rPr>
          <w:rFonts w:eastAsiaTheme="minorEastAsia" w:cstheme="minorHAnsi"/>
        </w:rPr>
        <w:tab/>
        <w:t>Eq. (3.2.1.22)</w:t>
      </w:r>
    </w:p>
    <w:p w:rsidR="00E664E4" w:rsidRDefault="00C851DF" w:rsidP="00E664E4">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Mod1B,20</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3,20</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4,20</m:t>
            </m:r>
          </m:sub>
        </m:sSub>
        <m:r>
          <w:rPr>
            <w:rFonts w:ascii="Cambria Math" w:hAnsi="Cambria Math" w:cstheme="minorHAnsi"/>
          </w:rPr>
          <m:t>=0</m:t>
        </m:r>
      </m:oMath>
      <w:r w:rsidR="00E664E4">
        <w:rPr>
          <w:rFonts w:eastAsiaTheme="minorEastAsia" w:cstheme="minorHAnsi"/>
        </w:rPr>
        <w:t xml:space="preserve">   </w:t>
      </w:r>
      <w:r w:rsidR="00E664E4">
        <w:rPr>
          <w:rFonts w:eastAsiaTheme="minorEastAsia" w:cstheme="minorHAnsi"/>
        </w:rPr>
        <w:tab/>
      </w:r>
      <w:r w:rsidR="00E664E4">
        <w:rPr>
          <w:rFonts w:eastAsiaTheme="minorEastAsia" w:cstheme="minorHAnsi"/>
        </w:rPr>
        <w:tab/>
      </w:r>
      <w:r w:rsidR="00E664E4">
        <w:rPr>
          <w:rFonts w:eastAsiaTheme="minorEastAsia" w:cstheme="minorHAnsi"/>
        </w:rPr>
        <w:tab/>
      </w:r>
      <w:r w:rsidR="00E664E4">
        <w:rPr>
          <w:rFonts w:eastAsiaTheme="minorEastAsia" w:cstheme="minorHAnsi"/>
        </w:rPr>
        <w:tab/>
        <w:t>Eq. (3.2.1.23)</w:t>
      </w:r>
    </w:p>
    <w:p w:rsidR="00E664E4" w:rsidRDefault="00C851DF" w:rsidP="00E664E4">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Mod1B,21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3,21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4,21</m:t>
            </m:r>
          </m:sub>
        </m:sSub>
        <m:r>
          <w:rPr>
            <w:rFonts w:ascii="Cambria Math" w:hAnsi="Cambria Math" w:cstheme="minorHAnsi"/>
          </w:rPr>
          <m:t>=0</m:t>
        </m:r>
      </m:oMath>
      <w:r w:rsidR="00E664E4">
        <w:rPr>
          <w:rFonts w:eastAsiaTheme="minorEastAsia" w:cstheme="minorHAnsi"/>
        </w:rPr>
        <w:t xml:space="preserve">   </w:t>
      </w:r>
      <w:r w:rsidR="00E664E4">
        <w:rPr>
          <w:rFonts w:eastAsiaTheme="minorEastAsia" w:cstheme="minorHAnsi"/>
        </w:rPr>
        <w:tab/>
      </w:r>
      <w:r w:rsidR="00E664E4">
        <w:rPr>
          <w:rFonts w:eastAsiaTheme="minorEastAsia" w:cstheme="minorHAnsi"/>
        </w:rPr>
        <w:tab/>
      </w:r>
      <w:r w:rsidR="00E664E4">
        <w:rPr>
          <w:rFonts w:eastAsiaTheme="minorEastAsia" w:cstheme="minorHAnsi"/>
        </w:rPr>
        <w:tab/>
      </w:r>
      <w:r w:rsidR="00E664E4">
        <w:rPr>
          <w:rFonts w:eastAsiaTheme="minorEastAsia" w:cstheme="minorHAnsi"/>
        </w:rPr>
        <w:tab/>
        <w:t>Eq. (3.2.1.24)</w:t>
      </w:r>
    </w:p>
    <w:p w:rsidR="00E664E4" w:rsidRDefault="00E664E4" w:rsidP="00E664E4">
      <w:pPr>
        <w:rPr>
          <w:rFonts w:eastAsiaTheme="minorEastAsia" w:cstheme="minorHAnsi"/>
        </w:rPr>
      </w:pPr>
      <w:r>
        <w:rPr>
          <w:rFonts w:eastAsiaTheme="minorEastAsia" w:cstheme="minorHAnsi"/>
        </w:rPr>
        <w:lastRenderedPageBreak/>
        <w:t>Equations 3.2.1.25–3.2.1.30 calculate the mole balances for Stream 5.</w:t>
      </w:r>
    </w:p>
    <w:p w:rsidR="00E664E4" w:rsidRDefault="00C851DF" w:rsidP="00E664E4">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3,1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4,1</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5,1</m:t>
            </m:r>
          </m:sub>
        </m:sSub>
        <m:r>
          <w:rPr>
            <w:rFonts w:ascii="Cambria Math" w:hAnsi="Cambria Math" w:cstheme="minorHAnsi"/>
          </w:rPr>
          <m:t>=0</m:t>
        </m:r>
      </m:oMath>
      <w:r w:rsidR="00E664E4">
        <w:rPr>
          <w:rFonts w:eastAsiaTheme="minorEastAsia" w:cstheme="minorHAnsi"/>
        </w:rPr>
        <w:t xml:space="preserve">   </w:t>
      </w:r>
      <w:r w:rsidR="00E664E4">
        <w:rPr>
          <w:rFonts w:eastAsiaTheme="minorEastAsia" w:cstheme="minorHAnsi"/>
        </w:rPr>
        <w:tab/>
      </w:r>
      <w:r w:rsidR="00E664E4">
        <w:rPr>
          <w:rFonts w:eastAsiaTheme="minorEastAsia" w:cstheme="minorHAnsi"/>
        </w:rPr>
        <w:tab/>
      </w:r>
      <w:r w:rsidR="005914FF">
        <w:rPr>
          <w:rFonts w:eastAsiaTheme="minorEastAsia" w:cstheme="minorHAnsi"/>
        </w:rPr>
        <w:tab/>
      </w:r>
      <w:r w:rsidR="00E664E4">
        <w:rPr>
          <w:rFonts w:eastAsiaTheme="minorEastAsia" w:cstheme="minorHAnsi"/>
        </w:rPr>
        <w:tab/>
      </w:r>
      <w:r w:rsidR="00E664E4">
        <w:rPr>
          <w:rFonts w:eastAsiaTheme="minorEastAsia" w:cstheme="minorHAnsi"/>
        </w:rPr>
        <w:tab/>
        <w:t>Eq. (3.2.1.25)</w:t>
      </w:r>
    </w:p>
    <w:p w:rsidR="00E664E4" w:rsidRDefault="00C851DF" w:rsidP="00E664E4">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3,9</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4,9</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5,9</m:t>
            </m:r>
          </m:sub>
        </m:sSub>
        <m:r>
          <w:rPr>
            <w:rFonts w:ascii="Cambria Math" w:hAnsi="Cambria Math" w:cstheme="minorHAnsi"/>
          </w:rPr>
          <m:t>=0</m:t>
        </m:r>
      </m:oMath>
      <w:r w:rsidR="00E664E4">
        <w:rPr>
          <w:rFonts w:eastAsiaTheme="minorEastAsia" w:cstheme="minorHAnsi"/>
        </w:rPr>
        <w:t xml:space="preserve">   </w:t>
      </w:r>
      <w:r w:rsidR="00E664E4">
        <w:rPr>
          <w:rFonts w:eastAsiaTheme="minorEastAsia" w:cstheme="minorHAnsi"/>
        </w:rPr>
        <w:tab/>
      </w:r>
      <w:r w:rsidR="00E664E4">
        <w:rPr>
          <w:rFonts w:eastAsiaTheme="minorEastAsia" w:cstheme="minorHAnsi"/>
        </w:rPr>
        <w:tab/>
      </w:r>
      <w:r w:rsidR="005914FF">
        <w:rPr>
          <w:rFonts w:eastAsiaTheme="minorEastAsia" w:cstheme="minorHAnsi"/>
        </w:rPr>
        <w:tab/>
      </w:r>
      <w:r w:rsidR="00E664E4">
        <w:rPr>
          <w:rFonts w:eastAsiaTheme="minorEastAsia" w:cstheme="minorHAnsi"/>
        </w:rPr>
        <w:tab/>
      </w:r>
      <w:r w:rsidR="00E664E4">
        <w:rPr>
          <w:rFonts w:eastAsiaTheme="minorEastAsia" w:cstheme="minorHAnsi"/>
        </w:rPr>
        <w:tab/>
        <w:t>Eq. (3.2.1.26)</w:t>
      </w:r>
    </w:p>
    <w:p w:rsidR="00E664E4" w:rsidRDefault="00C851DF" w:rsidP="00E664E4">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3,14</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4,14</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5,14</m:t>
            </m:r>
          </m:sub>
        </m:sSub>
        <m:r>
          <w:rPr>
            <w:rFonts w:ascii="Cambria Math" w:hAnsi="Cambria Math" w:cstheme="minorHAnsi"/>
          </w:rPr>
          <m:t>=0</m:t>
        </m:r>
      </m:oMath>
      <w:r w:rsidR="00E664E4">
        <w:rPr>
          <w:rFonts w:eastAsiaTheme="minorEastAsia" w:cstheme="minorHAnsi"/>
        </w:rPr>
        <w:t xml:space="preserve">   </w:t>
      </w:r>
      <w:r w:rsidR="00E664E4">
        <w:rPr>
          <w:rFonts w:eastAsiaTheme="minorEastAsia" w:cstheme="minorHAnsi"/>
        </w:rPr>
        <w:tab/>
      </w:r>
      <w:r w:rsidR="00E664E4">
        <w:rPr>
          <w:rFonts w:eastAsiaTheme="minorEastAsia" w:cstheme="minorHAnsi"/>
        </w:rPr>
        <w:tab/>
      </w:r>
      <w:r w:rsidR="00E664E4">
        <w:rPr>
          <w:rFonts w:eastAsiaTheme="minorEastAsia" w:cstheme="minorHAnsi"/>
        </w:rPr>
        <w:tab/>
      </w:r>
      <w:r w:rsidR="00E664E4">
        <w:rPr>
          <w:rFonts w:eastAsiaTheme="minorEastAsia" w:cstheme="minorHAnsi"/>
        </w:rPr>
        <w:tab/>
        <w:t>Eq. (3.2.1.27)</w:t>
      </w:r>
    </w:p>
    <w:p w:rsidR="00E664E4" w:rsidRDefault="00C851DF" w:rsidP="00E664E4">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3,18</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4,18</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5,18</m:t>
            </m:r>
          </m:sub>
        </m:sSub>
        <m:r>
          <w:rPr>
            <w:rFonts w:ascii="Cambria Math" w:hAnsi="Cambria Math" w:cstheme="minorHAnsi"/>
          </w:rPr>
          <m:t>=0</m:t>
        </m:r>
      </m:oMath>
      <w:r w:rsidR="00E664E4">
        <w:rPr>
          <w:rFonts w:eastAsiaTheme="minorEastAsia" w:cstheme="minorHAnsi"/>
        </w:rPr>
        <w:t xml:space="preserve">   </w:t>
      </w:r>
      <w:r w:rsidR="00E664E4">
        <w:rPr>
          <w:rFonts w:eastAsiaTheme="minorEastAsia" w:cstheme="minorHAnsi"/>
        </w:rPr>
        <w:tab/>
      </w:r>
      <w:r w:rsidR="00E664E4">
        <w:rPr>
          <w:rFonts w:eastAsiaTheme="minorEastAsia" w:cstheme="minorHAnsi"/>
        </w:rPr>
        <w:tab/>
      </w:r>
      <w:r w:rsidR="00E664E4">
        <w:rPr>
          <w:rFonts w:eastAsiaTheme="minorEastAsia" w:cstheme="minorHAnsi"/>
        </w:rPr>
        <w:tab/>
      </w:r>
      <w:r w:rsidR="00E664E4">
        <w:rPr>
          <w:rFonts w:eastAsiaTheme="minorEastAsia" w:cstheme="minorHAnsi"/>
        </w:rPr>
        <w:tab/>
        <w:t>Eq. (3.2.1.28)</w:t>
      </w:r>
    </w:p>
    <w:p w:rsidR="00E664E4" w:rsidRDefault="00C851DF" w:rsidP="00E664E4">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3,20</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4,20</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5,20</m:t>
            </m:r>
          </m:sub>
        </m:sSub>
        <m:r>
          <w:rPr>
            <w:rFonts w:ascii="Cambria Math" w:hAnsi="Cambria Math" w:cstheme="minorHAnsi"/>
          </w:rPr>
          <m:t>=0</m:t>
        </m:r>
      </m:oMath>
      <w:r w:rsidR="00E664E4">
        <w:rPr>
          <w:rFonts w:eastAsiaTheme="minorEastAsia" w:cstheme="minorHAnsi"/>
        </w:rPr>
        <w:t xml:space="preserve">   </w:t>
      </w:r>
      <w:r w:rsidR="00E664E4">
        <w:rPr>
          <w:rFonts w:eastAsiaTheme="minorEastAsia" w:cstheme="minorHAnsi"/>
        </w:rPr>
        <w:tab/>
      </w:r>
      <w:r w:rsidR="00E664E4">
        <w:rPr>
          <w:rFonts w:eastAsiaTheme="minorEastAsia" w:cstheme="minorHAnsi"/>
        </w:rPr>
        <w:tab/>
      </w:r>
      <w:r w:rsidR="00E664E4">
        <w:rPr>
          <w:rFonts w:eastAsiaTheme="minorEastAsia" w:cstheme="minorHAnsi"/>
        </w:rPr>
        <w:tab/>
      </w:r>
      <w:r w:rsidR="00E664E4">
        <w:rPr>
          <w:rFonts w:eastAsiaTheme="minorEastAsia" w:cstheme="minorHAnsi"/>
        </w:rPr>
        <w:tab/>
        <w:t>Eq. (3.2.1.29)</w:t>
      </w:r>
    </w:p>
    <w:p w:rsidR="00E664E4" w:rsidRDefault="00C851DF" w:rsidP="00E664E4">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3,21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4,21</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5,21</m:t>
            </m:r>
          </m:sub>
        </m:sSub>
        <m:r>
          <w:rPr>
            <w:rFonts w:ascii="Cambria Math" w:hAnsi="Cambria Math" w:cstheme="minorHAnsi"/>
          </w:rPr>
          <m:t>=0</m:t>
        </m:r>
      </m:oMath>
      <w:r w:rsidR="00E664E4">
        <w:rPr>
          <w:rFonts w:eastAsiaTheme="minorEastAsia" w:cstheme="minorHAnsi"/>
        </w:rPr>
        <w:t xml:space="preserve">   </w:t>
      </w:r>
      <w:r w:rsidR="00E664E4">
        <w:rPr>
          <w:rFonts w:eastAsiaTheme="minorEastAsia" w:cstheme="minorHAnsi"/>
        </w:rPr>
        <w:tab/>
      </w:r>
      <w:r w:rsidR="00E664E4">
        <w:rPr>
          <w:rFonts w:eastAsiaTheme="minorEastAsia" w:cstheme="minorHAnsi"/>
        </w:rPr>
        <w:tab/>
      </w:r>
      <w:r w:rsidR="00E664E4">
        <w:rPr>
          <w:rFonts w:eastAsiaTheme="minorEastAsia" w:cstheme="minorHAnsi"/>
        </w:rPr>
        <w:tab/>
      </w:r>
      <w:r w:rsidR="00E664E4">
        <w:rPr>
          <w:rFonts w:eastAsiaTheme="minorEastAsia" w:cstheme="minorHAnsi"/>
        </w:rPr>
        <w:tab/>
        <w:t>Eq. (3.2.1.30)</w:t>
      </w:r>
    </w:p>
    <w:p w:rsidR="00E664E4" w:rsidRPr="00BD1321" w:rsidRDefault="00E664E4" w:rsidP="00E664E4"/>
    <w:p w:rsidR="00E664E4" w:rsidRDefault="00E664E4" w:rsidP="00E664E4">
      <w:pPr>
        <w:rPr>
          <w:rFonts w:asciiTheme="majorHAnsi" w:hAnsiTheme="majorHAnsi"/>
          <w:b/>
          <w:i/>
        </w:rPr>
      </w:pPr>
      <w:r>
        <w:rPr>
          <w:rFonts w:asciiTheme="majorHAnsi" w:hAnsiTheme="majorHAnsi"/>
          <w:b/>
          <w:i/>
        </w:rPr>
        <w:t>3.2.1.3 Module 1C</w:t>
      </w:r>
    </w:p>
    <w:p w:rsidR="00E664E4" w:rsidRDefault="00E664E4" w:rsidP="00E664E4">
      <w:r>
        <w:t>Module 1C encompassed</w:t>
      </w:r>
      <w:r w:rsidRPr="00C57455">
        <w:t xml:space="preserve"> the </w:t>
      </w:r>
      <w:proofErr w:type="spellStart"/>
      <w:r w:rsidRPr="00C57455">
        <w:t>resuspension</w:t>
      </w:r>
      <w:proofErr w:type="spellEnd"/>
      <w:r w:rsidRPr="00C57455">
        <w:t xml:space="preserve"> tank and the secondary vacuum f</w:t>
      </w:r>
      <w:r>
        <w:t xml:space="preserve">ilter. The </w:t>
      </w:r>
      <w:proofErr w:type="spellStart"/>
      <w:r>
        <w:t>resuspension</w:t>
      </w:r>
      <w:proofErr w:type="spellEnd"/>
      <w:r>
        <w:t xml:space="preserve"> tank had</w:t>
      </w:r>
      <w:r w:rsidRPr="00C57455">
        <w:t xml:space="preserve"> inputs of the solid stream exiting the primary vacuum filter, a recycle stream from Module 1D, and a n</w:t>
      </w:r>
      <w:r>
        <w:t>ew input stream of water which wa</w:t>
      </w:r>
      <w:r w:rsidRPr="00C57455">
        <w:t xml:space="preserve">s used </w:t>
      </w:r>
      <w:r>
        <w:t xml:space="preserve">to </w:t>
      </w:r>
      <w:proofErr w:type="spellStart"/>
      <w:r>
        <w:t>resuspend</w:t>
      </w:r>
      <w:proofErr w:type="spellEnd"/>
      <w:r>
        <w:t xml:space="preserve"> the solids. There wa</w:t>
      </w:r>
      <w:r w:rsidRPr="00C57455">
        <w:t>s on</w:t>
      </w:r>
      <w:r>
        <w:t>ly one</w:t>
      </w:r>
      <w:r w:rsidRPr="00C57455">
        <w:t xml:space="preserve"> output from the </w:t>
      </w:r>
      <w:proofErr w:type="spellStart"/>
      <w:r w:rsidRPr="009D034F">
        <w:t>resuspension</w:t>
      </w:r>
      <w:proofErr w:type="spellEnd"/>
      <w:r w:rsidRPr="009D034F">
        <w:t xml:space="preserve"> tank </w:t>
      </w:r>
      <w:r>
        <w:t>which was fed to t</w:t>
      </w:r>
      <w:r w:rsidRPr="009D034F">
        <w:t>he secondary vacuum filter. Figure 3.6 shows a block diagram of Module</w:t>
      </w:r>
      <w:r w:rsidRPr="00C57455">
        <w:t xml:space="preserve"> 1C with the input and output streams labeled. </w:t>
      </w:r>
    </w:p>
    <w:p w:rsidR="00BD31C2" w:rsidRPr="00BD31C2" w:rsidRDefault="00BD31C2" w:rsidP="00BD31C2"/>
    <w:p w:rsidR="00E664E4" w:rsidRPr="00C57455" w:rsidRDefault="00E664E4" w:rsidP="00E664E4">
      <w:pPr>
        <w:jc w:val="center"/>
      </w:pPr>
      <w:r w:rsidRPr="00C57455">
        <w:object w:dxaOrig="4318" w:dyaOrig="4213">
          <v:shape id="_x0000_i1028" type="#_x0000_t75" style="width:3in;height:211.4pt" o:ole="">
            <v:imagedata r:id="rId33" o:title=""/>
          </v:shape>
          <o:OLEObject Type="Embed" ProgID="Visio.Drawing.11" ShapeID="_x0000_i1028" DrawAspect="Content" ObjectID="_1445525553" r:id="rId34"/>
        </w:object>
      </w:r>
    </w:p>
    <w:p w:rsidR="00E664E4" w:rsidRDefault="00E664E4" w:rsidP="00E664E4">
      <w:pPr>
        <w:jc w:val="center"/>
        <w:rPr>
          <w:b/>
          <w:sz w:val="20"/>
          <w:szCs w:val="20"/>
        </w:rPr>
      </w:pPr>
      <w:r w:rsidRPr="009D034F">
        <w:rPr>
          <w:b/>
          <w:sz w:val="20"/>
          <w:szCs w:val="20"/>
        </w:rPr>
        <w:t xml:space="preserve">Figure 3.6. Block Diagram of the Module 1C </w:t>
      </w:r>
      <w:r w:rsidR="004045DF">
        <w:rPr>
          <w:b/>
          <w:sz w:val="20"/>
          <w:szCs w:val="20"/>
        </w:rPr>
        <w:t>Showing Input and Output Streams</w:t>
      </w:r>
      <w:r w:rsidRPr="009D034F">
        <w:rPr>
          <w:b/>
          <w:sz w:val="20"/>
          <w:szCs w:val="20"/>
        </w:rPr>
        <w:t>.</w:t>
      </w:r>
    </w:p>
    <w:p w:rsidR="00BD31C2" w:rsidRPr="00BD31C2" w:rsidRDefault="00BD31C2" w:rsidP="00BD31C2"/>
    <w:p w:rsidR="00002CAE" w:rsidRDefault="00002CAE" w:rsidP="00002CAE">
      <w:r>
        <w:lastRenderedPageBreak/>
        <w:t xml:space="preserve">Equations 3.2.1.31–3.2.1.36 </w:t>
      </w:r>
      <w:proofErr w:type="gramStart"/>
      <w:r>
        <w:t>are</w:t>
      </w:r>
      <w:proofErr w:type="gramEnd"/>
      <w:r>
        <w:t xml:space="preserve"> the component mole balances for the </w:t>
      </w:r>
      <w:proofErr w:type="spellStart"/>
      <w:r>
        <w:t>resuspension</w:t>
      </w:r>
      <w:proofErr w:type="spellEnd"/>
      <w:r>
        <w:t xml:space="preserve"> tank.</w:t>
      </w:r>
    </w:p>
    <w:p w:rsidR="00002CAE" w:rsidRDefault="00002CAE" w:rsidP="00002CAE">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5,1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9,1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4A</m:t>
            </m:r>
          </m:sub>
        </m:sSub>
        <m:r>
          <w:rPr>
            <w:rFonts w:ascii="Cambria Math" w:hAnsi="Cambria Math" w:cstheme="minorHAnsi"/>
          </w:rPr>
          <m:t>*</m:t>
        </m:r>
        <m:f>
          <m:fPr>
            <m:ctrlPr>
              <w:rPr>
                <w:rFonts w:ascii="Cambria Math" w:hAnsi="Cambria Math" w:cstheme="minorHAnsi"/>
                <w:i/>
              </w:rPr>
            </m:ctrlPr>
          </m:fPr>
          <m:num>
            <m:r>
              <w:rPr>
                <w:rFonts w:ascii="Cambria Math" w:hAnsi="Cambria Math" w:cstheme="minorHAnsi"/>
              </w:rPr>
              <m:t>1000</m:t>
            </m:r>
          </m:num>
          <m:den>
            <m:sSub>
              <m:sSubPr>
                <m:ctrlPr>
                  <w:rPr>
                    <w:rFonts w:ascii="Cambria Math" w:hAnsi="Cambria Math" w:cstheme="minorHAnsi"/>
                    <w:i/>
                  </w:rPr>
                </m:ctrlPr>
              </m:sSubPr>
              <m:e>
                <m:r>
                  <w:rPr>
                    <w:rFonts w:ascii="Cambria Math" w:hAnsi="Cambria Math" w:cstheme="minorHAnsi"/>
                  </w:rPr>
                  <m:t>MW</m:t>
                </m:r>
              </m:e>
              <m:sub>
                <m:r>
                  <w:rPr>
                    <w:rFonts w:ascii="Cambria Math" w:hAnsi="Cambria Math" w:cstheme="minorHAnsi"/>
                  </w:rPr>
                  <m:t>1</m:t>
                </m:r>
              </m:sub>
            </m:sSub>
          </m:den>
        </m:f>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6,1</m:t>
            </m:r>
          </m:sub>
        </m:sSub>
        <m:r>
          <w:rPr>
            <w:rFonts w:ascii="Cambria Math" w:hAnsi="Cambria Math" w:cstheme="minorHAnsi"/>
          </w:rPr>
          <m:t>=0</m:t>
        </m:r>
      </m:oMath>
      <w:r>
        <w:rPr>
          <w:rFonts w:eastAsiaTheme="minorEastAsia" w:cstheme="minorHAnsi"/>
        </w:rPr>
        <w:t xml:space="preserve">   </w:t>
      </w:r>
      <w:r>
        <w:rPr>
          <w:rFonts w:eastAsiaTheme="minorEastAsia" w:cstheme="minorHAnsi"/>
        </w:rPr>
        <w:tab/>
      </w:r>
      <w:r>
        <w:rPr>
          <w:rFonts w:eastAsiaTheme="minorEastAsia" w:cstheme="minorHAnsi"/>
        </w:rPr>
        <w:tab/>
      </w:r>
      <w:r>
        <w:rPr>
          <w:rFonts w:eastAsiaTheme="minorEastAsia" w:cstheme="minorHAnsi"/>
        </w:rPr>
        <w:tab/>
        <w:t>Eq. (3.2.1.31)</w:t>
      </w:r>
    </w:p>
    <w:p w:rsidR="00002CAE" w:rsidRDefault="00002CAE" w:rsidP="00002CAE">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5,9</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9,9</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6,9</m:t>
            </m:r>
          </m:sub>
        </m:sSub>
        <m:r>
          <w:rPr>
            <w:rFonts w:ascii="Cambria Math" w:hAnsi="Cambria Math" w:cstheme="minorHAnsi"/>
          </w:rPr>
          <m:t>=0</m:t>
        </m:r>
      </m:oMath>
      <w:r>
        <w:rPr>
          <w:rFonts w:eastAsiaTheme="minorEastAsia" w:cstheme="minorHAnsi"/>
        </w:rPr>
        <w:t xml:space="preserve">   </w:t>
      </w:r>
      <w:r>
        <w:rPr>
          <w:rFonts w:eastAsiaTheme="minorEastAsia" w:cstheme="minorHAnsi"/>
        </w:rPr>
        <w:tab/>
      </w:r>
      <w:r>
        <w:rPr>
          <w:rFonts w:eastAsiaTheme="minorEastAsia" w:cstheme="minorHAnsi"/>
        </w:rPr>
        <w:tab/>
      </w:r>
      <w:r>
        <w:rPr>
          <w:rFonts w:eastAsiaTheme="minorEastAsia" w:cstheme="minorHAnsi"/>
        </w:rPr>
        <w:tab/>
      </w:r>
      <w:r>
        <w:rPr>
          <w:rFonts w:eastAsiaTheme="minorEastAsia" w:cstheme="minorHAnsi"/>
        </w:rPr>
        <w:tab/>
      </w:r>
      <w:r>
        <w:rPr>
          <w:rFonts w:eastAsiaTheme="minorEastAsia" w:cstheme="minorHAnsi"/>
        </w:rPr>
        <w:tab/>
        <w:t>Eq. (3.2.1.32)</w:t>
      </w:r>
    </w:p>
    <w:p w:rsidR="001D0EF6" w:rsidRDefault="00C851DF" w:rsidP="001D0EF6">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5,14</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9,14</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6,14</m:t>
            </m:r>
          </m:sub>
        </m:sSub>
        <m:r>
          <w:rPr>
            <w:rFonts w:ascii="Cambria Math" w:hAnsi="Cambria Math" w:cstheme="minorHAnsi"/>
          </w:rPr>
          <m:t>=0</m:t>
        </m:r>
      </m:oMath>
      <w:r w:rsidR="001D0EF6">
        <w:rPr>
          <w:rFonts w:eastAsiaTheme="minorEastAsia" w:cstheme="minorHAnsi"/>
        </w:rPr>
        <w:t xml:space="preserve">   </w:t>
      </w:r>
      <w:r w:rsidR="001D0EF6">
        <w:rPr>
          <w:rFonts w:eastAsiaTheme="minorEastAsia" w:cstheme="minorHAnsi"/>
        </w:rPr>
        <w:tab/>
      </w:r>
      <w:r w:rsidR="001D0EF6">
        <w:rPr>
          <w:rFonts w:eastAsiaTheme="minorEastAsia" w:cstheme="minorHAnsi"/>
        </w:rPr>
        <w:tab/>
      </w:r>
      <w:r w:rsidR="001D0EF6">
        <w:rPr>
          <w:rFonts w:eastAsiaTheme="minorEastAsia" w:cstheme="minorHAnsi"/>
        </w:rPr>
        <w:tab/>
      </w:r>
      <w:r w:rsidR="001D0EF6">
        <w:rPr>
          <w:rFonts w:eastAsiaTheme="minorEastAsia" w:cstheme="minorHAnsi"/>
        </w:rPr>
        <w:tab/>
        <w:t>Eq. (3.2.1.33)</w:t>
      </w:r>
    </w:p>
    <w:p w:rsidR="001D0EF6" w:rsidRDefault="00C851DF" w:rsidP="001D0EF6">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5,18</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9,18</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6,18</m:t>
            </m:r>
          </m:sub>
        </m:sSub>
        <m:r>
          <w:rPr>
            <w:rFonts w:ascii="Cambria Math" w:hAnsi="Cambria Math" w:cstheme="minorHAnsi"/>
          </w:rPr>
          <m:t>=0</m:t>
        </m:r>
      </m:oMath>
      <w:r w:rsidR="001D0EF6">
        <w:rPr>
          <w:rFonts w:eastAsiaTheme="minorEastAsia" w:cstheme="minorHAnsi"/>
        </w:rPr>
        <w:t xml:space="preserve">   </w:t>
      </w:r>
      <w:r w:rsidR="001D0EF6">
        <w:rPr>
          <w:rFonts w:eastAsiaTheme="minorEastAsia" w:cstheme="minorHAnsi"/>
        </w:rPr>
        <w:tab/>
      </w:r>
      <w:r w:rsidR="001D0EF6">
        <w:rPr>
          <w:rFonts w:eastAsiaTheme="minorEastAsia" w:cstheme="minorHAnsi"/>
        </w:rPr>
        <w:tab/>
      </w:r>
      <w:r w:rsidR="001D0EF6">
        <w:rPr>
          <w:rFonts w:eastAsiaTheme="minorEastAsia" w:cstheme="minorHAnsi"/>
        </w:rPr>
        <w:tab/>
      </w:r>
      <w:r w:rsidR="001D0EF6">
        <w:rPr>
          <w:rFonts w:eastAsiaTheme="minorEastAsia" w:cstheme="minorHAnsi"/>
        </w:rPr>
        <w:tab/>
        <w:t>Eq. (3.2.1.34)</w:t>
      </w:r>
    </w:p>
    <w:p w:rsidR="00BD31C2" w:rsidRDefault="00C851DF" w:rsidP="00BD31C2">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5,20</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9,20</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6,20</m:t>
            </m:r>
          </m:sub>
        </m:sSub>
        <m:r>
          <w:rPr>
            <w:rFonts w:ascii="Cambria Math" w:hAnsi="Cambria Math" w:cstheme="minorHAnsi"/>
          </w:rPr>
          <m:t>=0</m:t>
        </m:r>
      </m:oMath>
      <w:r w:rsidR="00BD31C2">
        <w:rPr>
          <w:rFonts w:eastAsiaTheme="minorEastAsia" w:cstheme="minorHAnsi"/>
        </w:rPr>
        <w:t xml:space="preserve">   </w:t>
      </w:r>
      <w:r w:rsidR="00BD31C2">
        <w:rPr>
          <w:rFonts w:eastAsiaTheme="minorEastAsia" w:cstheme="minorHAnsi"/>
        </w:rPr>
        <w:tab/>
      </w:r>
      <w:r w:rsidR="00BD31C2">
        <w:rPr>
          <w:rFonts w:eastAsiaTheme="minorEastAsia" w:cstheme="minorHAnsi"/>
        </w:rPr>
        <w:tab/>
      </w:r>
      <w:r w:rsidR="00BD31C2">
        <w:rPr>
          <w:rFonts w:eastAsiaTheme="minorEastAsia" w:cstheme="minorHAnsi"/>
        </w:rPr>
        <w:tab/>
      </w:r>
      <w:r w:rsidR="00BD31C2">
        <w:rPr>
          <w:rFonts w:eastAsiaTheme="minorEastAsia" w:cstheme="minorHAnsi"/>
        </w:rPr>
        <w:tab/>
        <w:t>Eq. (3.2.1.35)</w:t>
      </w:r>
    </w:p>
    <w:p w:rsidR="00BD31C2" w:rsidRDefault="00C851DF" w:rsidP="00BD31C2">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5,21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9,21</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6,21</m:t>
            </m:r>
          </m:sub>
        </m:sSub>
        <m:r>
          <w:rPr>
            <w:rFonts w:ascii="Cambria Math" w:hAnsi="Cambria Math" w:cstheme="minorHAnsi"/>
          </w:rPr>
          <m:t>=0</m:t>
        </m:r>
      </m:oMath>
      <w:r w:rsidR="00BD31C2">
        <w:rPr>
          <w:rFonts w:eastAsiaTheme="minorEastAsia" w:cstheme="minorHAnsi"/>
        </w:rPr>
        <w:t xml:space="preserve">   </w:t>
      </w:r>
      <w:r w:rsidR="00BD31C2">
        <w:rPr>
          <w:rFonts w:eastAsiaTheme="minorEastAsia" w:cstheme="minorHAnsi"/>
        </w:rPr>
        <w:tab/>
      </w:r>
      <w:r w:rsidR="00BD31C2">
        <w:rPr>
          <w:rFonts w:eastAsiaTheme="minorEastAsia" w:cstheme="minorHAnsi"/>
        </w:rPr>
        <w:tab/>
      </w:r>
      <w:r w:rsidR="00BD31C2">
        <w:rPr>
          <w:rFonts w:eastAsiaTheme="minorEastAsia" w:cstheme="minorHAnsi"/>
        </w:rPr>
        <w:tab/>
      </w:r>
      <w:r w:rsidR="00BD31C2">
        <w:rPr>
          <w:rFonts w:eastAsiaTheme="minorEastAsia" w:cstheme="minorHAnsi"/>
        </w:rPr>
        <w:tab/>
        <w:t>Eq. (3.2.1.36)</w:t>
      </w:r>
    </w:p>
    <w:p w:rsidR="00E664E4" w:rsidRDefault="00E664E4" w:rsidP="00E664E4">
      <w:pPr>
        <w:rPr>
          <w:rFonts w:eastAsiaTheme="minorEastAsia" w:cstheme="minorHAnsi"/>
        </w:rPr>
      </w:pPr>
      <w:r>
        <w:t xml:space="preserve">The secondary vacuum filter separated the remaining solid waste from the liquid which was sent to a splitter to be recycled upstream in the process. </w:t>
      </w:r>
      <w:r>
        <w:rPr>
          <w:rFonts w:eastAsiaTheme="minorEastAsia" w:cstheme="minorHAnsi"/>
        </w:rPr>
        <w:t xml:space="preserve">The separation was defined as the fraction that was sent to the liquid stream from the input stream by parameter, </w:t>
      </w:r>
      <m:oMath>
        <m:sSub>
          <m:sSubPr>
            <m:ctrlPr>
              <w:rPr>
                <w:rFonts w:ascii="Cambria Math" w:eastAsiaTheme="minorEastAsia" w:hAnsi="Cambria Math" w:cstheme="minorHAnsi"/>
                <w:i/>
              </w:rPr>
            </m:ctrlPr>
          </m:sSubPr>
          <m:e>
            <m:r>
              <w:rPr>
                <w:rFonts w:ascii="Cambria Math" w:eastAsiaTheme="minorEastAsia" w:hAnsi="Cambria Math" w:cstheme="minorHAnsi"/>
              </w:rPr>
              <m:t>K</m:t>
            </m:r>
          </m:e>
          <m:sub>
            <m:r>
              <w:rPr>
                <w:rFonts w:ascii="Cambria Math" w:eastAsiaTheme="minorEastAsia" w:hAnsi="Cambria Math" w:cstheme="minorHAnsi"/>
              </w:rPr>
              <m:t>Mod1C,i</m:t>
            </m:r>
          </m:sub>
        </m:sSub>
      </m:oMath>
      <w:r>
        <w:rPr>
          <w:rFonts w:eastAsiaTheme="minorEastAsia" w:cstheme="minorHAnsi"/>
        </w:rPr>
        <w:t xml:space="preserve">, where each component, </w:t>
      </w:r>
      <m:oMath>
        <m:r>
          <w:rPr>
            <w:rFonts w:ascii="Cambria Math" w:eastAsiaTheme="minorEastAsia" w:hAnsi="Cambria Math" w:cstheme="minorHAnsi"/>
          </w:rPr>
          <m:t>i</m:t>
        </m:r>
      </m:oMath>
      <w:r>
        <w:rPr>
          <w:rFonts w:eastAsiaTheme="minorEastAsia" w:cstheme="minorHAnsi"/>
        </w:rPr>
        <w:t>, had a different fractionation. Equations 3.2.1.37–3.2.1.42 define the separation of Stream 6 into Stream 7.</w:t>
      </w:r>
    </w:p>
    <w:p w:rsidR="00E664E4" w:rsidRDefault="00C851DF" w:rsidP="00E664E4">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Mod1C,1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6,1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7,1</m:t>
            </m:r>
          </m:sub>
        </m:sSub>
        <m:r>
          <w:rPr>
            <w:rFonts w:ascii="Cambria Math" w:hAnsi="Cambria Math" w:cstheme="minorHAnsi"/>
          </w:rPr>
          <m:t>=0</m:t>
        </m:r>
      </m:oMath>
      <w:r w:rsidR="00E664E4">
        <w:rPr>
          <w:rFonts w:eastAsiaTheme="minorEastAsia" w:cstheme="minorHAnsi"/>
        </w:rPr>
        <w:t xml:space="preserve">   </w:t>
      </w:r>
      <w:r w:rsidR="00E664E4">
        <w:rPr>
          <w:rFonts w:eastAsiaTheme="minorEastAsia" w:cstheme="minorHAnsi"/>
        </w:rPr>
        <w:tab/>
      </w:r>
      <w:r w:rsidR="00E664E4">
        <w:rPr>
          <w:rFonts w:eastAsiaTheme="minorEastAsia" w:cstheme="minorHAnsi"/>
        </w:rPr>
        <w:tab/>
      </w:r>
      <w:r w:rsidR="00E664E4">
        <w:rPr>
          <w:rFonts w:eastAsiaTheme="minorEastAsia" w:cstheme="minorHAnsi"/>
        </w:rPr>
        <w:tab/>
      </w:r>
      <w:r w:rsidR="00E664E4">
        <w:rPr>
          <w:rFonts w:eastAsiaTheme="minorEastAsia" w:cstheme="minorHAnsi"/>
        </w:rPr>
        <w:tab/>
        <w:t>Eq. (3.2.1.37)</w:t>
      </w:r>
    </w:p>
    <w:p w:rsidR="00E664E4" w:rsidRDefault="00C851DF" w:rsidP="00E664E4">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Mod1C,9</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6,9</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7,9</m:t>
            </m:r>
          </m:sub>
        </m:sSub>
        <m:r>
          <w:rPr>
            <w:rFonts w:ascii="Cambria Math" w:hAnsi="Cambria Math" w:cstheme="minorHAnsi"/>
          </w:rPr>
          <m:t>=0</m:t>
        </m:r>
      </m:oMath>
      <w:r w:rsidR="00E664E4">
        <w:rPr>
          <w:rFonts w:eastAsiaTheme="minorEastAsia" w:cstheme="minorHAnsi"/>
        </w:rPr>
        <w:t xml:space="preserve">   </w:t>
      </w:r>
      <w:r w:rsidR="00E664E4">
        <w:rPr>
          <w:rFonts w:eastAsiaTheme="minorEastAsia" w:cstheme="minorHAnsi"/>
        </w:rPr>
        <w:tab/>
      </w:r>
      <w:r w:rsidR="00E664E4">
        <w:rPr>
          <w:rFonts w:eastAsiaTheme="minorEastAsia" w:cstheme="minorHAnsi"/>
        </w:rPr>
        <w:tab/>
      </w:r>
      <w:r w:rsidR="00E664E4">
        <w:rPr>
          <w:rFonts w:eastAsiaTheme="minorEastAsia" w:cstheme="minorHAnsi"/>
        </w:rPr>
        <w:tab/>
      </w:r>
      <w:r w:rsidR="00E664E4">
        <w:rPr>
          <w:rFonts w:eastAsiaTheme="minorEastAsia" w:cstheme="minorHAnsi"/>
        </w:rPr>
        <w:tab/>
        <w:t>Eq. (3.2.1.38)</w:t>
      </w:r>
    </w:p>
    <w:p w:rsidR="00E664E4" w:rsidRDefault="00C851DF" w:rsidP="00E664E4">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Mod1C,14</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6,14</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7,14</m:t>
            </m:r>
          </m:sub>
        </m:sSub>
        <m:r>
          <w:rPr>
            <w:rFonts w:ascii="Cambria Math" w:hAnsi="Cambria Math" w:cstheme="minorHAnsi"/>
          </w:rPr>
          <m:t>=0</m:t>
        </m:r>
      </m:oMath>
      <w:r w:rsidR="00E664E4">
        <w:rPr>
          <w:rFonts w:eastAsiaTheme="minorEastAsia" w:cstheme="minorHAnsi"/>
        </w:rPr>
        <w:t xml:space="preserve">   </w:t>
      </w:r>
      <w:r w:rsidR="00E664E4">
        <w:rPr>
          <w:rFonts w:eastAsiaTheme="minorEastAsia" w:cstheme="minorHAnsi"/>
        </w:rPr>
        <w:tab/>
      </w:r>
      <w:r w:rsidR="00E664E4">
        <w:rPr>
          <w:rFonts w:eastAsiaTheme="minorEastAsia" w:cstheme="minorHAnsi"/>
        </w:rPr>
        <w:tab/>
      </w:r>
      <w:r w:rsidR="00E664E4">
        <w:rPr>
          <w:rFonts w:eastAsiaTheme="minorEastAsia" w:cstheme="minorHAnsi"/>
        </w:rPr>
        <w:tab/>
      </w:r>
      <w:r w:rsidR="00E664E4">
        <w:rPr>
          <w:rFonts w:eastAsiaTheme="minorEastAsia" w:cstheme="minorHAnsi"/>
        </w:rPr>
        <w:tab/>
        <w:t>Eq. (3.2.1.39)</w:t>
      </w:r>
    </w:p>
    <w:p w:rsidR="00E664E4" w:rsidRDefault="00C851DF" w:rsidP="00E664E4">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Mod1C,18</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6,18</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7,18</m:t>
            </m:r>
          </m:sub>
        </m:sSub>
        <m:r>
          <w:rPr>
            <w:rFonts w:ascii="Cambria Math" w:hAnsi="Cambria Math" w:cstheme="minorHAnsi"/>
          </w:rPr>
          <m:t>=0</m:t>
        </m:r>
      </m:oMath>
      <w:r w:rsidR="00E664E4">
        <w:rPr>
          <w:rFonts w:eastAsiaTheme="minorEastAsia" w:cstheme="minorHAnsi"/>
        </w:rPr>
        <w:t xml:space="preserve">   </w:t>
      </w:r>
      <w:r w:rsidR="00E664E4">
        <w:rPr>
          <w:rFonts w:eastAsiaTheme="minorEastAsia" w:cstheme="minorHAnsi"/>
        </w:rPr>
        <w:tab/>
      </w:r>
      <w:r w:rsidR="00E664E4">
        <w:rPr>
          <w:rFonts w:eastAsiaTheme="minorEastAsia" w:cstheme="minorHAnsi"/>
        </w:rPr>
        <w:tab/>
      </w:r>
      <w:r w:rsidR="00E664E4">
        <w:rPr>
          <w:rFonts w:eastAsiaTheme="minorEastAsia" w:cstheme="minorHAnsi"/>
        </w:rPr>
        <w:tab/>
      </w:r>
      <w:r w:rsidR="00E664E4">
        <w:rPr>
          <w:rFonts w:eastAsiaTheme="minorEastAsia" w:cstheme="minorHAnsi"/>
        </w:rPr>
        <w:tab/>
        <w:t>Eq. (3.2.1.40)</w:t>
      </w:r>
    </w:p>
    <w:p w:rsidR="00E664E4" w:rsidRDefault="00C851DF" w:rsidP="00E664E4">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Mod1C,20</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6,20</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7,20</m:t>
            </m:r>
          </m:sub>
        </m:sSub>
        <m:r>
          <w:rPr>
            <w:rFonts w:ascii="Cambria Math" w:hAnsi="Cambria Math" w:cstheme="minorHAnsi"/>
          </w:rPr>
          <m:t>=0</m:t>
        </m:r>
      </m:oMath>
      <w:r w:rsidR="00E664E4">
        <w:rPr>
          <w:rFonts w:eastAsiaTheme="minorEastAsia" w:cstheme="minorHAnsi"/>
        </w:rPr>
        <w:t xml:space="preserve">   </w:t>
      </w:r>
      <w:r w:rsidR="00E664E4">
        <w:rPr>
          <w:rFonts w:eastAsiaTheme="minorEastAsia" w:cstheme="minorHAnsi"/>
        </w:rPr>
        <w:tab/>
      </w:r>
      <w:r w:rsidR="00E664E4">
        <w:rPr>
          <w:rFonts w:eastAsiaTheme="minorEastAsia" w:cstheme="minorHAnsi"/>
        </w:rPr>
        <w:tab/>
      </w:r>
      <w:r w:rsidR="00E664E4">
        <w:rPr>
          <w:rFonts w:eastAsiaTheme="minorEastAsia" w:cstheme="minorHAnsi"/>
        </w:rPr>
        <w:tab/>
      </w:r>
      <w:r w:rsidR="00E664E4">
        <w:rPr>
          <w:rFonts w:eastAsiaTheme="minorEastAsia" w:cstheme="minorHAnsi"/>
        </w:rPr>
        <w:tab/>
        <w:t>Eq. (3.2.1.41)</w:t>
      </w:r>
    </w:p>
    <w:p w:rsidR="00E664E4" w:rsidRDefault="00C851DF" w:rsidP="00E664E4">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Mod1C,21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6,21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7,21</m:t>
            </m:r>
          </m:sub>
        </m:sSub>
        <m:r>
          <w:rPr>
            <w:rFonts w:ascii="Cambria Math" w:hAnsi="Cambria Math" w:cstheme="minorHAnsi"/>
          </w:rPr>
          <m:t>=0</m:t>
        </m:r>
      </m:oMath>
      <w:r w:rsidR="00E664E4">
        <w:rPr>
          <w:rFonts w:eastAsiaTheme="minorEastAsia" w:cstheme="minorHAnsi"/>
        </w:rPr>
        <w:t xml:space="preserve">   </w:t>
      </w:r>
      <w:r w:rsidR="00E664E4">
        <w:rPr>
          <w:rFonts w:eastAsiaTheme="minorEastAsia" w:cstheme="minorHAnsi"/>
        </w:rPr>
        <w:tab/>
      </w:r>
      <w:r w:rsidR="00E664E4">
        <w:rPr>
          <w:rFonts w:eastAsiaTheme="minorEastAsia" w:cstheme="minorHAnsi"/>
        </w:rPr>
        <w:tab/>
      </w:r>
      <w:r w:rsidR="00E664E4">
        <w:rPr>
          <w:rFonts w:eastAsiaTheme="minorEastAsia" w:cstheme="minorHAnsi"/>
        </w:rPr>
        <w:tab/>
      </w:r>
      <w:r w:rsidR="00E664E4">
        <w:rPr>
          <w:rFonts w:eastAsiaTheme="minorEastAsia" w:cstheme="minorHAnsi"/>
        </w:rPr>
        <w:tab/>
        <w:t>Eq. (3.2.1.42)</w:t>
      </w:r>
    </w:p>
    <w:p w:rsidR="00E664E4" w:rsidRDefault="00E664E4" w:rsidP="00E664E4">
      <w:pPr>
        <w:rPr>
          <w:rFonts w:eastAsiaTheme="minorEastAsia" w:cstheme="minorHAnsi"/>
        </w:rPr>
      </w:pPr>
      <w:r>
        <w:rPr>
          <w:rFonts w:eastAsiaTheme="minorEastAsia" w:cstheme="minorHAnsi"/>
        </w:rPr>
        <w:t>Equations 3.2.1.43–3.2.1.48 calculate the mole balance for Stream 8, which was a waste stream that completely exits Module 1 and the process.</w:t>
      </w:r>
    </w:p>
    <w:p w:rsidR="00E664E4" w:rsidRDefault="00C851DF" w:rsidP="00E664E4">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6,1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7,1</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8,1</m:t>
            </m:r>
          </m:sub>
        </m:sSub>
        <m:r>
          <w:rPr>
            <w:rFonts w:ascii="Cambria Math" w:hAnsi="Cambria Math" w:cstheme="minorHAnsi"/>
          </w:rPr>
          <m:t>=0</m:t>
        </m:r>
      </m:oMath>
      <w:r w:rsidR="00E664E4">
        <w:rPr>
          <w:rFonts w:eastAsiaTheme="minorEastAsia" w:cstheme="minorHAnsi"/>
        </w:rPr>
        <w:t xml:space="preserve">   </w:t>
      </w:r>
      <w:r w:rsidR="00E664E4">
        <w:rPr>
          <w:rFonts w:eastAsiaTheme="minorEastAsia" w:cstheme="minorHAnsi"/>
        </w:rPr>
        <w:tab/>
      </w:r>
      <w:r w:rsidR="00E664E4">
        <w:rPr>
          <w:rFonts w:eastAsiaTheme="minorEastAsia" w:cstheme="minorHAnsi"/>
        </w:rPr>
        <w:tab/>
      </w:r>
      <w:r w:rsidR="005914FF">
        <w:rPr>
          <w:rFonts w:eastAsiaTheme="minorEastAsia" w:cstheme="minorHAnsi"/>
        </w:rPr>
        <w:tab/>
      </w:r>
      <w:r w:rsidR="00E664E4">
        <w:rPr>
          <w:rFonts w:eastAsiaTheme="minorEastAsia" w:cstheme="minorHAnsi"/>
        </w:rPr>
        <w:tab/>
      </w:r>
      <w:r w:rsidR="00E664E4">
        <w:rPr>
          <w:rFonts w:eastAsiaTheme="minorEastAsia" w:cstheme="minorHAnsi"/>
        </w:rPr>
        <w:tab/>
        <w:t>Eq. (3.2.1.43)</w:t>
      </w:r>
    </w:p>
    <w:p w:rsidR="00E664E4" w:rsidRDefault="00C851DF" w:rsidP="00E664E4">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6,9</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7,9</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8,9</m:t>
            </m:r>
          </m:sub>
        </m:sSub>
        <m:r>
          <w:rPr>
            <w:rFonts w:ascii="Cambria Math" w:hAnsi="Cambria Math" w:cstheme="minorHAnsi"/>
          </w:rPr>
          <m:t>=0</m:t>
        </m:r>
      </m:oMath>
      <w:r w:rsidR="00E664E4">
        <w:rPr>
          <w:rFonts w:eastAsiaTheme="minorEastAsia" w:cstheme="minorHAnsi"/>
        </w:rPr>
        <w:t xml:space="preserve">   </w:t>
      </w:r>
      <w:r w:rsidR="00E664E4">
        <w:rPr>
          <w:rFonts w:eastAsiaTheme="minorEastAsia" w:cstheme="minorHAnsi"/>
        </w:rPr>
        <w:tab/>
      </w:r>
      <w:r w:rsidR="00E664E4">
        <w:rPr>
          <w:rFonts w:eastAsiaTheme="minorEastAsia" w:cstheme="minorHAnsi"/>
        </w:rPr>
        <w:tab/>
      </w:r>
      <w:r w:rsidR="005914FF">
        <w:rPr>
          <w:rFonts w:eastAsiaTheme="minorEastAsia" w:cstheme="minorHAnsi"/>
        </w:rPr>
        <w:tab/>
      </w:r>
      <w:r w:rsidR="00E664E4">
        <w:rPr>
          <w:rFonts w:eastAsiaTheme="minorEastAsia" w:cstheme="minorHAnsi"/>
        </w:rPr>
        <w:tab/>
      </w:r>
      <w:r w:rsidR="00E664E4">
        <w:rPr>
          <w:rFonts w:eastAsiaTheme="minorEastAsia" w:cstheme="minorHAnsi"/>
        </w:rPr>
        <w:tab/>
        <w:t>Eq. (3.2.1.44)</w:t>
      </w:r>
    </w:p>
    <w:p w:rsidR="00E664E4" w:rsidRDefault="00C851DF" w:rsidP="00E664E4">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6,14</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7,14</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8,14</m:t>
            </m:r>
          </m:sub>
        </m:sSub>
        <m:r>
          <w:rPr>
            <w:rFonts w:ascii="Cambria Math" w:hAnsi="Cambria Math" w:cstheme="minorHAnsi"/>
          </w:rPr>
          <m:t>=0</m:t>
        </m:r>
      </m:oMath>
      <w:r w:rsidR="00E664E4">
        <w:rPr>
          <w:rFonts w:eastAsiaTheme="minorEastAsia" w:cstheme="minorHAnsi"/>
        </w:rPr>
        <w:t xml:space="preserve">   </w:t>
      </w:r>
      <w:r w:rsidR="00E664E4">
        <w:rPr>
          <w:rFonts w:eastAsiaTheme="minorEastAsia" w:cstheme="minorHAnsi"/>
        </w:rPr>
        <w:tab/>
      </w:r>
      <w:r w:rsidR="00E664E4">
        <w:rPr>
          <w:rFonts w:eastAsiaTheme="minorEastAsia" w:cstheme="minorHAnsi"/>
        </w:rPr>
        <w:tab/>
      </w:r>
      <w:r w:rsidR="00E664E4">
        <w:rPr>
          <w:rFonts w:eastAsiaTheme="minorEastAsia" w:cstheme="minorHAnsi"/>
        </w:rPr>
        <w:tab/>
      </w:r>
      <w:r w:rsidR="00E664E4">
        <w:rPr>
          <w:rFonts w:eastAsiaTheme="minorEastAsia" w:cstheme="minorHAnsi"/>
        </w:rPr>
        <w:tab/>
        <w:t>Eq. (3.2.1.45)</w:t>
      </w:r>
    </w:p>
    <w:p w:rsidR="00E664E4" w:rsidRDefault="00C851DF" w:rsidP="00E664E4">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6,18</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7,18</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8,18</m:t>
            </m:r>
          </m:sub>
        </m:sSub>
        <m:r>
          <w:rPr>
            <w:rFonts w:ascii="Cambria Math" w:hAnsi="Cambria Math" w:cstheme="minorHAnsi"/>
          </w:rPr>
          <m:t>=0</m:t>
        </m:r>
      </m:oMath>
      <w:r w:rsidR="00E664E4">
        <w:rPr>
          <w:rFonts w:eastAsiaTheme="minorEastAsia" w:cstheme="minorHAnsi"/>
        </w:rPr>
        <w:t xml:space="preserve">   </w:t>
      </w:r>
      <w:r w:rsidR="00E664E4">
        <w:rPr>
          <w:rFonts w:eastAsiaTheme="minorEastAsia" w:cstheme="minorHAnsi"/>
        </w:rPr>
        <w:tab/>
      </w:r>
      <w:r w:rsidR="00E664E4">
        <w:rPr>
          <w:rFonts w:eastAsiaTheme="minorEastAsia" w:cstheme="minorHAnsi"/>
        </w:rPr>
        <w:tab/>
      </w:r>
      <w:r w:rsidR="00E664E4">
        <w:rPr>
          <w:rFonts w:eastAsiaTheme="minorEastAsia" w:cstheme="minorHAnsi"/>
        </w:rPr>
        <w:tab/>
      </w:r>
      <w:r w:rsidR="00E664E4">
        <w:rPr>
          <w:rFonts w:eastAsiaTheme="minorEastAsia" w:cstheme="minorHAnsi"/>
        </w:rPr>
        <w:tab/>
        <w:t>Eq. (3.2.1.46)</w:t>
      </w:r>
    </w:p>
    <w:p w:rsidR="00E664E4" w:rsidRDefault="00C851DF" w:rsidP="00E664E4">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6,20</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7,20</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8,20</m:t>
            </m:r>
          </m:sub>
        </m:sSub>
        <m:r>
          <w:rPr>
            <w:rFonts w:ascii="Cambria Math" w:hAnsi="Cambria Math" w:cstheme="minorHAnsi"/>
          </w:rPr>
          <m:t>=0</m:t>
        </m:r>
      </m:oMath>
      <w:r w:rsidR="00E664E4">
        <w:rPr>
          <w:rFonts w:eastAsiaTheme="minorEastAsia" w:cstheme="minorHAnsi"/>
        </w:rPr>
        <w:t xml:space="preserve">   </w:t>
      </w:r>
      <w:r w:rsidR="00E664E4">
        <w:rPr>
          <w:rFonts w:eastAsiaTheme="minorEastAsia" w:cstheme="minorHAnsi"/>
        </w:rPr>
        <w:tab/>
      </w:r>
      <w:r w:rsidR="00E664E4">
        <w:rPr>
          <w:rFonts w:eastAsiaTheme="minorEastAsia" w:cstheme="minorHAnsi"/>
        </w:rPr>
        <w:tab/>
      </w:r>
      <w:r w:rsidR="00E664E4">
        <w:rPr>
          <w:rFonts w:eastAsiaTheme="minorEastAsia" w:cstheme="minorHAnsi"/>
        </w:rPr>
        <w:tab/>
      </w:r>
      <w:r w:rsidR="00E664E4">
        <w:rPr>
          <w:rFonts w:eastAsiaTheme="minorEastAsia" w:cstheme="minorHAnsi"/>
        </w:rPr>
        <w:tab/>
        <w:t>Eq. (3.2.1.47)</w:t>
      </w:r>
    </w:p>
    <w:p w:rsidR="00E664E4" w:rsidRPr="004045DF" w:rsidRDefault="00C851DF" w:rsidP="004045DF">
      <w:pPr>
        <w:jc w:val="right"/>
      </w:pPr>
      <m:oMath>
        <m:sSub>
          <m:sSubPr>
            <m:ctrlPr>
              <w:rPr>
                <w:rFonts w:ascii="Cambria Math" w:hAnsi="Cambria Math"/>
                <w:i/>
              </w:rPr>
            </m:ctrlPr>
          </m:sSubPr>
          <m:e>
            <m:r>
              <w:rPr>
                <w:rFonts w:ascii="Cambria Math" w:hAnsi="Cambria Math"/>
              </w:rPr>
              <m:t>F</m:t>
            </m:r>
          </m:e>
          <m:sub>
            <m:r>
              <w:rPr>
                <w:rFonts w:ascii="Cambria Math" w:hAnsi="Cambria Math"/>
              </w:rPr>
              <m:t>6,21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7,21</m:t>
            </m:r>
          </m:sub>
        </m:sSub>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8,21</m:t>
            </m:r>
          </m:sub>
        </m:sSub>
        <m:r>
          <w:rPr>
            <w:rFonts w:ascii="Cambria Math" w:hAnsi="Cambria Math"/>
          </w:rPr>
          <m:t>=0</m:t>
        </m:r>
      </m:oMath>
      <w:r w:rsidR="00E664E4">
        <w:t xml:space="preserve">   </w:t>
      </w:r>
      <w:r w:rsidR="00E664E4">
        <w:tab/>
      </w:r>
      <w:r w:rsidR="00E664E4">
        <w:tab/>
      </w:r>
      <w:r w:rsidR="00E664E4">
        <w:tab/>
      </w:r>
      <w:r w:rsidR="00E664E4">
        <w:tab/>
        <w:t>Eq. (3.2.1.48)</w:t>
      </w:r>
    </w:p>
    <w:p w:rsidR="00E664E4" w:rsidRDefault="00E664E4" w:rsidP="00E664E4">
      <w:pPr>
        <w:rPr>
          <w:rFonts w:asciiTheme="majorHAnsi" w:hAnsiTheme="majorHAnsi"/>
          <w:b/>
          <w:i/>
        </w:rPr>
      </w:pPr>
      <w:r w:rsidRPr="00C26992">
        <w:rPr>
          <w:rFonts w:asciiTheme="majorHAnsi" w:hAnsiTheme="majorHAnsi"/>
          <w:b/>
          <w:i/>
        </w:rPr>
        <w:lastRenderedPageBreak/>
        <w:t>3.2.1.</w:t>
      </w:r>
      <w:r>
        <w:rPr>
          <w:rFonts w:asciiTheme="majorHAnsi" w:hAnsiTheme="majorHAnsi"/>
          <w:b/>
          <w:i/>
        </w:rPr>
        <w:t>4 Module 1D</w:t>
      </w:r>
    </w:p>
    <w:p w:rsidR="00E664E4" w:rsidRDefault="00E664E4" w:rsidP="00E664E4">
      <w:r w:rsidRPr="00297318">
        <w:t>Mo</w:t>
      </w:r>
      <w:r>
        <w:t>dule 1D wa</w:t>
      </w:r>
      <w:r w:rsidRPr="00297318">
        <w:t xml:space="preserve">s the splitter which creates the recycle streams for the previous </w:t>
      </w:r>
      <w:r>
        <w:t>sub-modules. This recycle reduced the amount of uranium that wa</w:t>
      </w:r>
      <w:r w:rsidRPr="00297318">
        <w:t>s l</w:t>
      </w:r>
      <w:r>
        <w:t xml:space="preserve">ost to waste. The input stream was evenly split into three </w:t>
      </w:r>
      <w:r w:rsidRPr="00297318">
        <w:t xml:space="preserve">output </w:t>
      </w:r>
      <w:r>
        <w:t>streams, as shown in E</w:t>
      </w:r>
      <w:r w:rsidRPr="009D034F">
        <w:t>quations 3.2.1.49–3.2.1.66. Figure 3.7 shows a block diagram of Module 1D with</w:t>
      </w:r>
      <w:r w:rsidRPr="00297318">
        <w:t xml:space="preserve"> the input and output streams labeled. </w:t>
      </w:r>
    </w:p>
    <w:p w:rsidR="00BD31C2" w:rsidRDefault="00C851DF" w:rsidP="00BD31C2">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7,1</m:t>
            </m:r>
          </m:sub>
        </m:sSub>
        <m:r>
          <w:rPr>
            <w:rFonts w:ascii="Cambria Math" w:hAnsi="Cambria Math" w:cstheme="minorHAnsi"/>
          </w:rPr>
          <m:t>*(</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3</m:t>
            </m:r>
          </m:den>
        </m:f>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9,1</m:t>
            </m:r>
          </m:sub>
        </m:sSub>
        <m:r>
          <w:rPr>
            <w:rFonts w:ascii="Cambria Math" w:hAnsi="Cambria Math" w:cstheme="minorHAnsi"/>
          </w:rPr>
          <m:t>=0</m:t>
        </m:r>
      </m:oMath>
      <w:r w:rsidR="00BD31C2">
        <w:rPr>
          <w:rFonts w:eastAsiaTheme="minorEastAsia" w:cstheme="minorHAnsi"/>
        </w:rPr>
        <w:t xml:space="preserve">   </w:t>
      </w:r>
      <w:r w:rsidR="00BD31C2">
        <w:rPr>
          <w:rFonts w:eastAsiaTheme="minorEastAsia" w:cstheme="minorHAnsi"/>
        </w:rPr>
        <w:tab/>
      </w:r>
      <w:r w:rsidR="00BD31C2">
        <w:rPr>
          <w:rFonts w:eastAsiaTheme="minorEastAsia" w:cstheme="minorHAnsi"/>
        </w:rPr>
        <w:tab/>
      </w:r>
      <w:r w:rsidR="00BD31C2">
        <w:rPr>
          <w:rFonts w:eastAsiaTheme="minorEastAsia" w:cstheme="minorHAnsi"/>
        </w:rPr>
        <w:tab/>
      </w:r>
      <w:r w:rsidR="00BD31C2">
        <w:rPr>
          <w:rFonts w:eastAsiaTheme="minorEastAsia" w:cstheme="minorHAnsi"/>
        </w:rPr>
        <w:tab/>
        <w:t>Eq. (3.2.1.49)</w:t>
      </w:r>
    </w:p>
    <w:p w:rsidR="00BD31C2" w:rsidRDefault="00C851DF" w:rsidP="00BD31C2">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7,9</m:t>
            </m:r>
          </m:sub>
        </m:sSub>
        <m:r>
          <w:rPr>
            <w:rFonts w:ascii="Cambria Math" w:hAnsi="Cambria Math" w:cstheme="minorHAnsi"/>
          </w:rPr>
          <m:t>*(</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3</m:t>
            </m:r>
          </m:den>
        </m:f>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9,9</m:t>
            </m:r>
          </m:sub>
        </m:sSub>
        <m:r>
          <w:rPr>
            <w:rFonts w:ascii="Cambria Math" w:hAnsi="Cambria Math" w:cstheme="minorHAnsi"/>
          </w:rPr>
          <m:t>=0</m:t>
        </m:r>
      </m:oMath>
      <w:r w:rsidR="00BD31C2">
        <w:rPr>
          <w:rFonts w:eastAsiaTheme="minorEastAsia" w:cstheme="minorHAnsi"/>
        </w:rPr>
        <w:t xml:space="preserve">   </w:t>
      </w:r>
      <w:r w:rsidR="00BD31C2">
        <w:rPr>
          <w:rFonts w:eastAsiaTheme="minorEastAsia" w:cstheme="minorHAnsi"/>
        </w:rPr>
        <w:tab/>
      </w:r>
      <w:r w:rsidR="00BD31C2">
        <w:rPr>
          <w:rFonts w:eastAsiaTheme="minorEastAsia" w:cstheme="minorHAnsi"/>
        </w:rPr>
        <w:tab/>
      </w:r>
      <w:r w:rsidR="00BD31C2">
        <w:rPr>
          <w:rFonts w:eastAsiaTheme="minorEastAsia" w:cstheme="minorHAnsi"/>
        </w:rPr>
        <w:tab/>
      </w:r>
      <w:r w:rsidR="00BD31C2">
        <w:rPr>
          <w:rFonts w:eastAsiaTheme="minorEastAsia" w:cstheme="minorHAnsi"/>
        </w:rPr>
        <w:tab/>
        <w:t>Eq. (3.2.1.50)</w:t>
      </w:r>
    </w:p>
    <w:p w:rsidR="00BD31C2" w:rsidRDefault="00C851DF" w:rsidP="00BD31C2">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7,14</m:t>
            </m:r>
          </m:sub>
        </m:sSub>
        <m:r>
          <w:rPr>
            <w:rFonts w:ascii="Cambria Math" w:hAnsi="Cambria Math" w:cstheme="minorHAnsi"/>
          </w:rPr>
          <m:t>*(</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3</m:t>
            </m:r>
          </m:den>
        </m:f>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9,14</m:t>
            </m:r>
          </m:sub>
        </m:sSub>
        <m:r>
          <w:rPr>
            <w:rFonts w:ascii="Cambria Math" w:hAnsi="Cambria Math" w:cstheme="minorHAnsi"/>
          </w:rPr>
          <m:t>=0</m:t>
        </m:r>
      </m:oMath>
      <w:r w:rsidR="00BD31C2">
        <w:rPr>
          <w:rFonts w:eastAsiaTheme="minorEastAsia" w:cstheme="minorHAnsi"/>
        </w:rPr>
        <w:t xml:space="preserve">   </w:t>
      </w:r>
      <w:r w:rsidR="00BD31C2">
        <w:rPr>
          <w:rFonts w:eastAsiaTheme="minorEastAsia" w:cstheme="minorHAnsi"/>
        </w:rPr>
        <w:tab/>
      </w:r>
      <w:r w:rsidR="00BD31C2">
        <w:rPr>
          <w:rFonts w:eastAsiaTheme="minorEastAsia" w:cstheme="minorHAnsi"/>
        </w:rPr>
        <w:tab/>
      </w:r>
      <w:r w:rsidR="005914FF">
        <w:rPr>
          <w:rFonts w:eastAsiaTheme="minorEastAsia" w:cstheme="minorHAnsi"/>
        </w:rPr>
        <w:tab/>
      </w:r>
      <w:r w:rsidR="00BD31C2">
        <w:rPr>
          <w:rFonts w:eastAsiaTheme="minorEastAsia" w:cstheme="minorHAnsi"/>
        </w:rPr>
        <w:tab/>
        <w:t>Eq. (3.2.1.51)</w:t>
      </w:r>
    </w:p>
    <w:p w:rsidR="00BD31C2" w:rsidRDefault="00C851DF" w:rsidP="00BD31C2">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7,18</m:t>
            </m:r>
          </m:sub>
        </m:sSub>
        <m:r>
          <w:rPr>
            <w:rFonts w:ascii="Cambria Math" w:hAnsi="Cambria Math" w:cstheme="minorHAnsi"/>
          </w:rPr>
          <m:t>*(</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3</m:t>
            </m:r>
          </m:den>
        </m:f>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9,18</m:t>
            </m:r>
          </m:sub>
        </m:sSub>
        <m:r>
          <w:rPr>
            <w:rFonts w:ascii="Cambria Math" w:hAnsi="Cambria Math" w:cstheme="minorHAnsi"/>
          </w:rPr>
          <m:t>=0</m:t>
        </m:r>
      </m:oMath>
      <w:r w:rsidR="00BD31C2">
        <w:rPr>
          <w:rFonts w:eastAsiaTheme="minorEastAsia" w:cstheme="minorHAnsi"/>
        </w:rPr>
        <w:t xml:space="preserve">   </w:t>
      </w:r>
      <w:r w:rsidR="00BD31C2">
        <w:rPr>
          <w:rFonts w:eastAsiaTheme="minorEastAsia" w:cstheme="minorHAnsi"/>
        </w:rPr>
        <w:tab/>
      </w:r>
      <w:r w:rsidR="00BD31C2">
        <w:rPr>
          <w:rFonts w:eastAsiaTheme="minorEastAsia" w:cstheme="minorHAnsi"/>
        </w:rPr>
        <w:tab/>
      </w:r>
      <w:r w:rsidR="005914FF">
        <w:rPr>
          <w:rFonts w:eastAsiaTheme="minorEastAsia" w:cstheme="minorHAnsi"/>
        </w:rPr>
        <w:tab/>
      </w:r>
      <w:r w:rsidR="00BD31C2">
        <w:rPr>
          <w:rFonts w:eastAsiaTheme="minorEastAsia" w:cstheme="minorHAnsi"/>
        </w:rPr>
        <w:tab/>
        <w:t>Eq. (3.2.1.52)</w:t>
      </w:r>
    </w:p>
    <w:p w:rsidR="00BD31C2" w:rsidRDefault="00C851DF" w:rsidP="00BD31C2">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7,20</m:t>
            </m:r>
          </m:sub>
        </m:sSub>
        <m:r>
          <w:rPr>
            <w:rFonts w:ascii="Cambria Math" w:hAnsi="Cambria Math" w:cstheme="minorHAnsi"/>
          </w:rPr>
          <m:t>*(</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3</m:t>
            </m:r>
          </m:den>
        </m:f>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9,20</m:t>
            </m:r>
          </m:sub>
        </m:sSub>
        <m:r>
          <w:rPr>
            <w:rFonts w:ascii="Cambria Math" w:hAnsi="Cambria Math" w:cstheme="minorHAnsi"/>
          </w:rPr>
          <m:t>=0</m:t>
        </m:r>
      </m:oMath>
      <w:r w:rsidR="00BD31C2">
        <w:rPr>
          <w:rFonts w:eastAsiaTheme="minorEastAsia" w:cstheme="minorHAnsi"/>
        </w:rPr>
        <w:t xml:space="preserve">   </w:t>
      </w:r>
      <w:r w:rsidR="00BD31C2">
        <w:rPr>
          <w:rFonts w:eastAsiaTheme="minorEastAsia" w:cstheme="minorHAnsi"/>
        </w:rPr>
        <w:tab/>
      </w:r>
      <w:r w:rsidR="005914FF">
        <w:rPr>
          <w:rFonts w:eastAsiaTheme="minorEastAsia" w:cstheme="minorHAnsi"/>
        </w:rPr>
        <w:tab/>
      </w:r>
      <w:r w:rsidR="00BD31C2">
        <w:rPr>
          <w:rFonts w:eastAsiaTheme="minorEastAsia" w:cstheme="minorHAnsi"/>
        </w:rPr>
        <w:tab/>
      </w:r>
      <w:r w:rsidR="00BD31C2">
        <w:rPr>
          <w:rFonts w:eastAsiaTheme="minorEastAsia" w:cstheme="minorHAnsi"/>
        </w:rPr>
        <w:tab/>
        <w:t>Eq. (3.2.1.53)</w:t>
      </w:r>
    </w:p>
    <w:p w:rsidR="00BD31C2" w:rsidRDefault="00C851DF" w:rsidP="00BD31C2">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7,21</m:t>
            </m:r>
          </m:sub>
        </m:sSub>
        <m:r>
          <w:rPr>
            <w:rFonts w:ascii="Cambria Math" w:hAnsi="Cambria Math" w:cstheme="minorHAnsi"/>
          </w:rPr>
          <m:t>*(</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3</m:t>
            </m:r>
          </m:den>
        </m:f>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9,21</m:t>
            </m:r>
          </m:sub>
        </m:sSub>
        <m:r>
          <w:rPr>
            <w:rFonts w:ascii="Cambria Math" w:hAnsi="Cambria Math" w:cstheme="minorHAnsi"/>
          </w:rPr>
          <m:t>=0</m:t>
        </m:r>
      </m:oMath>
      <w:r w:rsidR="00BD31C2">
        <w:rPr>
          <w:rFonts w:eastAsiaTheme="minorEastAsia" w:cstheme="minorHAnsi"/>
        </w:rPr>
        <w:t xml:space="preserve">   </w:t>
      </w:r>
      <w:r w:rsidR="00BD31C2">
        <w:rPr>
          <w:rFonts w:eastAsiaTheme="minorEastAsia" w:cstheme="minorHAnsi"/>
        </w:rPr>
        <w:tab/>
      </w:r>
      <w:r w:rsidR="005914FF">
        <w:rPr>
          <w:rFonts w:eastAsiaTheme="minorEastAsia" w:cstheme="minorHAnsi"/>
        </w:rPr>
        <w:tab/>
      </w:r>
      <w:r w:rsidR="00BD31C2">
        <w:rPr>
          <w:rFonts w:eastAsiaTheme="minorEastAsia" w:cstheme="minorHAnsi"/>
        </w:rPr>
        <w:tab/>
      </w:r>
      <w:r w:rsidR="00BD31C2">
        <w:rPr>
          <w:rFonts w:eastAsiaTheme="minorEastAsia" w:cstheme="minorHAnsi"/>
        </w:rPr>
        <w:tab/>
        <w:t>Eq. (3.2.1.54)</w:t>
      </w:r>
    </w:p>
    <w:p w:rsidR="00BD31C2" w:rsidRDefault="00C851DF" w:rsidP="00BD31C2">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7,1</m:t>
            </m:r>
          </m:sub>
        </m:sSub>
        <m:r>
          <w:rPr>
            <w:rFonts w:ascii="Cambria Math" w:hAnsi="Cambria Math" w:cstheme="minorHAnsi"/>
          </w:rPr>
          <m:t>*(</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3</m:t>
            </m:r>
          </m:den>
        </m:f>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10,1</m:t>
            </m:r>
          </m:sub>
        </m:sSub>
        <m:r>
          <w:rPr>
            <w:rFonts w:ascii="Cambria Math" w:hAnsi="Cambria Math" w:cstheme="minorHAnsi"/>
          </w:rPr>
          <m:t>=0</m:t>
        </m:r>
      </m:oMath>
      <w:r w:rsidR="00BD31C2">
        <w:rPr>
          <w:rFonts w:eastAsiaTheme="minorEastAsia" w:cstheme="minorHAnsi"/>
        </w:rPr>
        <w:t xml:space="preserve">   </w:t>
      </w:r>
      <w:r w:rsidR="00BD31C2">
        <w:rPr>
          <w:rFonts w:eastAsiaTheme="minorEastAsia" w:cstheme="minorHAnsi"/>
        </w:rPr>
        <w:tab/>
      </w:r>
      <w:r w:rsidR="00BD31C2">
        <w:rPr>
          <w:rFonts w:eastAsiaTheme="minorEastAsia" w:cstheme="minorHAnsi"/>
        </w:rPr>
        <w:tab/>
      </w:r>
      <w:r w:rsidR="00BD31C2">
        <w:rPr>
          <w:rFonts w:eastAsiaTheme="minorEastAsia" w:cstheme="minorHAnsi"/>
        </w:rPr>
        <w:tab/>
      </w:r>
      <w:r w:rsidR="00BD31C2">
        <w:rPr>
          <w:rFonts w:eastAsiaTheme="minorEastAsia" w:cstheme="minorHAnsi"/>
        </w:rPr>
        <w:tab/>
        <w:t>Eq. (3.2.1.55)</w:t>
      </w:r>
    </w:p>
    <w:p w:rsidR="00BD31C2" w:rsidRDefault="00C851DF" w:rsidP="00BD31C2">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7,9</m:t>
            </m:r>
          </m:sub>
        </m:sSub>
        <m:r>
          <w:rPr>
            <w:rFonts w:ascii="Cambria Math" w:hAnsi="Cambria Math" w:cstheme="minorHAnsi"/>
          </w:rPr>
          <m:t>*(</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3</m:t>
            </m:r>
          </m:den>
        </m:f>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10,9</m:t>
            </m:r>
          </m:sub>
        </m:sSub>
        <m:r>
          <w:rPr>
            <w:rFonts w:ascii="Cambria Math" w:hAnsi="Cambria Math" w:cstheme="minorHAnsi"/>
          </w:rPr>
          <m:t>=0</m:t>
        </m:r>
      </m:oMath>
      <w:r w:rsidR="00BD31C2">
        <w:rPr>
          <w:rFonts w:eastAsiaTheme="minorEastAsia" w:cstheme="minorHAnsi"/>
        </w:rPr>
        <w:t xml:space="preserve">   </w:t>
      </w:r>
      <w:r w:rsidR="00BD31C2">
        <w:rPr>
          <w:rFonts w:eastAsiaTheme="minorEastAsia" w:cstheme="minorHAnsi"/>
        </w:rPr>
        <w:tab/>
      </w:r>
      <w:r w:rsidR="00BD31C2">
        <w:rPr>
          <w:rFonts w:eastAsiaTheme="minorEastAsia" w:cstheme="minorHAnsi"/>
        </w:rPr>
        <w:tab/>
      </w:r>
      <w:r w:rsidR="00BD31C2">
        <w:rPr>
          <w:rFonts w:eastAsiaTheme="minorEastAsia" w:cstheme="minorHAnsi"/>
        </w:rPr>
        <w:tab/>
      </w:r>
      <w:r w:rsidR="00BD31C2">
        <w:rPr>
          <w:rFonts w:eastAsiaTheme="minorEastAsia" w:cstheme="minorHAnsi"/>
        </w:rPr>
        <w:tab/>
        <w:t>Eq. (3.2.1.56)</w:t>
      </w:r>
    </w:p>
    <w:p w:rsidR="00BD31C2" w:rsidRDefault="00C851DF" w:rsidP="00BD31C2">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7,14</m:t>
            </m:r>
          </m:sub>
        </m:sSub>
        <m:r>
          <w:rPr>
            <w:rFonts w:ascii="Cambria Math" w:hAnsi="Cambria Math" w:cstheme="minorHAnsi"/>
          </w:rPr>
          <m:t>*(</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3</m:t>
            </m:r>
          </m:den>
        </m:f>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10,14</m:t>
            </m:r>
          </m:sub>
        </m:sSub>
        <m:r>
          <w:rPr>
            <w:rFonts w:ascii="Cambria Math" w:hAnsi="Cambria Math" w:cstheme="minorHAnsi"/>
          </w:rPr>
          <m:t>=0</m:t>
        </m:r>
      </m:oMath>
      <w:r w:rsidR="00BD31C2">
        <w:rPr>
          <w:rFonts w:eastAsiaTheme="minorEastAsia" w:cstheme="minorHAnsi"/>
        </w:rPr>
        <w:t xml:space="preserve">   </w:t>
      </w:r>
      <w:r w:rsidR="00BD31C2">
        <w:rPr>
          <w:rFonts w:eastAsiaTheme="minorEastAsia" w:cstheme="minorHAnsi"/>
        </w:rPr>
        <w:tab/>
      </w:r>
      <w:r w:rsidR="00BD31C2">
        <w:rPr>
          <w:rFonts w:eastAsiaTheme="minorEastAsia" w:cstheme="minorHAnsi"/>
        </w:rPr>
        <w:tab/>
      </w:r>
      <w:r w:rsidR="00BD31C2">
        <w:rPr>
          <w:rFonts w:eastAsiaTheme="minorEastAsia" w:cstheme="minorHAnsi"/>
        </w:rPr>
        <w:tab/>
        <w:t>Eq. (3.2.1.57)</w:t>
      </w:r>
    </w:p>
    <w:p w:rsidR="00BD31C2" w:rsidRDefault="00C851DF" w:rsidP="00BD31C2">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7,18</m:t>
            </m:r>
          </m:sub>
        </m:sSub>
        <m:r>
          <w:rPr>
            <w:rFonts w:ascii="Cambria Math" w:hAnsi="Cambria Math" w:cstheme="minorHAnsi"/>
          </w:rPr>
          <m:t>*(</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3</m:t>
            </m:r>
          </m:den>
        </m:f>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10,18</m:t>
            </m:r>
          </m:sub>
        </m:sSub>
        <m:r>
          <w:rPr>
            <w:rFonts w:ascii="Cambria Math" w:hAnsi="Cambria Math" w:cstheme="minorHAnsi"/>
          </w:rPr>
          <m:t>=0</m:t>
        </m:r>
      </m:oMath>
      <w:r w:rsidR="00BD31C2">
        <w:rPr>
          <w:rFonts w:eastAsiaTheme="minorEastAsia" w:cstheme="minorHAnsi"/>
        </w:rPr>
        <w:t xml:space="preserve">   </w:t>
      </w:r>
      <w:r w:rsidR="00BD31C2">
        <w:rPr>
          <w:rFonts w:eastAsiaTheme="minorEastAsia" w:cstheme="minorHAnsi"/>
        </w:rPr>
        <w:tab/>
      </w:r>
      <w:r w:rsidR="00BD31C2">
        <w:rPr>
          <w:rFonts w:eastAsiaTheme="minorEastAsia" w:cstheme="minorHAnsi"/>
        </w:rPr>
        <w:tab/>
      </w:r>
      <w:r w:rsidR="00BD31C2">
        <w:rPr>
          <w:rFonts w:eastAsiaTheme="minorEastAsia" w:cstheme="minorHAnsi"/>
        </w:rPr>
        <w:tab/>
        <w:t>Eq. (3.2.1.58)</w:t>
      </w:r>
    </w:p>
    <w:p w:rsidR="00BD31C2" w:rsidRDefault="00C851DF" w:rsidP="00BD31C2">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7,20</m:t>
            </m:r>
          </m:sub>
        </m:sSub>
        <m:r>
          <w:rPr>
            <w:rFonts w:ascii="Cambria Math" w:hAnsi="Cambria Math" w:cstheme="minorHAnsi"/>
          </w:rPr>
          <m:t>*(</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3</m:t>
            </m:r>
          </m:den>
        </m:f>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10,20</m:t>
            </m:r>
          </m:sub>
        </m:sSub>
        <m:r>
          <w:rPr>
            <w:rFonts w:ascii="Cambria Math" w:hAnsi="Cambria Math" w:cstheme="minorHAnsi"/>
          </w:rPr>
          <m:t>=0</m:t>
        </m:r>
      </m:oMath>
      <w:r w:rsidR="00BD31C2">
        <w:rPr>
          <w:rFonts w:eastAsiaTheme="minorEastAsia" w:cstheme="minorHAnsi"/>
        </w:rPr>
        <w:t xml:space="preserve">   </w:t>
      </w:r>
      <w:r w:rsidR="00BD31C2">
        <w:rPr>
          <w:rFonts w:eastAsiaTheme="minorEastAsia" w:cstheme="minorHAnsi"/>
        </w:rPr>
        <w:tab/>
      </w:r>
      <w:r w:rsidR="00BD31C2">
        <w:rPr>
          <w:rFonts w:eastAsiaTheme="minorEastAsia" w:cstheme="minorHAnsi"/>
        </w:rPr>
        <w:tab/>
      </w:r>
      <w:r w:rsidR="00BD31C2">
        <w:rPr>
          <w:rFonts w:eastAsiaTheme="minorEastAsia" w:cstheme="minorHAnsi"/>
        </w:rPr>
        <w:tab/>
        <w:t>Eq. (3.2.1.59)</w:t>
      </w:r>
    </w:p>
    <w:p w:rsidR="00BD31C2" w:rsidRDefault="00C851DF" w:rsidP="00BD31C2">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7,21</m:t>
            </m:r>
          </m:sub>
        </m:sSub>
        <m:r>
          <w:rPr>
            <w:rFonts w:ascii="Cambria Math" w:hAnsi="Cambria Math" w:cstheme="minorHAnsi"/>
          </w:rPr>
          <m:t>*(</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3</m:t>
            </m:r>
          </m:den>
        </m:f>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10,21</m:t>
            </m:r>
          </m:sub>
        </m:sSub>
        <m:r>
          <w:rPr>
            <w:rFonts w:ascii="Cambria Math" w:hAnsi="Cambria Math" w:cstheme="minorHAnsi"/>
          </w:rPr>
          <m:t>=0</m:t>
        </m:r>
      </m:oMath>
      <w:r w:rsidR="00BD31C2">
        <w:rPr>
          <w:rFonts w:eastAsiaTheme="minorEastAsia" w:cstheme="minorHAnsi"/>
        </w:rPr>
        <w:t xml:space="preserve">   </w:t>
      </w:r>
      <w:r w:rsidR="00BD31C2">
        <w:rPr>
          <w:rFonts w:eastAsiaTheme="minorEastAsia" w:cstheme="minorHAnsi"/>
        </w:rPr>
        <w:tab/>
      </w:r>
      <w:r w:rsidR="00BD31C2">
        <w:rPr>
          <w:rFonts w:eastAsiaTheme="minorEastAsia" w:cstheme="minorHAnsi"/>
        </w:rPr>
        <w:tab/>
      </w:r>
      <w:r w:rsidR="00BD31C2">
        <w:rPr>
          <w:rFonts w:eastAsiaTheme="minorEastAsia" w:cstheme="minorHAnsi"/>
        </w:rPr>
        <w:tab/>
        <w:t>Eq. (3.2.1.60)</w:t>
      </w:r>
    </w:p>
    <w:p w:rsidR="00AC7D91" w:rsidRPr="00BD2401" w:rsidRDefault="00C851DF" w:rsidP="00AC7D91">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7,1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9,1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10,1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11,1</m:t>
            </m:r>
          </m:sub>
        </m:sSub>
        <m:r>
          <w:rPr>
            <w:rFonts w:ascii="Cambria Math" w:hAnsi="Cambria Math" w:cstheme="minorHAnsi"/>
          </w:rPr>
          <m:t>=0</m:t>
        </m:r>
      </m:oMath>
      <w:r w:rsidR="00AC7D91">
        <w:rPr>
          <w:rFonts w:eastAsiaTheme="minorEastAsia" w:cstheme="minorHAnsi"/>
        </w:rPr>
        <w:t xml:space="preserve">   </w:t>
      </w:r>
      <w:r w:rsidR="00AC7D91">
        <w:rPr>
          <w:rFonts w:eastAsiaTheme="minorEastAsia" w:cstheme="minorHAnsi"/>
        </w:rPr>
        <w:tab/>
      </w:r>
      <w:r w:rsidR="00AC7D91">
        <w:rPr>
          <w:rFonts w:eastAsiaTheme="minorEastAsia" w:cstheme="minorHAnsi"/>
        </w:rPr>
        <w:tab/>
      </w:r>
      <w:r w:rsidR="00AC7D91">
        <w:rPr>
          <w:rFonts w:eastAsiaTheme="minorEastAsia" w:cstheme="minorHAnsi"/>
        </w:rPr>
        <w:tab/>
      </w:r>
      <w:r w:rsidR="00AC7D91">
        <w:rPr>
          <w:rFonts w:eastAsiaTheme="minorEastAsia" w:cstheme="minorHAnsi"/>
        </w:rPr>
        <w:tab/>
        <w:t>Eq. (3.2.1.61)</w:t>
      </w:r>
    </w:p>
    <w:p w:rsidR="00AC7D91" w:rsidRDefault="00C851DF" w:rsidP="00AC7D91">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7,9</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9,9</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10,9</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11,9</m:t>
            </m:r>
          </m:sub>
        </m:sSub>
        <m:r>
          <w:rPr>
            <w:rFonts w:ascii="Cambria Math" w:hAnsi="Cambria Math" w:cstheme="minorHAnsi"/>
          </w:rPr>
          <m:t>=0</m:t>
        </m:r>
      </m:oMath>
      <w:r w:rsidR="00AC7D91">
        <w:rPr>
          <w:rFonts w:eastAsiaTheme="minorEastAsia" w:cstheme="minorHAnsi"/>
        </w:rPr>
        <w:t xml:space="preserve">   </w:t>
      </w:r>
      <w:r w:rsidR="00AC7D91">
        <w:rPr>
          <w:rFonts w:eastAsiaTheme="minorEastAsia" w:cstheme="minorHAnsi"/>
        </w:rPr>
        <w:tab/>
      </w:r>
      <w:r w:rsidR="00AC7D91">
        <w:rPr>
          <w:rFonts w:eastAsiaTheme="minorEastAsia" w:cstheme="minorHAnsi"/>
        </w:rPr>
        <w:tab/>
      </w:r>
      <w:r w:rsidR="00AC7D91">
        <w:rPr>
          <w:rFonts w:eastAsiaTheme="minorEastAsia" w:cstheme="minorHAnsi"/>
        </w:rPr>
        <w:tab/>
      </w:r>
      <w:r w:rsidR="00AC7D91">
        <w:rPr>
          <w:rFonts w:eastAsiaTheme="minorEastAsia" w:cstheme="minorHAnsi"/>
        </w:rPr>
        <w:tab/>
        <w:t>Eq. (3.2.1.62)</w:t>
      </w:r>
    </w:p>
    <w:p w:rsidR="00AC7D91" w:rsidRDefault="00C851DF" w:rsidP="00AC7D91">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7,14</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9,14</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10,14</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11,14</m:t>
            </m:r>
          </m:sub>
        </m:sSub>
        <m:r>
          <w:rPr>
            <w:rFonts w:ascii="Cambria Math" w:hAnsi="Cambria Math" w:cstheme="minorHAnsi"/>
          </w:rPr>
          <m:t>=0</m:t>
        </m:r>
      </m:oMath>
      <w:r w:rsidR="00AC7D91">
        <w:rPr>
          <w:rFonts w:eastAsiaTheme="minorEastAsia" w:cstheme="minorHAnsi"/>
        </w:rPr>
        <w:t xml:space="preserve">   </w:t>
      </w:r>
      <w:r w:rsidR="00AC7D91">
        <w:rPr>
          <w:rFonts w:eastAsiaTheme="minorEastAsia" w:cstheme="minorHAnsi"/>
        </w:rPr>
        <w:tab/>
      </w:r>
      <w:r w:rsidR="00AC7D91">
        <w:rPr>
          <w:rFonts w:eastAsiaTheme="minorEastAsia" w:cstheme="minorHAnsi"/>
        </w:rPr>
        <w:tab/>
      </w:r>
      <w:r w:rsidR="00AC7D91">
        <w:rPr>
          <w:rFonts w:eastAsiaTheme="minorEastAsia" w:cstheme="minorHAnsi"/>
        </w:rPr>
        <w:tab/>
        <w:t>Eq. (3.2.1.63)</w:t>
      </w:r>
    </w:p>
    <w:p w:rsidR="00AC7D91" w:rsidRDefault="00C851DF" w:rsidP="00AC7D91">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7,18</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9,18</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10,18</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11,18</m:t>
            </m:r>
          </m:sub>
        </m:sSub>
        <m:r>
          <w:rPr>
            <w:rFonts w:ascii="Cambria Math" w:hAnsi="Cambria Math" w:cstheme="minorHAnsi"/>
          </w:rPr>
          <m:t>=0</m:t>
        </m:r>
      </m:oMath>
      <w:r w:rsidR="00AC7D91">
        <w:rPr>
          <w:rFonts w:eastAsiaTheme="minorEastAsia" w:cstheme="minorHAnsi"/>
        </w:rPr>
        <w:t xml:space="preserve">   </w:t>
      </w:r>
      <w:r w:rsidR="00AC7D91">
        <w:rPr>
          <w:rFonts w:eastAsiaTheme="minorEastAsia" w:cstheme="minorHAnsi"/>
        </w:rPr>
        <w:tab/>
      </w:r>
      <w:r w:rsidR="00AC7D91">
        <w:rPr>
          <w:rFonts w:eastAsiaTheme="minorEastAsia" w:cstheme="minorHAnsi"/>
        </w:rPr>
        <w:tab/>
      </w:r>
      <w:r w:rsidR="00AC7D91">
        <w:rPr>
          <w:rFonts w:eastAsiaTheme="minorEastAsia" w:cstheme="minorHAnsi"/>
        </w:rPr>
        <w:tab/>
        <w:t>Eq. (3.2.1.64)</w:t>
      </w:r>
    </w:p>
    <w:p w:rsidR="00AC7D91" w:rsidRDefault="00AC7D91" w:rsidP="00BD31C2">
      <w:pPr>
        <w:jc w:val="right"/>
        <w:rPr>
          <w:rFonts w:eastAsiaTheme="minorEastAsia" w:cstheme="minorHAnsi"/>
        </w:rPr>
      </w:pPr>
    </w:p>
    <w:p w:rsidR="00BD31C2" w:rsidRPr="00297318" w:rsidRDefault="00BD31C2" w:rsidP="00E664E4"/>
    <w:p w:rsidR="00E664E4" w:rsidRPr="00297318" w:rsidRDefault="00E664E4" w:rsidP="00E664E4">
      <w:pPr>
        <w:jc w:val="center"/>
      </w:pPr>
      <w:r w:rsidRPr="00297318">
        <w:object w:dxaOrig="3468" w:dyaOrig="2385">
          <v:shape id="_x0000_i1029" type="#_x0000_t75" style="width:172.4pt;height:120.2pt" o:ole="">
            <v:imagedata r:id="rId35" o:title=""/>
          </v:shape>
          <o:OLEObject Type="Embed" ProgID="Visio.Drawing.11" ShapeID="_x0000_i1029" DrawAspect="Content" ObjectID="_1445525554" r:id="rId36"/>
        </w:object>
      </w:r>
    </w:p>
    <w:p w:rsidR="00E664E4" w:rsidRPr="00297318" w:rsidRDefault="00E664E4" w:rsidP="00E664E4">
      <w:pPr>
        <w:jc w:val="center"/>
        <w:rPr>
          <w:b/>
          <w:sz w:val="20"/>
          <w:szCs w:val="20"/>
        </w:rPr>
      </w:pPr>
      <w:r w:rsidRPr="009D034F">
        <w:rPr>
          <w:b/>
          <w:sz w:val="20"/>
          <w:szCs w:val="20"/>
        </w:rPr>
        <w:t xml:space="preserve">Figure 3.7. Block Diagram of the Module 1D </w:t>
      </w:r>
      <w:r w:rsidR="004045DF">
        <w:rPr>
          <w:b/>
          <w:sz w:val="20"/>
          <w:szCs w:val="20"/>
        </w:rPr>
        <w:t>Showing Input and Output Streams</w:t>
      </w:r>
      <w:r w:rsidRPr="009D034F">
        <w:rPr>
          <w:b/>
          <w:sz w:val="20"/>
          <w:szCs w:val="20"/>
        </w:rPr>
        <w:t>.</w:t>
      </w:r>
    </w:p>
    <w:p w:rsidR="00BD31C2" w:rsidRDefault="00BD31C2" w:rsidP="00BD31C2">
      <w:pPr>
        <w:jc w:val="right"/>
        <w:rPr>
          <w:rFonts w:eastAsiaTheme="minorEastAsia"/>
        </w:rPr>
      </w:pPr>
    </w:p>
    <w:p w:rsidR="00AC7D91" w:rsidRDefault="00C851DF" w:rsidP="00AC7D91">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7,20</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9,20</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10,20</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11,20</m:t>
            </m:r>
          </m:sub>
        </m:sSub>
        <m:r>
          <w:rPr>
            <w:rFonts w:ascii="Cambria Math" w:hAnsi="Cambria Math" w:cstheme="minorHAnsi"/>
          </w:rPr>
          <m:t>=0</m:t>
        </m:r>
      </m:oMath>
      <w:r w:rsidR="00AC7D91">
        <w:rPr>
          <w:rFonts w:eastAsiaTheme="minorEastAsia" w:cstheme="minorHAnsi"/>
        </w:rPr>
        <w:t xml:space="preserve">   </w:t>
      </w:r>
      <w:r w:rsidR="00AC7D91">
        <w:rPr>
          <w:rFonts w:eastAsiaTheme="minorEastAsia" w:cstheme="minorHAnsi"/>
        </w:rPr>
        <w:tab/>
      </w:r>
      <w:r w:rsidR="00AC7D91">
        <w:rPr>
          <w:rFonts w:eastAsiaTheme="minorEastAsia" w:cstheme="minorHAnsi"/>
        </w:rPr>
        <w:tab/>
      </w:r>
      <w:r w:rsidR="00AC7D91">
        <w:rPr>
          <w:rFonts w:eastAsiaTheme="minorEastAsia" w:cstheme="minorHAnsi"/>
        </w:rPr>
        <w:tab/>
        <w:t>Eq. (3.2.1.65)</w:t>
      </w:r>
    </w:p>
    <w:p w:rsidR="00AC7D91" w:rsidRDefault="00C851DF" w:rsidP="00AC7D91">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7,21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9,21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10,21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11,21</m:t>
            </m:r>
          </m:sub>
        </m:sSub>
        <m:r>
          <w:rPr>
            <w:rFonts w:ascii="Cambria Math" w:hAnsi="Cambria Math" w:cstheme="minorHAnsi"/>
          </w:rPr>
          <m:t>=0</m:t>
        </m:r>
      </m:oMath>
      <w:r w:rsidR="00AC7D91">
        <w:rPr>
          <w:rFonts w:eastAsiaTheme="minorEastAsia" w:cstheme="minorHAnsi"/>
        </w:rPr>
        <w:t xml:space="preserve">   </w:t>
      </w:r>
      <w:r w:rsidR="00AC7D91">
        <w:rPr>
          <w:rFonts w:eastAsiaTheme="minorEastAsia" w:cstheme="minorHAnsi"/>
        </w:rPr>
        <w:tab/>
      </w:r>
      <w:r w:rsidR="00AC7D91">
        <w:rPr>
          <w:rFonts w:eastAsiaTheme="minorEastAsia" w:cstheme="minorHAnsi"/>
        </w:rPr>
        <w:tab/>
      </w:r>
      <w:r w:rsidR="00AC7D91">
        <w:rPr>
          <w:rFonts w:eastAsiaTheme="minorEastAsia" w:cstheme="minorHAnsi"/>
        </w:rPr>
        <w:tab/>
        <w:t>Eq. (3.2.1.66)</w:t>
      </w:r>
    </w:p>
    <w:p w:rsidR="00AC7D91" w:rsidRDefault="00AC7D91" w:rsidP="00BD31C2">
      <w:pPr>
        <w:jc w:val="right"/>
        <w:rPr>
          <w:rFonts w:eastAsiaTheme="minorEastAsia"/>
        </w:rPr>
      </w:pPr>
    </w:p>
    <w:p w:rsidR="00E664E4" w:rsidRDefault="00E664E4" w:rsidP="00E664E4">
      <w:pPr>
        <w:rPr>
          <w:rFonts w:asciiTheme="majorHAnsi" w:hAnsiTheme="majorHAnsi"/>
          <w:b/>
          <w:i/>
        </w:rPr>
      </w:pPr>
      <w:r w:rsidRPr="00C26992">
        <w:rPr>
          <w:rFonts w:asciiTheme="majorHAnsi" w:hAnsiTheme="majorHAnsi"/>
          <w:b/>
          <w:i/>
        </w:rPr>
        <w:t>3.2.1.</w:t>
      </w:r>
      <w:r>
        <w:rPr>
          <w:rFonts w:asciiTheme="majorHAnsi" w:hAnsiTheme="majorHAnsi"/>
          <w:b/>
          <w:i/>
        </w:rPr>
        <w:t>5 Module 1E</w:t>
      </w:r>
    </w:p>
    <w:p w:rsidR="00E664E4" w:rsidRDefault="00E664E4" w:rsidP="00E664E4">
      <w:r>
        <w:t>Module 1E wa</w:t>
      </w:r>
      <w:r w:rsidRPr="001607CF">
        <w:t xml:space="preserve">s the final </w:t>
      </w:r>
      <w:r>
        <w:t>sub-module</w:t>
      </w:r>
      <w:r w:rsidRPr="001607CF">
        <w:t xml:space="preserve"> in Module 1. In this module, the liquid </w:t>
      </w:r>
      <w:r>
        <w:t>from the primary vacuum filter wa</w:t>
      </w:r>
      <w:r w:rsidRPr="001607CF">
        <w:t>s centrifuged to remove additi</w:t>
      </w:r>
      <w:r>
        <w:t>onal solid particulates. There we</w:t>
      </w:r>
      <w:r w:rsidRPr="001607CF">
        <w:t>re two outputs from the centrifuge: 1) the impure liquid uranyl nitrate stream which w</w:t>
      </w:r>
      <w:r>
        <w:t>as</w:t>
      </w:r>
      <w:r w:rsidRPr="001607CF">
        <w:t xml:space="preserve"> sent to solvent extraction for purification and 2) t</w:t>
      </w:r>
      <w:r>
        <w:t>he solid waste. The separation was</w:t>
      </w:r>
      <w:r w:rsidRPr="001607CF">
        <w:t xml:space="preserve"> defined as the fraction that </w:t>
      </w:r>
      <w:r>
        <w:t xml:space="preserve">was sent </w:t>
      </w:r>
      <w:r w:rsidRPr="001607CF">
        <w:t xml:space="preserve">to the liquid stream from the input </w:t>
      </w:r>
      <w:r w:rsidRPr="009D034F">
        <w:t xml:space="preserve">stream by </w:t>
      </w:r>
      <w:r>
        <w:t>parameter</w:t>
      </w:r>
      <w:r w:rsidRPr="009D034F">
        <w:t xml:space="preserve">, </w:t>
      </w: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1</m:t>
            </m:r>
            <m:r>
              <w:rPr>
                <w:rFonts w:ascii="Cambria Math" w:hAnsi="Cambria Math"/>
              </w:rPr>
              <m:t>E</m:t>
            </m:r>
            <m:r>
              <m:rPr>
                <m:sty m:val="p"/>
              </m:rPr>
              <w:rPr>
                <w:rFonts w:ascii="Cambria Math" w:hAnsi="Cambria Math"/>
              </w:rPr>
              <m:t>,</m:t>
            </m:r>
            <m:r>
              <w:rPr>
                <w:rFonts w:ascii="Cambria Math" w:hAnsi="Cambria Math"/>
              </w:rPr>
              <m:t>i</m:t>
            </m:r>
          </m:sub>
        </m:sSub>
      </m:oMath>
      <w:r w:rsidRPr="009D034F">
        <w:t xml:space="preserve">, where each component, </w:t>
      </w:r>
      <m:oMath>
        <m:r>
          <w:rPr>
            <w:rFonts w:ascii="Cambria Math" w:hAnsi="Cambria Math"/>
          </w:rPr>
          <m:t>i</m:t>
        </m:r>
      </m:oMath>
      <w:r>
        <w:t>, had</w:t>
      </w:r>
      <w:r w:rsidRPr="009D034F">
        <w:t xml:space="preserve"> a different fractionation. Figure 3.8</w:t>
      </w:r>
      <w:r w:rsidRPr="001607CF">
        <w:t xml:space="preserve"> shows a </w:t>
      </w:r>
      <w:r>
        <w:t xml:space="preserve">block </w:t>
      </w:r>
      <w:r w:rsidRPr="001607CF">
        <w:t xml:space="preserve">diagram of Module 1E with the input and output streams labeled. </w:t>
      </w:r>
    </w:p>
    <w:p w:rsidR="001E169B" w:rsidRDefault="001E169B" w:rsidP="001E169B">
      <w:pPr>
        <w:rPr>
          <w:rFonts w:eastAsiaTheme="minorEastAsia" w:cstheme="minorHAnsi"/>
        </w:rPr>
      </w:pPr>
      <w:r>
        <w:rPr>
          <w:rFonts w:eastAsiaTheme="minorEastAsia" w:cstheme="minorHAnsi"/>
        </w:rPr>
        <w:t xml:space="preserve">Equations 3.2.1.67–3.2.1.72 </w:t>
      </w:r>
      <w:proofErr w:type="gramStart"/>
      <w:r>
        <w:rPr>
          <w:rFonts w:eastAsiaTheme="minorEastAsia" w:cstheme="minorHAnsi"/>
        </w:rPr>
        <w:t>define</w:t>
      </w:r>
      <w:proofErr w:type="gramEnd"/>
      <w:r>
        <w:rPr>
          <w:rFonts w:eastAsiaTheme="minorEastAsia" w:cstheme="minorHAnsi"/>
        </w:rPr>
        <w:t xml:space="preserve"> the separation of Stream 4 into Stream 12. Stream 12 exits Module 1 and was one of the feed streams to Module 2.</w:t>
      </w:r>
    </w:p>
    <w:p w:rsidR="001D0EF6" w:rsidRDefault="00C851DF" w:rsidP="001D0EF6">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Mod1E,1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4,1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12,1</m:t>
            </m:r>
          </m:sub>
        </m:sSub>
        <m:r>
          <w:rPr>
            <w:rFonts w:ascii="Cambria Math" w:hAnsi="Cambria Math" w:cstheme="minorHAnsi"/>
          </w:rPr>
          <m:t>=0</m:t>
        </m:r>
      </m:oMath>
      <w:r w:rsidR="001D0EF6">
        <w:rPr>
          <w:rFonts w:eastAsiaTheme="minorEastAsia" w:cstheme="minorHAnsi"/>
        </w:rPr>
        <w:t xml:space="preserve">   </w:t>
      </w:r>
      <w:r w:rsidR="001D0EF6">
        <w:rPr>
          <w:rFonts w:eastAsiaTheme="minorEastAsia" w:cstheme="minorHAnsi"/>
        </w:rPr>
        <w:tab/>
      </w:r>
      <w:r w:rsidR="001D0EF6">
        <w:rPr>
          <w:rFonts w:eastAsiaTheme="minorEastAsia" w:cstheme="minorHAnsi"/>
        </w:rPr>
        <w:tab/>
      </w:r>
      <w:r w:rsidR="001D0EF6">
        <w:rPr>
          <w:rFonts w:eastAsiaTheme="minorEastAsia" w:cstheme="minorHAnsi"/>
        </w:rPr>
        <w:tab/>
      </w:r>
      <w:r w:rsidR="001D0EF6">
        <w:rPr>
          <w:rFonts w:eastAsiaTheme="minorEastAsia" w:cstheme="minorHAnsi"/>
        </w:rPr>
        <w:tab/>
        <w:t>Eq. (3.2.1.67)</w:t>
      </w:r>
    </w:p>
    <w:p w:rsidR="001D0EF6" w:rsidRDefault="00C851DF" w:rsidP="001D0EF6">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Mod1E,9</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4,9</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12,9</m:t>
            </m:r>
          </m:sub>
        </m:sSub>
        <m:r>
          <w:rPr>
            <w:rFonts w:ascii="Cambria Math" w:hAnsi="Cambria Math" w:cstheme="minorHAnsi"/>
          </w:rPr>
          <m:t>=0</m:t>
        </m:r>
      </m:oMath>
      <w:r w:rsidR="001D0EF6">
        <w:rPr>
          <w:rFonts w:eastAsiaTheme="minorEastAsia" w:cstheme="minorHAnsi"/>
        </w:rPr>
        <w:t xml:space="preserve">   </w:t>
      </w:r>
      <w:r w:rsidR="001D0EF6">
        <w:rPr>
          <w:rFonts w:eastAsiaTheme="minorEastAsia" w:cstheme="minorHAnsi"/>
        </w:rPr>
        <w:tab/>
      </w:r>
      <w:r w:rsidR="001D0EF6">
        <w:rPr>
          <w:rFonts w:eastAsiaTheme="minorEastAsia" w:cstheme="minorHAnsi"/>
        </w:rPr>
        <w:tab/>
      </w:r>
      <w:r w:rsidR="001D0EF6">
        <w:rPr>
          <w:rFonts w:eastAsiaTheme="minorEastAsia" w:cstheme="minorHAnsi"/>
        </w:rPr>
        <w:tab/>
      </w:r>
      <w:r w:rsidR="001D0EF6">
        <w:rPr>
          <w:rFonts w:eastAsiaTheme="minorEastAsia" w:cstheme="minorHAnsi"/>
        </w:rPr>
        <w:tab/>
        <w:t>Eq. (3.2.1.68)</w:t>
      </w:r>
    </w:p>
    <w:p w:rsidR="001D0EF6" w:rsidRDefault="00C851DF" w:rsidP="001D0EF6">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Mod1E,14</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4,14</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12,14</m:t>
            </m:r>
          </m:sub>
        </m:sSub>
        <m:r>
          <w:rPr>
            <w:rFonts w:ascii="Cambria Math" w:hAnsi="Cambria Math" w:cstheme="minorHAnsi"/>
          </w:rPr>
          <m:t>=0</m:t>
        </m:r>
      </m:oMath>
      <w:r w:rsidR="001D0EF6">
        <w:rPr>
          <w:rFonts w:eastAsiaTheme="minorEastAsia" w:cstheme="minorHAnsi"/>
        </w:rPr>
        <w:t xml:space="preserve">   </w:t>
      </w:r>
      <w:r w:rsidR="001D0EF6">
        <w:rPr>
          <w:rFonts w:eastAsiaTheme="minorEastAsia" w:cstheme="minorHAnsi"/>
        </w:rPr>
        <w:tab/>
      </w:r>
      <w:r w:rsidR="001D0EF6">
        <w:rPr>
          <w:rFonts w:eastAsiaTheme="minorEastAsia" w:cstheme="minorHAnsi"/>
        </w:rPr>
        <w:tab/>
      </w:r>
      <w:r w:rsidR="001D0EF6">
        <w:rPr>
          <w:rFonts w:eastAsiaTheme="minorEastAsia" w:cstheme="minorHAnsi"/>
        </w:rPr>
        <w:tab/>
      </w:r>
      <w:r w:rsidR="001D0EF6">
        <w:rPr>
          <w:rFonts w:eastAsiaTheme="minorEastAsia" w:cstheme="minorHAnsi"/>
        </w:rPr>
        <w:tab/>
        <w:t>Eq. (3.2.1.69)</w:t>
      </w:r>
    </w:p>
    <w:p w:rsidR="00AC7D91" w:rsidRDefault="00C851DF" w:rsidP="00AC7D91">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Mod1E,18</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4,18</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12,18</m:t>
            </m:r>
          </m:sub>
        </m:sSub>
        <m:r>
          <w:rPr>
            <w:rFonts w:ascii="Cambria Math" w:hAnsi="Cambria Math" w:cstheme="minorHAnsi"/>
          </w:rPr>
          <m:t>=0</m:t>
        </m:r>
      </m:oMath>
      <w:r w:rsidR="00AC7D91">
        <w:rPr>
          <w:rFonts w:eastAsiaTheme="minorEastAsia" w:cstheme="minorHAnsi"/>
        </w:rPr>
        <w:t xml:space="preserve">   </w:t>
      </w:r>
      <w:r w:rsidR="00AC7D91">
        <w:rPr>
          <w:rFonts w:eastAsiaTheme="minorEastAsia" w:cstheme="minorHAnsi"/>
        </w:rPr>
        <w:tab/>
      </w:r>
      <w:r w:rsidR="00AC7D91">
        <w:rPr>
          <w:rFonts w:eastAsiaTheme="minorEastAsia" w:cstheme="minorHAnsi"/>
        </w:rPr>
        <w:tab/>
      </w:r>
      <w:r w:rsidR="00AC7D91">
        <w:rPr>
          <w:rFonts w:eastAsiaTheme="minorEastAsia" w:cstheme="minorHAnsi"/>
        </w:rPr>
        <w:tab/>
      </w:r>
      <w:r w:rsidR="00AC7D91">
        <w:rPr>
          <w:rFonts w:eastAsiaTheme="minorEastAsia" w:cstheme="minorHAnsi"/>
        </w:rPr>
        <w:tab/>
        <w:t>Eq. (3.2.1.70)</w:t>
      </w:r>
    </w:p>
    <w:p w:rsidR="00AC7D91" w:rsidRDefault="00C851DF" w:rsidP="00AC7D91">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Mod1E,20</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4,20</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12,20</m:t>
            </m:r>
          </m:sub>
        </m:sSub>
        <m:r>
          <w:rPr>
            <w:rFonts w:ascii="Cambria Math" w:hAnsi="Cambria Math" w:cstheme="minorHAnsi"/>
          </w:rPr>
          <m:t>=0</m:t>
        </m:r>
      </m:oMath>
      <w:r w:rsidR="00AC7D91">
        <w:rPr>
          <w:rFonts w:eastAsiaTheme="minorEastAsia" w:cstheme="minorHAnsi"/>
        </w:rPr>
        <w:t xml:space="preserve">   </w:t>
      </w:r>
      <w:r w:rsidR="00AC7D91">
        <w:rPr>
          <w:rFonts w:eastAsiaTheme="minorEastAsia" w:cstheme="minorHAnsi"/>
        </w:rPr>
        <w:tab/>
      </w:r>
      <w:r w:rsidR="00AC7D91">
        <w:rPr>
          <w:rFonts w:eastAsiaTheme="minorEastAsia" w:cstheme="minorHAnsi"/>
        </w:rPr>
        <w:tab/>
      </w:r>
      <w:r w:rsidR="00AC7D91">
        <w:rPr>
          <w:rFonts w:eastAsiaTheme="minorEastAsia" w:cstheme="minorHAnsi"/>
        </w:rPr>
        <w:tab/>
      </w:r>
      <w:r w:rsidR="00AC7D91">
        <w:rPr>
          <w:rFonts w:eastAsiaTheme="minorEastAsia" w:cstheme="minorHAnsi"/>
        </w:rPr>
        <w:tab/>
        <w:t>Eq. (3.2.1.71)</w:t>
      </w:r>
    </w:p>
    <w:p w:rsidR="00AC7D91" w:rsidRDefault="00C851DF" w:rsidP="00AC7D91">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Mod1E,21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4,21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12,21</m:t>
            </m:r>
          </m:sub>
        </m:sSub>
        <m:r>
          <w:rPr>
            <w:rFonts w:ascii="Cambria Math" w:hAnsi="Cambria Math" w:cstheme="minorHAnsi"/>
          </w:rPr>
          <m:t>=0</m:t>
        </m:r>
      </m:oMath>
      <w:r w:rsidR="00AC7D91">
        <w:rPr>
          <w:rFonts w:eastAsiaTheme="minorEastAsia" w:cstheme="minorHAnsi"/>
        </w:rPr>
        <w:t xml:space="preserve">   </w:t>
      </w:r>
      <w:r w:rsidR="00AC7D91">
        <w:rPr>
          <w:rFonts w:eastAsiaTheme="minorEastAsia" w:cstheme="minorHAnsi"/>
        </w:rPr>
        <w:tab/>
      </w:r>
      <w:r w:rsidR="00AC7D91">
        <w:rPr>
          <w:rFonts w:eastAsiaTheme="minorEastAsia" w:cstheme="minorHAnsi"/>
        </w:rPr>
        <w:tab/>
      </w:r>
      <w:r w:rsidR="00AC7D91">
        <w:rPr>
          <w:rFonts w:eastAsiaTheme="minorEastAsia" w:cstheme="minorHAnsi"/>
        </w:rPr>
        <w:tab/>
      </w:r>
      <w:r w:rsidR="00AC7D91">
        <w:rPr>
          <w:rFonts w:eastAsiaTheme="minorEastAsia" w:cstheme="minorHAnsi"/>
        </w:rPr>
        <w:tab/>
        <w:t>Eq. (3.2.1.72)</w:t>
      </w:r>
    </w:p>
    <w:p w:rsidR="00AC7D91" w:rsidRDefault="00AC7D91" w:rsidP="001D0EF6">
      <w:pPr>
        <w:jc w:val="right"/>
        <w:rPr>
          <w:rFonts w:eastAsiaTheme="minorEastAsia" w:cstheme="minorHAnsi"/>
        </w:rPr>
      </w:pPr>
    </w:p>
    <w:p w:rsidR="00E664E4" w:rsidRPr="001607CF" w:rsidRDefault="00E664E4" w:rsidP="00E664E4">
      <w:pPr>
        <w:jc w:val="center"/>
      </w:pPr>
      <w:r w:rsidRPr="001607CF">
        <w:object w:dxaOrig="2633" w:dyaOrig="3238">
          <v:shape id="_x0000_i1030" type="#_x0000_t75" style="width:132.1pt;height:161.85pt" o:ole="">
            <v:imagedata r:id="rId37" o:title=""/>
          </v:shape>
          <o:OLEObject Type="Embed" ProgID="Visio.Drawing.11" ShapeID="_x0000_i1030" DrawAspect="Content" ObjectID="_1445525555" r:id="rId38"/>
        </w:object>
      </w:r>
    </w:p>
    <w:p w:rsidR="00E664E4" w:rsidRDefault="00E664E4" w:rsidP="00E664E4">
      <w:pPr>
        <w:jc w:val="center"/>
        <w:rPr>
          <w:b/>
          <w:sz w:val="20"/>
          <w:szCs w:val="20"/>
        </w:rPr>
      </w:pPr>
      <w:r w:rsidRPr="009D034F">
        <w:rPr>
          <w:b/>
          <w:sz w:val="20"/>
          <w:szCs w:val="20"/>
        </w:rPr>
        <w:t xml:space="preserve">Figure 3.8. Block Diagram of the Module 1E </w:t>
      </w:r>
      <w:r w:rsidR="004045DF">
        <w:rPr>
          <w:b/>
          <w:sz w:val="20"/>
          <w:szCs w:val="20"/>
        </w:rPr>
        <w:t>Showing Input and Output Streams</w:t>
      </w:r>
      <w:r w:rsidRPr="009D034F">
        <w:rPr>
          <w:b/>
          <w:sz w:val="20"/>
          <w:szCs w:val="20"/>
        </w:rPr>
        <w:t>.</w:t>
      </w:r>
    </w:p>
    <w:p w:rsidR="00F116B2" w:rsidRDefault="00F116B2" w:rsidP="00E664E4">
      <w:pPr>
        <w:jc w:val="center"/>
        <w:rPr>
          <w:b/>
          <w:sz w:val="20"/>
          <w:szCs w:val="20"/>
        </w:rPr>
      </w:pPr>
    </w:p>
    <w:p w:rsidR="00E664E4" w:rsidRDefault="00E664E4" w:rsidP="00E664E4">
      <w:pPr>
        <w:rPr>
          <w:rFonts w:eastAsiaTheme="minorEastAsia" w:cstheme="minorHAnsi"/>
        </w:rPr>
      </w:pPr>
      <w:r>
        <w:rPr>
          <w:rFonts w:eastAsiaTheme="minorEastAsia" w:cstheme="minorHAnsi"/>
        </w:rPr>
        <w:t xml:space="preserve">Equations 3.2.1.73–3.2.1.78 </w:t>
      </w:r>
      <w:proofErr w:type="gramStart"/>
      <w:r>
        <w:rPr>
          <w:rFonts w:eastAsiaTheme="minorEastAsia" w:cstheme="minorHAnsi"/>
        </w:rPr>
        <w:t>calculate</w:t>
      </w:r>
      <w:proofErr w:type="gramEnd"/>
      <w:r>
        <w:rPr>
          <w:rFonts w:eastAsiaTheme="minorEastAsia" w:cstheme="minorHAnsi"/>
        </w:rPr>
        <w:t xml:space="preserve"> the mole balances for Stream 13, the waste stream. Stream 13 completely exited Module 1 and the process.</w:t>
      </w:r>
    </w:p>
    <w:p w:rsidR="00E664E4" w:rsidRDefault="00C851DF" w:rsidP="00E664E4">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4,1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12,1</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13,1</m:t>
            </m:r>
          </m:sub>
        </m:sSub>
        <m:r>
          <w:rPr>
            <w:rFonts w:ascii="Cambria Math" w:hAnsi="Cambria Math" w:cstheme="minorHAnsi"/>
          </w:rPr>
          <m:t>=0</m:t>
        </m:r>
      </m:oMath>
      <w:r w:rsidR="00E664E4">
        <w:rPr>
          <w:rFonts w:eastAsiaTheme="minorEastAsia" w:cstheme="minorHAnsi"/>
        </w:rPr>
        <w:t xml:space="preserve">   </w:t>
      </w:r>
      <w:r w:rsidR="00E664E4">
        <w:rPr>
          <w:rFonts w:eastAsiaTheme="minorEastAsia" w:cstheme="minorHAnsi"/>
        </w:rPr>
        <w:tab/>
      </w:r>
      <w:r w:rsidR="00E664E4">
        <w:rPr>
          <w:rFonts w:eastAsiaTheme="minorEastAsia" w:cstheme="minorHAnsi"/>
        </w:rPr>
        <w:tab/>
      </w:r>
      <w:r w:rsidR="00E664E4">
        <w:rPr>
          <w:rFonts w:eastAsiaTheme="minorEastAsia" w:cstheme="minorHAnsi"/>
        </w:rPr>
        <w:tab/>
      </w:r>
      <w:r w:rsidR="00E664E4">
        <w:rPr>
          <w:rFonts w:eastAsiaTheme="minorEastAsia" w:cstheme="minorHAnsi"/>
        </w:rPr>
        <w:tab/>
        <w:t>Eq. (3.2.1.73)</w:t>
      </w:r>
    </w:p>
    <w:p w:rsidR="00E664E4" w:rsidRDefault="00C851DF" w:rsidP="00E664E4">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4,9</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12,9</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13,9</m:t>
            </m:r>
          </m:sub>
        </m:sSub>
        <m:r>
          <w:rPr>
            <w:rFonts w:ascii="Cambria Math" w:hAnsi="Cambria Math" w:cstheme="minorHAnsi"/>
          </w:rPr>
          <m:t>=0</m:t>
        </m:r>
      </m:oMath>
      <w:r w:rsidR="00E664E4">
        <w:rPr>
          <w:rFonts w:eastAsiaTheme="minorEastAsia" w:cstheme="minorHAnsi"/>
        </w:rPr>
        <w:t xml:space="preserve">   </w:t>
      </w:r>
      <w:r w:rsidR="00E664E4">
        <w:rPr>
          <w:rFonts w:eastAsiaTheme="minorEastAsia" w:cstheme="minorHAnsi"/>
        </w:rPr>
        <w:tab/>
      </w:r>
      <w:r w:rsidR="00E664E4">
        <w:rPr>
          <w:rFonts w:eastAsiaTheme="minorEastAsia" w:cstheme="minorHAnsi"/>
        </w:rPr>
        <w:tab/>
      </w:r>
      <w:r w:rsidR="00E664E4">
        <w:rPr>
          <w:rFonts w:eastAsiaTheme="minorEastAsia" w:cstheme="minorHAnsi"/>
        </w:rPr>
        <w:tab/>
      </w:r>
      <w:r w:rsidR="00E664E4">
        <w:rPr>
          <w:rFonts w:eastAsiaTheme="minorEastAsia" w:cstheme="minorHAnsi"/>
        </w:rPr>
        <w:tab/>
        <w:t>Eq. (3.2.1.74)</w:t>
      </w:r>
    </w:p>
    <w:p w:rsidR="00E664E4" w:rsidRDefault="00C851DF" w:rsidP="00E664E4">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4,14</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12,14</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13,14</m:t>
            </m:r>
          </m:sub>
        </m:sSub>
        <m:r>
          <w:rPr>
            <w:rFonts w:ascii="Cambria Math" w:hAnsi="Cambria Math" w:cstheme="minorHAnsi"/>
          </w:rPr>
          <m:t>=0</m:t>
        </m:r>
      </m:oMath>
      <w:r w:rsidR="00E664E4">
        <w:rPr>
          <w:rFonts w:eastAsiaTheme="minorEastAsia" w:cstheme="minorHAnsi"/>
        </w:rPr>
        <w:t xml:space="preserve">   </w:t>
      </w:r>
      <w:r w:rsidR="00E664E4">
        <w:rPr>
          <w:rFonts w:eastAsiaTheme="minorEastAsia" w:cstheme="minorHAnsi"/>
        </w:rPr>
        <w:tab/>
      </w:r>
      <w:r w:rsidR="00E664E4">
        <w:rPr>
          <w:rFonts w:eastAsiaTheme="minorEastAsia" w:cstheme="minorHAnsi"/>
        </w:rPr>
        <w:tab/>
      </w:r>
      <w:r w:rsidR="00E664E4">
        <w:rPr>
          <w:rFonts w:eastAsiaTheme="minorEastAsia" w:cstheme="minorHAnsi"/>
        </w:rPr>
        <w:tab/>
      </w:r>
      <w:r w:rsidR="00E664E4">
        <w:rPr>
          <w:rFonts w:eastAsiaTheme="minorEastAsia" w:cstheme="minorHAnsi"/>
        </w:rPr>
        <w:tab/>
        <w:t>Eq. (3.2.1.75)</w:t>
      </w:r>
    </w:p>
    <w:p w:rsidR="00E664E4" w:rsidRDefault="00C851DF" w:rsidP="00E664E4">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4,18</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12,18</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13,18</m:t>
            </m:r>
          </m:sub>
        </m:sSub>
        <m:r>
          <w:rPr>
            <w:rFonts w:ascii="Cambria Math" w:hAnsi="Cambria Math" w:cstheme="minorHAnsi"/>
          </w:rPr>
          <m:t>=0</m:t>
        </m:r>
      </m:oMath>
      <w:r w:rsidR="00E664E4">
        <w:rPr>
          <w:rFonts w:eastAsiaTheme="minorEastAsia" w:cstheme="minorHAnsi"/>
        </w:rPr>
        <w:t xml:space="preserve">   </w:t>
      </w:r>
      <w:r w:rsidR="00E664E4">
        <w:rPr>
          <w:rFonts w:eastAsiaTheme="minorEastAsia" w:cstheme="minorHAnsi"/>
        </w:rPr>
        <w:tab/>
      </w:r>
      <w:r w:rsidR="00E664E4">
        <w:rPr>
          <w:rFonts w:eastAsiaTheme="minorEastAsia" w:cstheme="minorHAnsi"/>
        </w:rPr>
        <w:tab/>
      </w:r>
      <w:r w:rsidR="00E664E4">
        <w:rPr>
          <w:rFonts w:eastAsiaTheme="minorEastAsia" w:cstheme="minorHAnsi"/>
        </w:rPr>
        <w:tab/>
      </w:r>
      <w:r w:rsidR="00E664E4">
        <w:rPr>
          <w:rFonts w:eastAsiaTheme="minorEastAsia" w:cstheme="minorHAnsi"/>
        </w:rPr>
        <w:tab/>
        <w:t>Eq. (3.2.1.76)</w:t>
      </w:r>
    </w:p>
    <w:p w:rsidR="00E664E4" w:rsidRDefault="00C851DF" w:rsidP="00E664E4">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4,20</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12,20</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13,20</m:t>
            </m:r>
          </m:sub>
        </m:sSub>
        <m:r>
          <w:rPr>
            <w:rFonts w:ascii="Cambria Math" w:hAnsi="Cambria Math" w:cstheme="minorHAnsi"/>
          </w:rPr>
          <m:t>=0</m:t>
        </m:r>
      </m:oMath>
      <w:r w:rsidR="00E664E4">
        <w:rPr>
          <w:rFonts w:eastAsiaTheme="minorEastAsia" w:cstheme="minorHAnsi"/>
        </w:rPr>
        <w:t xml:space="preserve">   </w:t>
      </w:r>
      <w:r w:rsidR="00E664E4">
        <w:rPr>
          <w:rFonts w:eastAsiaTheme="minorEastAsia" w:cstheme="minorHAnsi"/>
        </w:rPr>
        <w:tab/>
      </w:r>
      <w:r w:rsidR="00E664E4">
        <w:rPr>
          <w:rFonts w:eastAsiaTheme="minorEastAsia" w:cstheme="minorHAnsi"/>
        </w:rPr>
        <w:tab/>
      </w:r>
      <w:r w:rsidR="00E664E4">
        <w:rPr>
          <w:rFonts w:eastAsiaTheme="minorEastAsia" w:cstheme="minorHAnsi"/>
        </w:rPr>
        <w:tab/>
      </w:r>
      <w:r w:rsidR="00E664E4">
        <w:rPr>
          <w:rFonts w:eastAsiaTheme="minorEastAsia" w:cstheme="minorHAnsi"/>
        </w:rPr>
        <w:tab/>
        <w:t>Eq. (3.2.1.77)</w:t>
      </w:r>
    </w:p>
    <w:p w:rsidR="00E664E4" w:rsidRDefault="00C851DF" w:rsidP="00E664E4">
      <w:pPr>
        <w:jc w:val="right"/>
        <w:rPr>
          <w:rFonts w:eastAsiaTheme="minorEastAsia" w:cstheme="minorHAnsi"/>
        </w:rPr>
      </w:pP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4,21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12,21</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13,21</m:t>
            </m:r>
          </m:sub>
        </m:sSub>
        <m:r>
          <w:rPr>
            <w:rFonts w:ascii="Cambria Math" w:hAnsi="Cambria Math" w:cstheme="minorHAnsi"/>
          </w:rPr>
          <m:t>=0</m:t>
        </m:r>
      </m:oMath>
      <w:r w:rsidR="00E664E4">
        <w:rPr>
          <w:rFonts w:eastAsiaTheme="minorEastAsia" w:cstheme="minorHAnsi"/>
        </w:rPr>
        <w:t xml:space="preserve">   </w:t>
      </w:r>
      <w:r w:rsidR="00E664E4">
        <w:rPr>
          <w:rFonts w:eastAsiaTheme="minorEastAsia" w:cstheme="minorHAnsi"/>
        </w:rPr>
        <w:tab/>
      </w:r>
      <w:r w:rsidR="00E664E4">
        <w:rPr>
          <w:rFonts w:eastAsiaTheme="minorEastAsia" w:cstheme="minorHAnsi"/>
        </w:rPr>
        <w:tab/>
      </w:r>
      <w:r w:rsidR="00E664E4">
        <w:rPr>
          <w:rFonts w:eastAsiaTheme="minorEastAsia" w:cstheme="minorHAnsi"/>
        </w:rPr>
        <w:tab/>
      </w:r>
      <w:r w:rsidR="00E664E4">
        <w:rPr>
          <w:rFonts w:eastAsiaTheme="minorEastAsia" w:cstheme="minorHAnsi"/>
        </w:rPr>
        <w:tab/>
        <w:t>Eq. (3.2.1.78)</w:t>
      </w:r>
    </w:p>
    <w:p w:rsidR="00E664E4" w:rsidRPr="007B6F64" w:rsidRDefault="00E664E4" w:rsidP="00E664E4"/>
    <w:p w:rsidR="00E664E4" w:rsidRDefault="00E664E4" w:rsidP="00E664E4">
      <w:pPr>
        <w:rPr>
          <w:rFonts w:asciiTheme="majorHAnsi" w:hAnsiTheme="majorHAnsi"/>
          <w:b/>
          <w:i/>
        </w:rPr>
      </w:pPr>
      <w:r w:rsidRPr="00C26992">
        <w:rPr>
          <w:rFonts w:asciiTheme="majorHAnsi" w:hAnsiTheme="majorHAnsi"/>
          <w:b/>
          <w:i/>
        </w:rPr>
        <w:t>3.2.1.</w:t>
      </w:r>
      <w:r>
        <w:rPr>
          <w:rFonts w:asciiTheme="majorHAnsi" w:hAnsiTheme="majorHAnsi"/>
          <w:b/>
          <w:i/>
        </w:rPr>
        <w:t>6 Module 1: Overall Material Balance</w:t>
      </w:r>
    </w:p>
    <w:p w:rsidR="00E664E4" w:rsidRPr="007B6F64" w:rsidRDefault="00E664E4" w:rsidP="00E664E4">
      <w:r w:rsidRPr="007B6F64">
        <w:t>The overall material balances serve</w:t>
      </w:r>
      <w:r>
        <w:t>d</w:t>
      </w:r>
      <w:r w:rsidRPr="007B6F64">
        <w:t xml:space="preserve"> as an internal check that the calculations of the</w:t>
      </w:r>
      <w:r>
        <w:t xml:space="preserve"> sub-module component balances we</w:t>
      </w:r>
      <w:r w:rsidRPr="007B6F64">
        <w:t>re co</w:t>
      </w:r>
      <w:r>
        <w:t>rrect. Component mole balances we</w:t>
      </w:r>
      <w:r w:rsidRPr="007B6F64">
        <w:t xml:space="preserve">re used to model each of the process units in all of the modules, but the same method </w:t>
      </w:r>
      <w:r>
        <w:t xml:space="preserve">was </w:t>
      </w:r>
      <w:r w:rsidRPr="007B6F64">
        <w:t>applied to the overall module as well.</w:t>
      </w:r>
    </w:p>
    <w:p w:rsidR="00E664E4" w:rsidRDefault="00E664E4" w:rsidP="00E664E4">
      <w:r w:rsidRPr="007B6F64">
        <w:t xml:space="preserve">The streams used for the overall material balances </w:t>
      </w:r>
      <w:r>
        <w:t>we</w:t>
      </w:r>
      <w:r w:rsidRPr="007B6F64">
        <w:t>re those that cross the da</w:t>
      </w:r>
      <w:r>
        <w:t>rk dashed boundary that enclosed all of Module 1. There we</w:t>
      </w:r>
      <w:r w:rsidRPr="007B6F64">
        <w:t xml:space="preserve">re </w:t>
      </w:r>
      <w:r>
        <w:t>four</w:t>
      </w:r>
      <w:r w:rsidRPr="007B6F64">
        <w:t xml:space="preserve"> input streams and </w:t>
      </w:r>
      <w:r>
        <w:t>four</w:t>
      </w:r>
      <w:r w:rsidRPr="007B6F64">
        <w:t xml:space="preserve"> output stream</w:t>
      </w:r>
      <w:r>
        <w:t>s</w:t>
      </w:r>
      <w:r w:rsidRPr="007B6F64">
        <w:t xml:space="preserve"> for</w:t>
      </w:r>
      <w:r>
        <w:t xml:space="preserve"> Module 1. Additionally, there wa</w:t>
      </w:r>
      <w:r w:rsidRPr="007B6F64">
        <w:t xml:space="preserve">s one </w:t>
      </w:r>
      <w:r>
        <w:t>reaction in Module 1 that occurred in the dissolver and wa</w:t>
      </w:r>
      <w:r w:rsidRPr="007B6F64">
        <w:t>s described by Eq.</w:t>
      </w:r>
      <w:r w:rsidR="002601EF">
        <w:t> </w:t>
      </w:r>
      <w:r w:rsidRPr="007B6F64">
        <w:t>3</w:t>
      </w:r>
      <w:r>
        <w:t>.2.1.1</w:t>
      </w:r>
      <w:r w:rsidRPr="007B6F64">
        <w:t>.</w:t>
      </w:r>
    </w:p>
    <w:p w:rsidR="00E664E4" w:rsidRPr="007B6F64" w:rsidRDefault="00C851DF" w:rsidP="00E664E4">
      <w:pPr>
        <w:jc w:val="right"/>
      </w:pPr>
      <m:oMath>
        <m:sSub>
          <m:sSubPr>
            <m:ctrlPr>
              <w:rPr>
                <w:rFonts w:ascii="Cambria Math" w:hAnsi="Cambria Math"/>
              </w:rPr>
            </m:ctrlPr>
          </m:sSubPr>
          <m:e>
            <m:r>
              <w:rPr>
                <w:rFonts w:ascii="Cambria Math" w:hAnsi="Cambria Math"/>
              </w:rPr>
              <m:t>U</m:t>
            </m:r>
          </m:e>
          <m:sub>
            <m:r>
              <m:rPr>
                <m:sty m:val="p"/>
              </m:rPr>
              <w:rPr>
                <w:rFonts w:ascii="Cambria Math" w:hAnsi="Cambria Math"/>
              </w:rPr>
              <m:t>3</m:t>
            </m:r>
          </m:sub>
        </m:sSub>
        <m:sSub>
          <m:sSubPr>
            <m:ctrlPr>
              <w:rPr>
                <w:rFonts w:ascii="Cambria Math" w:hAnsi="Cambria Math"/>
              </w:rPr>
            </m:ctrlPr>
          </m:sSubPr>
          <m:e>
            <m:r>
              <w:rPr>
                <w:rFonts w:ascii="Cambria Math" w:hAnsi="Cambria Math"/>
              </w:rPr>
              <m:t>O</m:t>
            </m:r>
          </m:e>
          <m:sub>
            <m:r>
              <m:rPr>
                <m:sty m:val="p"/>
              </m:rPr>
              <w:rPr>
                <w:rFonts w:ascii="Cambria Math" w:hAnsi="Cambria Math"/>
              </w:rPr>
              <m:t>8</m:t>
            </m:r>
          </m:sub>
        </m:sSub>
        <m:r>
          <m:rPr>
            <m:sty m:val="p"/>
          </m:rPr>
          <w:rPr>
            <w:rFonts w:ascii="Cambria Math" w:hAnsi="Cambria Math"/>
          </w:rPr>
          <m:t>+8</m:t>
        </m:r>
        <m:sSub>
          <m:sSubPr>
            <m:ctrlPr>
              <w:rPr>
                <w:rFonts w:ascii="Cambria Math" w:hAnsi="Cambria Math"/>
              </w:rPr>
            </m:ctrlPr>
          </m:sSubPr>
          <m:e>
            <m:r>
              <w:rPr>
                <w:rFonts w:ascii="Cambria Math" w:hAnsi="Cambria Math"/>
              </w:rPr>
              <m:t>HNO</m:t>
            </m:r>
          </m:e>
          <m:sub>
            <m:r>
              <m:rPr>
                <m:sty m:val="p"/>
              </m:rPr>
              <w:rPr>
                <w:rFonts w:ascii="Cambria Math" w:hAnsi="Cambria Math"/>
              </w:rPr>
              <m:t>3</m:t>
            </m:r>
          </m:sub>
        </m:sSub>
        <m:r>
          <m:rPr>
            <m:sty m:val="p"/>
          </m:rPr>
          <w:rPr>
            <w:rFonts w:ascii="Cambria Math" w:hAnsi="Cambria Math"/>
          </w:rPr>
          <m:t>→3</m:t>
        </m:r>
        <m:sSub>
          <m:sSubPr>
            <m:ctrlPr>
              <w:rPr>
                <w:rFonts w:ascii="Cambria Math" w:hAnsi="Cambria Math"/>
              </w:rPr>
            </m:ctrlPr>
          </m:sSubPr>
          <m:e>
            <m:r>
              <w:rPr>
                <w:rFonts w:ascii="Cambria Math" w:hAnsi="Cambria Math"/>
              </w:rPr>
              <m:t>UO</m:t>
            </m:r>
          </m:e>
          <m:sub>
            <m:r>
              <m:rPr>
                <m:sty m:val="p"/>
              </m:rPr>
              <w:rPr>
                <w:rFonts w:ascii="Cambria Math" w:hAnsi="Cambria Math"/>
              </w:rPr>
              <m:t>2</m:t>
            </m:r>
          </m:sub>
        </m:sSub>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NO</m:t>
                    </m:r>
                  </m:e>
                  <m:sub>
                    <m:r>
                      <m:rPr>
                        <m:sty m:val="p"/>
                      </m:rPr>
                      <w:rPr>
                        <w:rFonts w:ascii="Cambria Math" w:hAnsi="Cambria Math"/>
                      </w:rPr>
                      <m:t>3</m:t>
                    </m:r>
                  </m:sub>
                </m:sSub>
              </m:e>
            </m:d>
          </m:e>
          <m:sub>
            <m:r>
              <m:rPr>
                <m:sty m:val="p"/>
              </m:rPr>
              <w:rPr>
                <w:rFonts w:ascii="Cambria Math" w:hAnsi="Cambria Math"/>
              </w:rPr>
              <m:t>2</m:t>
            </m:r>
          </m:sub>
        </m:sSub>
        <m:r>
          <m:rPr>
            <m:sty m:val="p"/>
          </m:rPr>
          <w:rPr>
            <w:rFonts w:ascii="Cambria Math" w:hAnsi="Cambria Math"/>
          </w:rPr>
          <m:t>+2</m:t>
        </m:r>
        <m:sSub>
          <m:sSubPr>
            <m:ctrlPr>
              <w:rPr>
                <w:rFonts w:ascii="Cambria Math" w:hAnsi="Cambria Math"/>
              </w:rPr>
            </m:ctrlPr>
          </m:sSubPr>
          <m:e>
            <m:r>
              <w:rPr>
                <w:rFonts w:ascii="Cambria Math" w:hAnsi="Cambria Math"/>
              </w:rPr>
              <m:t>NO</m:t>
            </m:r>
          </m:e>
          <m:sub>
            <m:r>
              <m:rPr>
                <m:sty m:val="p"/>
              </m:rPr>
              <w:rPr>
                <w:rFonts w:ascii="Cambria Math" w:hAnsi="Cambria Math"/>
              </w:rPr>
              <m:t>2</m:t>
            </m:r>
          </m:sub>
        </m:sSub>
        <m:r>
          <m:rPr>
            <m:sty m:val="p"/>
          </m:rPr>
          <w:rPr>
            <w:rFonts w:ascii="Cambria Math" w:hAnsi="Cambria Math"/>
          </w:rPr>
          <m:t>+4</m:t>
        </m:r>
        <m:sSub>
          <m:sSubPr>
            <m:ctrlPr>
              <w:rPr>
                <w:rFonts w:ascii="Cambria Math" w:hAnsi="Cambria Math"/>
              </w:rPr>
            </m:ctrlPr>
          </m:sSubPr>
          <m:e>
            <m:r>
              <w:rPr>
                <w:rFonts w:ascii="Cambria Math" w:hAnsi="Cambria Math"/>
              </w:rPr>
              <m:t>H</m:t>
            </m:r>
          </m:e>
          <m:sub>
            <m:r>
              <m:rPr>
                <m:sty m:val="p"/>
              </m:rPr>
              <w:rPr>
                <w:rFonts w:ascii="Cambria Math" w:hAnsi="Cambria Math"/>
              </w:rPr>
              <m:t>2</m:t>
            </m:r>
          </m:sub>
        </m:sSub>
        <m:r>
          <w:rPr>
            <w:rFonts w:ascii="Cambria Math" w:hAnsi="Cambria Math"/>
          </w:rPr>
          <m:t>O</m:t>
        </m:r>
      </m:oMath>
      <w:r w:rsidR="00E664E4" w:rsidRPr="0016631E">
        <w:t xml:space="preserve"> </w:t>
      </w:r>
      <w:r w:rsidR="00E664E4" w:rsidRPr="0016631E">
        <w:tab/>
      </w:r>
      <w:r w:rsidR="00E664E4">
        <w:tab/>
      </w:r>
      <w:r w:rsidR="00E664E4">
        <w:tab/>
        <w:t>Eq. (3.2.1.</w:t>
      </w:r>
      <w:r w:rsidR="00E664E4" w:rsidRPr="0016631E">
        <w:t>1)</w:t>
      </w:r>
    </w:p>
    <w:p w:rsidR="00E664E4" w:rsidRDefault="00E664E4" w:rsidP="00E664E4">
      <w:r w:rsidRPr="007B6F64">
        <w:t xml:space="preserve">The overall component material balances are Module 1 are shown in Equations </w:t>
      </w:r>
      <w:r>
        <w:t>3.2.1.79</w:t>
      </w:r>
      <w:r w:rsidRPr="007B6F64">
        <w:t>–</w:t>
      </w:r>
      <w:r>
        <w:t xml:space="preserve">3.2.1.85. </w:t>
      </w:r>
    </w:p>
    <w:p w:rsidR="00E664E4" w:rsidRPr="007B6F64"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2A,1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3A,1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4A,1</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Mod1A,1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Mod1A</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1A,18</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11,18</m:t>
                    </m:r>
                  </m:sub>
                </m:sSub>
              </m:e>
            </m:d>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8,1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12,1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13,1</m:t>
            </m:r>
          </m:sub>
        </m:sSub>
        <m:r>
          <w:rPr>
            <w:rFonts w:ascii="Cambria Math" w:hAnsi="Cambria Math"/>
          </w:rPr>
          <m:t>=0</m:t>
        </m:r>
      </m:oMath>
      <w:r w:rsidR="00E664E4">
        <w:rPr>
          <w:rFonts w:eastAsiaTheme="minorEastAsia"/>
        </w:rPr>
        <w:t xml:space="preserve"> </w:t>
      </w:r>
      <w:r w:rsidR="00FE6F69">
        <w:rPr>
          <w:rFonts w:eastAsiaTheme="minorEastAsia"/>
        </w:rPr>
        <w:tab/>
      </w:r>
      <w:r w:rsidR="00E664E4">
        <w:rPr>
          <w:rFonts w:eastAsiaTheme="minorEastAsia"/>
        </w:rPr>
        <w:tab/>
      </w:r>
      <w:r w:rsidR="00E664E4">
        <w:t>Eq. (3.2.1.79</w:t>
      </w:r>
      <w:r w:rsidR="00E664E4" w:rsidRPr="007B6F64">
        <w:t>)</w:t>
      </w:r>
    </w:p>
    <w:p w:rsidR="00E664E4" w:rsidRPr="007B6F64" w:rsidRDefault="00C851DF" w:rsidP="00E664E4">
      <w:pPr>
        <w:jc w:val="right"/>
      </w:pPr>
      <m:oMath>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Mod1A,4</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Mod1A</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1A,18</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11,18</m:t>
                    </m:r>
                  </m:sub>
                </m:sSub>
              </m:e>
            </m:d>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2,4</m:t>
            </m:r>
          </m:sub>
        </m:sSub>
        <m:r>
          <w:rPr>
            <w:rFonts w:ascii="Cambria Math" w:hAnsi="Cambria Math"/>
          </w:rPr>
          <m:t>=0</m:t>
        </m:r>
      </m:oMath>
      <w:r w:rsidR="00E664E4" w:rsidRPr="007B6F64">
        <w:t xml:space="preserve">   </w:t>
      </w:r>
      <w:r w:rsidR="00E664E4" w:rsidRPr="007B6F64">
        <w:tab/>
      </w:r>
      <w:r w:rsidR="00E664E4" w:rsidRPr="007B6F64">
        <w:tab/>
      </w:r>
      <w:r w:rsidR="00E664E4">
        <w:t>Eq. (3.2.1.80</w:t>
      </w:r>
      <w:r w:rsidR="00E664E4" w:rsidRPr="007B6F64">
        <w:t>)</w:t>
      </w:r>
    </w:p>
    <w:p w:rsidR="00E664E4" w:rsidRPr="007B6F64"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2A</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2A,9</m:t>
            </m:r>
          </m:sub>
        </m:sSub>
        <m:r>
          <w:rPr>
            <w:rFonts w:ascii="Cambria Math" w:hAnsi="Cambria Math"/>
          </w:rPr>
          <m:t>*</m:t>
        </m:r>
        <m:f>
          <m:fPr>
            <m:ctrlPr>
              <w:rPr>
                <w:rFonts w:ascii="Cambria Math" w:hAnsi="Cambria Math"/>
                <w:i/>
              </w:rPr>
            </m:ctrlPr>
          </m:fPr>
          <m:num>
            <m:r>
              <w:rPr>
                <w:rFonts w:ascii="Cambria Math" w:hAnsi="Cambria Math"/>
              </w:rPr>
              <m:t>1000</m:t>
            </m:r>
          </m:num>
          <m:den>
            <m:sSub>
              <m:sSubPr>
                <m:ctrlPr>
                  <w:rPr>
                    <w:rFonts w:ascii="Cambria Math" w:hAnsi="Cambria Math"/>
                    <w:i/>
                  </w:rPr>
                </m:ctrlPr>
              </m:sSubPr>
              <m:e>
                <m:r>
                  <w:rPr>
                    <w:rFonts w:ascii="Cambria Math" w:hAnsi="Cambria Math"/>
                  </w:rPr>
                  <m:t>MW</m:t>
                </m:r>
              </m:e>
              <m:sub>
                <m:r>
                  <w:rPr>
                    <w:rFonts w:ascii="Cambria Math" w:hAnsi="Cambria Math"/>
                  </w:rPr>
                  <m:t>9</m:t>
                </m:r>
              </m:sub>
            </m:sSub>
          </m:den>
        </m:f>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Mod1A,9</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Mod1A</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1A,18</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11,18</m:t>
                    </m:r>
                  </m:sub>
                </m:sSub>
              </m:e>
            </m:d>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8,9</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12,9</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13,9</m:t>
            </m:r>
          </m:sub>
        </m:sSub>
        <m:r>
          <w:rPr>
            <w:rFonts w:ascii="Cambria Math" w:hAnsi="Cambria Math"/>
          </w:rPr>
          <m:t>=0</m:t>
        </m:r>
      </m:oMath>
      <w:r w:rsidR="00E664E4">
        <w:t xml:space="preserve">   Eq. (3.2.1.81</w:t>
      </w:r>
      <w:r w:rsidR="00E664E4" w:rsidRPr="007B6F64">
        <w:t>)</w:t>
      </w:r>
    </w:p>
    <w:p w:rsidR="00E664E4" w:rsidRPr="007B6F64" w:rsidRDefault="00C851DF" w:rsidP="00E664E4">
      <w:pPr>
        <w:jc w:val="right"/>
      </w:pPr>
      <m:oMath>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Mod1A,14</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Mod1A</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1A,18</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11,18</m:t>
                    </m:r>
                  </m:sub>
                </m:sSub>
              </m:e>
            </m:d>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8,14</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12,14</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13,14</m:t>
            </m:r>
          </m:sub>
        </m:sSub>
        <m:r>
          <w:rPr>
            <w:rFonts w:ascii="Cambria Math" w:hAnsi="Cambria Math"/>
          </w:rPr>
          <m:t>=0</m:t>
        </m:r>
      </m:oMath>
      <w:r w:rsidR="00E664E4">
        <w:t xml:space="preserve">   </w:t>
      </w:r>
      <w:r w:rsidR="00E664E4">
        <w:tab/>
        <w:t>Eq. (3.2.1.82</w:t>
      </w:r>
      <w:r w:rsidR="00E664E4" w:rsidRPr="007B6F64">
        <w:t>)</w:t>
      </w:r>
    </w:p>
    <w:p w:rsidR="00E664E4" w:rsidRPr="007B6F64"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1A</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1A,18</m:t>
            </m:r>
          </m:sub>
        </m:sSub>
        <m:r>
          <w:rPr>
            <w:rFonts w:ascii="Cambria Math" w:hAnsi="Cambria Math"/>
          </w:rPr>
          <m:t>*</m:t>
        </m:r>
        <m:f>
          <m:fPr>
            <m:ctrlPr>
              <w:rPr>
                <w:rFonts w:ascii="Cambria Math" w:hAnsi="Cambria Math"/>
                <w:i/>
              </w:rPr>
            </m:ctrlPr>
          </m:fPr>
          <m:num>
            <m:r>
              <w:rPr>
                <w:rFonts w:ascii="Cambria Math" w:hAnsi="Cambria Math"/>
              </w:rPr>
              <m:t>1000</m:t>
            </m:r>
          </m:num>
          <m:den>
            <m:sSub>
              <m:sSubPr>
                <m:ctrlPr>
                  <w:rPr>
                    <w:rFonts w:ascii="Cambria Math" w:hAnsi="Cambria Math"/>
                    <w:i/>
                  </w:rPr>
                </m:ctrlPr>
              </m:sSubPr>
              <m:e>
                <m:r>
                  <w:rPr>
                    <w:rFonts w:ascii="Cambria Math" w:hAnsi="Cambria Math"/>
                  </w:rPr>
                  <m:t>MW</m:t>
                </m:r>
              </m:e>
              <m:sub>
                <m:r>
                  <w:rPr>
                    <w:rFonts w:ascii="Cambria Math" w:hAnsi="Cambria Math"/>
                  </w:rPr>
                  <m:t>18</m:t>
                </m:r>
              </m:sub>
            </m:sSub>
          </m:den>
        </m:f>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Mod1A,18</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Mod1A</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1A,18</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11,18</m:t>
                    </m:r>
                  </m:sub>
                </m:sSub>
              </m:e>
            </m:d>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8,18</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12,18</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13,18</m:t>
            </m:r>
          </m:sub>
        </m:sSub>
        <m:r>
          <w:rPr>
            <w:rFonts w:ascii="Cambria Math" w:hAnsi="Cambria Math"/>
          </w:rPr>
          <m:t>=0</m:t>
        </m:r>
      </m:oMath>
      <w:r w:rsidR="00E664E4">
        <w:tab/>
      </w:r>
      <w:r w:rsidR="00E664E4">
        <w:tab/>
        <w:t>Eq. (3.2.1.83</w:t>
      </w:r>
      <w:r w:rsidR="00E664E4" w:rsidRPr="007B6F64">
        <w:t>)</w:t>
      </w:r>
    </w:p>
    <w:p w:rsidR="00E664E4" w:rsidRPr="007B6F64"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1A</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1A,20</m:t>
            </m:r>
          </m:sub>
        </m:sSub>
        <m:r>
          <w:rPr>
            <w:rFonts w:ascii="Cambria Math" w:hAnsi="Cambria Math"/>
          </w:rPr>
          <m:t>*</m:t>
        </m:r>
        <m:f>
          <m:fPr>
            <m:ctrlPr>
              <w:rPr>
                <w:rFonts w:ascii="Cambria Math" w:hAnsi="Cambria Math"/>
                <w:i/>
              </w:rPr>
            </m:ctrlPr>
          </m:fPr>
          <m:num>
            <m:r>
              <w:rPr>
                <w:rFonts w:ascii="Cambria Math" w:hAnsi="Cambria Math"/>
              </w:rPr>
              <m:t>1000</m:t>
            </m:r>
          </m:num>
          <m:den>
            <m:sSub>
              <m:sSubPr>
                <m:ctrlPr>
                  <w:rPr>
                    <w:rFonts w:ascii="Cambria Math" w:hAnsi="Cambria Math"/>
                    <w:i/>
                  </w:rPr>
                </m:ctrlPr>
              </m:sSubPr>
              <m:e>
                <m:r>
                  <w:rPr>
                    <w:rFonts w:ascii="Cambria Math" w:hAnsi="Cambria Math"/>
                  </w:rPr>
                  <m:t>MW</m:t>
                </m:r>
              </m:e>
              <m:sub>
                <m:r>
                  <w:rPr>
                    <w:rFonts w:ascii="Cambria Math" w:hAnsi="Cambria Math"/>
                  </w:rPr>
                  <m:t>20</m:t>
                </m:r>
              </m:sub>
            </m:sSub>
          </m:den>
        </m:f>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8,20</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12,20</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13,20</m:t>
            </m:r>
          </m:sub>
        </m:sSub>
        <m:r>
          <w:rPr>
            <w:rFonts w:ascii="Cambria Math" w:hAnsi="Cambria Math"/>
          </w:rPr>
          <m:t>=0</m:t>
        </m:r>
      </m:oMath>
      <w:r w:rsidR="00E664E4">
        <w:t xml:space="preserve">   </w:t>
      </w:r>
      <w:r w:rsidR="00E664E4">
        <w:tab/>
      </w:r>
      <w:r w:rsidR="00E664E4">
        <w:tab/>
      </w:r>
      <w:r w:rsidR="00E664E4">
        <w:tab/>
        <w:t>Eq. (3.2.1.84</w:t>
      </w:r>
      <w:r w:rsidR="00E664E4" w:rsidRPr="007B6F64">
        <w:t>)</w:t>
      </w:r>
    </w:p>
    <w:p w:rsidR="00E664E4" w:rsidRPr="007B6F64"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1A</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1A,21</m:t>
            </m:r>
          </m:sub>
        </m:sSub>
        <m:r>
          <w:rPr>
            <w:rFonts w:ascii="Cambria Math" w:hAnsi="Cambria Math"/>
          </w:rPr>
          <m:t>*</m:t>
        </m:r>
        <m:f>
          <m:fPr>
            <m:ctrlPr>
              <w:rPr>
                <w:rFonts w:ascii="Cambria Math" w:hAnsi="Cambria Math"/>
                <w:i/>
              </w:rPr>
            </m:ctrlPr>
          </m:fPr>
          <m:num>
            <m:r>
              <w:rPr>
                <w:rFonts w:ascii="Cambria Math" w:hAnsi="Cambria Math"/>
              </w:rPr>
              <m:t>1000</m:t>
            </m:r>
          </m:num>
          <m:den>
            <m:sSub>
              <m:sSubPr>
                <m:ctrlPr>
                  <w:rPr>
                    <w:rFonts w:ascii="Cambria Math" w:hAnsi="Cambria Math"/>
                    <w:i/>
                  </w:rPr>
                </m:ctrlPr>
              </m:sSubPr>
              <m:e>
                <m:r>
                  <w:rPr>
                    <w:rFonts w:ascii="Cambria Math" w:hAnsi="Cambria Math"/>
                  </w:rPr>
                  <m:t>MW</m:t>
                </m:r>
              </m:e>
              <m:sub>
                <m:r>
                  <w:rPr>
                    <w:rFonts w:ascii="Cambria Math" w:hAnsi="Cambria Math"/>
                  </w:rPr>
                  <m:t>21</m:t>
                </m:r>
              </m:sub>
            </m:sSub>
          </m:den>
        </m:f>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8,21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12,21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13,21</m:t>
            </m:r>
          </m:sub>
        </m:sSub>
        <m:r>
          <w:rPr>
            <w:rFonts w:ascii="Cambria Math" w:hAnsi="Cambria Math"/>
          </w:rPr>
          <m:t>=0</m:t>
        </m:r>
      </m:oMath>
      <w:r w:rsidR="00E664E4" w:rsidRPr="007B6F64">
        <w:t xml:space="preserve">   </w:t>
      </w:r>
      <w:r w:rsidR="00E664E4" w:rsidRPr="007B6F64">
        <w:tab/>
      </w:r>
      <w:r w:rsidR="00E664E4" w:rsidRPr="007B6F64">
        <w:tab/>
      </w:r>
      <w:r w:rsidR="00E664E4" w:rsidRPr="007B6F64">
        <w:tab/>
      </w:r>
      <w:r w:rsidR="00E664E4">
        <w:t>Eq. (3.2.1.85</w:t>
      </w:r>
      <w:r w:rsidR="00E664E4" w:rsidRPr="007B6F64">
        <w:t>)</w:t>
      </w:r>
    </w:p>
    <w:p w:rsidR="00E664E4" w:rsidRPr="007B6F64" w:rsidRDefault="00E664E4" w:rsidP="00E664E4"/>
    <w:p w:rsidR="00E664E4" w:rsidRDefault="00E664E4" w:rsidP="00E664E4">
      <w:pPr>
        <w:rPr>
          <w:rFonts w:asciiTheme="majorHAnsi" w:hAnsiTheme="majorHAnsi"/>
          <w:b/>
        </w:rPr>
      </w:pPr>
      <w:r w:rsidRPr="00C26992">
        <w:rPr>
          <w:rFonts w:asciiTheme="majorHAnsi" w:hAnsiTheme="majorHAnsi"/>
          <w:b/>
        </w:rPr>
        <w:t>3.2.2 Module 2: Solvent Extraction</w:t>
      </w:r>
    </w:p>
    <w:p w:rsidR="00E664E4" w:rsidRPr="0020146B" w:rsidRDefault="00E664E4" w:rsidP="00E664E4">
      <w:r w:rsidRPr="0020146B">
        <w:t xml:space="preserve">The uranyl nitrate solution obtained from dissolution is typically purified using liquid-liquid solvent extraction. The organic solvent that is most commonly used for the extraction of uranium from uranyl nitrate solutions is </w:t>
      </w:r>
      <w:proofErr w:type="spellStart"/>
      <w:r w:rsidRPr="0020146B">
        <w:t>tributyl</w:t>
      </w:r>
      <w:proofErr w:type="spellEnd"/>
      <w:r w:rsidRPr="0020146B">
        <w:t xml:space="preserve"> phosphate (TBP) diluted in kerosene.</w:t>
      </w:r>
    </w:p>
    <w:p w:rsidR="00E664E4" w:rsidRDefault="00E664E4" w:rsidP="00E664E4">
      <w:r w:rsidRPr="0020146B">
        <w:t>Module 2, Solvent Extraction, encompasse</w:t>
      </w:r>
      <w:r>
        <w:t>d</w:t>
      </w:r>
      <w:r w:rsidRPr="0020146B">
        <w:t xml:space="preserve"> the purification of the dissolved uranium ore concentrate using </w:t>
      </w:r>
      <w:r>
        <w:t>TBP</w:t>
      </w:r>
      <w:r w:rsidRPr="0020146B">
        <w:t xml:space="preserve">. Module 2 </w:t>
      </w:r>
      <w:r>
        <w:t xml:space="preserve">was </w:t>
      </w:r>
      <w:r w:rsidRPr="0020146B">
        <w:t xml:space="preserve">further subdivided into four sub-modules. The </w:t>
      </w:r>
      <w:proofErr w:type="spellStart"/>
      <w:r w:rsidRPr="009D034F">
        <w:t>flowsheet</w:t>
      </w:r>
      <w:proofErr w:type="spellEnd"/>
      <w:r w:rsidRPr="009D034F">
        <w:t xml:space="preserve"> for Module 2 is shown in Figure 3.9.</w:t>
      </w:r>
      <w:r w:rsidRPr="0020146B">
        <w:t xml:space="preserve"> </w:t>
      </w:r>
    </w:p>
    <w:p w:rsidR="001D0EF6" w:rsidRDefault="001E169B" w:rsidP="001E169B">
      <w:r w:rsidRPr="0020146B">
        <w:t>The uranyl nitrat</w:t>
      </w:r>
      <w:r>
        <w:t>e from the dissolution process wa</w:t>
      </w:r>
      <w:r w:rsidRPr="0020146B">
        <w:t>s sent to a feed-adjustmen</w:t>
      </w:r>
      <w:r>
        <w:t>t tank where the concentration wa</w:t>
      </w:r>
      <w:r w:rsidRPr="0020146B">
        <w:t>s expected to be in the range of 350–</w:t>
      </w:r>
      <w:r w:rsidRPr="0020146B">
        <w:softHyphen/>
      </w:r>
      <w:r w:rsidRPr="0020146B">
        <w:softHyphen/>
      </w:r>
      <w:r w:rsidRPr="0020146B">
        <w:softHyphen/>
        <w:t xml:space="preserve">400 g U/L, and </w:t>
      </w:r>
      <w:r>
        <w:t>the concentration of free acid wa</w:t>
      </w:r>
      <w:r w:rsidRPr="0020146B">
        <w:t xml:space="preserve">s expected to be 1.5–2 </w:t>
      </w:r>
      <w:r w:rsidRPr="0020146B">
        <w:rPr>
          <w:i/>
        </w:rPr>
        <w:t>N</w:t>
      </w:r>
      <w:r w:rsidRPr="0020146B">
        <w:t>. Water and HNO</w:t>
      </w:r>
      <w:r w:rsidRPr="0020146B">
        <w:rPr>
          <w:vertAlign w:val="subscript"/>
        </w:rPr>
        <w:t>3</w:t>
      </w:r>
      <w:r>
        <w:t xml:space="preserve"> we</w:t>
      </w:r>
      <w:r w:rsidRPr="0020146B">
        <w:t>re used to adjust the feed to the desired values (typically 250–</w:t>
      </w:r>
      <w:r w:rsidRPr="0020146B">
        <w:softHyphen/>
      </w:r>
      <w:r w:rsidRPr="0020146B">
        <w:softHyphen/>
      </w:r>
      <w:r w:rsidRPr="0020146B">
        <w:softHyphen/>
        <w:t xml:space="preserve">350 g U/L and 1–4 </w:t>
      </w:r>
      <w:r w:rsidRPr="0020146B">
        <w:rPr>
          <w:i/>
        </w:rPr>
        <w:t>N</w:t>
      </w:r>
      <w:r w:rsidRPr="0020146B">
        <w:t xml:space="preserve"> free acid). </w:t>
      </w:r>
    </w:p>
    <w:p w:rsidR="00AC7D91" w:rsidRDefault="00AC7D91" w:rsidP="00AC7D91">
      <w:r w:rsidRPr="00660160">
        <w:t xml:space="preserve">The purification process typically consists of three parts, </w:t>
      </w:r>
      <w:r>
        <w:t xml:space="preserve">where </w:t>
      </w:r>
      <w:r w:rsidRPr="00660160">
        <w:t xml:space="preserve">each </w:t>
      </w:r>
      <w:r>
        <w:t xml:space="preserve">of the parts </w:t>
      </w:r>
      <w:r w:rsidRPr="00660160">
        <w:t>performs a different function in the purification process. The first part extracts the uranium from the aqueous solution into the organic phase, referred to as extraction. The second part removes impurities from the uranium</w:t>
      </w:r>
      <w:r>
        <w:noBreakHyphen/>
      </w:r>
      <w:r w:rsidRPr="00660160">
        <w:t xml:space="preserve">bearing organic stream, referred to as the scrubbing section. In the third part, uranium is </w:t>
      </w:r>
    </w:p>
    <w:p w:rsidR="00E664E4" w:rsidRPr="0020146B" w:rsidRDefault="00E664E4" w:rsidP="00E664E4">
      <w:pPr>
        <w:jc w:val="center"/>
      </w:pPr>
      <w:r w:rsidRPr="0020146B">
        <w:object w:dxaOrig="13167" w:dyaOrig="7202">
          <v:shape id="_x0000_i1031" type="#_x0000_t75" style="width:468.35pt;height:254.95pt" o:ole="">
            <v:imagedata r:id="rId39" o:title=""/>
          </v:shape>
          <o:OLEObject Type="Embed" ProgID="Visio.Drawing.11" ShapeID="_x0000_i1031" DrawAspect="Content" ObjectID="_1445525556" r:id="rId40"/>
        </w:object>
      </w:r>
    </w:p>
    <w:p w:rsidR="00E664E4" w:rsidRDefault="00E664E4" w:rsidP="004E2FC0">
      <w:pPr>
        <w:jc w:val="center"/>
        <w:rPr>
          <w:b/>
          <w:sz w:val="20"/>
          <w:szCs w:val="20"/>
        </w:rPr>
      </w:pPr>
      <w:r w:rsidRPr="009D034F">
        <w:rPr>
          <w:b/>
          <w:sz w:val="20"/>
          <w:szCs w:val="20"/>
        </w:rPr>
        <w:t>Figure 3.9. Module 2: The Solvent Extraction Process of a Natural Uranium Conversion Plant</w:t>
      </w:r>
      <w:r w:rsidRPr="0020146B">
        <w:rPr>
          <w:b/>
          <w:sz w:val="20"/>
          <w:szCs w:val="20"/>
        </w:rPr>
        <w:t>.</w:t>
      </w:r>
    </w:p>
    <w:p w:rsidR="001E169B" w:rsidRPr="001E169B" w:rsidRDefault="001E169B" w:rsidP="001E169B"/>
    <w:p w:rsidR="00AC7D91" w:rsidRDefault="00AC7D91" w:rsidP="00AC7D91">
      <w:proofErr w:type="gramStart"/>
      <w:r w:rsidRPr="00660160">
        <w:t>stripped</w:t>
      </w:r>
      <w:proofErr w:type="gramEnd"/>
      <w:r w:rsidRPr="00660160">
        <w:t xml:space="preserve"> (back</w:t>
      </w:r>
      <w:r>
        <w:noBreakHyphen/>
      </w:r>
      <w:r w:rsidRPr="00660160">
        <w:t xml:space="preserve">extracted) from the scrubbed uranium-bearing organic stream back into an aqueous stream, referred to as the stripping or re-extraction section. </w:t>
      </w:r>
    </w:p>
    <w:p w:rsidR="00E664E4" w:rsidRDefault="00E664E4" w:rsidP="00E664E4">
      <w:r w:rsidRPr="00660160">
        <w:t>The organic phase leaves the extraction column</w:t>
      </w:r>
      <w:r>
        <w:t xml:space="preserve"> at the top, and the </w:t>
      </w:r>
      <w:proofErr w:type="spellStart"/>
      <w:r>
        <w:t>raffinate</w:t>
      </w:r>
      <w:proofErr w:type="spellEnd"/>
      <w:r>
        <w:t xml:space="preserve"> wa</w:t>
      </w:r>
      <w:r w:rsidRPr="00660160">
        <w:t>s collected at t</w:t>
      </w:r>
      <w:r>
        <w:t xml:space="preserve">he bottom. </w:t>
      </w:r>
      <w:proofErr w:type="spellStart"/>
      <w:r>
        <w:t>Raffinate</w:t>
      </w:r>
      <w:proofErr w:type="spellEnd"/>
      <w:r>
        <w:t xml:space="preserve"> constituted</w:t>
      </w:r>
      <w:r w:rsidRPr="00660160">
        <w:t xml:space="preserve"> another waste stream of </w:t>
      </w:r>
      <w:r>
        <w:t>the process. The organic phase wa</w:t>
      </w:r>
      <w:r w:rsidRPr="00660160">
        <w:t xml:space="preserve">s pumped to the bottom of the scrubbing column, where impurities contained in the organic phase </w:t>
      </w:r>
      <w:r>
        <w:t>we</w:t>
      </w:r>
      <w:r w:rsidRPr="00660160">
        <w:t>re washed into demineralized water in a counter current m</w:t>
      </w:r>
      <w:r>
        <w:t>ode. The bottom aqueous liquid wa</w:t>
      </w:r>
      <w:r w:rsidRPr="00660160">
        <w:t xml:space="preserve">s sent back to the adjustment tank </w:t>
      </w:r>
      <w:r>
        <w:t xml:space="preserve">to be returned </w:t>
      </w:r>
      <w:r w:rsidRPr="00660160">
        <w:t xml:space="preserve">to the extraction column, and the top organic stream </w:t>
      </w:r>
      <w:r>
        <w:t xml:space="preserve">was sent </w:t>
      </w:r>
      <w:r w:rsidRPr="00660160">
        <w:t>to the</w:t>
      </w:r>
      <w:r>
        <w:t xml:space="preserve"> stripping column. The uranium wa</w:t>
      </w:r>
      <w:r w:rsidRPr="00660160">
        <w:t>s stripped from the scrubbed uranium-bearing organic stream back into an a</w:t>
      </w:r>
      <w:r>
        <w:t>queous stream. The top product was organic material that wa</w:t>
      </w:r>
      <w:r w:rsidRPr="00660160">
        <w:t>s sent to the solvent storage or to the organic cleanu</w:t>
      </w:r>
      <w:r>
        <w:t>p facility. The bottom product wa</w:t>
      </w:r>
      <w:r w:rsidRPr="00660160">
        <w:t>s th</w:t>
      </w:r>
      <w:r>
        <w:t>e purified uranyl nitrate that wa</w:t>
      </w:r>
      <w:r w:rsidRPr="00660160">
        <w:t xml:space="preserve">s sent to a storage tank. The expected concentration of this liquid </w:t>
      </w:r>
      <w:r>
        <w:t>wa</w:t>
      </w:r>
      <w:r w:rsidRPr="00660160">
        <w:t>s 80–100 </w:t>
      </w:r>
      <w:proofErr w:type="spellStart"/>
      <w:r w:rsidRPr="00660160">
        <w:t>gU</w:t>
      </w:r>
      <w:proofErr w:type="spellEnd"/>
      <w:r w:rsidRPr="00660160">
        <w:t xml:space="preserve">/L with very little contaminants. In an actual conversion plant, solvent extraction takes approximately 6 hours with a 2 hour equilibrium period. The uranium losses to the </w:t>
      </w:r>
      <w:proofErr w:type="spellStart"/>
      <w:r w:rsidRPr="00660160">
        <w:t>raffinate</w:t>
      </w:r>
      <w:proofErr w:type="spellEnd"/>
      <w:r w:rsidRPr="00660160">
        <w:t xml:space="preserve"> and org</w:t>
      </w:r>
      <w:r w:rsidR="0036759F">
        <w:t>anic waste streams are 0.6–1.0% due to limited separation capability as well as phase carryover.</w:t>
      </w:r>
    </w:p>
    <w:p w:rsidR="00E664E4" w:rsidRDefault="00E664E4" w:rsidP="00E664E4">
      <w:r w:rsidRPr="00660160">
        <w:t>Various types of extraction equipment (e.g., mixer-settlers, pulsed columns, packed columns, mixer</w:t>
      </w:r>
      <w:r w:rsidR="00FE6F69">
        <w:noBreakHyphen/>
      </w:r>
      <w:r w:rsidRPr="00660160">
        <w:t xml:space="preserve">agitated columns, and centrifugal contactors) are used in conversion facilities. Because the </w:t>
      </w:r>
      <w:r w:rsidRPr="00660160">
        <w:lastRenderedPageBreak/>
        <w:t>aqueous stream containing uranium is nitric acid, the equipment utilized in purification must be constructed of materials that are resistant to nitric acid corrosion (i.e., stainless steels). The extraction process in this study, for example, utilize</w:t>
      </w:r>
      <w:r>
        <w:t>d</w:t>
      </w:r>
      <w:r w:rsidRPr="00660160">
        <w:t xml:space="preserve"> pulse columns. </w:t>
      </w:r>
    </w:p>
    <w:p w:rsidR="00E664E4" w:rsidRDefault="00E664E4" w:rsidP="00E664E4">
      <w:r w:rsidRPr="00660160">
        <w:t xml:space="preserve">The solvent, TBP, tends to degrade over time, especially in the presence of acids. The presence of the degradation products, such as the </w:t>
      </w:r>
      <w:proofErr w:type="spellStart"/>
      <w:r w:rsidRPr="00660160">
        <w:t>dibutyl</w:t>
      </w:r>
      <w:proofErr w:type="spellEnd"/>
      <w:r w:rsidRPr="00660160">
        <w:t xml:space="preserve"> phosphate (DBP)</w:t>
      </w:r>
      <w:r>
        <w:t xml:space="preserve">, </w:t>
      </w:r>
      <w:r w:rsidRPr="00660160">
        <w:t>mono-butyl phosphate (MBP)</w:t>
      </w:r>
      <w:r>
        <w:t>,</w:t>
      </w:r>
      <w:r w:rsidRPr="00660160">
        <w:t xml:space="preserve"> and phosphoric acid</w:t>
      </w:r>
      <w:r>
        <w:t>,</w:t>
      </w:r>
      <w:r w:rsidRPr="00660160">
        <w:t xml:space="preserve"> can have a detrimental effect on the extraction process. Some of the problems encountered include poor phase separation in the extraction equipment, extraction of other elements in addition to uranium, loss of uranium caused by the formation of stable complexes in the organic phase, and the formation of precipitates. Thus, the degradation products are periodically removed from the organic stream in order to maintain purification of the uranyl nitrate solutions to the desired level. Typically, the organic stream leaving the extraction strip column is periodically cleaned by mixing with a dilute sodium carbonate solution (~5</w:t>
      </w:r>
      <w:r>
        <w:t>-wt</w:t>
      </w:r>
      <w:r w:rsidRPr="00660160">
        <w:t>% Na</w:t>
      </w:r>
      <w:r w:rsidRPr="00660160">
        <w:rPr>
          <w:vertAlign w:val="subscript"/>
        </w:rPr>
        <w:t>2</w:t>
      </w:r>
      <w:r w:rsidRPr="00660160">
        <w:t>CO</w:t>
      </w:r>
      <w:r w:rsidRPr="00660160">
        <w:rPr>
          <w:vertAlign w:val="subscript"/>
        </w:rPr>
        <w:t>3</w:t>
      </w:r>
      <w:r w:rsidRPr="00660160">
        <w:t xml:space="preserve">). The degradation products readily dissolve in the solution forming soluble sodium salts. The organic, after treatment, is washed with water and dilute nitric acid to remove emulsions and to neutralize any residual alkalinity prior to returning it to the extraction process. The cleaned organic, which contains residual uranium, is returned to the extraction process for reuse. The organic recovery process is outside the scope of this work but is important to note for </w:t>
      </w:r>
      <w:r>
        <w:t xml:space="preserve">potential </w:t>
      </w:r>
      <w:r w:rsidRPr="00660160">
        <w:t>diversion scenarios.</w:t>
      </w:r>
      <w:r w:rsidR="0036759F">
        <w:t xml:space="preserve"> T</w:t>
      </w:r>
      <w:r w:rsidR="0036759F" w:rsidRPr="00660160">
        <w:t xml:space="preserve">he </w:t>
      </w:r>
      <w:r w:rsidR="0036759F">
        <w:t xml:space="preserve">formation </w:t>
      </w:r>
      <w:r w:rsidR="0036759F" w:rsidRPr="00660160">
        <w:t>DBP</w:t>
      </w:r>
      <w:r w:rsidR="0036759F">
        <w:t xml:space="preserve">, </w:t>
      </w:r>
      <w:r w:rsidR="0036759F" w:rsidRPr="00660160">
        <w:t>MBP</w:t>
      </w:r>
      <w:r w:rsidR="0036759F">
        <w:t>,</w:t>
      </w:r>
      <w:r w:rsidR="0036759F" w:rsidRPr="00660160">
        <w:t xml:space="preserve"> and phosphoric acid</w:t>
      </w:r>
      <w:r w:rsidR="0036759F">
        <w:t xml:space="preserve"> are not considered in the material balance calculations for this ideal case.</w:t>
      </w:r>
    </w:p>
    <w:p w:rsidR="00E664E4" w:rsidRPr="00660160" w:rsidRDefault="00E664E4" w:rsidP="00E664E4"/>
    <w:p w:rsidR="00E664E4" w:rsidRDefault="00E664E4" w:rsidP="00E664E4">
      <w:pPr>
        <w:rPr>
          <w:rFonts w:asciiTheme="majorHAnsi" w:hAnsiTheme="majorHAnsi"/>
          <w:b/>
          <w:i/>
        </w:rPr>
      </w:pPr>
      <w:r>
        <w:rPr>
          <w:rFonts w:asciiTheme="majorHAnsi" w:hAnsiTheme="majorHAnsi"/>
          <w:b/>
          <w:i/>
        </w:rPr>
        <w:t>3.2.2</w:t>
      </w:r>
      <w:r w:rsidRPr="00C26992">
        <w:rPr>
          <w:rFonts w:asciiTheme="majorHAnsi" w:hAnsiTheme="majorHAnsi"/>
          <w:b/>
          <w:i/>
        </w:rPr>
        <w:t>.</w:t>
      </w:r>
      <w:r>
        <w:rPr>
          <w:rFonts w:asciiTheme="majorHAnsi" w:hAnsiTheme="majorHAnsi"/>
          <w:b/>
          <w:i/>
        </w:rPr>
        <w:t>1 Module 2A</w:t>
      </w:r>
    </w:p>
    <w:p w:rsidR="00E664E4" w:rsidRDefault="00E664E4" w:rsidP="00E664E4">
      <w:r w:rsidRPr="00802070">
        <w:t>Module 2A encompasse</w:t>
      </w:r>
      <w:r>
        <w:t>d</w:t>
      </w:r>
      <w:r w:rsidRPr="00802070">
        <w:t xml:space="preserve"> the feed adjustment tank. In the feed adjustment tank, the concentration of the uranyl </w:t>
      </w:r>
      <w:r>
        <w:t>nitrate and the amount of acid we</w:t>
      </w:r>
      <w:r w:rsidRPr="00802070">
        <w:t xml:space="preserve">re adjusted to </w:t>
      </w:r>
      <w:r>
        <w:t xml:space="preserve">the </w:t>
      </w:r>
      <w:r w:rsidRPr="00802070">
        <w:t xml:space="preserve">desired levels by </w:t>
      </w:r>
      <w:r>
        <w:t xml:space="preserve">the addition of </w:t>
      </w:r>
      <w:r w:rsidRPr="00802070">
        <w:t>water</w:t>
      </w:r>
      <w:r>
        <w:t xml:space="preserve"> and nitric acid. The solution wa</w:t>
      </w:r>
      <w:r w:rsidRPr="00802070">
        <w:t>s typically adjusted to 250–</w:t>
      </w:r>
      <w:r w:rsidRPr="00802070">
        <w:softHyphen/>
      </w:r>
      <w:r w:rsidRPr="00802070">
        <w:softHyphen/>
      </w:r>
      <w:r w:rsidRPr="00802070">
        <w:softHyphen/>
        <w:t xml:space="preserve">350 g U/L and 1–4 </w:t>
      </w:r>
      <w:r w:rsidRPr="00802070">
        <w:rPr>
          <w:i/>
        </w:rPr>
        <w:t>N</w:t>
      </w:r>
      <w:r w:rsidRPr="00802070">
        <w:t xml:space="preserve"> free acid. The inputs to the feed adjustment tank include</w:t>
      </w:r>
      <w:r>
        <w:t>d</w:t>
      </w:r>
      <w:r w:rsidRPr="00802070">
        <w:t xml:space="preserve"> the uranyl nitrate stream from Module 1, water, nitric acid, and a recycle stream from Module 2C (intern</w:t>
      </w:r>
      <w:r>
        <w:t>al to Module 2). There wa</w:t>
      </w:r>
      <w:r w:rsidRPr="00802070">
        <w:t>s o</w:t>
      </w:r>
      <w:r>
        <w:t>ne output from Module 2A which wa</w:t>
      </w:r>
      <w:r w:rsidRPr="00802070">
        <w:t xml:space="preserve">s the </w:t>
      </w:r>
      <w:r w:rsidRPr="009D034F">
        <w:t>adjusted uranyl nitrate solution. Figure 3.10 shows a block diagram of Module 2A with the input and</w:t>
      </w:r>
      <w:r w:rsidRPr="00802070">
        <w:t xml:space="preserve"> output streams labeled. </w:t>
      </w:r>
    </w:p>
    <w:p w:rsidR="001E169B" w:rsidRPr="00802070" w:rsidRDefault="001E169B" w:rsidP="001E169B">
      <w:r>
        <w:t>Component mole balances we</w:t>
      </w:r>
      <w:r w:rsidRPr="00802070">
        <w:t xml:space="preserve">re used to model each of the process units in Module 2. The component mole balances for the feed adjustment tank are shown below in equations </w:t>
      </w:r>
      <w:r>
        <w:t>3.2.2.</w:t>
      </w:r>
      <w:r w:rsidRPr="00802070">
        <w:t>1–</w:t>
      </w:r>
      <w:r>
        <w:t>3.2.2.</w:t>
      </w:r>
      <w:r w:rsidRPr="00802070">
        <w:t>7.</w:t>
      </w:r>
      <w:r>
        <w:t xml:space="preserve"> </w:t>
      </w:r>
      <w:r w:rsidRPr="00802070">
        <w:t xml:space="preserve">Streams 5A and 6A are pure water and pure nitric acid, respectively. </w:t>
      </w:r>
      <w:proofErr w:type="spellStart"/>
      <w:r w:rsidRPr="00802070">
        <w:t>T</w:t>
      </w:r>
      <w:r>
        <w:t>ributyl</w:t>
      </w:r>
      <w:proofErr w:type="spellEnd"/>
      <w:r>
        <w:t xml:space="preserve"> phosphate</w:t>
      </w:r>
      <w:r w:rsidRPr="00802070">
        <w:t xml:space="preserve"> enters with the recycle stream. </w:t>
      </w:r>
      <w:r w:rsidR="0036759F">
        <w:t>The amount of TBP in the recycle stream is based on a set level of solvent carryover.</w:t>
      </w:r>
    </w:p>
    <w:p w:rsidR="001E169B" w:rsidRPr="00802070" w:rsidRDefault="00C851DF" w:rsidP="001E169B">
      <w:pPr>
        <w:jc w:val="right"/>
      </w:pPr>
      <m:oMath>
        <m:sSub>
          <m:sSubPr>
            <m:ctrlPr>
              <w:rPr>
                <w:rFonts w:ascii="Cambria Math" w:hAnsi="Cambria Math"/>
                <w:i/>
              </w:rPr>
            </m:ctrlPr>
          </m:sSubPr>
          <m:e>
            <m:r>
              <w:rPr>
                <w:rFonts w:ascii="Cambria Math" w:hAnsi="Cambria Math"/>
              </w:rPr>
              <m:t>F</m:t>
            </m:r>
          </m:e>
          <m:sub>
            <m:r>
              <w:rPr>
                <w:rFonts w:ascii="Cambria Math" w:hAnsi="Cambria Math"/>
              </w:rPr>
              <m:t>12,1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5</m:t>
            </m:r>
            <m:r>
              <w:rPr>
                <w:rFonts w:ascii="Cambria Math" w:hAnsi="Cambria Math"/>
              </w:rPr>
              <m:t>A</m:t>
            </m:r>
          </m:sub>
        </m:sSub>
        <m:r>
          <m:rPr>
            <m:sty m:val="p"/>
          </m:rPr>
          <w:rPr>
            <w:rFonts w:ascii="Cambria Math" w:hAnsi="Cambria Math"/>
          </w:rPr>
          <m:t>*</m:t>
        </m:r>
        <m:f>
          <m:fPr>
            <m:ctrlPr>
              <w:rPr>
                <w:rFonts w:ascii="Cambria Math" w:hAnsi="Cambria Math"/>
              </w:rPr>
            </m:ctrlPr>
          </m:fPr>
          <m:num>
            <m:r>
              <m:rPr>
                <m:sty m:val="p"/>
              </m:rPr>
              <w:rPr>
                <w:rFonts w:ascii="Cambria Math" w:hAnsi="Cambria Math"/>
              </w:rPr>
              <m:t>1000</m:t>
            </m:r>
          </m:num>
          <m:den>
            <m:sSub>
              <m:sSubPr>
                <m:ctrlPr>
                  <w:rPr>
                    <w:rFonts w:ascii="Cambria Math" w:hAnsi="Cambria Math"/>
                  </w:rPr>
                </m:ctrlPr>
              </m:sSubPr>
              <m:e>
                <m:r>
                  <w:rPr>
                    <w:rFonts w:ascii="Cambria Math" w:hAnsi="Cambria Math"/>
                  </w:rPr>
                  <m:t>MW</m:t>
                </m:r>
              </m:e>
              <m:sub>
                <m:r>
                  <m:rPr>
                    <m:sty m:val="p"/>
                  </m:rPr>
                  <w:rPr>
                    <w:rFonts w:ascii="Cambria Math" w:hAnsi="Cambria Math"/>
                  </w:rPr>
                  <m:t>1</m:t>
                </m:r>
              </m:sub>
            </m:sSub>
          </m:den>
        </m:f>
        <m: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18,1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14,1</m:t>
            </m:r>
          </m:sub>
        </m:sSub>
        <m:r>
          <m:rPr>
            <m:sty m:val="p"/>
          </m:rPr>
          <w:rPr>
            <w:rFonts w:ascii="Cambria Math" w:hAnsi="Cambria Math"/>
          </w:rPr>
          <m:t>=0</m:t>
        </m:r>
      </m:oMath>
      <w:r w:rsidR="001E169B" w:rsidRPr="00802070">
        <w:t xml:space="preserve">   </w:t>
      </w:r>
      <w:r w:rsidR="001E169B">
        <w:tab/>
      </w:r>
      <w:r w:rsidR="001E169B" w:rsidRPr="00802070">
        <w:tab/>
      </w:r>
      <w:r w:rsidR="001E169B">
        <w:tab/>
        <w:t>Eq. (3.2.2.</w:t>
      </w:r>
      <w:r w:rsidR="001E169B" w:rsidRPr="00802070">
        <w:t>1)</w:t>
      </w:r>
    </w:p>
    <w:p w:rsidR="001E169B" w:rsidRDefault="00C851DF" w:rsidP="001E169B">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12,9</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6</m:t>
            </m:r>
            <m:r>
              <w:rPr>
                <w:rFonts w:ascii="Cambria Math" w:hAnsi="Cambria Math"/>
              </w:rPr>
              <m:t>A</m:t>
            </m:r>
          </m:sub>
        </m:sSub>
        <m:r>
          <m:rPr>
            <m:sty m:val="p"/>
          </m:rPr>
          <w:rPr>
            <w:rFonts w:ascii="Cambria Math" w:hAnsi="Cambria Math"/>
          </w:rPr>
          <m:t>*</m:t>
        </m:r>
        <m:f>
          <m:fPr>
            <m:ctrlPr>
              <w:rPr>
                <w:rFonts w:ascii="Cambria Math" w:hAnsi="Cambria Math"/>
              </w:rPr>
            </m:ctrlPr>
          </m:fPr>
          <m:num>
            <m:r>
              <m:rPr>
                <m:sty m:val="p"/>
              </m:rPr>
              <w:rPr>
                <w:rFonts w:ascii="Cambria Math" w:hAnsi="Cambria Math"/>
              </w:rPr>
              <m:t>1000</m:t>
            </m:r>
          </m:num>
          <m:den>
            <m:sSub>
              <m:sSubPr>
                <m:ctrlPr>
                  <w:rPr>
                    <w:rFonts w:ascii="Cambria Math" w:hAnsi="Cambria Math"/>
                  </w:rPr>
                </m:ctrlPr>
              </m:sSubPr>
              <m:e>
                <m:r>
                  <w:rPr>
                    <w:rFonts w:ascii="Cambria Math" w:hAnsi="Cambria Math"/>
                  </w:rPr>
                  <m:t>MW</m:t>
                </m:r>
              </m:e>
              <m:sub>
                <m:r>
                  <m:rPr>
                    <m:sty m:val="p"/>
                  </m:rPr>
                  <w:rPr>
                    <w:rFonts w:ascii="Cambria Math" w:hAnsi="Cambria Math"/>
                  </w:rPr>
                  <m:t>9</m:t>
                </m:r>
              </m:sub>
            </m:sSub>
          </m:den>
        </m:f>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18,9</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14,9</m:t>
            </m:r>
          </m:sub>
        </m:sSub>
        <m:r>
          <m:rPr>
            <m:sty m:val="p"/>
          </m:rPr>
          <w:rPr>
            <w:rFonts w:ascii="Cambria Math" w:hAnsi="Cambria Math"/>
          </w:rPr>
          <m:t>=0</m:t>
        </m:r>
      </m:oMath>
      <w:r w:rsidR="001E169B" w:rsidRPr="00802070">
        <w:t xml:space="preserve"> </w:t>
      </w:r>
      <w:r w:rsidR="001E169B" w:rsidRPr="00802070">
        <w:tab/>
      </w:r>
      <w:r w:rsidR="001E169B" w:rsidRPr="00802070">
        <w:tab/>
      </w:r>
      <w:r w:rsidR="001E169B">
        <w:tab/>
        <w:t>Eq. (3.2.2.</w:t>
      </w:r>
      <w:r w:rsidR="001E169B" w:rsidRPr="00802070">
        <w:t>2)</w:t>
      </w:r>
    </w:p>
    <w:p w:rsidR="00E664E4" w:rsidRPr="00802070" w:rsidRDefault="00E664E4" w:rsidP="00E664E4">
      <w:pPr>
        <w:jc w:val="center"/>
      </w:pPr>
      <w:r w:rsidRPr="00802070">
        <w:object w:dxaOrig="3705" w:dyaOrig="4138">
          <v:shape id="_x0000_i1032" type="#_x0000_t75" style="width:184.3pt;height:206.75pt" o:ole="">
            <v:imagedata r:id="rId41" o:title=""/>
          </v:shape>
          <o:OLEObject Type="Embed" ProgID="Visio.Drawing.11" ShapeID="_x0000_i1032" DrawAspect="Content" ObjectID="_1445525557" r:id="rId42"/>
        </w:object>
      </w:r>
    </w:p>
    <w:p w:rsidR="00E664E4" w:rsidRDefault="00E664E4" w:rsidP="00E664E4">
      <w:pPr>
        <w:jc w:val="center"/>
        <w:rPr>
          <w:b/>
          <w:sz w:val="20"/>
          <w:szCs w:val="20"/>
        </w:rPr>
      </w:pPr>
      <w:r w:rsidRPr="009D034F">
        <w:rPr>
          <w:b/>
          <w:sz w:val="20"/>
          <w:szCs w:val="20"/>
        </w:rPr>
        <w:t xml:space="preserve">Figure 3.10. </w:t>
      </w:r>
      <w:r w:rsidR="00A87280">
        <w:rPr>
          <w:b/>
          <w:sz w:val="20"/>
          <w:szCs w:val="20"/>
        </w:rPr>
        <w:t xml:space="preserve">Block </w:t>
      </w:r>
      <w:r w:rsidRPr="009D034F">
        <w:rPr>
          <w:b/>
          <w:sz w:val="20"/>
          <w:szCs w:val="20"/>
        </w:rPr>
        <w:t xml:space="preserve">Diagram of the Module 2A </w:t>
      </w:r>
      <w:r w:rsidR="004045DF">
        <w:rPr>
          <w:b/>
          <w:sz w:val="20"/>
          <w:szCs w:val="20"/>
        </w:rPr>
        <w:t>Showing Input and Output Streams</w:t>
      </w:r>
      <w:r w:rsidRPr="009D034F">
        <w:rPr>
          <w:b/>
          <w:sz w:val="20"/>
          <w:szCs w:val="20"/>
        </w:rPr>
        <w:t>.</w:t>
      </w:r>
    </w:p>
    <w:p w:rsidR="001E169B" w:rsidRPr="001E169B" w:rsidRDefault="001E169B" w:rsidP="001E169B"/>
    <w:p w:rsidR="00002CAE" w:rsidRDefault="00002CAE" w:rsidP="00002CAE">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18,11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14,11</m:t>
            </m:r>
          </m:sub>
        </m:sSub>
        <m:r>
          <m:rPr>
            <m:sty m:val="p"/>
          </m:rPr>
          <w:rPr>
            <w:rFonts w:ascii="Cambria Math" w:hAnsi="Cambria Math"/>
          </w:rPr>
          <m:t>=0</m:t>
        </m:r>
      </m:oMath>
      <w:r w:rsidRPr="00802070">
        <w:t xml:space="preserve">   </w:t>
      </w:r>
      <w:r w:rsidRPr="00802070">
        <w:tab/>
      </w:r>
      <w:r w:rsidRPr="00802070">
        <w:tab/>
      </w:r>
      <w:r w:rsidRPr="00802070">
        <w:tab/>
      </w:r>
      <w:r>
        <w:tab/>
      </w:r>
      <w:r>
        <w:tab/>
        <w:t>Eq. (3.2.2.</w:t>
      </w:r>
      <w:r w:rsidRPr="00802070">
        <w:t>3)</w:t>
      </w:r>
    </w:p>
    <w:p w:rsidR="001D0EF6" w:rsidRDefault="00C851DF" w:rsidP="001D0EF6">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12,14</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18,14</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14,14</m:t>
            </m:r>
          </m:sub>
        </m:sSub>
        <m:r>
          <m:rPr>
            <m:sty m:val="p"/>
          </m:rPr>
          <w:rPr>
            <w:rFonts w:ascii="Cambria Math" w:hAnsi="Cambria Math"/>
          </w:rPr>
          <m:t>=0</m:t>
        </m:r>
      </m:oMath>
      <w:r w:rsidR="001D0EF6" w:rsidRPr="00802070">
        <w:t xml:space="preserve">   </w:t>
      </w:r>
      <w:r w:rsidR="001D0EF6" w:rsidRPr="00802070">
        <w:tab/>
      </w:r>
      <w:r w:rsidR="001D0EF6" w:rsidRPr="00802070">
        <w:tab/>
      </w:r>
      <w:r w:rsidR="001D0EF6" w:rsidRPr="00802070">
        <w:tab/>
      </w:r>
      <w:r w:rsidR="001D0EF6">
        <w:tab/>
        <w:t>Eq. (3.2.2.</w:t>
      </w:r>
      <w:r w:rsidR="001D0EF6" w:rsidRPr="00802070">
        <w:t>4)</w:t>
      </w:r>
    </w:p>
    <w:p w:rsidR="001D0EF6" w:rsidRPr="00802070" w:rsidRDefault="00C851DF" w:rsidP="001D0EF6">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12,18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18,18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14,18</m:t>
            </m:r>
          </m:sub>
        </m:sSub>
        <m:r>
          <m:rPr>
            <m:sty m:val="p"/>
          </m:rPr>
          <w:rPr>
            <w:rFonts w:ascii="Cambria Math" w:hAnsi="Cambria Math"/>
          </w:rPr>
          <m:t>=0</m:t>
        </m:r>
      </m:oMath>
      <w:r w:rsidR="001D0EF6" w:rsidRPr="00802070">
        <w:t xml:space="preserve">   </w:t>
      </w:r>
      <w:r w:rsidR="001D0EF6" w:rsidRPr="00802070">
        <w:tab/>
      </w:r>
      <w:r w:rsidR="001D0EF6" w:rsidRPr="00802070">
        <w:tab/>
      </w:r>
      <w:r w:rsidR="001D0EF6" w:rsidRPr="00802070">
        <w:tab/>
      </w:r>
      <w:r w:rsidR="001D0EF6">
        <w:tab/>
        <w:t>Eq. (3.2.2.</w:t>
      </w:r>
      <w:r w:rsidR="001D0EF6" w:rsidRPr="00802070">
        <w:t>5)</w:t>
      </w:r>
    </w:p>
    <w:p w:rsidR="00E664E4" w:rsidRPr="00802070"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12,20</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18,20</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14,20</m:t>
            </m:r>
          </m:sub>
        </m:sSub>
        <m:r>
          <m:rPr>
            <m:sty m:val="p"/>
          </m:rPr>
          <w:rPr>
            <w:rFonts w:ascii="Cambria Math" w:hAnsi="Cambria Math"/>
          </w:rPr>
          <m:t>=0</m:t>
        </m:r>
      </m:oMath>
      <w:r w:rsidR="00E664E4" w:rsidRPr="00802070">
        <w:t xml:space="preserve">   </w:t>
      </w:r>
      <w:r w:rsidR="00E664E4" w:rsidRPr="00802070">
        <w:tab/>
      </w:r>
      <w:r w:rsidR="00E664E4" w:rsidRPr="00802070">
        <w:tab/>
      </w:r>
      <w:r w:rsidR="00E664E4" w:rsidRPr="00802070">
        <w:tab/>
      </w:r>
      <w:r w:rsidR="00E664E4">
        <w:tab/>
        <w:t>Eq. (3.2.2.</w:t>
      </w:r>
      <w:r w:rsidR="00E664E4" w:rsidRPr="00802070">
        <w:t>6)</w:t>
      </w:r>
    </w:p>
    <w:p w:rsidR="00E664E4" w:rsidRPr="00802070"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12,21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18,21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14,21</m:t>
            </m:r>
          </m:sub>
        </m:sSub>
        <m:r>
          <m:rPr>
            <m:sty m:val="p"/>
          </m:rPr>
          <w:rPr>
            <w:rFonts w:ascii="Cambria Math" w:hAnsi="Cambria Math"/>
          </w:rPr>
          <m:t>=0</m:t>
        </m:r>
      </m:oMath>
      <w:r w:rsidR="00E664E4" w:rsidRPr="00802070">
        <w:t xml:space="preserve">   </w:t>
      </w:r>
      <w:r w:rsidR="00E664E4" w:rsidRPr="00802070">
        <w:tab/>
      </w:r>
      <w:r w:rsidR="00E664E4" w:rsidRPr="00802070">
        <w:tab/>
      </w:r>
      <w:r w:rsidR="00E664E4" w:rsidRPr="00802070">
        <w:tab/>
      </w:r>
      <w:r w:rsidR="00E664E4">
        <w:tab/>
        <w:t>Eq. (3.2.2.</w:t>
      </w:r>
      <w:r w:rsidR="00E664E4" w:rsidRPr="00802070">
        <w:t>7)</w:t>
      </w:r>
    </w:p>
    <w:p w:rsidR="004045DF" w:rsidRPr="00DC329E" w:rsidRDefault="004045DF" w:rsidP="00DC329E"/>
    <w:p w:rsidR="00E664E4" w:rsidRDefault="00E664E4" w:rsidP="00E664E4">
      <w:pPr>
        <w:rPr>
          <w:rFonts w:asciiTheme="majorHAnsi" w:hAnsiTheme="majorHAnsi"/>
          <w:b/>
          <w:i/>
        </w:rPr>
      </w:pPr>
      <w:r>
        <w:rPr>
          <w:rFonts w:asciiTheme="majorHAnsi" w:hAnsiTheme="majorHAnsi"/>
          <w:b/>
          <w:i/>
        </w:rPr>
        <w:t>3.2.2</w:t>
      </w:r>
      <w:r w:rsidRPr="00C26992">
        <w:rPr>
          <w:rFonts w:asciiTheme="majorHAnsi" w:hAnsiTheme="majorHAnsi"/>
          <w:b/>
          <w:i/>
        </w:rPr>
        <w:t>.</w:t>
      </w:r>
      <w:r>
        <w:rPr>
          <w:rFonts w:asciiTheme="majorHAnsi" w:hAnsiTheme="majorHAnsi"/>
          <w:b/>
          <w:i/>
        </w:rPr>
        <w:t>2 Module 2B</w:t>
      </w:r>
    </w:p>
    <w:p w:rsidR="00E664E4" w:rsidRPr="007956D4" w:rsidRDefault="00E664E4" w:rsidP="00E664E4">
      <w:r>
        <w:t>Module 2B encompassed</w:t>
      </w:r>
      <w:r w:rsidRPr="007956D4">
        <w:t xml:space="preserve"> the extraction </w:t>
      </w:r>
      <w:r>
        <w:t>column, where uranium wa</w:t>
      </w:r>
      <w:r w:rsidRPr="007956D4">
        <w:t xml:space="preserve">s extracted from the aqueous uranyl nitrate solution into the organic phase using TBP. The stripping of uranium from the aqueous phase to the organic phase is explained by Eq. </w:t>
      </w:r>
      <w:r>
        <w:t>3.2.2.</w:t>
      </w:r>
      <w:r w:rsidRPr="007956D4">
        <w:t>8.</w:t>
      </w:r>
    </w:p>
    <w:p w:rsidR="00E664E4" w:rsidRPr="007956D4" w:rsidRDefault="00C851DF" w:rsidP="00E664E4">
      <w:pPr>
        <w:jc w:val="right"/>
      </w:pPr>
      <m:oMath>
        <m:sSub>
          <m:sSubPr>
            <m:ctrlPr>
              <w:rPr>
                <w:rFonts w:ascii="Cambria Math" w:hAnsi="Cambria Math"/>
              </w:rPr>
            </m:ctrlPr>
          </m:sSubPr>
          <m:e>
            <m:r>
              <w:rPr>
                <w:rFonts w:ascii="Cambria Math" w:hAnsi="Cambria Math"/>
              </w:rPr>
              <m:t>UO</m:t>
            </m:r>
          </m:e>
          <m:sub>
            <m:r>
              <m:rPr>
                <m:sty m:val="p"/>
              </m:rPr>
              <w:rPr>
                <w:rFonts w:ascii="Cambria Math" w:hAnsi="Cambria Math"/>
              </w:rPr>
              <m:t>2</m:t>
            </m:r>
          </m:sub>
        </m:sSub>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NO</m:t>
                    </m:r>
                  </m:e>
                  <m:sub>
                    <m:r>
                      <m:rPr>
                        <m:sty m:val="p"/>
                      </m:rPr>
                      <w:rPr>
                        <w:rFonts w:ascii="Cambria Math" w:hAnsi="Cambria Math"/>
                      </w:rPr>
                      <m:t>3</m:t>
                    </m:r>
                  </m:sub>
                </m:sSub>
              </m:e>
            </m:d>
          </m:e>
          <m:sub>
            <m:r>
              <m:rPr>
                <m:sty m:val="p"/>
              </m:rPr>
              <w:rPr>
                <w:rFonts w:ascii="Cambria Math" w:hAnsi="Cambria Math"/>
              </w:rPr>
              <m:t>2</m:t>
            </m:r>
          </m:sub>
        </m:sSub>
        <m:r>
          <m:rPr>
            <m:sty m:val="p"/>
          </m:rPr>
          <w:rPr>
            <w:rFonts w:ascii="Cambria Math" w:hAnsi="Cambria Math"/>
          </w:rPr>
          <m:t>∙6</m:t>
        </m:r>
        <m:sSub>
          <m:sSubPr>
            <m:ctrlPr>
              <w:rPr>
                <w:rFonts w:ascii="Cambria Math" w:hAnsi="Cambria Math"/>
              </w:rPr>
            </m:ctrlPr>
          </m:sSubPr>
          <m:e>
            <m:r>
              <w:rPr>
                <w:rFonts w:ascii="Cambria Math" w:hAnsi="Cambria Math"/>
              </w:rPr>
              <m:t>H</m:t>
            </m:r>
          </m:e>
          <m:sub>
            <m:r>
              <m:rPr>
                <m:sty m:val="p"/>
              </m:rPr>
              <w:rPr>
                <w:rFonts w:ascii="Cambria Math" w:hAnsi="Cambria Math"/>
              </w:rPr>
              <m:t>2</m:t>
            </m:r>
          </m:sub>
        </m:sSub>
        <m:r>
          <w:rPr>
            <w:rFonts w:ascii="Cambria Math" w:hAnsi="Cambria Math"/>
          </w:rPr>
          <m:t>O</m:t>
        </m:r>
        <m:d>
          <m:dPr>
            <m:ctrlPr>
              <w:rPr>
                <w:rFonts w:ascii="Cambria Math" w:hAnsi="Cambria Math"/>
              </w:rPr>
            </m:ctrlPr>
          </m:dPr>
          <m:e>
            <m:r>
              <w:rPr>
                <w:rFonts w:ascii="Cambria Math" w:hAnsi="Cambria Math"/>
              </w:rPr>
              <m:t>aq</m:t>
            </m:r>
          </m:e>
        </m:d>
        <m:r>
          <m:rPr>
            <m:sty m:val="p"/>
          </m:rPr>
          <w:rPr>
            <w:rFonts w:ascii="Cambria Math" w:hAnsi="Cambria Math"/>
          </w:rPr>
          <m:t>+2</m:t>
        </m:r>
        <m:r>
          <w:rPr>
            <w:rFonts w:ascii="Cambria Math" w:hAnsi="Cambria Math"/>
          </w:rPr>
          <m:t>TBP</m:t>
        </m:r>
        <m:d>
          <m:dPr>
            <m:ctrlPr>
              <w:rPr>
                <w:rFonts w:ascii="Cambria Math" w:hAnsi="Cambria Math"/>
              </w:rPr>
            </m:ctrlPr>
          </m:dPr>
          <m:e>
            <m:r>
              <w:rPr>
                <w:rFonts w:ascii="Cambria Math" w:hAnsi="Cambria Math"/>
              </w:rPr>
              <m:t>or</m:t>
            </m:r>
          </m:e>
        </m:d>
        <m:box>
          <m:boxPr>
            <m:opEmu m:val="1"/>
            <m:ctrlPr>
              <w:rPr>
                <w:rFonts w:ascii="Cambria Math" w:hAnsi="Cambria Math"/>
              </w:rPr>
            </m:ctrlPr>
          </m:boxPr>
          <m:e>
            <m:groupChr>
              <m:groupChrPr>
                <m:chr m:val="↔"/>
                <m:vertJc m:val="bot"/>
                <m:ctrlPr>
                  <w:rPr>
                    <w:rFonts w:ascii="Cambria Math" w:hAnsi="Cambria Math"/>
                  </w:rPr>
                </m:ctrlPr>
              </m:groupChrPr>
              <m:e>
                <m:r>
                  <m:rPr>
                    <m:sty m:val="p"/>
                  </m:rPr>
                  <w:rPr>
                    <w:rFonts w:ascii="Cambria Math" w:hAnsi="Cambria Math"/>
                  </w:rPr>
                  <m:t xml:space="preserve"> </m:t>
                </m:r>
              </m:e>
            </m:groupChr>
            <m:sSub>
              <m:sSubPr>
                <m:ctrlPr>
                  <w:rPr>
                    <w:rFonts w:ascii="Cambria Math" w:hAnsi="Cambria Math"/>
                  </w:rPr>
                </m:ctrlPr>
              </m:sSubPr>
              <m:e>
                <m:r>
                  <w:rPr>
                    <w:rFonts w:ascii="Cambria Math" w:hAnsi="Cambria Math"/>
                  </w:rPr>
                  <m:t>UO</m:t>
                </m:r>
              </m:e>
              <m:sub>
                <m:r>
                  <m:rPr>
                    <m:sty m:val="p"/>
                  </m:rPr>
                  <w:rPr>
                    <w:rFonts w:ascii="Cambria Math" w:hAnsi="Cambria Math"/>
                  </w:rPr>
                  <m:t>2</m:t>
                </m:r>
              </m:sub>
            </m:sSub>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NO</m:t>
                        </m:r>
                      </m:e>
                      <m:sub>
                        <m:r>
                          <m:rPr>
                            <m:sty m:val="p"/>
                          </m:rPr>
                          <w:rPr>
                            <w:rFonts w:ascii="Cambria Math" w:hAnsi="Cambria Math"/>
                          </w:rPr>
                          <m:t>3</m:t>
                        </m:r>
                      </m:sub>
                    </m:sSub>
                  </m:e>
                </m:d>
              </m:e>
              <m:sub>
                <m:r>
                  <m:rPr>
                    <m:sty m:val="p"/>
                  </m:rPr>
                  <w:rPr>
                    <w:rFonts w:ascii="Cambria Math" w:hAnsi="Cambria Math"/>
                  </w:rPr>
                  <m:t>2</m:t>
                </m:r>
              </m:sub>
            </m:sSub>
            <m:r>
              <m:rPr>
                <m:sty m:val="p"/>
              </m:rPr>
              <w:rPr>
                <w:rFonts w:ascii="Cambria Math" w:hAnsi="Cambria Math"/>
              </w:rPr>
              <m:t>∙2</m:t>
            </m:r>
            <m:r>
              <w:rPr>
                <w:rFonts w:ascii="Cambria Math" w:hAnsi="Cambria Math"/>
              </w:rPr>
              <m:t>TBP</m:t>
            </m:r>
            <m:d>
              <m:dPr>
                <m:ctrlPr>
                  <w:rPr>
                    <w:rFonts w:ascii="Cambria Math" w:hAnsi="Cambria Math"/>
                  </w:rPr>
                </m:ctrlPr>
              </m:dPr>
              <m:e>
                <m:r>
                  <w:rPr>
                    <w:rFonts w:ascii="Cambria Math" w:hAnsi="Cambria Math"/>
                  </w:rPr>
                  <m:t>or</m:t>
                </m:r>
              </m:e>
            </m:d>
            <m:r>
              <m:rPr>
                <m:sty m:val="p"/>
              </m:rPr>
              <w:rPr>
                <w:rFonts w:ascii="Cambria Math" w:hAnsi="Cambria Math"/>
              </w:rPr>
              <m:t>+6</m:t>
            </m:r>
            <m:sSub>
              <m:sSubPr>
                <m:ctrlPr>
                  <w:rPr>
                    <w:rFonts w:ascii="Cambria Math" w:hAnsi="Cambria Math"/>
                  </w:rPr>
                </m:ctrlPr>
              </m:sSubPr>
              <m:e>
                <m:r>
                  <w:rPr>
                    <w:rFonts w:ascii="Cambria Math" w:hAnsi="Cambria Math"/>
                  </w:rPr>
                  <m:t>H</m:t>
                </m:r>
              </m:e>
              <m:sub>
                <m:r>
                  <m:rPr>
                    <m:sty m:val="p"/>
                  </m:rPr>
                  <w:rPr>
                    <w:rFonts w:ascii="Cambria Math" w:hAnsi="Cambria Math"/>
                  </w:rPr>
                  <m:t>2</m:t>
                </m:r>
              </m:sub>
            </m:sSub>
            <m:r>
              <w:rPr>
                <w:rFonts w:ascii="Cambria Math" w:hAnsi="Cambria Math"/>
              </w:rPr>
              <m:t>O</m:t>
            </m:r>
            <m:d>
              <m:dPr>
                <m:ctrlPr>
                  <w:rPr>
                    <w:rFonts w:ascii="Cambria Math" w:hAnsi="Cambria Math"/>
                  </w:rPr>
                </m:ctrlPr>
              </m:dPr>
              <m:e>
                <m:r>
                  <w:rPr>
                    <w:rFonts w:ascii="Cambria Math" w:hAnsi="Cambria Math"/>
                  </w:rPr>
                  <m:t>aq</m:t>
                </m:r>
              </m:e>
            </m:d>
          </m:e>
        </m:box>
      </m:oMath>
      <w:r w:rsidR="00E664E4" w:rsidRPr="007956D4">
        <w:tab/>
      </w:r>
      <w:r w:rsidR="00E664E4" w:rsidRPr="007956D4">
        <w:tab/>
      </w:r>
      <w:r w:rsidR="00E664E4">
        <w:t>Eq. (3.2.2.</w:t>
      </w:r>
      <w:r w:rsidR="00E664E4" w:rsidRPr="007956D4">
        <w:t>8)</w:t>
      </w:r>
    </w:p>
    <w:p w:rsidR="00E664E4" w:rsidRDefault="00E664E4" w:rsidP="00E664E4">
      <w:r w:rsidRPr="007956D4">
        <w:t xml:space="preserve">The inputs to Module 2B </w:t>
      </w:r>
      <w:r>
        <w:t>were</w:t>
      </w:r>
      <w:r w:rsidRPr="007956D4">
        <w:t xml:space="preserve"> the output of Module 2A and </w:t>
      </w:r>
      <w:r>
        <w:t>the TBP/diluent mixture. There we</w:t>
      </w:r>
      <w:r w:rsidRPr="007956D4">
        <w:t>re two outputs from Module 2B</w:t>
      </w:r>
      <w:r>
        <w:t>:</w:t>
      </w:r>
      <w:r w:rsidRPr="007956D4">
        <w:t xml:space="preserve"> (1) the </w:t>
      </w:r>
      <w:proofErr w:type="spellStart"/>
      <w:r w:rsidRPr="007956D4">
        <w:t>raffinate</w:t>
      </w:r>
      <w:proofErr w:type="spellEnd"/>
      <w:r w:rsidRPr="007956D4">
        <w:t xml:space="preserve"> to waste and (2) the uranium-bearing organic stream to </w:t>
      </w:r>
      <w:r w:rsidRPr="009D034F">
        <w:t>scrubbing. Figure 3.11 shows a block diagram of Module 2B with the input and output streams labeled.</w:t>
      </w:r>
      <w:r w:rsidRPr="007956D4">
        <w:t xml:space="preserve"> </w:t>
      </w:r>
    </w:p>
    <w:p w:rsidR="00AC7D91" w:rsidRDefault="00AC7D91" w:rsidP="00E664E4"/>
    <w:p w:rsidR="00E664E4" w:rsidRPr="007956D4" w:rsidRDefault="00E664E4" w:rsidP="00E664E4">
      <w:pPr>
        <w:jc w:val="center"/>
      </w:pPr>
      <w:r w:rsidRPr="007956D4">
        <w:object w:dxaOrig="4260" w:dyaOrig="3884">
          <v:shape id="_x0000_i1033" type="#_x0000_t75" style="width:211.4pt;height:193.55pt" o:ole="">
            <v:imagedata r:id="rId43" o:title=""/>
          </v:shape>
          <o:OLEObject Type="Embed" ProgID="Visio.Drawing.11" ShapeID="_x0000_i1033" DrawAspect="Content" ObjectID="_1445525558" r:id="rId44"/>
        </w:object>
      </w:r>
    </w:p>
    <w:p w:rsidR="00E664E4" w:rsidRDefault="00E664E4" w:rsidP="00E664E4">
      <w:pPr>
        <w:jc w:val="center"/>
        <w:rPr>
          <w:b/>
          <w:sz w:val="20"/>
          <w:szCs w:val="20"/>
        </w:rPr>
      </w:pPr>
      <w:r w:rsidRPr="009D034F">
        <w:rPr>
          <w:b/>
          <w:sz w:val="20"/>
          <w:szCs w:val="20"/>
        </w:rPr>
        <w:t xml:space="preserve">Figure 3.11. Block Diagram of the Module 2B </w:t>
      </w:r>
      <w:r w:rsidR="004045DF">
        <w:rPr>
          <w:b/>
          <w:sz w:val="20"/>
          <w:szCs w:val="20"/>
        </w:rPr>
        <w:t>Showing Input and Output Streams</w:t>
      </w:r>
      <w:r w:rsidRPr="009D034F">
        <w:rPr>
          <w:b/>
          <w:sz w:val="20"/>
          <w:szCs w:val="20"/>
        </w:rPr>
        <w:t>.</w:t>
      </w:r>
    </w:p>
    <w:p w:rsidR="001E169B" w:rsidRDefault="001E169B" w:rsidP="001E169B"/>
    <w:p w:rsidR="00AC7D91" w:rsidRPr="007956D4" w:rsidRDefault="00002CAE" w:rsidP="00AC7D91">
      <w:r w:rsidRPr="007956D4">
        <w:t xml:space="preserve">The extraction column </w:t>
      </w:r>
      <w:r>
        <w:t>separated S</w:t>
      </w:r>
      <w:r w:rsidRPr="007956D4">
        <w:t xml:space="preserve">tream 14 along with </w:t>
      </w:r>
      <w:r>
        <w:t>S</w:t>
      </w:r>
      <w:r w:rsidRPr="007956D4">
        <w:t xml:space="preserve">tream 7A </w:t>
      </w:r>
      <w:r>
        <w:t>into two streams. Stream 7A wa</w:t>
      </w:r>
      <w:r w:rsidRPr="007956D4">
        <w:t>s defined as pure TBP, where TBP here actually represent</w:t>
      </w:r>
      <w:r>
        <w:t>ed</w:t>
      </w:r>
      <w:r w:rsidRPr="007956D4">
        <w:t xml:space="preserve"> the TBP/d</w:t>
      </w:r>
      <w:r>
        <w:t xml:space="preserve">iluent mixture. The separation was </w:t>
      </w:r>
      <w:r w:rsidR="00AC7D91" w:rsidRPr="007956D4">
        <w:t xml:space="preserve">defined as the fraction that </w:t>
      </w:r>
      <w:r w:rsidR="00AC7D91">
        <w:t xml:space="preserve">was sent </w:t>
      </w:r>
      <w:r w:rsidR="00AC7D91" w:rsidRPr="007956D4">
        <w:t xml:space="preserve">to the organic stream from the input stream by </w:t>
      </w:r>
      <w:r w:rsidR="00AC7D91">
        <w:t>parameter</w:t>
      </w:r>
      <w:proofErr w:type="gramStart"/>
      <w:r w:rsidR="00AC7D91" w:rsidRPr="007956D4">
        <w:t xml:space="preserve">, </w:t>
      </w:r>
      <w:proofErr w:type="gramEnd"/>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2</m:t>
            </m:r>
            <m:r>
              <w:rPr>
                <w:rFonts w:ascii="Cambria Math" w:hAnsi="Cambria Math"/>
              </w:rPr>
              <m:t>B</m:t>
            </m:r>
            <m:r>
              <m:rPr>
                <m:sty m:val="p"/>
              </m:rPr>
              <w:rPr>
                <w:rFonts w:ascii="Cambria Math" w:hAnsi="Cambria Math"/>
              </w:rPr>
              <m:t>,</m:t>
            </m:r>
            <m:r>
              <w:rPr>
                <w:rFonts w:ascii="Cambria Math" w:hAnsi="Cambria Math"/>
              </w:rPr>
              <m:t>i</m:t>
            </m:r>
          </m:sub>
        </m:sSub>
      </m:oMath>
      <w:r w:rsidR="00AC7D91" w:rsidRPr="007956D4">
        <w:t xml:space="preserve">, where each component, </w:t>
      </w:r>
      <m:oMath>
        <m:r>
          <w:rPr>
            <w:rFonts w:ascii="Cambria Math" w:hAnsi="Cambria Math"/>
          </w:rPr>
          <m:t>i</m:t>
        </m:r>
      </m:oMath>
      <w:r w:rsidR="00AC7D91" w:rsidRPr="007956D4">
        <w:t>, ha</w:t>
      </w:r>
      <w:r w:rsidR="00AC7D91">
        <w:t>d</w:t>
      </w:r>
      <w:r w:rsidR="00AC7D91" w:rsidRPr="007956D4">
        <w:t xml:space="preserve"> a different fractionation. Equations </w:t>
      </w:r>
      <w:r w:rsidR="00AC7D91">
        <w:t>3.2.2.</w:t>
      </w:r>
      <w:r w:rsidR="00AC7D91" w:rsidRPr="007956D4">
        <w:t>9–</w:t>
      </w:r>
      <w:r w:rsidR="00AC7D91">
        <w:t xml:space="preserve">3.2.2.15 </w:t>
      </w:r>
      <w:proofErr w:type="gramStart"/>
      <w:r w:rsidR="00AC7D91">
        <w:t>define</w:t>
      </w:r>
      <w:proofErr w:type="gramEnd"/>
      <w:r w:rsidR="00AC7D91">
        <w:t xml:space="preserve"> the separation of Stream 14 and Stream 7A into S</w:t>
      </w:r>
      <w:r w:rsidR="00AC7D91" w:rsidRPr="007956D4">
        <w:t>tream 15.</w:t>
      </w:r>
    </w:p>
    <w:p w:rsidR="00E664E4" w:rsidRPr="007956D4" w:rsidRDefault="00C851DF" w:rsidP="00E664E4">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2</m:t>
            </m:r>
            <m:r>
              <w:rPr>
                <w:rFonts w:ascii="Cambria Math" w:hAnsi="Cambria Math"/>
              </w:rPr>
              <m:t>B</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14,1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15,1</m:t>
            </m:r>
          </m:sub>
        </m:sSub>
        <m:r>
          <m:rPr>
            <m:sty m:val="p"/>
          </m:rPr>
          <w:rPr>
            <w:rFonts w:ascii="Cambria Math" w:hAnsi="Cambria Math"/>
          </w:rPr>
          <m:t>=0</m:t>
        </m:r>
      </m:oMath>
      <w:r w:rsidR="00E664E4" w:rsidRPr="007956D4">
        <w:t xml:space="preserve">   </w:t>
      </w:r>
      <w:r w:rsidR="00E664E4" w:rsidRPr="007956D4">
        <w:tab/>
      </w:r>
      <w:r w:rsidR="00E664E4" w:rsidRPr="007956D4">
        <w:tab/>
      </w:r>
      <w:r w:rsidR="00E664E4" w:rsidRPr="007956D4">
        <w:tab/>
      </w:r>
      <w:r w:rsidR="00E664E4" w:rsidRPr="007956D4">
        <w:tab/>
      </w:r>
      <w:r w:rsidR="00E664E4">
        <w:t>Eq. (3.2.2.</w:t>
      </w:r>
      <w:r w:rsidR="00E664E4" w:rsidRPr="007956D4">
        <w:t>9)</w:t>
      </w:r>
    </w:p>
    <w:p w:rsidR="00E664E4" w:rsidRPr="007956D4" w:rsidRDefault="00C851DF" w:rsidP="00E664E4">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2</m:t>
            </m:r>
            <m:r>
              <w:rPr>
                <w:rFonts w:ascii="Cambria Math" w:hAnsi="Cambria Math"/>
              </w:rPr>
              <m:t>B</m:t>
            </m:r>
            <m:r>
              <m:rPr>
                <m:sty m:val="p"/>
              </m:rPr>
              <w:rPr>
                <w:rFonts w:ascii="Cambria Math" w:hAnsi="Cambria Math"/>
              </w:rPr>
              <m:t>,9</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14,9</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15,9</m:t>
            </m:r>
          </m:sub>
        </m:sSub>
        <m:r>
          <m:rPr>
            <m:sty m:val="p"/>
          </m:rPr>
          <w:rPr>
            <w:rFonts w:ascii="Cambria Math" w:hAnsi="Cambria Math"/>
          </w:rPr>
          <m:t>=0</m:t>
        </m:r>
      </m:oMath>
      <w:r w:rsidR="00E664E4" w:rsidRPr="007956D4">
        <w:t xml:space="preserve">   </w:t>
      </w:r>
      <w:r w:rsidR="00E664E4" w:rsidRPr="007956D4">
        <w:tab/>
      </w:r>
      <w:r w:rsidR="00E664E4" w:rsidRPr="007956D4">
        <w:tab/>
      </w:r>
      <w:r w:rsidR="00E664E4" w:rsidRPr="007956D4">
        <w:tab/>
      </w:r>
      <w:r w:rsidR="00E664E4" w:rsidRPr="007956D4">
        <w:tab/>
      </w:r>
      <w:r w:rsidR="00E664E4">
        <w:t>Eq. (3.2.2.</w:t>
      </w:r>
      <w:r w:rsidR="00E664E4" w:rsidRPr="007956D4">
        <w:t>10)</w:t>
      </w:r>
    </w:p>
    <w:p w:rsidR="00E664E4" w:rsidRPr="007956D4" w:rsidRDefault="00C851DF" w:rsidP="00E664E4">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2</m:t>
            </m:r>
            <m:r>
              <w:rPr>
                <w:rFonts w:ascii="Cambria Math" w:hAnsi="Cambria Math"/>
              </w:rPr>
              <m:t>B</m:t>
            </m:r>
            <m:r>
              <m:rPr>
                <m:sty m:val="p"/>
              </m:rPr>
              <w:rPr>
                <w:rFonts w:ascii="Cambria Math" w:hAnsi="Cambria Math"/>
              </w:rPr>
              <m:t>,11</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F</m:t>
                </m:r>
              </m:e>
              <m:sub>
                <m:r>
                  <m:rPr>
                    <m:sty m:val="p"/>
                  </m:rPr>
                  <w:rPr>
                    <w:rFonts w:ascii="Cambria Math" w:hAnsi="Cambria Math"/>
                  </w:rPr>
                  <m:t>14,11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7</m:t>
                </m:r>
                <m:r>
                  <w:rPr>
                    <w:rFonts w:ascii="Cambria Math" w:hAnsi="Cambria Math"/>
                  </w:rPr>
                  <m:t>A</m:t>
                </m:r>
              </m:sub>
            </m:sSub>
            <m:r>
              <m:rPr>
                <m:sty m:val="p"/>
              </m:rPr>
              <w:rPr>
                <w:rFonts w:ascii="Cambria Math" w:hAnsi="Cambria Math"/>
              </w:rPr>
              <m:t>*</m:t>
            </m:r>
            <m:f>
              <m:fPr>
                <m:ctrlPr>
                  <w:rPr>
                    <w:rFonts w:ascii="Cambria Math" w:hAnsi="Cambria Math"/>
                  </w:rPr>
                </m:ctrlPr>
              </m:fPr>
              <m:num>
                <m:r>
                  <m:rPr>
                    <m:sty m:val="p"/>
                  </m:rPr>
                  <w:rPr>
                    <w:rFonts w:ascii="Cambria Math" w:hAnsi="Cambria Math"/>
                  </w:rPr>
                  <m:t>1000</m:t>
                </m:r>
              </m:num>
              <m:den>
                <m:sSub>
                  <m:sSubPr>
                    <m:ctrlPr>
                      <w:rPr>
                        <w:rFonts w:ascii="Cambria Math" w:hAnsi="Cambria Math"/>
                      </w:rPr>
                    </m:ctrlPr>
                  </m:sSubPr>
                  <m:e>
                    <m:r>
                      <w:rPr>
                        <w:rFonts w:ascii="Cambria Math" w:hAnsi="Cambria Math"/>
                      </w:rPr>
                      <m:t>MW</m:t>
                    </m:r>
                  </m:e>
                  <m:sub>
                    <m:r>
                      <m:rPr>
                        <m:sty m:val="p"/>
                      </m:rPr>
                      <w:rPr>
                        <w:rFonts w:ascii="Cambria Math" w:hAnsi="Cambria Math"/>
                      </w:rPr>
                      <m:t>11</m:t>
                    </m:r>
                  </m:sub>
                </m:sSub>
              </m:den>
            </m:f>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15,11</m:t>
            </m:r>
          </m:sub>
        </m:sSub>
        <m:r>
          <m:rPr>
            <m:sty m:val="p"/>
          </m:rPr>
          <w:rPr>
            <w:rFonts w:ascii="Cambria Math" w:hAnsi="Cambria Math"/>
          </w:rPr>
          <m:t>=0</m:t>
        </m:r>
      </m:oMath>
      <w:r w:rsidR="00E664E4" w:rsidRPr="007956D4">
        <w:t xml:space="preserve">   </w:t>
      </w:r>
      <w:r w:rsidR="00E664E4" w:rsidRPr="007956D4">
        <w:tab/>
      </w:r>
      <w:r w:rsidR="00E664E4">
        <w:tab/>
        <w:t>Eq. (3.2.2.</w:t>
      </w:r>
      <w:r w:rsidR="00E664E4" w:rsidRPr="007956D4">
        <w:t>11)</w:t>
      </w:r>
    </w:p>
    <w:p w:rsidR="00E664E4" w:rsidRPr="007956D4" w:rsidRDefault="00C851DF" w:rsidP="00E664E4">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2</m:t>
            </m:r>
            <m:r>
              <w:rPr>
                <w:rFonts w:ascii="Cambria Math" w:hAnsi="Cambria Math"/>
              </w:rPr>
              <m:t>B</m:t>
            </m:r>
            <m:r>
              <m:rPr>
                <m:sty m:val="p"/>
              </m:rPr>
              <w:rPr>
                <w:rFonts w:ascii="Cambria Math" w:hAnsi="Cambria Math"/>
              </w:rPr>
              <m:t>,14</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14,14</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15,14</m:t>
            </m:r>
          </m:sub>
        </m:sSub>
        <m:r>
          <m:rPr>
            <m:sty m:val="p"/>
          </m:rPr>
          <w:rPr>
            <w:rFonts w:ascii="Cambria Math" w:hAnsi="Cambria Math"/>
          </w:rPr>
          <m:t>=0</m:t>
        </m:r>
      </m:oMath>
      <w:r w:rsidR="00E664E4" w:rsidRPr="007956D4">
        <w:t xml:space="preserve">   </w:t>
      </w:r>
      <w:r w:rsidR="00E664E4" w:rsidRPr="007956D4">
        <w:tab/>
      </w:r>
      <w:r w:rsidR="00E664E4" w:rsidRPr="007956D4">
        <w:tab/>
      </w:r>
      <w:r w:rsidR="00E664E4" w:rsidRPr="007956D4">
        <w:tab/>
      </w:r>
      <w:r w:rsidR="00E664E4">
        <w:t>Eq. (3.2.2.</w:t>
      </w:r>
      <w:r w:rsidR="00E664E4" w:rsidRPr="007956D4">
        <w:t>12)</w:t>
      </w:r>
    </w:p>
    <w:p w:rsidR="00E664E4" w:rsidRPr="007956D4" w:rsidRDefault="00C851DF" w:rsidP="00E664E4">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2</m:t>
            </m:r>
            <m:r>
              <w:rPr>
                <w:rFonts w:ascii="Cambria Math" w:hAnsi="Cambria Math"/>
              </w:rPr>
              <m:t>B</m:t>
            </m:r>
            <m:r>
              <m:rPr>
                <m:sty m:val="p"/>
              </m:rPr>
              <w:rPr>
                <w:rFonts w:ascii="Cambria Math" w:hAnsi="Cambria Math"/>
              </w:rPr>
              <m:t>,18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14,18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15,18</m:t>
            </m:r>
          </m:sub>
        </m:sSub>
        <m:r>
          <m:rPr>
            <m:sty m:val="p"/>
          </m:rPr>
          <w:rPr>
            <w:rFonts w:ascii="Cambria Math" w:hAnsi="Cambria Math"/>
          </w:rPr>
          <m:t>=0</m:t>
        </m:r>
      </m:oMath>
      <w:r w:rsidR="00E664E4" w:rsidRPr="007956D4">
        <w:t xml:space="preserve">   </w:t>
      </w:r>
      <w:r w:rsidR="00E664E4" w:rsidRPr="007956D4">
        <w:tab/>
      </w:r>
      <w:r w:rsidR="00E664E4" w:rsidRPr="007956D4">
        <w:tab/>
      </w:r>
      <w:r w:rsidR="00E664E4" w:rsidRPr="007956D4">
        <w:tab/>
      </w:r>
      <w:r w:rsidR="00E664E4">
        <w:t>Eq. (3.2.2.</w:t>
      </w:r>
      <w:r w:rsidR="00E664E4" w:rsidRPr="007956D4">
        <w:t>13)</w:t>
      </w:r>
    </w:p>
    <w:p w:rsidR="00E664E4" w:rsidRPr="007956D4" w:rsidRDefault="00C851DF" w:rsidP="00E664E4">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2</m:t>
            </m:r>
            <m:r>
              <w:rPr>
                <w:rFonts w:ascii="Cambria Math" w:hAnsi="Cambria Math"/>
              </w:rPr>
              <m:t>B</m:t>
            </m:r>
            <m:r>
              <m:rPr>
                <m:sty m:val="p"/>
              </m:rPr>
              <w:rPr>
                <w:rFonts w:ascii="Cambria Math" w:hAnsi="Cambria Math"/>
              </w:rPr>
              <m:t>,20</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14,20</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15,20</m:t>
            </m:r>
          </m:sub>
        </m:sSub>
        <m:r>
          <m:rPr>
            <m:sty m:val="p"/>
          </m:rPr>
          <w:rPr>
            <w:rFonts w:ascii="Cambria Math" w:hAnsi="Cambria Math"/>
          </w:rPr>
          <m:t>=0</m:t>
        </m:r>
      </m:oMath>
      <w:r w:rsidR="00E664E4" w:rsidRPr="007956D4">
        <w:t xml:space="preserve">   </w:t>
      </w:r>
      <w:r w:rsidR="00E664E4" w:rsidRPr="007956D4">
        <w:tab/>
      </w:r>
      <w:r w:rsidR="00E664E4" w:rsidRPr="007956D4">
        <w:tab/>
      </w:r>
      <w:r w:rsidR="00E664E4" w:rsidRPr="007956D4">
        <w:tab/>
      </w:r>
      <w:r w:rsidR="00E664E4">
        <w:t>Eq. (3.2.2.</w:t>
      </w:r>
      <w:r w:rsidR="00E664E4" w:rsidRPr="007956D4">
        <w:t>14)</w:t>
      </w:r>
    </w:p>
    <w:p w:rsidR="00E664E4" w:rsidRPr="007956D4" w:rsidRDefault="00C851DF" w:rsidP="00E664E4">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2</m:t>
            </m:r>
            <m:r>
              <w:rPr>
                <w:rFonts w:ascii="Cambria Math" w:hAnsi="Cambria Math"/>
              </w:rPr>
              <m:t>B</m:t>
            </m:r>
            <m:r>
              <m:rPr>
                <m:sty m:val="p"/>
              </m:rPr>
              <w:rPr>
                <w:rFonts w:ascii="Cambria Math" w:hAnsi="Cambria Math"/>
              </w:rPr>
              <m:t>,21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14,21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15,21</m:t>
            </m:r>
          </m:sub>
        </m:sSub>
        <m:r>
          <m:rPr>
            <m:sty m:val="p"/>
          </m:rPr>
          <w:rPr>
            <w:rFonts w:ascii="Cambria Math" w:hAnsi="Cambria Math"/>
          </w:rPr>
          <m:t>=0</m:t>
        </m:r>
      </m:oMath>
      <w:r w:rsidR="00E664E4" w:rsidRPr="007956D4">
        <w:t xml:space="preserve">   </w:t>
      </w:r>
      <w:r w:rsidR="00E664E4" w:rsidRPr="007956D4">
        <w:tab/>
      </w:r>
      <w:r w:rsidR="00E664E4" w:rsidRPr="007956D4">
        <w:tab/>
      </w:r>
      <w:r w:rsidR="00E664E4" w:rsidRPr="007956D4">
        <w:tab/>
      </w:r>
      <w:r w:rsidR="00E664E4">
        <w:t>Eq. (3.2.2.</w:t>
      </w:r>
      <w:r w:rsidR="00E664E4" w:rsidRPr="007956D4">
        <w:t>15)</w:t>
      </w:r>
    </w:p>
    <w:p w:rsidR="00E664E4" w:rsidRPr="007956D4" w:rsidRDefault="00E664E4" w:rsidP="00E664E4">
      <w:r w:rsidRPr="007956D4">
        <w:t xml:space="preserve">Equations </w:t>
      </w:r>
      <w:r>
        <w:t>3.2.2.</w:t>
      </w:r>
      <w:r w:rsidRPr="007956D4">
        <w:t>16–</w:t>
      </w:r>
      <w:r>
        <w:t>3.2.2.</w:t>
      </w:r>
      <w:r w:rsidRPr="007956D4">
        <w:t xml:space="preserve">22 calculate the mole balances for </w:t>
      </w:r>
      <w:r>
        <w:t>S</w:t>
      </w:r>
      <w:r w:rsidRPr="007956D4">
        <w:t>tream 16.</w:t>
      </w:r>
    </w:p>
    <w:p w:rsidR="00E664E4" w:rsidRPr="007956D4"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14,1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15,1</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16,1</m:t>
            </m:r>
          </m:sub>
        </m:sSub>
        <m:r>
          <m:rPr>
            <m:sty m:val="p"/>
          </m:rPr>
          <w:rPr>
            <w:rFonts w:ascii="Cambria Math" w:hAnsi="Cambria Math"/>
          </w:rPr>
          <m:t>=0</m:t>
        </m:r>
      </m:oMath>
      <w:r w:rsidR="00E664E4" w:rsidRPr="007956D4">
        <w:t xml:space="preserve">   </w:t>
      </w:r>
      <w:r w:rsidR="00E664E4" w:rsidRPr="007956D4">
        <w:tab/>
      </w:r>
      <w:r w:rsidR="00E664E4" w:rsidRPr="007956D4">
        <w:tab/>
      </w:r>
      <w:r w:rsidR="00E664E4" w:rsidRPr="007956D4">
        <w:tab/>
      </w:r>
      <w:r w:rsidR="00E664E4" w:rsidRPr="007956D4">
        <w:tab/>
      </w:r>
      <w:r w:rsidR="00E664E4">
        <w:t>Eq. (3.2.2.</w:t>
      </w:r>
      <w:r w:rsidR="00E664E4" w:rsidRPr="007956D4">
        <w:t>16)</w:t>
      </w:r>
    </w:p>
    <w:p w:rsidR="00E664E4" w:rsidRPr="007956D4"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14,9</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15,9</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16,9</m:t>
            </m:r>
          </m:sub>
        </m:sSub>
        <m:r>
          <m:rPr>
            <m:sty m:val="p"/>
          </m:rPr>
          <w:rPr>
            <w:rFonts w:ascii="Cambria Math" w:hAnsi="Cambria Math"/>
          </w:rPr>
          <m:t>=0</m:t>
        </m:r>
      </m:oMath>
      <w:r w:rsidR="00E664E4" w:rsidRPr="007956D4">
        <w:t xml:space="preserve">   </w:t>
      </w:r>
      <w:r w:rsidR="00E664E4" w:rsidRPr="007956D4">
        <w:tab/>
      </w:r>
      <w:r w:rsidR="00E664E4" w:rsidRPr="007956D4">
        <w:tab/>
      </w:r>
      <w:r w:rsidR="00E664E4" w:rsidRPr="007956D4">
        <w:tab/>
      </w:r>
      <w:r w:rsidR="00E664E4" w:rsidRPr="007956D4">
        <w:tab/>
      </w:r>
      <w:r w:rsidR="00E664E4">
        <w:t>Eq. (3.2.2.</w:t>
      </w:r>
      <w:r w:rsidR="00E664E4" w:rsidRPr="007956D4">
        <w:t>17)</w:t>
      </w:r>
    </w:p>
    <w:p w:rsidR="00E664E4" w:rsidRPr="007956D4" w:rsidRDefault="00C851DF" w:rsidP="00E664E4">
      <w:pPr>
        <w:jc w:val="right"/>
      </w:pPr>
      <m:oMath>
        <m:d>
          <m:dPr>
            <m:ctrlPr>
              <w:rPr>
                <w:rFonts w:ascii="Cambria Math" w:hAnsi="Cambria Math"/>
              </w:rPr>
            </m:ctrlPr>
          </m:dPr>
          <m:e>
            <m:sSub>
              <m:sSubPr>
                <m:ctrlPr>
                  <w:rPr>
                    <w:rFonts w:ascii="Cambria Math" w:hAnsi="Cambria Math"/>
                  </w:rPr>
                </m:ctrlPr>
              </m:sSubPr>
              <m:e>
                <m:r>
                  <w:rPr>
                    <w:rFonts w:ascii="Cambria Math" w:hAnsi="Cambria Math"/>
                  </w:rPr>
                  <m:t>F</m:t>
                </m:r>
              </m:e>
              <m:sub>
                <m:r>
                  <m:rPr>
                    <m:sty m:val="p"/>
                  </m:rPr>
                  <w:rPr>
                    <w:rFonts w:ascii="Cambria Math" w:hAnsi="Cambria Math"/>
                  </w:rPr>
                  <m:t>14,11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7</m:t>
                </m:r>
                <m:r>
                  <w:rPr>
                    <w:rFonts w:ascii="Cambria Math" w:hAnsi="Cambria Math"/>
                  </w:rPr>
                  <m:t>A</m:t>
                </m:r>
              </m:sub>
            </m:sSub>
            <m:r>
              <m:rPr>
                <m:sty m:val="p"/>
              </m:rPr>
              <w:rPr>
                <w:rFonts w:ascii="Cambria Math" w:hAnsi="Cambria Math"/>
              </w:rPr>
              <m:t>*</m:t>
            </m:r>
            <m:f>
              <m:fPr>
                <m:ctrlPr>
                  <w:rPr>
                    <w:rFonts w:ascii="Cambria Math" w:hAnsi="Cambria Math"/>
                  </w:rPr>
                </m:ctrlPr>
              </m:fPr>
              <m:num>
                <m:r>
                  <m:rPr>
                    <m:sty m:val="p"/>
                  </m:rPr>
                  <w:rPr>
                    <w:rFonts w:ascii="Cambria Math" w:hAnsi="Cambria Math"/>
                  </w:rPr>
                  <m:t>1000</m:t>
                </m:r>
              </m:num>
              <m:den>
                <m:sSub>
                  <m:sSubPr>
                    <m:ctrlPr>
                      <w:rPr>
                        <w:rFonts w:ascii="Cambria Math" w:hAnsi="Cambria Math"/>
                      </w:rPr>
                    </m:ctrlPr>
                  </m:sSubPr>
                  <m:e>
                    <m:r>
                      <w:rPr>
                        <w:rFonts w:ascii="Cambria Math" w:hAnsi="Cambria Math"/>
                      </w:rPr>
                      <m:t>MW</m:t>
                    </m:r>
                  </m:e>
                  <m:sub>
                    <m:r>
                      <m:rPr>
                        <m:sty m:val="p"/>
                      </m:rPr>
                      <w:rPr>
                        <w:rFonts w:ascii="Cambria Math" w:hAnsi="Cambria Math"/>
                      </w:rPr>
                      <m:t>11</m:t>
                    </m:r>
                  </m:sub>
                </m:sSub>
              </m:den>
            </m:f>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15,11</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16,11</m:t>
            </m:r>
          </m:sub>
        </m:sSub>
        <m:r>
          <m:rPr>
            <m:sty m:val="p"/>
          </m:rPr>
          <w:rPr>
            <w:rFonts w:ascii="Cambria Math" w:hAnsi="Cambria Math"/>
          </w:rPr>
          <m:t>=0</m:t>
        </m:r>
      </m:oMath>
      <w:r w:rsidR="00E664E4" w:rsidRPr="007956D4">
        <w:t xml:space="preserve">   </w:t>
      </w:r>
      <w:r w:rsidR="00E664E4" w:rsidRPr="007956D4">
        <w:tab/>
      </w:r>
      <w:r w:rsidR="00E664E4" w:rsidRPr="007956D4">
        <w:tab/>
      </w:r>
      <w:r w:rsidR="00E664E4">
        <w:tab/>
        <w:t>Eq. (3.2.2.</w:t>
      </w:r>
      <w:r w:rsidR="00E664E4" w:rsidRPr="007956D4">
        <w:t>18)</w:t>
      </w:r>
    </w:p>
    <w:p w:rsidR="00E664E4" w:rsidRPr="007956D4"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14,14</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15,14</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16,14</m:t>
            </m:r>
          </m:sub>
        </m:sSub>
        <m:r>
          <m:rPr>
            <m:sty m:val="p"/>
          </m:rPr>
          <w:rPr>
            <w:rFonts w:ascii="Cambria Math" w:hAnsi="Cambria Math"/>
          </w:rPr>
          <m:t>=0</m:t>
        </m:r>
      </m:oMath>
      <w:r w:rsidR="00E664E4" w:rsidRPr="007956D4">
        <w:t xml:space="preserve">   </w:t>
      </w:r>
      <w:r w:rsidR="00E664E4" w:rsidRPr="007956D4">
        <w:tab/>
      </w:r>
      <w:r w:rsidR="00E664E4" w:rsidRPr="007956D4">
        <w:tab/>
      </w:r>
      <w:r w:rsidR="00E664E4" w:rsidRPr="007956D4">
        <w:tab/>
      </w:r>
      <w:r w:rsidR="00E664E4" w:rsidRPr="007956D4">
        <w:tab/>
      </w:r>
      <w:r w:rsidR="00E664E4">
        <w:t>Eq. (3.2.2.</w:t>
      </w:r>
      <w:r w:rsidR="00E664E4" w:rsidRPr="007956D4">
        <w:t>19)</w:t>
      </w:r>
    </w:p>
    <w:p w:rsidR="00E664E4" w:rsidRPr="007956D4"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14,18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15,18</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16,18</m:t>
            </m:r>
          </m:sub>
        </m:sSub>
        <m:r>
          <m:rPr>
            <m:sty m:val="p"/>
          </m:rPr>
          <w:rPr>
            <w:rFonts w:ascii="Cambria Math" w:hAnsi="Cambria Math"/>
          </w:rPr>
          <m:t>=0</m:t>
        </m:r>
      </m:oMath>
      <w:r w:rsidR="00E664E4" w:rsidRPr="007956D4">
        <w:t xml:space="preserve">   </w:t>
      </w:r>
      <w:r w:rsidR="00E664E4" w:rsidRPr="007956D4">
        <w:tab/>
      </w:r>
      <w:r w:rsidR="00E664E4" w:rsidRPr="007956D4">
        <w:tab/>
      </w:r>
      <w:r w:rsidR="00E664E4" w:rsidRPr="007956D4">
        <w:tab/>
      </w:r>
      <w:r w:rsidR="00E664E4" w:rsidRPr="007956D4">
        <w:tab/>
      </w:r>
      <w:r w:rsidR="00E664E4">
        <w:t>Eq. (3.2.2.</w:t>
      </w:r>
      <w:r w:rsidR="00E664E4" w:rsidRPr="007956D4">
        <w:t>20)</w:t>
      </w:r>
    </w:p>
    <w:p w:rsidR="00E664E4" w:rsidRPr="007956D4"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14,20</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15,20</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16,20</m:t>
            </m:r>
          </m:sub>
        </m:sSub>
        <m:r>
          <m:rPr>
            <m:sty m:val="p"/>
          </m:rPr>
          <w:rPr>
            <w:rFonts w:ascii="Cambria Math" w:hAnsi="Cambria Math"/>
          </w:rPr>
          <m:t>=0</m:t>
        </m:r>
      </m:oMath>
      <w:r w:rsidR="00E664E4" w:rsidRPr="007956D4">
        <w:t xml:space="preserve">   </w:t>
      </w:r>
      <w:r w:rsidR="00E664E4" w:rsidRPr="007956D4">
        <w:tab/>
      </w:r>
      <w:r w:rsidR="00E664E4" w:rsidRPr="007956D4">
        <w:tab/>
      </w:r>
      <w:r w:rsidR="00E664E4" w:rsidRPr="007956D4">
        <w:tab/>
      </w:r>
      <w:r w:rsidR="00E664E4" w:rsidRPr="007956D4">
        <w:tab/>
      </w:r>
      <w:r w:rsidR="00E664E4">
        <w:t>Eq. (3.2.2.</w:t>
      </w:r>
      <w:r w:rsidR="00E664E4" w:rsidRPr="007956D4">
        <w:t>21)</w:t>
      </w:r>
    </w:p>
    <w:p w:rsidR="00E664E4" w:rsidRPr="007956D4"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14,21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15,21</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16,21</m:t>
            </m:r>
          </m:sub>
        </m:sSub>
        <m:r>
          <m:rPr>
            <m:sty m:val="p"/>
          </m:rPr>
          <w:rPr>
            <w:rFonts w:ascii="Cambria Math" w:hAnsi="Cambria Math"/>
          </w:rPr>
          <m:t>=0</m:t>
        </m:r>
      </m:oMath>
      <w:r w:rsidR="00E664E4" w:rsidRPr="007956D4">
        <w:t xml:space="preserve">   </w:t>
      </w:r>
      <w:r w:rsidR="00E664E4" w:rsidRPr="007956D4">
        <w:tab/>
      </w:r>
      <w:r w:rsidR="00E664E4" w:rsidRPr="007956D4">
        <w:tab/>
      </w:r>
      <w:r w:rsidR="00E664E4" w:rsidRPr="007956D4">
        <w:tab/>
      </w:r>
      <w:r w:rsidR="00E664E4" w:rsidRPr="007956D4">
        <w:tab/>
      </w:r>
      <w:r w:rsidR="00E664E4">
        <w:t>Eq. (3.2.2.</w:t>
      </w:r>
      <w:r w:rsidR="00E664E4" w:rsidRPr="007956D4">
        <w:t>22)</w:t>
      </w:r>
    </w:p>
    <w:p w:rsidR="00E664E4" w:rsidRPr="0090570F" w:rsidRDefault="00E664E4" w:rsidP="00E664E4"/>
    <w:p w:rsidR="00E664E4" w:rsidRDefault="00E664E4" w:rsidP="00E664E4">
      <w:pPr>
        <w:rPr>
          <w:rFonts w:asciiTheme="majorHAnsi" w:hAnsiTheme="majorHAnsi"/>
          <w:b/>
          <w:i/>
        </w:rPr>
      </w:pPr>
      <w:r>
        <w:rPr>
          <w:rFonts w:asciiTheme="majorHAnsi" w:hAnsiTheme="majorHAnsi"/>
          <w:b/>
          <w:i/>
        </w:rPr>
        <w:t>3.2.2</w:t>
      </w:r>
      <w:r w:rsidRPr="00C26992">
        <w:rPr>
          <w:rFonts w:asciiTheme="majorHAnsi" w:hAnsiTheme="majorHAnsi"/>
          <w:b/>
          <w:i/>
        </w:rPr>
        <w:t>.</w:t>
      </w:r>
      <w:r>
        <w:rPr>
          <w:rFonts w:asciiTheme="majorHAnsi" w:hAnsiTheme="majorHAnsi"/>
          <w:b/>
          <w:i/>
        </w:rPr>
        <w:t>3 Module 2C</w:t>
      </w:r>
    </w:p>
    <w:p w:rsidR="00E664E4" w:rsidRDefault="00E664E4" w:rsidP="00E664E4">
      <w:r>
        <w:t>Module 2C encompassed</w:t>
      </w:r>
      <w:r w:rsidRPr="00B75C57">
        <w:t xml:space="preserve"> the scrubbing co</w:t>
      </w:r>
      <w:r>
        <w:t>lumn, which removed</w:t>
      </w:r>
      <w:r w:rsidRPr="00B75C57">
        <w:t xml:space="preserve"> impurities from the uranium-bearing organic </w:t>
      </w:r>
      <w:r>
        <w:t>phase. The inputs to Module 2C were</w:t>
      </w:r>
      <w:r w:rsidRPr="00B75C57">
        <w:t xml:space="preserve"> the output</w:t>
      </w:r>
      <w:r>
        <w:t xml:space="preserve"> of Module 2B and water. There we</w:t>
      </w:r>
      <w:r w:rsidRPr="00B75C57">
        <w:t>re two outputs from Module 2C</w:t>
      </w:r>
      <w:r>
        <w:t>: (1) the recycle which wa</w:t>
      </w:r>
      <w:r w:rsidRPr="00B75C57">
        <w:t xml:space="preserve">s returned to Module 2A and (2) the uranium-bearing organic </w:t>
      </w:r>
      <w:r w:rsidRPr="009D034F">
        <w:t>stream to back-extraction. Figure 3.12 shows a block diagram of Module 2C with the input and output</w:t>
      </w:r>
      <w:r w:rsidRPr="00B75C57">
        <w:t xml:space="preserve"> streams labeled. </w:t>
      </w:r>
    </w:p>
    <w:p w:rsidR="001E169B" w:rsidRPr="006A7E74" w:rsidRDefault="001E169B" w:rsidP="001E169B">
      <w:r w:rsidRPr="006A7E74">
        <w:t xml:space="preserve">The scrubbing column </w:t>
      </w:r>
      <w:r>
        <w:t>separated Stream 15 along with Stream 8A into two streams. Stream 8A was pure water. The separation wa</w:t>
      </w:r>
      <w:r w:rsidRPr="006A7E74">
        <w:t xml:space="preserve">s defined as the fraction that </w:t>
      </w:r>
      <w:r>
        <w:t xml:space="preserve">was sent </w:t>
      </w:r>
      <w:r w:rsidRPr="006A7E74">
        <w:t xml:space="preserve">to the organic stream from the input stream by </w:t>
      </w:r>
      <w:r>
        <w:t>parameter</w:t>
      </w:r>
      <w:proofErr w:type="gramStart"/>
      <w:r w:rsidRPr="006A7E74">
        <w:t xml:space="preserve">, </w:t>
      </w:r>
      <w:proofErr w:type="gramEnd"/>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2</m:t>
            </m:r>
            <m:r>
              <w:rPr>
                <w:rFonts w:ascii="Cambria Math" w:hAnsi="Cambria Math"/>
              </w:rPr>
              <m:t>C</m:t>
            </m:r>
            <m:r>
              <m:rPr>
                <m:sty m:val="p"/>
              </m:rPr>
              <w:rPr>
                <w:rFonts w:ascii="Cambria Math" w:hAnsi="Cambria Math"/>
              </w:rPr>
              <m:t>,</m:t>
            </m:r>
            <m:r>
              <w:rPr>
                <w:rFonts w:ascii="Cambria Math" w:hAnsi="Cambria Math"/>
              </w:rPr>
              <m:t>i</m:t>
            </m:r>
          </m:sub>
        </m:sSub>
      </m:oMath>
      <w:r w:rsidRPr="006A7E74">
        <w:t xml:space="preserve">, where each component, </w:t>
      </w:r>
      <m:oMath>
        <m:r>
          <w:rPr>
            <w:rFonts w:ascii="Cambria Math" w:hAnsi="Cambria Math"/>
          </w:rPr>
          <m:t>i</m:t>
        </m:r>
      </m:oMath>
      <w:r>
        <w:t>, had</w:t>
      </w:r>
      <w:r w:rsidRPr="006A7E74">
        <w:t xml:space="preserve"> a different fractionation. Equations </w:t>
      </w:r>
      <w:r>
        <w:t>3.2.2.</w:t>
      </w:r>
      <w:r w:rsidRPr="006A7E74">
        <w:t>23–</w:t>
      </w:r>
      <w:r>
        <w:t xml:space="preserve">3.2.2.29 </w:t>
      </w:r>
      <w:proofErr w:type="gramStart"/>
      <w:r>
        <w:t>define</w:t>
      </w:r>
      <w:proofErr w:type="gramEnd"/>
      <w:r>
        <w:t xml:space="preserve"> the separation of S</w:t>
      </w:r>
      <w:r w:rsidRPr="006A7E74">
        <w:t>tream 15</w:t>
      </w:r>
      <w:r>
        <w:t xml:space="preserve"> and Stream 8A into S</w:t>
      </w:r>
      <w:r w:rsidRPr="006A7E74">
        <w:t>tream 17.</w:t>
      </w:r>
    </w:p>
    <w:p w:rsidR="001E169B" w:rsidRPr="00B75C57" w:rsidRDefault="001E169B" w:rsidP="00E664E4"/>
    <w:p w:rsidR="00E664E4" w:rsidRPr="00B75C57" w:rsidRDefault="00E664E4" w:rsidP="00E664E4">
      <w:pPr>
        <w:jc w:val="center"/>
      </w:pPr>
      <w:r w:rsidRPr="00B75C57">
        <w:object w:dxaOrig="3965" w:dyaOrig="3446">
          <v:shape id="_x0000_i1034" type="#_x0000_t75" style="width:198.15pt;height:172.4pt" o:ole="">
            <v:imagedata r:id="rId45" o:title=""/>
          </v:shape>
          <o:OLEObject Type="Embed" ProgID="Visio.Drawing.11" ShapeID="_x0000_i1034" DrawAspect="Content" ObjectID="_1445525559" r:id="rId46"/>
        </w:object>
      </w:r>
    </w:p>
    <w:p w:rsidR="00E664E4" w:rsidRDefault="00E664E4" w:rsidP="00E664E4">
      <w:pPr>
        <w:jc w:val="center"/>
        <w:rPr>
          <w:b/>
          <w:sz w:val="20"/>
          <w:szCs w:val="20"/>
        </w:rPr>
      </w:pPr>
      <w:r w:rsidRPr="009D034F">
        <w:rPr>
          <w:b/>
          <w:sz w:val="20"/>
          <w:szCs w:val="20"/>
        </w:rPr>
        <w:t xml:space="preserve">Figure 3.12. Block Diagram of the Module 2C </w:t>
      </w:r>
      <w:r w:rsidR="004045DF">
        <w:rPr>
          <w:b/>
          <w:sz w:val="20"/>
          <w:szCs w:val="20"/>
        </w:rPr>
        <w:t>Showing Input and Output Streams</w:t>
      </w:r>
      <w:r w:rsidRPr="009D034F">
        <w:rPr>
          <w:b/>
          <w:sz w:val="20"/>
          <w:szCs w:val="20"/>
        </w:rPr>
        <w:t>.</w:t>
      </w:r>
    </w:p>
    <w:p w:rsidR="001D0EF6" w:rsidRPr="006A7E74" w:rsidRDefault="001D0EF6" w:rsidP="00E664E4">
      <w:pPr>
        <w:jc w:val="center"/>
        <w:rPr>
          <w:b/>
          <w:sz w:val="20"/>
          <w:szCs w:val="20"/>
        </w:rPr>
      </w:pPr>
    </w:p>
    <w:p w:rsidR="001D0EF6" w:rsidRPr="006A7E74" w:rsidRDefault="00C851DF" w:rsidP="001D0EF6">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2</m:t>
            </m:r>
            <m:r>
              <w:rPr>
                <w:rFonts w:ascii="Cambria Math" w:hAnsi="Cambria Math"/>
              </w:rPr>
              <m:t>C</m:t>
            </m:r>
            <m:r>
              <m:rPr>
                <m:sty m:val="p"/>
              </m:rPr>
              <w:rPr>
                <w:rFonts w:ascii="Cambria Math" w:hAnsi="Cambria Math"/>
              </w:rPr>
              <m:t>,1</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F</m:t>
                </m:r>
              </m:e>
              <m:sub>
                <m:r>
                  <m:rPr>
                    <m:sty m:val="p"/>
                  </m:rPr>
                  <w:rPr>
                    <w:rFonts w:ascii="Cambria Math" w:hAnsi="Cambria Math"/>
                  </w:rPr>
                  <m:t>15,1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8</m:t>
                </m:r>
                <m:r>
                  <w:rPr>
                    <w:rFonts w:ascii="Cambria Math" w:hAnsi="Cambria Math"/>
                  </w:rPr>
                  <m:t>A</m:t>
                </m:r>
              </m:sub>
            </m:sSub>
            <m:r>
              <m:rPr>
                <m:sty m:val="p"/>
              </m:rPr>
              <w:rPr>
                <w:rFonts w:ascii="Cambria Math" w:hAnsi="Cambria Math"/>
              </w:rPr>
              <m:t>*</m:t>
            </m:r>
            <m:f>
              <m:fPr>
                <m:ctrlPr>
                  <w:rPr>
                    <w:rFonts w:ascii="Cambria Math" w:hAnsi="Cambria Math"/>
                  </w:rPr>
                </m:ctrlPr>
              </m:fPr>
              <m:num>
                <m:r>
                  <m:rPr>
                    <m:sty m:val="p"/>
                  </m:rPr>
                  <w:rPr>
                    <w:rFonts w:ascii="Cambria Math" w:hAnsi="Cambria Math"/>
                  </w:rPr>
                  <m:t>1000</m:t>
                </m:r>
              </m:num>
              <m:den>
                <m:sSub>
                  <m:sSubPr>
                    <m:ctrlPr>
                      <w:rPr>
                        <w:rFonts w:ascii="Cambria Math" w:hAnsi="Cambria Math"/>
                      </w:rPr>
                    </m:ctrlPr>
                  </m:sSubPr>
                  <m:e>
                    <m:r>
                      <w:rPr>
                        <w:rFonts w:ascii="Cambria Math" w:hAnsi="Cambria Math"/>
                      </w:rPr>
                      <m:t>MW</m:t>
                    </m:r>
                  </m:e>
                  <m:sub>
                    <m:r>
                      <m:rPr>
                        <m:sty m:val="p"/>
                      </m:rPr>
                      <w:rPr>
                        <w:rFonts w:ascii="Cambria Math" w:hAnsi="Cambria Math"/>
                      </w:rPr>
                      <m:t>1</m:t>
                    </m:r>
                  </m:sub>
                </m:sSub>
              </m:den>
            </m:f>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17,1</m:t>
            </m:r>
          </m:sub>
        </m:sSub>
        <m:r>
          <m:rPr>
            <m:sty m:val="p"/>
          </m:rPr>
          <w:rPr>
            <w:rFonts w:ascii="Cambria Math" w:hAnsi="Cambria Math"/>
          </w:rPr>
          <m:t>=0</m:t>
        </m:r>
      </m:oMath>
      <w:r w:rsidR="001D0EF6" w:rsidRPr="006A7E74">
        <w:t xml:space="preserve"> </w:t>
      </w:r>
      <w:r w:rsidR="001D0EF6" w:rsidRPr="006A7E74">
        <w:tab/>
      </w:r>
      <w:r w:rsidR="001D0EF6">
        <w:tab/>
      </w:r>
      <w:r w:rsidR="001D0EF6" w:rsidRPr="006A7E74">
        <w:tab/>
      </w:r>
      <w:r w:rsidR="001D0EF6">
        <w:t>Eq. (3.2.2.</w:t>
      </w:r>
      <w:r w:rsidR="001D0EF6" w:rsidRPr="006A7E74">
        <w:t>23)</w:t>
      </w:r>
    </w:p>
    <w:p w:rsidR="001D0EF6" w:rsidRPr="006A7E74" w:rsidRDefault="00C851DF" w:rsidP="001D0EF6">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2</m:t>
            </m:r>
            <m:r>
              <w:rPr>
                <w:rFonts w:ascii="Cambria Math" w:hAnsi="Cambria Math"/>
              </w:rPr>
              <m:t>C</m:t>
            </m:r>
            <m:r>
              <m:rPr>
                <m:sty m:val="p"/>
              </m:rPr>
              <w:rPr>
                <w:rFonts w:ascii="Cambria Math" w:hAnsi="Cambria Math"/>
              </w:rPr>
              <m:t>,9</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15,9</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17,9</m:t>
            </m:r>
          </m:sub>
        </m:sSub>
        <m:r>
          <m:rPr>
            <m:sty m:val="p"/>
          </m:rPr>
          <w:rPr>
            <w:rFonts w:ascii="Cambria Math" w:hAnsi="Cambria Math"/>
          </w:rPr>
          <m:t>=0</m:t>
        </m:r>
      </m:oMath>
      <w:r w:rsidR="001D0EF6" w:rsidRPr="006A7E74">
        <w:t xml:space="preserve">   </w:t>
      </w:r>
      <w:r w:rsidR="001D0EF6" w:rsidRPr="006A7E74">
        <w:tab/>
      </w:r>
      <w:r w:rsidR="001D0EF6" w:rsidRPr="006A7E74">
        <w:tab/>
      </w:r>
      <w:r w:rsidR="001D0EF6" w:rsidRPr="006A7E74">
        <w:tab/>
      </w:r>
      <w:r w:rsidR="001D0EF6" w:rsidRPr="006A7E74">
        <w:tab/>
      </w:r>
      <w:r w:rsidR="001D0EF6">
        <w:t>Eq. (3.2.2.</w:t>
      </w:r>
      <w:r w:rsidR="001D0EF6" w:rsidRPr="006A7E74">
        <w:t>24)</w:t>
      </w:r>
    </w:p>
    <w:p w:rsidR="001D0EF6" w:rsidRPr="006A7E74" w:rsidRDefault="00C851DF" w:rsidP="001D0EF6">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2</m:t>
            </m:r>
            <m:r>
              <w:rPr>
                <w:rFonts w:ascii="Cambria Math" w:hAnsi="Cambria Math"/>
              </w:rPr>
              <m:t>C</m:t>
            </m:r>
            <m:r>
              <m:rPr>
                <m:sty m:val="p"/>
              </m:rPr>
              <w:rPr>
                <w:rFonts w:ascii="Cambria Math" w:hAnsi="Cambria Math"/>
              </w:rPr>
              <m:t>,11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15,11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17,11</m:t>
            </m:r>
          </m:sub>
        </m:sSub>
        <m:r>
          <m:rPr>
            <m:sty m:val="p"/>
          </m:rPr>
          <w:rPr>
            <w:rFonts w:ascii="Cambria Math" w:hAnsi="Cambria Math"/>
          </w:rPr>
          <m:t>=0</m:t>
        </m:r>
      </m:oMath>
      <w:r w:rsidR="001D0EF6" w:rsidRPr="006A7E74">
        <w:t xml:space="preserve">   </w:t>
      </w:r>
      <w:r w:rsidR="001D0EF6" w:rsidRPr="006A7E74">
        <w:tab/>
      </w:r>
      <w:r w:rsidR="001D0EF6" w:rsidRPr="006A7E74">
        <w:tab/>
      </w:r>
      <w:r w:rsidR="001D0EF6" w:rsidRPr="006A7E74">
        <w:tab/>
      </w:r>
      <w:r w:rsidR="001D0EF6">
        <w:t>Eq. (3.2.2.</w:t>
      </w:r>
      <w:r w:rsidR="001D0EF6" w:rsidRPr="006A7E74">
        <w:t>25)</w:t>
      </w:r>
    </w:p>
    <w:p w:rsidR="001D0EF6" w:rsidRPr="006A7E74" w:rsidRDefault="00C851DF" w:rsidP="001D0EF6">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2</m:t>
            </m:r>
            <m:r>
              <w:rPr>
                <w:rFonts w:ascii="Cambria Math" w:hAnsi="Cambria Math"/>
              </w:rPr>
              <m:t>C</m:t>
            </m:r>
            <m:r>
              <m:rPr>
                <m:sty m:val="p"/>
              </m:rPr>
              <w:rPr>
                <w:rFonts w:ascii="Cambria Math" w:hAnsi="Cambria Math"/>
              </w:rPr>
              <m:t>,14</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15,14</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17,14</m:t>
            </m:r>
          </m:sub>
        </m:sSub>
        <m:r>
          <m:rPr>
            <m:sty m:val="p"/>
          </m:rPr>
          <w:rPr>
            <w:rFonts w:ascii="Cambria Math" w:hAnsi="Cambria Math"/>
          </w:rPr>
          <m:t>=0</m:t>
        </m:r>
      </m:oMath>
      <w:r w:rsidR="001D0EF6" w:rsidRPr="006A7E74">
        <w:t xml:space="preserve">   </w:t>
      </w:r>
      <w:r w:rsidR="001D0EF6" w:rsidRPr="006A7E74">
        <w:tab/>
      </w:r>
      <w:r w:rsidR="001D0EF6" w:rsidRPr="006A7E74">
        <w:tab/>
      </w:r>
      <w:r w:rsidR="001D0EF6" w:rsidRPr="006A7E74">
        <w:tab/>
      </w:r>
      <w:r w:rsidR="001D0EF6">
        <w:t>Eq. (3.2.2.</w:t>
      </w:r>
      <w:r w:rsidR="001D0EF6" w:rsidRPr="006A7E74">
        <w:t>26)</w:t>
      </w:r>
    </w:p>
    <w:p w:rsidR="001E169B" w:rsidRPr="006A7E74" w:rsidRDefault="00C851DF" w:rsidP="001E169B">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2</m:t>
            </m:r>
            <m:r>
              <w:rPr>
                <w:rFonts w:ascii="Cambria Math" w:hAnsi="Cambria Math"/>
              </w:rPr>
              <m:t>C</m:t>
            </m:r>
            <m:r>
              <m:rPr>
                <m:sty m:val="p"/>
              </m:rPr>
              <w:rPr>
                <w:rFonts w:ascii="Cambria Math" w:hAnsi="Cambria Math"/>
              </w:rPr>
              <m:t>,18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15,18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17,18</m:t>
            </m:r>
          </m:sub>
        </m:sSub>
        <m:r>
          <m:rPr>
            <m:sty m:val="p"/>
          </m:rPr>
          <w:rPr>
            <w:rFonts w:ascii="Cambria Math" w:hAnsi="Cambria Math"/>
          </w:rPr>
          <m:t>=0</m:t>
        </m:r>
      </m:oMath>
      <w:r w:rsidR="001E169B" w:rsidRPr="006A7E74">
        <w:t xml:space="preserve">   </w:t>
      </w:r>
      <w:r w:rsidR="001E169B" w:rsidRPr="006A7E74">
        <w:tab/>
      </w:r>
      <w:r w:rsidR="001E169B" w:rsidRPr="006A7E74">
        <w:tab/>
      </w:r>
      <w:r w:rsidR="001E169B" w:rsidRPr="006A7E74">
        <w:tab/>
      </w:r>
      <w:r w:rsidR="001E169B">
        <w:t>Eq. (3.2.2.</w:t>
      </w:r>
      <w:r w:rsidR="001E169B" w:rsidRPr="006A7E74">
        <w:t>27)</w:t>
      </w:r>
    </w:p>
    <w:p w:rsidR="00E664E4" w:rsidRPr="006A7E74" w:rsidRDefault="00C851DF" w:rsidP="00E664E4">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2</m:t>
            </m:r>
            <m:r>
              <w:rPr>
                <w:rFonts w:ascii="Cambria Math" w:hAnsi="Cambria Math"/>
              </w:rPr>
              <m:t>C</m:t>
            </m:r>
            <m:r>
              <m:rPr>
                <m:sty m:val="p"/>
              </m:rPr>
              <w:rPr>
                <w:rFonts w:ascii="Cambria Math" w:hAnsi="Cambria Math"/>
              </w:rPr>
              <m:t>,20</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15,20</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17,20</m:t>
            </m:r>
          </m:sub>
        </m:sSub>
        <m:r>
          <m:rPr>
            <m:sty m:val="p"/>
          </m:rPr>
          <w:rPr>
            <w:rFonts w:ascii="Cambria Math" w:hAnsi="Cambria Math"/>
          </w:rPr>
          <m:t>=0</m:t>
        </m:r>
      </m:oMath>
      <w:r w:rsidR="00E664E4" w:rsidRPr="006A7E74">
        <w:t xml:space="preserve">   </w:t>
      </w:r>
      <w:r w:rsidR="00E664E4" w:rsidRPr="006A7E74">
        <w:tab/>
      </w:r>
      <w:r w:rsidR="00E664E4" w:rsidRPr="006A7E74">
        <w:tab/>
      </w:r>
      <w:r w:rsidR="00E664E4" w:rsidRPr="006A7E74">
        <w:tab/>
      </w:r>
      <w:r w:rsidR="00E664E4">
        <w:t>Eq. (3.2.2.</w:t>
      </w:r>
      <w:r w:rsidR="00E664E4" w:rsidRPr="006A7E74">
        <w:t>28)</w:t>
      </w:r>
    </w:p>
    <w:p w:rsidR="00E664E4" w:rsidRPr="006A7E74" w:rsidRDefault="00C851DF" w:rsidP="00E664E4">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2</m:t>
            </m:r>
            <m:r>
              <w:rPr>
                <w:rFonts w:ascii="Cambria Math" w:hAnsi="Cambria Math"/>
              </w:rPr>
              <m:t>C</m:t>
            </m:r>
            <m:r>
              <m:rPr>
                <m:sty m:val="p"/>
              </m:rPr>
              <w:rPr>
                <w:rFonts w:ascii="Cambria Math" w:hAnsi="Cambria Math"/>
              </w:rPr>
              <m:t>,21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15,21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17,21</m:t>
            </m:r>
          </m:sub>
        </m:sSub>
        <m:r>
          <m:rPr>
            <m:sty m:val="p"/>
          </m:rPr>
          <w:rPr>
            <w:rFonts w:ascii="Cambria Math" w:hAnsi="Cambria Math"/>
          </w:rPr>
          <m:t>=0</m:t>
        </m:r>
      </m:oMath>
      <w:r w:rsidR="00E664E4" w:rsidRPr="006A7E74">
        <w:t xml:space="preserve">   </w:t>
      </w:r>
      <w:r w:rsidR="00E664E4" w:rsidRPr="006A7E74">
        <w:tab/>
      </w:r>
      <w:r w:rsidR="00E664E4" w:rsidRPr="006A7E74">
        <w:tab/>
      </w:r>
      <w:r w:rsidR="00E664E4" w:rsidRPr="006A7E74">
        <w:tab/>
      </w:r>
      <w:r w:rsidR="00E664E4">
        <w:t>Eq. (3.2.2.</w:t>
      </w:r>
      <w:r w:rsidR="00E664E4" w:rsidRPr="006A7E74">
        <w:t>29)</w:t>
      </w:r>
    </w:p>
    <w:p w:rsidR="00E664E4" w:rsidRPr="006A7E74" w:rsidRDefault="00E664E4" w:rsidP="00E664E4">
      <w:r w:rsidRPr="006A7E74">
        <w:t xml:space="preserve">Equations </w:t>
      </w:r>
      <w:r>
        <w:t>3.2.2.</w:t>
      </w:r>
      <w:r w:rsidRPr="006A7E74">
        <w:t>30–</w:t>
      </w:r>
      <w:r>
        <w:t>3.2.2.</w:t>
      </w:r>
      <w:r w:rsidRPr="006A7E74">
        <w:t xml:space="preserve">36 calculate the mole balances for </w:t>
      </w:r>
      <w:r>
        <w:t>S</w:t>
      </w:r>
      <w:r w:rsidRPr="006A7E74">
        <w:t>tream 18.</w:t>
      </w:r>
    </w:p>
    <w:p w:rsidR="00E664E4" w:rsidRPr="006A7E74" w:rsidRDefault="00C851DF" w:rsidP="00E664E4">
      <w:pPr>
        <w:jc w:val="right"/>
      </w:pPr>
      <m:oMath>
        <m:d>
          <m:dPr>
            <m:ctrlPr>
              <w:rPr>
                <w:rFonts w:ascii="Cambria Math" w:hAnsi="Cambria Math"/>
              </w:rPr>
            </m:ctrlPr>
          </m:dPr>
          <m:e>
            <m:sSub>
              <m:sSubPr>
                <m:ctrlPr>
                  <w:rPr>
                    <w:rFonts w:ascii="Cambria Math" w:hAnsi="Cambria Math"/>
                  </w:rPr>
                </m:ctrlPr>
              </m:sSubPr>
              <m:e>
                <m:r>
                  <w:rPr>
                    <w:rFonts w:ascii="Cambria Math" w:hAnsi="Cambria Math"/>
                  </w:rPr>
                  <m:t>F</m:t>
                </m:r>
              </m:e>
              <m:sub>
                <m:r>
                  <m:rPr>
                    <m:sty m:val="p"/>
                  </m:rPr>
                  <w:rPr>
                    <w:rFonts w:ascii="Cambria Math" w:hAnsi="Cambria Math"/>
                  </w:rPr>
                  <m:t>15,1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8</m:t>
                </m:r>
                <m:r>
                  <w:rPr>
                    <w:rFonts w:ascii="Cambria Math" w:hAnsi="Cambria Math"/>
                  </w:rPr>
                  <m:t>A</m:t>
                </m:r>
              </m:sub>
            </m:sSub>
            <m:r>
              <m:rPr>
                <m:sty m:val="p"/>
              </m:rPr>
              <w:rPr>
                <w:rFonts w:ascii="Cambria Math" w:hAnsi="Cambria Math"/>
              </w:rPr>
              <m:t>*</m:t>
            </m:r>
            <m:f>
              <m:fPr>
                <m:ctrlPr>
                  <w:rPr>
                    <w:rFonts w:ascii="Cambria Math" w:hAnsi="Cambria Math"/>
                  </w:rPr>
                </m:ctrlPr>
              </m:fPr>
              <m:num>
                <m:r>
                  <m:rPr>
                    <m:sty m:val="p"/>
                  </m:rPr>
                  <w:rPr>
                    <w:rFonts w:ascii="Cambria Math" w:hAnsi="Cambria Math"/>
                  </w:rPr>
                  <m:t>1000</m:t>
                </m:r>
              </m:num>
              <m:den>
                <m:sSub>
                  <m:sSubPr>
                    <m:ctrlPr>
                      <w:rPr>
                        <w:rFonts w:ascii="Cambria Math" w:hAnsi="Cambria Math"/>
                      </w:rPr>
                    </m:ctrlPr>
                  </m:sSubPr>
                  <m:e>
                    <m:r>
                      <w:rPr>
                        <w:rFonts w:ascii="Cambria Math" w:hAnsi="Cambria Math"/>
                      </w:rPr>
                      <m:t>MW</m:t>
                    </m:r>
                  </m:e>
                  <m:sub>
                    <m:r>
                      <m:rPr>
                        <m:sty m:val="p"/>
                      </m:rPr>
                      <w:rPr>
                        <w:rFonts w:ascii="Cambria Math" w:hAnsi="Cambria Math"/>
                      </w:rPr>
                      <m:t>1</m:t>
                    </m:r>
                  </m:sub>
                </m:sSub>
              </m:den>
            </m:f>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17,1</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18,1</m:t>
            </m:r>
          </m:sub>
        </m:sSub>
        <m:r>
          <m:rPr>
            <m:sty m:val="p"/>
          </m:rPr>
          <w:rPr>
            <w:rFonts w:ascii="Cambria Math" w:hAnsi="Cambria Math"/>
          </w:rPr>
          <m:t>=0</m:t>
        </m:r>
      </m:oMath>
      <w:r w:rsidR="00E664E4" w:rsidRPr="006A7E74">
        <w:t xml:space="preserve">   </w:t>
      </w:r>
      <w:r w:rsidR="00E664E4" w:rsidRPr="006A7E74">
        <w:tab/>
      </w:r>
      <w:r w:rsidR="00E664E4">
        <w:tab/>
      </w:r>
      <w:r w:rsidR="00E664E4" w:rsidRPr="006A7E74">
        <w:tab/>
      </w:r>
      <w:r w:rsidR="00E664E4">
        <w:t>Eq. (3.2.2.</w:t>
      </w:r>
      <w:r w:rsidR="00E664E4" w:rsidRPr="006A7E74">
        <w:t>30)</w:t>
      </w:r>
    </w:p>
    <w:p w:rsidR="00E664E4" w:rsidRPr="006A7E74"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15,9</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17,9</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18,9</m:t>
            </m:r>
          </m:sub>
        </m:sSub>
        <m:r>
          <m:rPr>
            <m:sty m:val="p"/>
          </m:rPr>
          <w:rPr>
            <w:rFonts w:ascii="Cambria Math" w:hAnsi="Cambria Math"/>
          </w:rPr>
          <m:t>=0</m:t>
        </m:r>
      </m:oMath>
      <w:r w:rsidR="00E664E4" w:rsidRPr="006A7E74">
        <w:t xml:space="preserve">   </w:t>
      </w:r>
      <w:r w:rsidR="00E664E4" w:rsidRPr="006A7E74">
        <w:tab/>
      </w:r>
      <w:r w:rsidR="00E664E4" w:rsidRPr="006A7E74">
        <w:tab/>
      </w:r>
      <w:r w:rsidR="00E664E4" w:rsidRPr="006A7E74">
        <w:tab/>
      </w:r>
      <w:r w:rsidR="00E664E4" w:rsidRPr="006A7E74">
        <w:tab/>
      </w:r>
      <w:r w:rsidR="00E664E4">
        <w:t>Eq. (3.2.2.</w:t>
      </w:r>
      <w:r w:rsidR="00E664E4" w:rsidRPr="006A7E74">
        <w:t>31)</w:t>
      </w:r>
    </w:p>
    <w:p w:rsidR="00E664E4" w:rsidRPr="006A7E74"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15,11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17,11</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18,11</m:t>
            </m:r>
          </m:sub>
        </m:sSub>
        <m:r>
          <m:rPr>
            <m:sty m:val="p"/>
          </m:rPr>
          <w:rPr>
            <w:rFonts w:ascii="Cambria Math" w:hAnsi="Cambria Math"/>
          </w:rPr>
          <m:t>=0</m:t>
        </m:r>
      </m:oMath>
      <w:r w:rsidR="00E664E4" w:rsidRPr="006A7E74">
        <w:t xml:space="preserve">   </w:t>
      </w:r>
      <w:r w:rsidR="00E664E4" w:rsidRPr="006A7E74">
        <w:tab/>
      </w:r>
      <w:r w:rsidR="00E664E4" w:rsidRPr="006A7E74">
        <w:tab/>
      </w:r>
      <w:r w:rsidR="00E664E4" w:rsidRPr="006A7E74">
        <w:tab/>
      </w:r>
      <w:r w:rsidR="00E664E4" w:rsidRPr="006A7E74">
        <w:tab/>
      </w:r>
      <w:r w:rsidR="00E664E4">
        <w:t>Eq. (3.2.2.</w:t>
      </w:r>
      <w:r w:rsidR="00E664E4" w:rsidRPr="006A7E74">
        <w:t>32)</w:t>
      </w:r>
    </w:p>
    <w:p w:rsidR="00E664E4" w:rsidRPr="006A7E74"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15,14</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17,14</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18,14</m:t>
            </m:r>
          </m:sub>
        </m:sSub>
        <m:r>
          <m:rPr>
            <m:sty m:val="p"/>
          </m:rPr>
          <w:rPr>
            <w:rFonts w:ascii="Cambria Math" w:hAnsi="Cambria Math"/>
          </w:rPr>
          <m:t>=0</m:t>
        </m:r>
      </m:oMath>
      <w:r w:rsidR="00E664E4" w:rsidRPr="006A7E74">
        <w:t xml:space="preserve">   </w:t>
      </w:r>
      <w:r w:rsidR="00E664E4" w:rsidRPr="006A7E74">
        <w:tab/>
      </w:r>
      <w:r w:rsidR="00E664E4" w:rsidRPr="006A7E74">
        <w:tab/>
      </w:r>
      <w:r w:rsidR="00E664E4" w:rsidRPr="006A7E74">
        <w:tab/>
      </w:r>
      <w:r w:rsidR="00E664E4" w:rsidRPr="006A7E74">
        <w:tab/>
      </w:r>
      <w:r w:rsidR="00E664E4">
        <w:t>Eq. (3.2.2.</w:t>
      </w:r>
      <w:r w:rsidR="00E664E4" w:rsidRPr="006A7E74">
        <w:t>33)</w:t>
      </w:r>
    </w:p>
    <w:p w:rsidR="00E664E4" w:rsidRPr="006A7E74"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15,18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17,18</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18,18</m:t>
            </m:r>
          </m:sub>
        </m:sSub>
        <m:r>
          <m:rPr>
            <m:sty m:val="p"/>
          </m:rPr>
          <w:rPr>
            <w:rFonts w:ascii="Cambria Math" w:hAnsi="Cambria Math"/>
          </w:rPr>
          <m:t>=0</m:t>
        </m:r>
      </m:oMath>
      <w:r w:rsidR="00E664E4" w:rsidRPr="006A7E74">
        <w:t xml:space="preserve">   </w:t>
      </w:r>
      <w:r w:rsidR="00E664E4" w:rsidRPr="006A7E74">
        <w:tab/>
      </w:r>
      <w:r w:rsidR="00E664E4" w:rsidRPr="006A7E74">
        <w:tab/>
      </w:r>
      <w:r w:rsidR="00E664E4" w:rsidRPr="006A7E74">
        <w:tab/>
      </w:r>
      <w:r w:rsidR="00E664E4" w:rsidRPr="006A7E74">
        <w:tab/>
      </w:r>
      <w:r w:rsidR="00E664E4">
        <w:t>Eq. (3.2.2.</w:t>
      </w:r>
      <w:r w:rsidR="00E664E4" w:rsidRPr="006A7E74">
        <w:t>34)</w:t>
      </w:r>
    </w:p>
    <w:p w:rsidR="00E664E4" w:rsidRPr="006A7E74"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15,20</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17,20</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18,20</m:t>
            </m:r>
          </m:sub>
        </m:sSub>
        <m:r>
          <m:rPr>
            <m:sty m:val="p"/>
          </m:rPr>
          <w:rPr>
            <w:rFonts w:ascii="Cambria Math" w:hAnsi="Cambria Math"/>
          </w:rPr>
          <m:t>=0</m:t>
        </m:r>
      </m:oMath>
      <w:r w:rsidR="00E664E4" w:rsidRPr="006A7E74">
        <w:t xml:space="preserve">   </w:t>
      </w:r>
      <w:r w:rsidR="00E664E4" w:rsidRPr="006A7E74">
        <w:tab/>
      </w:r>
      <w:r w:rsidR="00E664E4" w:rsidRPr="006A7E74">
        <w:tab/>
      </w:r>
      <w:r w:rsidR="00E664E4" w:rsidRPr="006A7E74">
        <w:tab/>
      </w:r>
      <w:r w:rsidR="00E664E4" w:rsidRPr="006A7E74">
        <w:tab/>
      </w:r>
      <w:r w:rsidR="00E664E4">
        <w:t>Eq. (3.2.2.</w:t>
      </w:r>
      <w:r w:rsidR="00E664E4" w:rsidRPr="006A7E74">
        <w:t>35)</w:t>
      </w:r>
    </w:p>
    <w:p w:rsidR="00E664E4" w:rsidRPr="006A7E74"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15,21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17,21</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18,21</m:t>
            </m:r>
          </m:sub>
        </m:sSub>
        <m:r>
          <m:rPr>
            <m:sty m:val="p"/>
          </m:rPr>
          <w:rPr>
            <w:rFonts w:ascii="Cambria Math" w:hAnsi="Cambria Math"/>
          </w:rPr>
          <m:t>=0</m:t>
        </m:r>
      </m:oMath>
      <w:r w:rsidR="00E664E4" w:rsidRPr="006A7E74">
        <w:t xml:space="preserve">   </w:t>
      </w:r>
      <w:r w:rsidR="00E664E4" w:rsidRPr="006A7E74">
        <w:tab/>
      </w:r>
      <w:r w:rsidR="00E664E4" w:rsidRPr="006A7E74">
        <w:tab/>
      </w:r>
      <w:r w:rsidR="00E664E4" w:rsidRPr="006A7E74">
        <w:tab/>
      </w:r>
      <w:r w:rsidR="00E664E4" w:rsidRPr="006A7E74">
        <w:tab/>
      </w:r>
      <w:r w:rsidR="00E664E4">
        <w:t>Eq. (3.2.2.</w:t>
      </w:r>
      <w:r w:rsidR="00E664E4" w:rsidRPr="006A7E74">
        <w:t>36)</w:t>
      </w:r>
    </w:p>
    <w:p w:rsidR="00E664E4" w:rsidRPr="007956D4" w:rsidRDefault="00E664E4" w:rsidP="00E664E4"/>
    <w:p w:rsidR="00E664E4" w:rsidRDefault="00E664E4" w:rsidP="00E664E4">
      <w:pPr>
        <w:rPr>
          <w:rFonts w:asciiTheme="majorHAnsi" w:hAnsiTheme="majorHAnsi"/>
          <w:b/>
          <w:i/>
        </w:rPr>
      </w:pPr>
      <w:r>
        <w:rPr>
          <w:rFonts w:asciiTheme="majorHAnsi" w:hAnsiTheme="majorHAnsi"/>
          <w:b/>
          <w:i/>
        </w:rPr>
        <w:t>3.2.2</w:t>
      </w:r>
      <w:r w:rsidRPr="00C26992">
        <w:rPr>
          <w:rFonts w:asciiTheme="majorHAnsi" w:hAnsiTheme="majorHAnsi"/>
          <w:b/>
          <w:i/>
        </w:rPr>
        <w:t>.</w:t>
      </w:r>
      <w:r>
        <w:rPr>
          <w:rFonts w:asciiTheme="majorHAnsi" w:hAnsiTheme="majorHAnsi"/>
          <w:b/>
          <w:i/>
        </w:rPr>
        <w:t>4 Module 2D</w:t>
      </w:r>
    </w:p>
    <w:p w:rsidR="00E664E4" w:rsidRDefault="00E664E4" w:rsidP="00E664E4">
      <w:r>
        <w:t>Module 2D encompassed</w:t>
      </w:r>
      <w:r w:rsidRPr="00CE1EDF">
        <w:t xml:space="preserve"> the stripping column, which back extract</w:t>
      </w:r>
      <w:r>
        <w:t>ed</w:t>
      </w:r>
      <w:r w:rsidRPr="00CE1EDF">
        <w:t xml:space="preserve"> the purified uranium out of the organic phase into the aqueous phase. The inputs to Module 2D </w:t>
      </w:r>
      <w:r>
        <w:t xml:space="preserve">were </w:t>
      </w:r>
      <w:r w:rsidRPr="00CE1EDF">
        <w:t>the output of Module 2C and water. There</w:t>
      </w:r>
      <w:r>
        <w:t xml:space="preserve"> were two outputs from Module 2D:</w:t>
      </w:r>
      <w:r w:rsidRPr="00CE1EDF">
        <w:t xml:space="preserve"> (1) </w:t>
      </w:r>
      <w:r>
        <w:t xml:space="preserve">the </w:t>
      </w:r>
      <w:r w:rsidRPr="00CE1EDF">
        <w:t xml:space="preserve">organic waste stream and (2) the </w:t>
      </w:r>
      <w:r w:rsidRPr="009D034F">
        <w:t>uranium</w:t>
      </w:r>
      <w:r w:rsidRPr="009D034F">
        <w:noBreakHyphen/>
        <w:t>bearing aqueous stream to Module 3. Figure 3.13 shows a block diagram of Module 2D with</w:t>
      </w:r>
      <w:r w:rsidRPr="00CE1EDF">
        <w:t xml:space="preserve"> the input and output streams labeled. </w:t>
      </w:r>
    </w:p>
    <w:p w:rsidR="001E169B" w:rsidRPr="00CE1EDF" w:rsidRDefault="001E169B" w:rsidP="001D0EF6">
      <w:r>
        <w:t>The stripping column separates Stream 17 along with Stream 9A into two streams. Stream 9A wa</w:t>
      </w:r>
      <w:r w:rsidRPr="00CE1EDF">
        <w:t>s pure water. Th</w:t>
      </w:r>
      <w:r>
        <w:t>e separation wa</w:t>
      </w:r>
      <w:r w:rsidRPr="00CE1EDF">
        <w:t xml:space="preserve">s defined as the fraction that </w:t>
      </w:r>
      <w:r>
        <w:t xml:space="preserve">was sent </w:t>
      </w:r>
      <w:r w:rsidRPr="00CE1EDF">
        <w:t xml:space="preserve">to the aqueous stream from the input stream by </w:t>
      </w:r>
      <w:r>
        <w:t>parameter</w:t>
      </w:r>
      <w:proofErr w:type="gramStart"/>
      <w:r w:rsidRPr="00CE1EDF">
        <w:t xml:space="preserve">, </w:t>
      </w:r>
      <w:proofErr w:type="gramEnd"/>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2</m:t>
            </m:r>
            <m:r>
              <w:rPr>
                <w:rFonts w:ascii="Cambria Math" w:hAnsi="Cambria Math"/>
              </w:rPr>
              <m:t>D</m:t>
            </m:r>
            <m:r>
              <m:rPr>
                <m:sty m:val="p"/>
              </m:rPr>
              <w:rPr>
                <w:rFonts w:ascii="Cambria Math" w:hAnsi="Cambria Math"/>
              </w:rPr>
              <m:t>,</m:t>
            </m:r>
            <m:r>
              <w:rPr>
                <w:rFonts w:ascii="Cambria Math" w:hAnsi="Cambria Math"/>
              </w:rPr>
              <m:t>i</m:t>
            </m:r>
          </m:sub>
        </m:sSub>
      </m:oMath>
      <w:r w:rsidRPr="00CE1EDF">
        <w:t xml:space="preserve">, where each component, </w:t>
      </w:r>
      <m:oMath>
        <m:r>
          <w:rPr>
            <w:rFonts w:ascii="Cambria Math" w:hAnsi="Cambria Math"/>
          </w:rPr>
          <m:t>i</m:t>
        </m:r>
      </m:oMath>
      <w:r w:rsidRPr="00CE1EDF">
        <w:t>, ha</w:t>
      </w:r>
      <w:r>
        <w:t>d</w:t>
      </w:r>
      <w:r w:rsidRPr="00CE1EDF">
        <w:t xml:space="preserve"> a different fractionation. Equations </w:t>
      </w:r>
    </w:p>
    <w:p w:rsidR="00E664E4" w:rsidRPr="00CE1EDF" w:rsidRDefault="00E664E4" w:rsidP="00E664E4">
      <w:pPr>
        <w:jc w:val="center"/>
      </w:pPr>
      <w:r w:rsidRPr="00CE1EDF">
        <w:object w:dxaOrig="4167" w:dyaOrig="3978">
          <v:shape id="_x0000_i1035" type="#_x0000_t75" style="width:208.75pt;height:198.15pt" o:ole="">
            <v:imagedata r:id="rId47" o:title=""/>
          </v:shape>
          <o:OLEObject Type="Embed" ProgID="Visio.Drawing.11" ShapeID="_x0000_i1035" DrawAspect="Content" ObjectID="_1445525560" r:id="rId48"/>
        </w:object>
      </w:r>
    </w:p>
    <w:p w:rsidR="00E664E4" w:rsidRDefault="00E664E4" w:rsidP="00E664E4">
      <w:pPr>
        <w:jc w:val="center"/>
        <w:rPr>
          <w:b/>
          <w:sz w:val="20"/>
          <w:szCs w:val="20"/>
        </w:rPr>
      </w:pPr>
      <w:r w:rsidRPr="009D034F">
        <w:rPr>
          <w:b/>
          <w:sz w:val="20"/>
          <w:szCs w:val="20"/>
        </w:rPr>
        <w:t xml:space="preserve">Figure 3.13. Block Diagram of the Module 2D </w:t>
      </w:r>
      <w:r w:rsidR="004045DF">
        <w:rPr>
          <w:b/>
          <w:sz w:val="20"/>
          <w:szCs w:val="20"/>
        </w:rPr>
        <w:t>Showing Input and Output Streams</w:t>
      </w:r>
      <w:r w:rsidRPr="009D034F">
        <w:rPr>
          <w:b/>
          <w:sz w:val="20"/>
          <w:szCs w:val="20"/>
        </w:rPr>
        <w:t>.</w:t>
      </w:r>
    </w:p>
    <w:p w:rsidR="001E169B" w:rsidRPr="00CE1EDF" w:rsidRDefault="001E169B" w:rsidP="00E664E4">
      <w:pPr>
        <w:jc w:val="center"/>
        <w:rPr>
          <w:b/>
          <w:sz w:val="20"/>
          <w:szCs w:val="20"/>
        </w:rPr>
      </w:pPr>
    </w:p>
    <w:p w:rsidR="001D0EF6" w:rsidRPr="00CE1EDF" w:rsidRDefault="001D0EF6" w:rsidP="001D0EF6">
      <w:r>
        <w:t>3.2.2.</w:t>
      </w:r>
      <w:r w:rsidRPr="00CE1EDF">
        <w:t>37–</w:t>
      </w:r>
      <w:r>
        <w:t xml:space="preserve">3.2.2.41 </w:t>
      </w:r>
      <w:proofErr w:type="gramStart"/>
      <w:r>
        <w:t>define</w:t>
      </w:r>
      <w:proofErr w:type="gramEnd"/>
      <w:r>
        <w:t xml:space="preserve"> the separation of S</w:t>
      </w:r>
      <w:r w:rsidRPr="00CE1EDF">
        <w:t>tream 17</w:t>
      </w:r>
      <w:r>
        <w:t xml:space="preserve"> and Stream 9A</w:t>
      </w:r>
      <w:r w:rsidRPr="00CE1EDF">
        <w:t xml:space="preserve"> into </w:t>
      </w:r>
      <w:r>
        <w:t>S</w:t>
      </w:r>
      <w:r w:rsidRPr="00CE1EDF">
        <w:t>tream 19. All of the TB</w:t>
      </w:r>
      <w:r>
        <w:t>P and the insoluble impurities we</w:t>
      </w:r>
      <w:r w:rsidRPr="00CE1EDF">
        <w:t>re sent to the organic waste stream.</w:t>
      </w:r>
    </w:p>
    <w:p w:rsidR="001D0EF6" w:rsidRPr="00CE1EDF" w:rsidRDefault="00C851DF" w:rsidP="001D0EF6">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2</m:t>
            </m:r>
            <m:r>
              <w:rPr>
                <w:rFonts w:ascii="Cambria Math" w:hAnsi="Cambria Math"/>
              </w:rPr>
              <m:t>D</m:t>
            </m:r>
            <m:r>
              <m:rPr>
                <m:sty m:val="p"/>
              </m:rPr>
              <w:rPr>
                <w:rFonts w:ascii="Cambria Math" w:hAnsi="Cambria Math"/>
              </w:rPr>
              <m:t>,1</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F</m:t>
                </m:r>
              </m:e>
              <m:sub>
                <m:r>
                  <m:rPr>
                    <m:sty m:val="p"/>
                  </m:rPr>
                  <w:rPr>
                    <w:rFonts w:ascii="Cambria Math" w:hAnsi="Cambria Math"/>
                  </w:rPr>
                  <m:t>17,1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9</m:t>
                </m:r>
                <m:r>
                  <w:rPr>
                    <w:rFonts w:ascii="Cambria Math" w:hAnsi="Cambria Math"/>
                  </w:rPr>
                  <m:t>A</m:t>
                </m:r>
              </m:sub>
            </m:sSub>
            <m:r>
              <m:rPr>
                <m:sty m:val="p"/>
              </m:rPr>
              <w:rPr>
                <w:rFonts w:ascii="Cambria Math" w:hAnsi="Cambria Math"/>
              </w:rPr>
              <m:t>*</m:t>
            </m:r>
            <m:f>
              <m:fPr>
                <m:ctrlPr>
                  <w:rPr>
                    <w:rFonts w:ascii="Cambria Math" w:hAnsi="Cambria Math"/>
                  </w:rPr>
                </m:ctrlPr>
              </m:fPr>
              <m:num>
                <m:r>
                  <m:rPr>
                    <m:sty m:val="p"/>
                  </m:rPr>
                  <w:rPr>
                    <w:rFonts w:ascii="Cambria Math" w:hAnsi="Cambria Math"/>
                  </w:rPr>
                  <m:t>1000</m:t>
                </m:r>
              </m:num>
              <m:den>
                <m:sSub>
                  <m:sSubPr>
                    <m:ctrlPr>
                      <w:rPr>
                        <w:rFonts w:ascii="Cambria Math" w:hAnsi="Cambria Math"/>
                      </w:rPr>
                    </m:ctrlPr>
                  </m:sSubPr>
                  <m:e>
                    <m:r>
                      <w:rPr>
                        <w:rFonts w:ascii="Cambria Math" w:hAnsi="Cambria Math"/>
                      </w:rPr>
                      <m:t>MW</m:t>
                    </m:r>
                  </m:e>
                  <m:sub>
                    <m:r>
                      <m:rPr>
                        <m:sty m:val="p"/>
                      </m:rPr>
                      <w:rPr>
                        <w:rFonts w:ascii="Cambria Math" w:hAnsi="Cambria Math"/>
                      </w:rPr>
                      <m:t>1</m:t>
                    </m:r>
                  </m:sub>
                </m:sSub>
              </m:den>
            </m:f>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19,1</m:t>
            </m:r>
          </m:sub>
        </m:sSub>
        <m:r>
          <m:rPr>
            <m:sty m:val="p"/>
          </m:rPr>
          <w:rPr>
            <w:rFonts w:ascii="Cambria Math" w:hAnsi="Cambria Math"/>
          </w:rPr>
          <m:t>=0</m:t>
        </m:r>
      </m:oMath>
      <w:r w:rsidR="001D0EF6" w:rsidRPr="00CE1EDF">
        <w:t xml:space="preserve"> </w:t>
      </w:r>
      <w:r w:rsidR="001D0EF6" w:rsidRPr="00CE1EDF">
        <w:tab/>
      </w:r>
      <w:r w:rsidR="001D0EF6">
        <w:tab/>
      </w:r>
      <w:r w:rsidR="001D0EF6" w:rsidRPr="00CE1EDF">
        <w:tab/>
      </w:r>
      <w:r w:rsidR="001D0EF6">
        <w:t>Eq. (3.2.2.</w:t>
      </w:r>
      <w:r w:rsidR="001D0EF6" w:rsidRPr="00CE1EDF">
        <w:t>37)</w:t>
      </w:r>
    </w:p>
    <w:p w:rsidR="001D0EF6" w:rsidRPr="00CE1EDF" w:rsidRDefault="00C851DF" w:rsidP="001D0EF6">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2</m:t>
            </m:r>
            <m:r>
              <w:rPr>
                <w:rFonts w:ascii="Cambria Math" w:hAnsi="Cambria Math"/>
              </w:rPr>
              <m:t>D</m:t>
            </m:r>
            <m:r>
              <m:rPr>
                <m:sty m:val="p"/>
              </m:rPr>
              <w:rPr>
                <w:rFonts w:ascii="Cambria Math" w:hAnsi="Cambria Math"/>
              </w:rPr>
              <m:t>,9</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17,9</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19,9</m:t>
            </m:r>
          </m:sub>
        </m:sSub>
        <m:r>
          <m:rPr>
            <m:sty m:val="p"/>
          </m:rPr>
          <w:rPr>
            <w:rFonts w:ascii="Cambria Math" w:hAnsi="Cambria Math"/>
          </w:rPr>
          <m:t>=0</m:t>
        </m:r>
      </m:oMath>
      <w:r w:rsidR="001D0EF6" w:rsidRPr="00CE1EDF">
        <w:t xml:space="preserve">   </w:t>
      </w:r>
      <w:r w:rsidR="001D0EF6" w:rsidRPr="00CE1EDF">
        <w:tab/>
      </w:r>
      <w:r w:rsidR="001D0EF6" w:rsidRPr="00CE1EDF">
        <w:tab/>
      </w:r>
      <w:r w:rsidR="001D0EF6" w:rsidRPr="00CE1EDF">
        <w:tab/>
      </w:r>
      <w:r w:rsidR="001D0EF6" w:rsidRPr="00CE1EDF">
        <w:tab/>
      </w:r>
      <w:r w:rsidR="001D0EF6">
        <w:t>Eq. (3.2.2.</w:t>
      </w:r>
      <w:r w:rsidR="001D0EF6" w:rsidRPr="00CE1EDF">
        <w:t>38)</w:t>
      </w:r>
    </w:p>
    <w:p w:rsidR="001D0EF6" w:rsidRPr="00CE1EDF" w:rsidRDefault="00C851DF" w:rsidP="001D0EF6">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2</m:t>
            </m:r>
            <m:r>
              <w:rPr>
                <w:rFonts w:ascii="Cambria Math" w:hAnsi="Cambria Math"/>
              </w:rPr>
              <m:t>D</m:t>
            </m:r>
            <m:r>
              <m:rPr>
                <m:sty m:val="p"/>
              </m:rPr>
              <w:rPr>
                <w:rFonts w:ascii="Cambria Math" w:hAnsi="Cambria Math"/>
              </w:rPr>
              <m:t>,14</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17,14</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19,14</m:t>
            </m:r>
          </m:sub>
        </m:sSub>
        <m:r>
          <m:rPr>
            <m:sty m:val="p"/>
          </m:rPr>
          <w:rPr>
            <w:rFonts w:ascii="Cambria Math" w:hAnsi="Cambria Math"/>
          </w:rPr>
          <m:t>=0</m:t>
        </m:r>
      </m:oMath>
      <w:r w:rsidR="001D0EF6" w:rsidRPr="00CE1EDF">
        <w:t xml:space="preserve">   </w:t>
      </w:r>
      <w:r w:rsidR="001D0EF6" w:rsidRPr="00CE1EDF">
        <w:tab/>
      </w:r>
      <w:r w:rsidR="001D0EF6" w:rsidRPr="00CE1EDF">
        <w:tab/>
      </w:r>
      <w:r w:rsidR="001D0EF6" w:rsidRPr="00CE1EDF">
        <w:tab/>
      </w:r>
      <w:r w:rsidR="001D0EF6">
        <w:t>Eq. (3.2.2.</w:t>
      </w:r>
      <w:r w:rsidR="001D0EF6" w:rsidRPr="00CE1EDF">
        <w:t>39)</w:t>
      </w:r>
    </w:p>
    <w:p w:rsidR="001E169B" w:rsidRPr="00CE1EDF" w:rsidRDefault="00C851DF" w:rsidP="001E169B">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2</m:t>
            </m:r>
            <m:r>
              <w:rPr>
                <w:rFonts w:ascii="Cambria Math" w:hAnsi="Cambria Math"/>
              </w:rPr>
              <m:t>D</m:t>
            </m:r>
            <m:r>
              <m:rPr>
                <m:sty m:val="p"/>
              </m:rPr>
              <w:rPr>
                <w:rFonts w:ascii="Cambria Math" w:hAnsi="Cambria Math"/>
              </w:rPr>
              <m:t>,18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17,18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19,18</m:t>
            </m:r>
          </m:sub>
        </m:sSub>
        <m:r>
          <m:rPr>
            <m:sty m:val="p"/>
          </m:rPr>
          <w:rPr>
            <w:rFonts w:ascii="Cambria Math" w:hAnsi="Cambria Math"/>
          </w:rPr>
          <m:t>=0</m:t>
        </m:r>
      </m:oMath>
      <w:r w:rsidR="001E169B" w:rsidRPr="00CE1EDF">
        <w:t xml:space="preserve">   </w:t>
      </w:r>
      <w:r w:rsidR="001E169B" w:rsidRPr="00CE1EDF">
        <w:tab/>
      </w:r>
      <w:r w:rsidR="001E169B" w:rsidRPr="00CE1EDF">
        <w:tab/>
      </w:r>
      <w:r w:rsidR="001E169B" w:rsidRPr="00CE1EDF">
        <w:tab/>
      </w:r>
      <w:r w:rsidR="001E169B">
        <w:t>Eq. (3.2.2.</w:t>
      </w:r>
      <w:r w:rsidR="001E169B" w:rsidRPr="00CE1EDF">
        <w:t>40)</w:t>
      </w:r>
    </w:p>
    <w:p w:rsidR="001E169B" w:rsidRDefault="00C851DF" w:rsidP="001E169B">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2</m:t>
            </m:r>
            <m:r>
              <w:rPr>
                <w:rFonts w:ascii="Cambria Math" w:hAnsi="Cambria Math"/>
              </w:rPr>
              <m:t>D</m:t>
            </m:r>
            <m:r>
              <m:rPr>
                <m:sty m:val="p"/>
              </m:rPr>
              <w:rPr>
                <w:rFonts w:ascii="Cambria Math" w:hAnsi="Cambria Math"/>
              </w:rPr>
              <m:t>,21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17,21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19,21</m:t>
            </m:r>
          </m:sub>
        </m:sSub>
        <m:r>
          <m:rPr>
            <m:sty m:val="p"/>
          </m:rPr>
          <w:rPr>
            <w:rFonts w:ascii="Cambria Math" w:hAnsi="Cambria Math"/>
          </w:rPr>
          <m:t>=0</m:t>
        </m:r>
      </m:oMath>
      <w:r w:rsidR="001E169B" w:rsidRPr="00CE1EDF">
        <w:t xml:space="preserve">   </w:t>
      </w:r>
      <w:r w:rsidR="001E169B" w:rsidRPr="00CE1EDF">
        <w:tab/>
      </w:r>
      <w:r w:rsidR="001E169B" w:rsidRPr="00CE1EDF">
        <w:tab/>
      </w:r>
      <w:r w:rsidR="001E169B" w:rsidRPr="00CE1EDF">
        <w:tab/>
      </w:r>
      <w:r w:rsidR="001E169B">
        <w:t>Eq. (3.2.2.</w:t>
      </w:r>
      <w:r w:rsidR="001E169B" w:rsidRPr="00CE1EDF">
        <w:t>41)</w:t>
      </w:r>
    </w:p>
    <w:p w:rsidR="00E664E4" w:rsidRPr="00CE1EDF" w:rsidRDefault="00E664E4" w:rsidP="00E664E4">
      <w:r w:rsidRPr="00CE1EDF">
        <w:t xml:space="preserve">Equations </w:t>
      </w:r>
      <w:r>
        <w:t>3.2.2.</w:t>
      </w:r>
      <w:r w:rsidRPr="00CE1EDF">
        <w:t>42–</w:t>
      </w:r>
      <w:r>
        <w:t>3.2.2.</w:t>
      </w:r>
      <w:r w:rsidRPr="00CE1EDF">
        <w:t xml:space="preserve">48 </w:t>
      </w:r>
      <w:proofErr w:type="gramStart"/>
      <w:r w:rsidRPr="00CE1EDF">
        <w:t>calculate</w:t>
      </w:r>
      <w:proofErr w:type="gramEnd"/>
      <w:r w:rsidRPr="00CE1EDF">
        <w:t xml:space="preserve"> the mole balances for </w:t>
      </w:r>
      <w:r>
        <w:t>S</w:t>
      </w:r>
      <w:r w:rsidRPr="00CE1EDF">
        <w:t>tream 20.</w:t>
      </w:r>
    </w:p>
    <w:p w:rsidR="00E664E4" w:rsidRPr="00CE1EDF" w:rsidRDefault="00C851DF" w:rsidP="00E664E4">
      <w:pPr>
        <w:jc w:val="right"/>
      </w:pPr>
      <m:oMath>
        <m:d>
          <m:dPr>
            <m:ctrlPr>
              <w:rPr>
                <w:rFonts w:ascii="Cambria Math" w:hAnsi="Cambria Math"/>
              </w:rPr>
            </m:ctrlPr>
          </m:dPr>
          <m:e>
            <m:sSub>
              <m:sSubPr>
                <m:ctrlPr>
                  <w:rPr>
                    <w:rFonts w:ascii="Cambria Math" w:hAnsi="Cambria Math"/>
                  </w:rPr>
                </m:ctrlPr>
              </m:sSubPr>
              <m:e>
                <m:r>
                  <w:rPr>
                    <w:rFonts w:ascii="Cambria Math" w:hAnsi="Cambria Math"/>
                  </w:rPr>
                  <m:t>F</m:t>
                </m:r>
              </m:e>
              <m:sub>
                <m:r>
                  <m:rPr>
                    <m:sty m:val="p"/>
                  </m:rPr>
                  <w:rPr>
                    <w:rFonts w:ascii="Cambria Math" w:hAnsi="Cambria Math"/>
                  </w:rPr>
                  <m:t>17,1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9</m:t>
                </m:r>
                <m:r>
                  <w:rPr>
                    <w:rFonts w:ascii="Cambria Math" w:hAnsi="Cambria Math"/>
                  </w:rPr>
                  <m:t>A</m:t>
                </m:r>
              </m:sub>
            </m:sSub>
            <m:r>
              <m:rPr>
                <m:sty m:val="p"/>
              </m:rPr>
              <w:rPr>
                <w:rFonts w:ascii="Cambria Math" w:hAnsi="Cambria Math"/>
              </w:rPr>
              <m:t>*</m:t>
            </m:r>
            <m:f>
              <m:fPr>
                <m:ctrlPr>
                  <w:rPr>
                    <w:rFonts w:ascii="Cambria Math" w:hAnsi="Cambria Math"/>
                  </w:rPr>
                </m:ctrlPr>
              </m:fPr>
              <m:num>
                <m:r>
                  <m:rPr>
                    <m:sty m:val="p"/>
                  </m:rPr>
                  <w:rPr>
                    <w:rFonts w:ascii="Cambria Math" w:hAnsi="Cambria Math"/>
                  </w:rPr>
                  <m:t>1000</m:t>
                </m:r>
              </m:num>
              <m:den>
                <m:sSub>
                  <m:sSubPr>
                    <m:ctrlPr>
                      <w:rPr>
                        <w:rFonts w:ascii="Cambria Math" w:hAnsi="Cambria Math"/>
                      </w:rPr>
                    </m:ctrlPr>
                  </m:sSubPr>
                  <m:e>
                    <m:r>
                      <w:rPr>
                        <w:rFonts w:ascii="Cambria Math" w:hAnsi="Cambria Math"/>
                      </w:rPr>
                      <m:t>MW</m:t>
                    </m:r>
                  </m:e>
                  <m:sub>
                    <m:r>
                      <m:rPr>
                        <m:sty m:val="p"/>
                      </m:rPr>
                      <w:rPr>
                        <w:rFonts w:ascii="Cambria Math" w:hAnsi="Cambria Math"/>
                      </w:rPr>
                      <m:t>1</m:t>
                    </m:r>
                  </m:sub>
                </m:sSub>
              </m:den>
            </m:f>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19,1</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20,1</m:t>
            </m:r>
          </m:sub>
        </m:sSub>
        <m:r>
          <m:rPr>
            <m:sty m:val="p"/>
          </m:rPr>
          <w:rPr>
            <w:rFonts w:ascii="Cambria Math" w:hAnsi="Cambria Math"/>
          </w:rPr>
          <m:t>=0</m:t>
        </m:r>
      </m:oMath>
      <w:r w:rsidR="00E664E4" w:rsidRPr="00CE1EDF">
        <w:t xml:space="preserve">   </w:t>
      </w:r>
      <w:r w:rsidR="00E664E4" w:rsidRPr="00CE1EDF">
        <w:tab/>
      </w:r>
      <w:r w:rsidR="00E664E4" w:rsidRPr="00CE1EDF">
        <w:tab/>
      </w:r>
      <w:r w:rsidR="00E664E4">
        <w:tab/>
        <w:t>Eq. (3.2.2.</w:t>
      </w:r>
      <w:r w:rsidR="00E664E4" w:rsidRPr="00CE1EDF">
        <w:t>42)</w:t>
      </w:r>
    </w:p>
    <w:p w:rsidR="00E664E4" w:rsidRPr="00CE1EDF"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17,9</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19,9</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20,9</m:t>
            </m:r>
          </m:sub>
        </m:sSub>
        <m:r>
          <m:rPr>
            <m:sty m:val="p"/>
          </m:rPr>
          <w:rPr>
            <w:rFonts w:ascii="Cambria Math" w:hAnsi="Cambria Math"/>
          </w:rPr>
          <m:t>=0</m:t>
        </m:r>
      </m:oMath>
      <w:r w:rsidR="00E664E4" w:rsidRPr="00CE1EDF">
        <w:t xml:space="preserve">   </w:t>
      </w:r>
      <w:r w:rsidR="00E664E4" w:rsidRPr="00CE1EDF">
        <w:tab/>
      </w:r>
      <w:r w:rsidR="00E664E4" w:rsidRPr="00CE1EDF">
        <w:tab/>
      </w:r>
      <w:r w:rsidR="00E664E4" w:rsidRPr="00CE1EDF">
        <w:tab/>
      </w:r>
      <w:r w:rsidR="00E664E4" w:rsidRPr="00CE1EDF">
        <w:tab/>
      </w:r>
      <w:r w:rsidR="00E664E4">
        <w:t>Eq. (3.2.2.</w:t>
      </w:r>
      <w:r w:rsidR="00E664E4" w:rsidRPr="00CE1EDF">
        <w:t>43)</w:t>
      </w:r>
    </w:p>
    <w:p w:rsidR="00E664E4" w:rsidRPr="00CE1EDF"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17,11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20,11</m:t>
            </m:r>
          </m:sub>
        </m:sSub>
        <m:r>
          <m:rPr>
            <m:sty m:val="p"/>
          </m:rPr>
          <w:rPr>
            <w:rFonts w:ascii="Cambria Math" w:hAnsi="Cambria Math"/>
          </w:rPr>
          <m:t>=0</m:t>
        </m:r>
      </m:oMath>
      <w:r w:rsidR="00E664E4" w:rsidRPr="00CE1EDF">
        <w:t xml:space="preserve">   </w:t>
      </w:r>
      <w:r w:rsidR="00E664E4" w:rsidRPr="00CE1EDF">
        <w:tab/>
      </w:r>
      <w:r w:rsidR="00E664E4" w:rsidRPr="00CE1EDF">
        <w:tab/>
      </w:r>
      <w:r w:rsidR="00E664E4" w:rsidRPr="00CE1EDF">
        <w:tab/>
      </w:r>
      <w:r w:rsidR="00E664E4" w:rsidRPr="00CE1EDF">
        <w:tab/>
      </w:r>
      <w:r w:rsidR="00E664E4" w:rsidRPr="00CE1EDF">
        <w:tab/>
      </w:r>
      <w:r w:rsidR="00E664E4">
        <w:t>Eq. (3.2.2.</w:t>
      </w:r>
      <w:r w:rsidR="00E664E4" w:rsidRPr="00CE1EDF">
        <w:t>44)</w:t>
      </w:r>
    </w:p>
    <w:p w:rsidR="00E664E4" w:rsidRPr="00CE1EDF"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17,14</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19,14</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20,14</m:t>
            </m:r>
          </m:sub>
        </m:sSub>
        <m:r>
          <m:rPr>
            <m:sty m:val="p"/>
          </m:rPr>
          <w:rPr>
            <w:rFonts w:ascii="Cambria Math" w:hAnsi="Cambria Math"/>
          </w:rPr>
          <m:t>=0</m:t>
        </m:r>
      </m:oMath>
      <w:r w:rsidR="00E664E4" w:rsidRPr="00CE1EDF">
        <w:t xml:space="preserve">   </w:t>
      </w:r>
      <w:r w:rsidR="00E664E4" w:rsidRPr="00CE1EDF">
        <w:tab/>
      </w:r>
      <w:r w:rsidR="00E664E4" w:rsidRPr="00CE1EDF">
        <w:tab/>
      </w:r>
      <w:r w:rsidR="00E664E4" w:rsidRPr="00CE1EDF">
        <w:tab/>
      </w:r>
      <w:r w:rsidR="00E664E4" w:rsidRPr="00CE1EDF">
        <w:tab/>
      </w:r>
      <w:r w:rsidR="00E664E4">
        <w:t>Eq. (3.2.2.</w:t>
      </w:r>
      <w:r w:rsidR="00E664E4" w:rsidRPr="00CE1EDF">
        <w:t>45)</w:t>
      </w:r>
    </w:p>
    <w:p w:rsidR="00E664E4" w:rsidRPr="00CE1EDF"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17,18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19,18</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20,18</m:t>
            </m:r>
          </m:sub>
        </m:sSub>
        <m:r>
          <m:rPr>
            <m:sty m:val="p"/>
          </m:rPr>
          <w:rPr>
            <w:rFonts w:ascii="Cambria Math" w:hAnsi="Cambria Math"/>
          </w:rPr>
          <m:t>=0</m:t>
        </m:r>
      </m:oMath>
      <w:r w:rsidR="00E664E4" w:rsidRPr="00CE1EDF">
        <w:t xml:space="preserve">   </w:t>
      </w:r>
      <w:r w:rsidR="00E664E4" w:rsidRPr="00CE1EDF">
        <w:tab/>
      </w:r>
      <w:r w:rsidR="00E664E4" w:rsidRPr="00CE1EDF">
        <w:tab/>
      </w:r>
      <w:r w:rsidR="00E664E4" w:rsidRPr="00CE1EDF">
        <w:tab/>
      </w:r>
      <w:r w:rsidR="00E664E4" w:rsidRPr="00CE1EDF">
        <w:tab/>
      </w:r>
      <w:r w:rsidR="00E664E4">
        <w:t>Eq. (3.2.2.</w:t>
      </w:r>
      <w:r w:rsidR="00E664E4" w:rsidRPr="00CE1EDF">
        <w:t>46)</w:t>
      </w:r>
    </w:p>
    <w:p w:rsidR="00E664E4" w:rsidRPr="00CE1EDF"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17,20</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20,20</m:t>
            </m:r>
          </m:sub>
        </m:sSub>
        <m:r>
          <m:rPr>
            <m:sty m:val="p"/>
          </m:rPr>
          <w:rPr>
            <w:rFonts w:ascii="Cambria Math" w:hAnsi="Cambria Math"/>
          </w:rPr>
          <m:t>=0</m:t>
        </m:r>
      </m:oMath>
      <w:r w:rsidR="00E664E4" w:rsidRPr="00CE1EDF">
        <w:t xml:space="preserve">   </w:t>
      </w:r>
      <w:r w:rsidR="00E664E4" w:rsidRPr="00CE1EDF">
        <w:tab/>
      </w:r>
      <w:r w:rsidR="00E664E4" w:rsidRPr="00CE1EDF">
        <w:tab/>
      </w:r>
      <w:r w:rsidR="00E664E4" w:rsidRPr="00CE1EDF">
        <w:tab/>
      </w:r>
      <w:r w:rsidR="00E664E4" w:rsidRPr="00CE1EDF">
        <w:tab/>
      </w:r>
      <w:r w:rsidR="00E664E4" w:rsidRPr="00CE1EDF">
        <w:tab/>
      </w:r>
      <w:r w:rsidR="00E664E4">
        <w:t>Eq. (3.2.2.</w:t>
      </w:r>
      <w:r w:rsidR="00E664E4" w:rsidRPr="00CE1EDF">
        <w:t>47)</w:t>
      </w:r>
    </w:p>
    <w:p w:rsidR="00E664E4" w:rsidRPr="00CE1EDF"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17,21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19,21</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20,21</m:t>
            </m:r>
          </m:sub>
        </m:sSub>
        <m:r>
          <m:rPr>
            <m:sty m:val="p"/>
          </m:rPr>
          <w:rPr>
            <w:rFonts w:ascii="Cambria Math" w:hAnsi="Cambria Math"/>
          </w:rPr>
          <m:t>=0</m:t>
        </m:r>
      </m:oMath>
      <w:r w:rsidR="00E664E4" w:rsidRPr="00CE1EDF">
        <w:t xml:space="preserve">   </w:t>
      </w:r>
      <w:r w:rsidR="00E664E4" w:rsidRPr="00CE1EDF">
        <w:tab/>
      </w:r>
      <w:r w:rsidR="00E664E4" w:rsidRPr="00CE1EDF">
        <w:tab/>
      </w:r>
      <w:r w:rsidR="00E664E4" w:rsidRPr="00CE1EDF">
        <w:tab/>
      </w:r>
      <w:r w:rsidR="00E664E4" w:rsidRPr="00CE1EDF">
        <w:tab/>
      </w:r>
      <w:r w:rsidR="00E664E4">
        <w:t>Eq. (3.2.2.</w:t>
      </w:r>
      <w:r w:rsidR="00E664E4" w:rsidRPr="00CE1EDF">
        <w:t>48)</w:t>
      </w:r>
    </w:p>
    <w:p w:rsidR="001E169B" w:rsidRDefault="001E169B">
      <w:pPr>
        <w:rPr>
          <w:rFonts w:asciiTheme="majorHAnsi" w:hAnsiTheme="majorHAnsi"/>
          <w:b/>
          <w:i/>
        </w:rPr>
      </w:pPr>
    </w:p>
    <w:p w:rsidR="00E664E4" w:rsidRDefault="00E664E4" w:rsidP="00E664E4">
      <w:pPr>
        <w:rPr>
          <w:rFonts w:asciiTheme="majorHAnsi" w:hAnsiTheme="majorHAnsi"/>
          <w:b/>
          <w:i/>
        </w:rPr>
      </w:pPr>
      <w:r w:rsidRPr="00C26992">
        <w:rPr>
          <w:rFonts w:asciiTheme="majorHAnsi" w:hAnsiTheme="majorHAnsi"/>
          <w:b/>
          <w:i/>
        </w:rPr>
        <w:t>3.2.</w:t>
      </w:r>
      <w:r>
        <w:rPr>
          <w:rFonts w:asciiTheme="majorHAnsi" w:hAnsiTheme="majorHAnsi"/>
          <w:b/>
          <w:i/>
        </w:rPr>
        <w:t>2.5 Module 2: Overall Material Balance</w:t>
      </w:r>
    </w:p>
    <w:p w:rsidR="00E664E4" w:rsidRPr="002D36A5" w:rsidRDefault="00E664E4" w:rsidP="00E664E4">
      <w:r w:rsidRPr="002D36A5">
        <w:t>The streams used for</w:t>
      </w:r>
      <w:r>
        <w:t xml:space="preserve"> the overall material balances we</w:t>
      </w:r>
      <w:r w:rsidRPr="002D36A5">
        <w:t>re those that cross the da</w:t>
      </w:r>
      <w:r>
        <w:t>rk dashed boundary that enclosed all of Module 2. There were six</w:t>
      </w:r>
      <w:r w:rsidRPr="002D36A5">
        <w:t xml:space="preserve"> input streams and </w:t>
      </w:r>
      <w:r>
        <w:t>three</w:t>
      </w:r>
      <w:r w:rsidRPr="002D36A5">
        <w:t xml:space="preserve"> output stream</w:t>
      </w:r>
      <w:r>
        <w:t>s</w:t>
      </w:r>
      <w:r w:rsidRPr="002D36A5">
        <w:t xml:space="preserve"> for Modu</w:t>
      </w:r>
      <w:r>
        <w:t>le 2. One of the input streams was</w:t>
      </w:r>
      <w:r w:rsidRPr="002D36A5">
        <w:t xml:space="preserve"> </w:t>
      </w:r>
      <w:r>
        <w:t>an output of Module 1. There wa</w:t>
      </w:r>
      <w:r w:rsidRPr="002D36A5">
        <w:t xml:space="preserve">s no reaction in Module 2. The overall component material balances </w:t>
      </w:r>
      <w:r>
        <w:t>for</w:t>
      </w:r>
      <w:r w:rsidRPr="002D36A5">
        <w:t xml:space="preserve"> Module 2 are shown in Equations </w:t>
      </w:r>
      <w:r>
        <w:t>3.2.2.49</w:t>
      </w:r>
      <w:r w:rsidRPr="002D36A5">
        <w:t>–</w:t>
      </w:r>
      <w:r>
        <w:t>3.2.2.55</w:t>
      </w:r>
      <w:r w:rsidRPr="002D36A5">
        <w:t>.</w:t>
      </w:r>
    </w:p>
    <w:p w:rsidR="00E664E4" w:rsidRPr="002D36A5"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5A,1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8A,1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9A,1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12,1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16,1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19,1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20,1</m:t>
            </m:r>
          </m:sub>
        </m:sSub>
        <m:r>
          <w:rPr>
            <w:rFonts w:ascii="Cambria Math" w:hAnsi="Cambria Math"/>
          </w:rPr>
          <m:t>=0</m:t>
        </m:r>
      </m:oMath>
      <w:r w:rsidR="00E664E4" w:rsidRPr="002D36A5">
        <w:t xml:space="preserve"> </w:t>
      </w:r>
      <w:r w:rsidR="00E664E4" w:rsidRPr="002D36A5">
        <w:tab/>
      </w:r>
      <w:r w:rsidR="00E664E4">
        <w:tab/>
        <w:t>Eq. (3.2.2.49</w:t>
      </w:r>
      <w:r w:rsidR="00E664E4" w:rsidRPr="002D36A5">
        <w:t>)</w:t>
      </w:r>
    </w:p>
    <w:p w:rsidR="00E664E4" w:rsidRPr="002D36A5"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6A</m:t>
            </m:r>
          </m:sub>
        </m:sSub>
        <m:r>
          <w:rPr>
            <w:rFonts w:ascii="Cambria Math" w:hAnsi="Cambria Math"/>
          </w:rPr>
          <m:t>*</m:t>
        </m:r>
        <m:f>
          <m:fPr>
            <m:ctrlPr>
              <w:rPr>
                <w:rFonts w:ascii="Cambria Math" w:hAnsi="Cambria Math"/>
                <w:i/>
              </w:rPr>
            </m:ctrlPr>
          </m:fPr>
          <m:num>
            <m:r>
              <w:rPr>
                <w:rFonts w:ascii="Cambria Math" w:hAnsi="Cambria Math"/>
              </w:rPr>
              <m:t>1000</m:t>
            </m:r>
          </m:num>
          <m:den>
            <m:sSub>
              <m:sSubPr>
                <m:ctrlPr>
                  <w:rPr>
                    <w:rFonts w:ascii="Cambria Math" w:hAnsi="Cambria Math"/>
                    <w:i/>
                  </w:rPr>
                </m:ctrlPr>
              </m:sSubPr>
              <m:e>
                <m:r>
                  <w:rPr>
                    <w:rFonts w:ascii="Cambria Math" w:hAnsi="Cambria Math"/>
                  </w:rPr>
                  <m:t>MW</m:t>
                </m:r>
              </m:e>
              <m:sub>
                <m:r>
                  <w:rPr>
                    <w:rFonts w:ascii="Cambria Math" w:hAnsi="Cambria Math"/>
                  </w:rPr>
                  <m:t>9</m:t>
                </m:r>
              </m:sub>
            </m:sSub>
          </m:den>
        </m:f>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12,9</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16,9</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19,9</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20,9</m:t>
            </m:r>
          </m:sub>
        </m:sSub>
        <m:r>
          <w:rPr>
            <w:rFonts w:ascii="Cambria Math" w:hAnsi="Cambria Math"/>
          </w:rPr>
          <m:t>=0</m:t>
        </m:r>
      </m:oMath>
      <w:r w:rsidR="00E664E4" w:rsidRPr="002D36A5">
        <w:t xml:space="preserve"> </w:t>
      </w:r>
      <w:r w:rsidR="00E664E4" w:rsidRPr="002D36A5">
        <w:tab/>
      </w:r>
      <w:r w:rsidR="00E664E4" w:rsidRPr="002D36A5">
        <w:tab/>
      </w:r>
      <w:r w:rsidR="00E664E4" w:rsidRPr="002D36A5">
        <w:tab/>
      </w:r>
      <w:r w:rsidR="00E664E4">
        <w:t>Eq. (3.2.2.50</w:t>
      </w:r>
      <w:r w:rsidR="00E664E4" w:rsidRPr="002D36A5">
        <w:t>)</w:t>
      </w:r>
    </w:p>
    <w:p w:rsidR="00E664E4" w:rsidRPr="002D36A5"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7A</m:t>
            </m:r>
          </m:sub>
        </m:sSub>
        <m:r>
          <w:rPr>
            <w:rFonts w:ascii="Cambria Math" w:hAnsi="Cambria Math"/>
          </w:rPr>
          <m:t>*</m:t>
        </m:r>
        <m:f>
          <m:fPr>
            <m:ctrlPr>
              <w:rPr>
                <w:rFonts w:ascii="Cambria Math" w:hAnsi="Cambria Math"/>
                <w:i/>
              </w:rPr>
            </m:ctrlPr>
          </m:fPr>
          <m:num>
            <m:r>
              <w:rPr>
                <w:rFonts w:ascii="Cambria Math" w:hAnsi="Cambria Math"/>
              </w:rPr>
              <m:t>1000</m:t>
            </m:r>
          </m:num>
          <m:den>
            <m:sSub>
              <m:sSubPr>
                <m:ctrlPr>
                  <w:rPr>
                    <w:rFonts w:ascii="Cambria Math" w:hAnsi="Cambria Math"/>
                    <w:i/>
                  </w:rPr>
                </m:ctrlPr>
              </m:sSubPr>
              <m:e>
                <m:r>
                  <w:rPr>
                    <w:rFonts w:ascii="Cambria Math" w:hAnsi="Cambria Math"/>
                  </w:rPr>
                  <m:t>MW</m:t>
                </m:r>
              </m:e>
              <m:sub>
                <m:r>
                  <w:rPr>
                    <w:rFonts w:ascii="Cambria Math" w:hAnsi="Cambria Math"/>
                  </w:rPr>
                  <m:t>11</m:t>
                </m:r>
              </m:sub>
            </m:sSub>
          </m:den>
        </m:f>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16,11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20,11</m:t>
            </m:r>
          </m:sub>
        </m:sSub>
        <m:r>
          <w:rPr>
            <w:rFonts w:ascii="Cambria Math" w:hAnsi="Cambria Math"/>
          </w:rPr>
          <m:t>=0</m:t>
        </m:r>
      </m:oMath>
      <w:r w:rsidR="00E664E4">
        <w:t xml:space="preserve"> </w:t>
      </w:r>
      <w:r w:rsidR="00E664E4">
        <w:tab/>
      </w:r>
      <w:r w:rsidR="00E664E4">
        <w:tab/>
      </w:r>
      <w:r w:rsidR="002A4C53">
        <w:tab/>
      </w:r>
      <w:r w:rsidR="00E664E4">
        <w:tab/>
        <w:t>Eq. (3.2.2.51</w:t>
      </w:r>
      <w:r w:rsidR="00E664E4" w:rsidRPr="002D36A5">
        <w:t>)</w:t>
      </w:r>
    </w:p>
    <w:p w:rsidR="00E664E4" w:rsidRPr="002D36A5"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12,14</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16,14</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19,14</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20,14</m:t>
            </m:r>
          </m:sub>
        </m:sSub>
        <m:r>
          <w:rPr>
            <w:rFonts w:ascii="Cambria Math" w:hAnsi="Cambria Math"/>
          </w:rPr>
          <m:t>=0</m:t>
        </m:r>
      </m:oMath>
      <w:r w:rsidR="00E664E4">
        <w:t xml:space="preserve"> </w:t>
      </w:r>
      <w:r w:rsidR="00E664E4">
        <w:tab/>
      </w:r>
      <w:r w:rsidR="00E664E4">
        <w:tab/>
      </w:r>
      <w:r w:rsidR="00E664E4">
        <w:tab/>
      </w:r>
      <w:r w:rsidR="00E664E4">
        <w:tab/>
        <w:t>Eq. (3.2.2.52</w:t>
      </w:r>
      <w:r w:rsidR="00E664E4" w:rsidRPr="002D36A5">
        <w:t>)</w:t>
      </w:r>
    </w:p>
    <w:p w:rsidR="00E664E4" w:rsidRPr="002D36A5"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12,18</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16,18</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19,18</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20,18</m:t>
            </m:r>
          </m:sub>
        </m:sSub>
        <m:r>
          <w:rPr>
            <w:rFonts w:ascii="Cambria Math" w:hAnsi="Cambria Math"/>
          </w:rPr>
          <m:t>=0</m:t>
        </m:r>
      </m:oMath>
      <w:r w:rsidR="00E664E4">
        <w:t xml:space="preserve"> </w:t>
      </w:r>
      <w:r w:rsidR="00E664E4">
        <w:tab/>
      </w:r>
      <w:r w:rsidR="00E664E4">
        <w:tab/>
      </w:r>
      <w:r w:rsidR="00E664E4">
        <w:tab/>
      </w:r>
      <w:r w:rsidR="00E664E4">
        <w:tab/>
        <w:t>Eq. (3.2.2.53</w:t>
      </w:r>
      <w:r w:rsidR="00E664E4" w:rsidRPr="002D36A5">
        <w:t>)</w:t>
      </w:r>
    </w:p>
    <w:p w:rsidR="00E664E4" w:rsidRPr="002D36A5"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12,20</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16,20</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20,20</m:t>
            </m:r>
          </m:sub>
        </m:sSub>
        <m:r>
          <w:rPr>
            <w:rFonts w:ascii="Cambria Math" w:hAnsi="Cambria Math"/>
          </w:rPr>
          <m:t>=0</m:t>
        </m:r>
      </m:oMath>
      <w:r w:rsidR="00E664E4">
        <w:t xml:space="preserve"> </w:t>
      </w:r>
      <w:r w:rsidR="00E664E4">
        <w:tab/>
      </w:r>
      <w:r w:rsidR="00E664E4">
        <w:tab/>
      </w:r>
      <w:r w:rsidR="00E664E4">
        <w:tab/>
      </w:r>
      <w:r w:rsidR="00E664E4">
        <w:tab/>
      </w:r>
      <w:r w:rsidR="00E664E4">
        <w:tab/>
        <w:t>Eq. (3.2.2.54</w:t>
      </w:r>
      <w:r w:rsidR="00E664E4" w:rsidRPr="002D36A5">
        <w:t>)</w:t>
      </w:r>
    </w:p>
    <w:p w:rsidR="00E664E4" w:rsidRPr="002D36A5"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12,21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16,21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19,21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20,21</m:t>
            </m:r>
          </m:sub>
        </m:sSub>
        <m:r>
          <w:rPr>
            <w:rFonts w:ascii="Cambria Math" w:hAnsi="Cambria Math"/>
          </w:rPr>
          <m:t>=0</m:t>
        </m:r>
      </m:oMath>
      <w:r w:rsidR="00E664E4">
        <w:t xml:space="preserve"> </w:t>
      </w:r>
      <w:r w:rsidR="00E664E4">
        <w:tab/>
      </w:r>
      <w:r w:rsidR="00E664E4">
        <w:tab/>
      </w:r>
      <w:r w:rsidR="00E664E4">
        <w:tab/>
      </w:r>
      <w:r w:rsidR="00E664E4">
        <w:tab/>
        <w:t>Eq. (3.2.2.55</w:t>
      </w:r>
      <w:r w:rsidR="00E664E4" w:rsidRPr="002D36A5">
        <w:t>)</w:t>
      </w:r>
    </w:p>
    <w:p w:rsidR="00E664E4" w:rsidRDefault="00E664E4" w:rsidP="00E664E4"/>
    <w:p w:rsidR="00E664E4" w:rsidRDefault="00E664E4" w:rsidP="00E664E4">
      <w:pPr>
        <w:rPr>
          <w:rFonts w:asciiTheme="majorHAnsi" w:hAnsiTheme="majorHAnsi"/>
          <w:b/>
          <w:i/>
        </w:rPr>
      </w:pPr>
      <w:r>
        <w:rPr>
          <w:rFonts w:asciiTheme="majorHAnsi" w:hAnsiTheme="majorHAnsi"/>
          <w:b/>
          <w:i/>
        </w:rPr>
        <w:t>3.2.2</w:t>
      </w:r>
      <w:r w:rsidRPr="00C26992">
        <w:rPr>
          <w:rFonts w:asciiTheme="majorHAnsi" w:hAnsiTheme="majorHAnsi"/>
          <w:b/>
          <w:i/>
        </w:rPr>
        <w:t>.</w:t>
      </w:r>
      <w:r>
        <w:rPr>
          <w:rFonts w:asciiTheme="majorHAnsi" w:hAnsiTheme="majorHAnsi"/>
          <w:b/>
          <w:i/>
        </w:rPr>
        <w:t xml:space="preserve">6 The </w:t>
      </w:r>
      <w:proofErr w:type="spellStart"/>
      <w:r>
        <w:rPr>
          <w:rFonts w:asciiTheme="majorHAnsi" w:hAnsiTheme="majorHAnsi"/>
          <w:b/>
          <w:i/>
        </w:rPr>
        <w:t>Kremser</w:t>
      </w:r>
      <w:proofErr w:type="spellEnd"/>
      <w:r>
        <w:rPr>
          <w:rFonts w:asciiTheme="majorHAnsi" w:hAnsiTheme="majorHAnsi"/>
          <w:b/>
          <w:i/>
        </w:rPr>
        <w:t xml:space="preserve"> Equation</w:t>
      </w:r>
    </w:p>
    <w:p w:rsidR="008173FF" w:rsidRDefault="008173FF" w:rsidP="008173FF">
      <w:r w:rsidRPr="00091653">
        <w:t xml:space="preserve">The </w:t>
      </w:r>
      <w:proofErr w:type="spellStart"/>
      <w:r w:rsidRPr="00091653">
        <w:t>Kremser</w:t>
      </w:r>
      <w:proofErr w:type="spellEnd"/>
      <w:r w:rsidRPr="00091653">
        <w:t xml:space="preserve"> Equation provides an algebraic solution for analyzing </w:t>
      </w:r>
      <m:oMath>
        <m:r>
          <w:rPr>
            <w:rFonts w:ascii="Cambria Math" w:hAnsi="Cambria Math"/>
          </w:rPr>
          <m:t>N</m:t>
        </m:r>
      </m:oMath>
      <w:r w:rsidRPr="00561612">
        <w:t xml:space="preserve"> ideal equilibrium stages connected with countercurrent</w:t>
      </w:r>
      <w:r>
        <w:t xml:space="preserve"> flow</w:t>
      </w:r>
      <w:r w:rsidRPr="00091653">
        <w:t xml:space="preserve">. The </w:t>
      </w:r>
      <w:proofErr w:type="spellStart"/>
      <w:r w:rsidRPr="00091653">
        <w:t>Kremser</w:t>
      </w:r>
      <w:proofErr w:type="spellEnd"/>
      <w:r w:rsidRPr="00091653">
        <w:t xml:space="preserve"> Equation, also known as the </w:t>
      </w:r>
      <w:proofErr w:type="spellStart"/>
      <w:r w:rsidRPr="00091653">
        <w:t>Kremser</w:t>
      </w:r>
      <w:proofErr w:type="spellEnd"/>
      <w:r w:rsidRPr="00091653">
        <w:t xml:space="preserve"> Group Method, was originally designed for countercurrent gas absorption. It is a group method because it is an approximate calculation method to relate compositions of streams entering and exiting cascades to the number of equilibrium stages required but does not consider detailed changes in temperature, flow rates, and composition in the individual stages.</w:t>
      </w:r>
      <w:r>
        <w:t xml:space="preserve"> The </w:t>
      </w:r>
      <w:proofErr w:type="spellStart"/>
      <w:r>
        <w:t>Kremser</w:t>
      </w:r>
      <w:proofErr w:type="spellEnd"/>
      <w:r>
        <w:t xml:space="preserve"> equation can be applied to liquid-liquid separations such as the solvent extraction process in a natural </w:t>
      </w:r>
      <w:r w:rsidRPr="00561612">
        <w:t>uranium conversion plant.</w:t>
      </w:r>
      <w:r>
        <w:t xml:space="preserve"> </w:t>
      </w:r>
      <w:r w:rsidRPr="00091653">
        <w:t>It assumes dilute solutions, so that solvent density is solution density.</w:t>
      </w:r>
    </w:p>
    <w:p w:rsidR="00E664E4" w:rsidRPr="00091653" w:rsidRDefault="00E664E4" w:rsidP="00E664E4">
      <w:r w:rsidRPr="00091653">
        <w:t xml:space="preserve">The following </w:t>
      </w:r>
      <w:r>
        <w:t xml:space="preserve">explanation of the </w:t>
      </w:r>
      <w:proofErr w:type="spellStart"/>
      <w:r>
        <w:t>Kremser</w:t>
      </w:r>
      <w:proofErr w:type="spellEnd"/>
      <w:r>
        <w:t xml:space="preserve"> equation wa</w:t>
      </w:r>
      <w:r w:rsidRPr="00091653">
        <w:t>s taken from Benedict</w:t>
      </w:r>
      <w:r>
        <w:t xml:space="preserve">, </w:t>
      </w:r>
      <w:proofErr w:type="spellStart"/>
      <w:r>
        <w:t>Pigford</w:t>
      </w:r>
      <w:proofErr w:type="spellEnd"/>
      <w:r>
        <w:t xml:space="preserve">, and Levi </w:t>
      </w:r>
      <w:r w:rsidRPr="00091653">
        <w:t>1981.</w:t>
      </w:r>
      <w:r>
        <w:t xml:space="preserve"> A </w:t>
      </w:r>
      <w:r w:rsidRPr="001E169B">
        <w:t>full derivation is provided in Appendix A. When the distribution coefficients are independent of stage</w:t>
      </w:r>
      <w:r w:rsidRPr="00091653">
        <w:t xml:space="preserve"> number, an equation can be derived for analytical calculation of the number of stages. A material </w:t>
      </w:r>
      <w:r w:rsidRPr="00091653">
        <w:lastRenderedPageBreak/>
        <w:t xml:space="preserve">balance on one extractable component can be written as Eq. </w:t>
      </w:r>
      <w:r>
        <w:t>3.2.2.56</w:t>
      </w:r>
      <w:r w:rsidRPr="00091653">
        <w:t xml:space="preserve">, where </w:t>
      </w:r>
      <m:oMath>
        <m:sSub>
          <m:sSubPr>
            <m:ctrlPr>
              <w:rPr>
                <w:rFonts w:ascii="Cambria Math" w:hAnsi="Cambria Math"/>
              </w:rPr>
            </m:ctrlPr>
          </m:sSubPr>
          <m:e>
            <m:r>
              <w:rPr>
                <w:rFonts w:ascii="Cambria Math" w:hAnsi="Cambria Math"/>
              </w:rPr>
              <m:t>y</m:t>
            </m:r>
          </m:e>
          <m:sub>
            <m:r>
              <w:rPr>
                <w:rFonts w:ascii="Cambria Math" w:hAnsi="Cambria Math"/>
              </w:rPr>
              <m:t>n</m:t>
            </m:r>
            <m:r>
              <m:rPr>
                <m:sty m:val="p"/>
              </m:rPr>
              <w:rPr>
                <w:rFonts w:ascii="Cambria Math" w:hAnsi="Cambria Math"/>
              </w:rPr>
              <m:t>-1</m:t>
            </m:r>
          </m:sub>
        </m:sSub>
      </m:oMath>
      <w:r w:rsidRPr="00091653">
        <w:t xml:space="preserve"> is the concentration of the </w:t>
      </w:r>
      <m:oMath>
        <m:r>
          <w:rPr>
            <w:rFonts w:ascii="Cambria Math" w:hAnsi="Cambria Math"/>
          </w:rPr>
          <m:t>n</m:t>
        </m:r>
        <m:r>
          <m:rPr>
            <m:sty m:val="p"/>
          </m:rPr>
          <w:rPr>
            <w:rFonts w:ascii="Cambria Math" w:hAnsi="Cambria Math"/>
          </w:rPr>
          <m:t>-1</m:t>
        </m:r>
      </m:oMath>
      <w:r w:rsidRPr="00091653">
        <w:t xml:space="preserve"> stage for component </w:t>
      </w:r>
      <m:oMath>
        <m:r>
          <w:rPr>
            <w:rFonts w:ascii="Cambria Math" w:hAnsi="Cambria Math"/>
          </w:rPr>
          <m:t>y</m:t>
        </m:r>
      </m:oMath>
      <w:r w:rsidRPr="00091653">
        <w:t xml:space="preserve">, </w:t>
      </w:r>
      <m:oMath>
        <m:sSub>
          <m:sSubPr>
            <m:ctrlPr>
              <w:rPr>
                <w:rFonts w:ascii="Cambria Math" w:hAnsi="Cambria Math"/>
              </w:rPr>
            </m:ctrlPr>
          </m:sSubPr>
          <m:e>
            <m:r>
              <w:rPr>
                <w:rFonts w:ascii="Cambria Math" w:hAnsi="Cambria Math"/>
              </w:rPr>
              <m:t>y</m:t>
            </m:r>
          </m:e>
          <m:sub>
            <m:r>
              <m:rPr>
                <m:sty m:val="p"/>
              </m:rPr>
              <w:rPr>
                <w:rFonts w:ascii="Cambria Math" w:hAnsi="Cambria Math"/>
              </w:rPr>
              <m:t>0</m:t>
            </m:r>
          </m:sub>
        </m:sSub>
      </m:oMath>
      <w:r w:rsidRPr="00091653">
        <w:t xml:space="preserve"> is the initial concentration of component </w:t>
      </w:r>
      <m:oMath>
        <m:r>
          <w:rPr>
            <w:rFonts w:ascii="Cambria Math" w:hAnsi="Cambria Math"/>
          </w:rPr>
          <m:t>y</m:t>
        </m:r>
      </m:oMath>
      <w:r w:rsidRPr="00091653">
        <w:t xml:space="preserve"> in the solvent, </w:t>
      </w:r>
      <m:oMath>
        <m:sSub>
          <m:sSubPr>
            <m:ctrlPr>
              <w:rPr>
                <w:rFonts w:ascii="Cambria Math" w:hAnsi="Cambria Math"/>
              </w:rPr>
            </m:ctrlPr>
          </m:sSubPr>
          <m:e>
            <m:r>
              <w:rPr>
                <w:rFonts w:ascii="Cambria Math" w:hAnsi="Cambria Math"/>
              </w:rPr>
              <m:t>x</m:t>
            </m:r>
          </m:e>
          <m:sub>
            <m:r>
              <w:rPr>
                <w:rFonts w:ascii="Cambria Math" w:hAnsi="Cambria Math"/>
              </w:rPr>
              <m:t>n</m:t>
            </m:r>
          </m:sub>
        </m:sSub>
      </m:oMath>
      <w:r w:rsidRPr="00091653">
        <w:t xml:space="preserve"> is the concentration of component </w:t>
      </w:r>
      <m:oMath>
        <m:r>
          <w:rPr>
            <w:rFonts w:ascii="Cambria Math" w:hAnsi="Cambria Math"/>
          </w:rPr>
          <m:t>x</m:t>
        </m:r>
      </m:oMath>
      <w:r w:rsidRPr="00091653">
        <w:t xml:space="preserve"> in the </w:t>
      </w:r>
      <m:oMath>
        <m:r>
          <w:rPr>
            <w:rFonts w:ascii="Cambria Math" w:hAnsi="Cambria Math"/>
          </w:rPr>
          <m:t>n</m:t>
        </m:r>
      </m:oMath>
      <w:r w:rsidRPr="00091653">
        <w:noBreakHyphen/>
        <w:t xml:space="preserve">th stage, </w:t>
      </w:r>
      <m:oMath>
        <m:sSub>
          <m:sSubPr>
            <m:ctrlPr>
              <w:rPr>
                <w:rFonts w:ascii="Cambria Math" w:hAnsi="Cambria Math"/>
              </w:rPr>
            </m:ctrlPr>
          </m:sSubPr>
          <m:e>
            <m:r>
              <w:rPr>
                <w:rFonts w:ascii="Cambria Math" w:hAnsi="Cambria Math"/>
              </w:rPr>
              <m:t>x</m:t>
            </m:r>
          </m:e>
          <m:sub>
            <m:r>
              <m:rPr>
                <m:sty m:val="p"/>
              </m:rPr>
              <w:rPr>
                <w:rFonts w:ascii="Cambria Math" w:hAnsi="Cambria Math"/>
              </w:rPr>
              <m:t>1</m:t>
            </m:r>
          </m:sub>
        </m:sSub>
      </m:oMath>
      <w:r w:rsidRPr="00091653">
        <w:t xml:space="preserve"> is the concentration of component </w:t>
      </w:r>
      <m:oMath>
        <m:r>
          <w:rPr>
            <w:rFonts w:ascii="Cambria Math" w:hAnsi="Cambria Math"/>
          </w:rPr>
          <m:t>x</m:t>
        </m:r>
      </m:oMath>
      <w:r w:rsidRPr="00091653">
        <w:t xml:space="preserve"> in the raffinate, </w:t>
      </w:r>
      <m:oMath>
        <m:r>
          <w:rPr>
            <w:rFonts w:ascii="Cambria Math" w:hAnsi="Cambria Math"/>
          </w:rPr>
          <m:t>E</m:t>
        </m:r>
      </m:oMath>
      <w:r w:rsidRPr="00091653">
        <w:t xml:space="preserve"> is the flow rate of the extractant, and </w:t>
      </w:r>
      <m:oMath>
        <m:r>
          <w:rPr>
            <w:rFonts w:ascii="Cambria Math" w:hAnsi="Cambria Math"/>
          </w:rPr>
          <m:t>F</m:t>
        </m:r>
      </m:oMath>
      <w:r w:rsidRPr="00091653">
        <w:t xml:space="preserve"> is the flow rate of the feed.</w:t>
      </w:r>
    </w:p>
    <w:p w:rsidR="00E664E4" w:rsidRPr="00091653" w:rsidRDefault="00C851DF" w:rsidP="00E664E4">
      <w:pPr>
        <w:jc w:val="right"/>
      </w:pPr>
      <m:oMath>
        <m:sSub>
          <m:sSubPr>
            <m:ctrlPr>
              <w:rPr>
                <w:rFonts w:ascii="Cambria Math" w:hAnsi="Cambria Math"/>
              </w:rPr>
            </m:ctrlPr>
          </m:sSubPr>
          <m:e>
            <m:r>
              <w:rPr>
                <w:rFonts w:ascii="Cambria Math" w:hAnsi="Cambria Math"/>
              </w:rPr>
              <m:t>y</m:t>
            </m:r>
          </m:e>
          <m:sub>
            <m:r>
              <w:rPr>
                <w:rFonts w:ascii="Cambria Math" w:hAnsi="Cambria Math"/>
              </w:rPr>
              <m:t>n</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m:rPr>
                <m:sty m:val="p"/>
              </m:rPr>
              <w:rPr>
                <w:rFonts w:ascii="Cambria Math" w:hAnsi="Cambria Math"/>
              </w:rPr>
              <m:t>0</m:t>
            </m:r>
          </m:sub>
        </m:sSub>
        <m:r>
          <m:rPr>
            <m:sty m:val="p"/>
          </m:rPr>
          <w:rPr>
            <w:rFonts w:ascii="Cambria Math" w:hAnsi="Cambria Math"/>
          </w:rPr>
          <m:t>=</m:t>
        </m:r>
        <m:f>
          <m:fPr>
            <m:ctrlPr>
              <w:rPr>
                <w:rFonts w:ascii="Cambria Math" w:hAnsi="Cambria Math"/>
              </w:rPr>
            </m:ctrlPr>
          </m:fPr>
          <m:num>
            <m:r>
              <w:rPr>
                <w:rFonts w:ascii="Cambria Math" w:hAnsi="Cambria Math"/>
              </w:rPr>
              <m:t>F</m:t>
            </m:r>
          </m:num>
          <m:den>
            <m:r>
              <w:rPr>
                <w:rFonts w:ascii="Cambria Math" w:hAnsi="Cambria Math"/>
              </w:rPr>
              <m:t>E</m:t>
            </m:r>
          </m:den>
        </m:f>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m:rPr>
                    <m:sty m:val="p"/>
                  </m:rPr>
                  <w:rPr>
                    <w:rFonts w:ascii="Cambria Math" w:hAnsi="Cambria Math"/>
                  </w:rPr>
                  <m:t>1</m:t>
                </m:r>
              </m:sub>
            </m:sSub>
          </m:e>
        </m:d>
      </m:oMath>
      <w:r w:rsidR="00E664E4" w:rsidRPr="00091653">
        <w:t xml:space="preserve"> </w:t>
      </w:r>
      <w:r w:rsidR="00E664E4" w:rsidRPr="00091653">
        <w:tab/>
      </w:r>
      <w:r w:rsidR="00E664E4">
        <w:tab/>
      </w:r>
      <w:r w:rsidR="00E664E4">
        <w:tab/>
      </w:r>
      <w:r w:rsidR="00E664E4">
        <w:tab/>
        <w:t>Eq. (3.2.2.56</w:t>
      </w:r>
      <w:r w:rsidR="00E664E4" w:rsidRPr="00091653">
        <w:t>)</w:t>
      </w:r>
    </w:p>
    <w:p w:rsidR="00E664E4" w:rsidRPr="00091653" w:rsidRDefault="00E664E4" w:rsidP="00E664E4">
      <w:r w:rsidRPr="00091653">
        <w:t xml:space="preserve">Concentrations in the organic and aqueous phases leaving a stage are related by the equilibrium relation in Eq. </w:t>
      </w:r>
      <w:r>
        <w:t>3.2.2.</w:t>
      </w:r>
      <w:r w:rsidRPr="00091653">
        <w:t>5</w:t>
      </w:r>
      <w:r>
        <w:t>7</w:t>
      </w:r>
      <w:r w:rsidRPr="00091653">
        <w:t xml:space="preserve">, where </w:t>
      </w:r>
      <m:oMath>
        <m:sSub>
          <m:sSubPr>
            <m:ctrlPr>
              <w:rPr>
                <w:rFonts w:ascii="Cambria Math" w:hAnsi="Cambria Math"/>
              </w:rPr>
            </m:ctrlPr>
          </m:sSubPr>
          <m:e>
            <m:r>
              <w:rPr>
                <w:rFonts w:ascii="Cambria Math" w:hAnsi="Cambria Math"/>
              </w:rPr>
              <m:t>D</m:t>
            </m:r>
          </m:e>
          <m:sub>
            <m:r>
              <w:rPr>
                <w:rFonts w:ascii="Cambria Math" w:hAnsi="Cambria Math"/>
              </w:rPr>
              <m:t>n</m:t>
            </m:r>
          </m:sub>
        </m:sSub>
      </m:oMath>
      <w:r w:rsidRPr="00091653">
        <w:t xml:space="preserve"> is the distribution coefficient at the conditions of the </w:t>
      </w:r>
      <m:oMath>
        <m:r>
          <w:rPr>
            <w:rFonts w:ascii="Cambria Math" w:hAnsi="Cambria Math"/>
          </w:rPr>
          <m:t>n</m:t>
        </m:r>
      </m:oMath>
      <w:r w:rsidRPr="00091653">
        <w:noBreakHyphen/>
        <w:t>th stage.</w:t>
      </w:r>
    </w:p>
    <w:p w:rsidR="00E664E4" w:rsidRPr="00091653" w:rsidRDefault="00C851DF" w:rsidP="00E664E4">
      <w:pPr>
        <w:jc w:val="right"/>
      </w:pPr>
      <m:oMath>
        <m:sSub>
          <m:sSubPr>
            <m:ctrlPr>
              <w:rPr>
                <w:rFonts w:ascii="Cambria Math" w:hAnsi="Cambria Math"/>
              </w:rPr>
            </m:ctrlPr>
          </m:sSubPr>
          <m:e>
            <m:r>
              <w:rPr>
                <w:rFonts w:ascii="Cambria Math" w:hAnsi="Cambria Math"/>
              </w:rPr>
              <m:t>y</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n</m:t>
            </m:r>
          </m:sub>
        </m:sSub>
        <m:sSub>
          <m:sSubPr>
            <m:ctrlPr>
              <w:rPr>
                <w:rFonts w:ascii="Cambria Math" w:hAnsi="Cambria Math"/>
              </w:rPr>
            </m:ctrlPr>
          </m:sSubPr>
          <m:e>
            <m:r>
              <w:rPr>
                <w:rFonts w:ascii="Cambria Math" w:hAnsi="Cambria Math"/>
              </w:rPr>
              <m:t>x</m:t>
            </m:r>
          </m:e>
          <m:sub>
            <m:r>
              <w:rPr>
                <w:rFonts w:ascii="Cambria Math" w:hAnsi="Cambria Math"/>
              </w:rPr>
              <m:t>n</m:t>
            </m:r>
          </m:sub>
        </m:sSub>
      </m:oMath>
      <w:r w:rsidR="00E664E4" w:rsidRPr="00091653">
        <w:t xml:space="preserve"> </w:t>
      </w:r>
      <w:r w:rsidR="00E664E4" w:rsidRPr="00091653">
        <w:tab/>
      </w:r>
      <w:r w:rsidR="00E664E4">
        <w:tab/>
      </w:r>
      <w:r w:rsidR="00E664E4">
        <w:tab/>
      </w:r>
      <w:r w:rsidR="00E664E4">
        <w:tab/>
      </w:r>
      <w:r w:rsidR="00E664E4">
        <w:tab/>
        <w:t>Eq. (3.2.2.57</w:t>
      </w:r>
      <w:r w:rsidR="00E664E4" w:rsidRPr="00091653">
        <w:t>)</w:t>
      </w:r>
    </w:p>
    <w:p w:rsidR="00E664E4" w:rsidRPr="00091653" w:rsidRDefault="00E664E4" w:rsidP="00E664E4">
      <w:r w:rsidRPr="00091653">
        <w:t xml:space="preserve">For any extractable component with a constant distribution coefficient, </w:t>
      </w:r>
      <w:proofErr w:type="spellStart"/>
      <w:r w:rsidRPr="00091653">
        <w:t>Eqs</w:t>
      </w:r>
      <w:proofErr w:type="spellEnd"/>
      <w:r w:rsidRPr="00091653">
        <w:t xml:space="preserve">. </w:t>
      </w:r>
      <w:r>
        <w:t>3.2.2.56</w:t>
      </w:r>
      <w:r w:rsidRPr="00091653">
        <w:t xml:space="preserve"> and </w:t>
      </w:r>
      <w:r>
        <w:t>3.2.2.</w:t>
      </w:r>
      <w:r w:rsidRPr="00091653">
        <w:t>5</w:t>
      </w:r>
      <w:r>
        <w:t>7</w:t>
      </w:r>
      <w:r w:rsidRPr="00091653">
        <w:t xml:space="preserve"> can be rewritten in terms of the constant extraction factor, </w:t>
      </w:r>
      <m:oMath>
        <m:r>
          <w:rPr>
            <w:rFonts w:ascii="Cambria Math" w:hAnsi="Cambria Math"/>
          </w:rPr>
          <m:t>β</m:t>
        </m:r>
      </m:oMath>
      <w:r w:rsidRPr="00091653">
        <w:t xml:space="preserve">, as shown in Eq. </w:t>
      </w:r>
      <w:r>
        <w:t>3.2.2.58</w:t>
      </w:r>
      <w:r w:rsidRPr="00091653">
        <w:t>.</w:t>
      </w:r>
    </w:p>
    <w:p w:rsidR="00E664E4" w:rsidRPr="00091653" w:rsidRDefault="00C851DF" w:rsidP="00E664E4">
      <w:pPr>
        <w:jc w:val="right"/>
      </w:pPr>
      <m:oMath>
        <m:sSub>
          <m:sSubPr>
            <m:ctrlPr>
              <w:rPr>
                <w:rFonts w:ascii="Cambria Math" w:hAnsi="Cambria Math"/>
              </w:rPr>
            </m:ctrlPr>
          </m:sSubPr>
          <m:e>
            <m:r>
              <w:rPr>
                <w:rFonts w:ascii="Cambria Math" w:hAnsi="Cambria Math"/>
              </w:rPr>
              <m:t>y</m:t>
            </m:r>
          </m:e>
          <m:sub>
            <m:r>
              <w:rPr>
                <w:rFonts w:ascii="Cambria Math" w:hAnsi="Cambria Math"/>
              </w:rPr>
              <m:t>n</m:t>
            </m:r>
          </m:sub>
        </m:sSub>
        <m:r>
          <m:rPr>
            <m:sty m:val="p"/>
          </m:rPr>
          <w:rPr>
            <w:rFonts w:ascii="Cambria Math" w:hAnsi="Cambria Math"/>
          </w:rPr>
          <m:t>=</m:t>
        </m:r>
        <m:r>
          <w:rPr>
            <w:rFonts w:ascii="Cambria Math" w:hAnsi="Cambria Math"/>
          </w:rPr>
          <m:t>β</m:t>
        </m:r>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n</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m:rPr>
                    <m:sty m:val="p"/>
                  </m:rPr>
                  <w:rPr>
                    <w:rFonts w:ascii="Cambria Math" w:hAnsi="Cambria Math"/>
                  </w:rPr>
                  <m:t>0</m:t>
                </m:r>
              </m:sub>
            </m:sSub>
          </m:e>
        </m:d>
        <m:r>
          <m:rPr>
            <m:sty m:val="p"/>
          </m:rPr>
          <w:rPr>
            <w:rFonts w:ascii="Cambria Math" w:hAnsi="Cambria Math"/>
          </w:rPr>
          <m:t>+</m:t>
        </m:r>
        <m:r>
          <w:rPr>
            <w:rFonts w:ascii="Cambria Math" w:hAnsi="Cambria Math"/>
          </w:rPr>
          <m:t>D</m:t>
        </m:r>
        <m:sSub>
          <m:sSubPr>
            <m:ctrlPr>
              <w:rPr>
                <w:rFonts w:ascii="Cambria Math" w:hAnsi="Cambria Math"/>
              </w:rPr>
            </m:ctrlPr>
          </m:sSubPr>
          <m:e>
            <m:r>
              <w:rPr>
                <w:rFonts w:ascii="Cambria Math" w:hAnsi="Cambria Math"/>
              </w:rPr>
              <m:t>x</m:t>
            </m:r>
          </m:e>
          <m:sub>
            <m:r>
              <m:rPr>
                <m:sty m:val="p"/>
              </m:rPr>
              <w:rPr>
                <w:rFonts w:ascii="Cambria Math" w:hAnsi="Cambria Math"/>
              </w:rPr>
              <m:t>1</m:t>
            </m:r>
          </m:sub>
        </m:sSub>
      </m:oMath>
      <w:r w:rsidR="00E664E4" w:rsidRPr="00091653">
        <w:t xml:space="preserve"> </w:t>
      </w:r>
      <w:r w:rsidR="00E664E4" w:rsidRPr="00091653">
        <w:tab/>
      </w:r>
      <w:r w:rsidR="00E664E4">
        <w:tab/>
      </w:r>
      <w:r w:rsidR="00E664E4">
        <w:tab/>
      </w:r>
      <w:r w:rsidR="00E664E4">
        <w:tab/>
        <w:t>Eq. (3.2.2.58</w:t>
      </w:r>
      <w:r w:rsidR="00E664E4" w:rsidRPr="00091653">
        <w:t>)</w:t>
      </w:r>
    </w:p>
    <w:p w:rsidR="00E664E4" w:rsidRPr="00091653" w:rsidRDefault="00E664E4" w:rsidP="00E664E4">
      <w:r w:rsidRPr="00091653">
        <w:t xml:space="preserve">The extraction factor, </w:t>
      </w:r>
      <m:oMath>
        <m:r>
          <w:rPr>
            <w:rFonts w:ascii="Cambria Math" w:hAnsi="Cambria Math"/>
          </w:rPr>
          <m:t>β</m:t>
        </m:r>
      </m:oMath>
      <w:r w:rsidRPr="00091653">
        <w:t xml:space="preserve">, is defined in Eq. </w:t>
      </w:r>
      <w:r>
        <w:t>3.2.2.59</w:t>
      </w:r>
      <w:r w:rsidRPr="00091653">
        <w:t>.</w:t>
      </w:r>
    </w:p>
    <w:p w:rsidR="00E664E4" w:rsidRPr="00091653" w:rsidRDefault="00E664E4" w:rsidP="00E664E4">
      <w:pPr>
        <w:jc w:val="right"/>
      </w:pPr>
      <m:oMath>
        <m:r>
          <w:rPr>
            <w:rFonts w:ascii="Cambria Math" w:hAnsi="Cambria Math"/>
          </w:rPr>
          <m:t>β</m:t>
        </m:r>
        <m:r>
          <m:rPr>
            <m:sty m:val="p"/>
          </m:rPr>
          <w:rPr>
            <w:rFonts w:ascii="Cambria Math" w:hAnsi="Cambria Math"/>
          </w:rPr>
          <m:t>≡</m:t>
        </m:r>
        <m:f>
          <m:fPr>
            <m:ctrlPr>
              <w:rPr>
                <w:rFonts w:ascii="Cambria Math" w:hAnsi="Cambria Math"/>
              </w:rPr>
            </m:ctrlPr>
          </m:fPr>
          <m:num>
            <m:r>
              <w:rPr>
                <w:rFonts w:ascii="Cambria Math" w:hAnsi="Cambria Math"/>
              </w:rPr>
              <m:t>DE</m:t>
            </m:r>
          </m:num>
          <m:den>
            <m:r>
              <w:rPr>
                <w:rFonts w:ascii="Cambria Math" w:hAnsi="Cambria Math"/>
              </w:rPr>
              <m:t>F</m:t>
            </m:r>
          </m:den>
        </m:f>
      </m:oMath>
      <w:r w:rsidRPr="00091653">
        <w:t xml:space="preserve"> </w:t>
      </w:r>
      <w:r w:rsidRPr="00091653">
        <w:tab/>
      </w:r>
      <w:r w:rsidRPr="00091653">
        <w:tab/>
      </w:r>
      <w:r>
        <w:tab/>
      </w:r>
      <w:r>
        <w:tab/>
      </w:r>
      <w:r>
        <w:tab/>
      </w:r>
      <w:r>
        <w:tab/>
        <w:t>Eq. (3.2.2.59</w:t>
      </w:r>
      <w:r w:rsidRPr="00091653">
        <w:t>)</w:t>
      </w:r>
    </w:p>
    <w:p w:rsidR="00E664E4" w:rsidRPr="00091653" w:rsidRDefault="00E664E4" w:rsidP="00E664E4">
      <w:r w:rsidRPr="00091653">
        <w:t xml:space="preserve">Then, Eq. </w:t>
      </w:r>
      <w:r>
        <w:t>3.2.2.56</w:t>
      </w:r>
      <w:r w:rsidRPr="00091653">
        <w:t xml:space="preserve"> can be written as</w:t>
      </w:r>
    </w:p>
    <w:p w:rsidR="00E664E4" w:rsidRPr="00091653" w:rsidRDefault="00C851DF" w:rsidP="00E664E4">
      <w:pPr>
        <w:jc w:val="right"/>
      </w:pPr>
      <m:oMath>
        <m:sSub>
          <m:sSubPr>
            <m:ctrlPr>
              <w:rPr>
                <w:rFonts w:ascii="Cambria Math" w:hAnsi="Cambria Math"/>
              </w:rPr>
            </m:ctrlPr>
          </m:sSubPr>
          <m:e>
            <m:r>
              <w:rPr>
                <w:rFonts w:ascii="Cambria Math" w:hAnsi="Cambria Math"/>
              </w:rPr>
              <m:t>y</m:t>
            </m:r>
          </m:e>
          <m:sub>
            <m:r>
              <w:rPr>
                <w:rFonts w:ascii="Cambria Math" w:hAnsi="Cambria Math"/>
              </w:rPr>
              <m:t>n</m:t>
            </m:r>
          </m:sub>
        </m:sSub>
        <m:r>
          <m:rPr>
            <m:sty m:val="p"/>
          </m:rPr>
          <w:rPr>
            <w:rFonts w:ascii="Cambria Math" w:hAnsi="Cambria Math"/>
          </w:rPr>
          <m:t>=</m:t>
        </m:r>
        <m:r>
          <w:rPr>
            <w:rFonts w:ascii="Cambria Math" w:hAnsi="Cambria Math"/>
          </w:rPr>
          <m:t>D</m:t>
        </m:r>
        <m:sSub>
          <m:sSubPr>
            <m:ctrlPr>
              <w:rPr>
                <w:rFonts w:ascii="Cambria Math" w:hAnsi="Cambria Math"/>
              </w:rPr>
            </m:ctrlPr>
          </m:sSubPr>
          <m:e>
            <m:r>
              <w:rPr>
                <w:rFonts w:ascii="Cambria Math" w:hAnsi="Cambria Math"/>
              </w:rPr>
              <m:t>x</m:t>
            </m:r>
          </m:e>
          <m:sub>
            <m:r>
              <w:rPr>
                <w:rFonts w:ascii="Cambria Math" w:hAnsi="Cambria Math"/>
              </w:rPr>
              <m:t>n</m:t>
            </m:r>
          </m:sub>
        </m:sSub>
      </m:oMath>
      <w:r w:rsidR="00E664E4" w:rsidRPr="00091653">
        <w:t xml:space="preserve"> </w:t>
      </w:r>
      <w:r w:rsidR="00E664E4" w:rsidRPr="00091653">
        <w:tab/>
      </w:r>
      <w:r w:rsidR="00E664E4">
        <w:tab/>
      </w:r>
      <w:r w:rsidR="00E664E4">
        <w:tab/>
      </w:r>
      <w:r w:rsidR="00E664E4">
        <w:tab/>
      </w:r>
      <w:r w:rsidR="00E664E4">
        <w:tab/>
        <w:t>Eq. (3.2.2.60</w:t>
      </w:r>
      <w:r w:rsidR="00E664E4" w:rsidRPr="00091653">
        <w:t>)</w:t>
      </w:r>
    </w:p>
    <w:p w:rsidR="00E664E4" w:rsidRPr="000D207A" w:rsidRDefault="00E664E4" w:rsidP="00E664E4">
      <w:r w:rsidRPr="000D207A">
        <w:t xml:space="preserve">For </w:t>
      </w:r>
      <m:oMath>
        <m:r>
          <w:rPr>
            <w:rFonts w:ascii="Cambria Math" w:hAnsi="Cambria Math"/>
          </w:rPr>
          <m:t>n</m:t>
        </m:r>
        <m:r>
          <m:rPr>
            <m:sty m:val="p"/>
          </m:rPr>
          <w:rPr>
            <w:rFonts w:ascii="Cambria Math" w:hAnsi="Cambria Math"/>
          </w:rPr>
          <m:t>=1</m:t>
        </m:r>
      </m:oMath>
      <w:r w:rsidRPr="000D207A">
        <w:t xml:space="preserve">, Eq. </w:t>
      </w:r>
      <w:r>
        <w:t>3.2.2.60</w:t>
      </w:r>
      <w:r w:rsidRPr="000D207A">
        <w:t xml:space="preserve"> becomes</w:t>
      </w:r>
    </w:p>
    <w:p w:rsidR="00E664E4" w:rsidRPr="000D207A" w:rsidRDefault="00C851DF" w:rsidP="00E664E4">
      <w:pPr>
        <w:jc w:val="right"/>
      </w:pPr>
      <m:oMath>
        <m:sSub>
          <m:sSubPr>
            <m:ctrlPr>
              <w:rPr>
                <w:rFonts w:ascii="Cambria Math" w:hAnsi="Cambria Math"/>
              </w:rPr>
            </m:ctrlPr>
          </m:sSubPr>
          <m:e>
            <m:r>
              <w:rPr>
                <w:rFonts w:ascii="Cambria Math" w:hAnsi="Cambria Math"/>
              </w:rPr>
              <m:t>y</m:t>
            </m:r>
          </m:e>
          <m:sub>
            <m:r>
              <m:rPr>
                <m:sty m:val="p"/>
              </m:rPr>
              <w:rPr>
                <w:rFonts w:ascii="Cambria Math" w:hAnsi="Cambria Math"/>
              </w:rPr>
              <m:t>1</m:t>
            </m:r>
          </m:sub>
        </m:sSub>
        <m:r>
          <m:rPr>
            <m:sty m:val="p"/>
          </m:rPr>
          <w:rPr>
            <w:rFonts w:ascii="Cambria Math" w:hAnsi="Cambria Math"/>
          </w:rPr>
          <m:t>=</m:t>
        </m:r>
        <m:r>
          <w:rPr>
            <w:rFonts w:ascii="Cambria Math" w:hAnsi="Cambria Math"/>
          </w:rPr>
          <m:t>D</m:t>
        </m:r>
        <m:sSub>
          <m:sSubPr>
            <m:ctrlPr>
              <w:rPr>
                <w:rFonts w:ascii="Cambria Math" w:hAnsi="Cambria Math"/>
              </w:rPr>
            </m:ctrlPr>
          </m:sSubPr>
          <m:e>
            <m:r>
              <w:rPr>
                <w:rFonts w:ascii="Cambria Math" w:hAnsi="Cambria Math"/>
              </w:rPr>
              <m:t>x</m:t>
            </m:r>
          </m:e>
          <m:sub>
            <m:r>
              <m:rPr>
                <m:sty m:val="p"/>
              </m:rPr>
              <w:rPr>
                <w:rFonts w:ascii="Cambria Math" w:hAnsi="Cambria Math"/>
              </w:rPr>
              <m:t>1</m:t>
            </m:r>
          </m:sub>
        </m:sSub>
      </m:oMath>
      <w:r w:rsidR="00E664E4" w:rsidRPr="000D207A">
        <w:t xml:space="preserve"> </w:t>
      </w:r>
      <w:r w:rsidR="00E664E4" w:rsidRPr="000D207A">
        <w:tab/>
      </w:r>
      <w:r w:rsidR="00E664E4">
        <w:tab/>
      </w:r>
      <w:r w:rsidR="00E664E4">
        <w:tab/>
      </w:r>
      <w:r w:rsidR="00E664E4">
        <w:tab/>
      </w:r>
      <w:r w:rsidR="00E664E4">
        <w:tab/>
        <w:t>Eq. (3.2.2.61</w:t>
      </w:r>
      <w:r w:rsidR="00E664E4" w:rsidRPr="000D207A">
        <w:t>)</w:t>
      </w:r>
    </w:p>
    <w:p w:rsidR="00E664E4" w:rsidRPr="000D207A" w:rsidRDefault="00E664E4" w:rsidP="00E664E4">
      <w:r w:rsidRPr="000D207A">
        <w:t xml:space="preserve">For </w:t>
      </w:r>
      <m:oMath>
        <m:r>
          <w:rPr>
            <w:rFonts w:ascii="Cambria Math" w:hAnsi="Cambria Math"/>
          </w:rPr>
          <m:t>n</m:t>
        </m:r>
        <m:r>
          <m:rPr>
            <m:sty m:val="p"/>
          </m:rPr>
          <w:rPr>
            <w:rFonts w:ascii="Cambria Math" w:hAnsi="Cambria Math"/>
          </w:rPr>
          <m:t>=2</m:t>
        </m:r>
      </m:oMath>
      <w:r w:rsidRPr="000D207A">
        <w:t xml:space="preserve">, Eq. </w:t>
      </w:r>
      <w:r>
        <w:t>3.2.2.60</w:t>
      </w:r>
      <w:r w:rsidRPr="000D207A">
        <w:t xml:space="preserve"> becomes</w:t>
      </w:r>
    </w:p>
    <w:p w:rsidR="00E664E4" w:rsidRPr="000D207A" w:rsidRDefault="00C851DF" w:rsidP="00E664E4">
      <w:pPr>
        <w:jc w:val="right"/>
      </w:pPr>
      <m:oMath>
        <m:sSub>
          <m:sSubPr>
            <m:ctrlPr>
              <w:rPr>
                <w:rFonts w:ascii="Cambria Math" w:hAnsi="Cambria Math"/>
              </w:rPr>
            </m:ctrlPr>
          </m:sSubPr>
          <m:e>
            <m:r>
              <w:rPr>
                <w:rFonts w:ascii="Cambria Math" w:hAnsi="Cambria Math"/>
              </w:rPr>
              <m:t>y</m:t>
            </m:r>
          </m:e>
          <m:sub>
            <m:r>
              <m:rPr>
                <m:sty m:val="p"/>
              </m:rPr>
              <w:rPr>
                <w:rFonts w:ascii="Cambria Math" w:hAnsi="Cambria Math"/>
              </w:rPr>
              <m:t>2</m:t>
            </m:r>
          </m:sub>
        </m:sSub>
        <m:r>
          <m:rPr>
            <m:sty m:val="p"/>
          </m:rPr>
          <w:rPr>
            <w:rFonts w:ascii="Cambria Math" w:hAnsi="Cambria Math"/>
          </w:rPr>
          <m:t>=</m:t>
        </m:r>
        <m:d>
          <m:dPr>
            <m:ctrlPr>
              <w:rPr>
                <w:rFonts w:ascii="Cambria Math" w:hAnsi="Cambria Math"/>
              </w:rPr>
            </m:ctrlPr>
          </m:dPr>
          <m:e>
            <m:r>
              <w:rPr>
                <w:rFonts w:ascii="Cambria Math" w:hAnsi="Cambria Math"/>
              </w:rPr>
              <m:t>β</m:t>
            </m:r>
            <m:r>
              <m:rPr>
                <m:sty m:val="p"/>
              </m:rPr>
              <w:rPr>
                <w:rFonts w:ascii="Cambria Math" w:hAnsi="Cambria Math"/>
              </w:rPr>
              <m:t>+1</m:t>
            </m:r>
          </m:e>
        </m:d>
        <m:r>
          <w:rPr>
            <w:rFonts w:ascii="Cambria Math" w:hAnsi="Cambria Math"/>
          </w:rPr>
          <m:t>D</m:t>
        </m:r>
        <m:sSub>
          <m:sSubPr>
            <m:ctrlPr>
              <w:rPr>
                <w:rFonts w:ascii="Cambria Math" w:hAnsi="Cambria Math"/>
              </w:rPr>
            </m:ctrlPr>
          </m:sSubPr>
          <m:e>
            <m:r>
              <w:rPr>
                <w:rFonts w:ascii="Cambria Math" w:hAnsi="Cambria Math"/>
              </w:rPr>
              <m:t>x</m:t>
            </m:r>
          </m:e>
          <m:sub>
            <m:r>
              <m:rPr>
                <m:sty m:val="p"/>
              </m:rPr>
              <w:rPr>
                <w:rFonts w:ascii="Cambria Math" w:hAnsi="Cambria Math"/>
              </w:rPr>
              <m:t>1</m:t>
            </m:r>
          </m:sub>
        </m:sSub>
        <m:r>
          <m:rPr>
            <m:sty m:val="p"/>
          </m:rPr>
          <w:rPr>
            <w:rFonts w:ascii="Cambria Math" w:hAnsi="Cambria Math"/>
          </w:rPr>
          <m:t>-</m:t>
        </m:r>
        <m:r>
          <w:rPr>
            <w:rFonts w:ascii="Cambria Math" w:hAnsi="Cambria Math"/>
          </w:rPr>
          <m:t>β</m:t>
        </m:r>
        <m:sSub>
          <m:sSubPr>
            <m:ctrlPr>
              <w:rPr>
                <w:rFonts w:ascii="Cambria Math" w:hAnsi="Cambria Math"/>
              </w:rPr>
            </m:ctrlPr>
          </m:sSubPr>
          <m:e>
            <m:r>
              <w:rPr>
                <w:rFonts w:ascii="Cambria Math" w:hAnsi="Cambria Math"/>
              </w:rPr>
              <m:t>y</m:t>
            </m:r>
          </m:e>
          <m:sub>
            <m:r>
              <m:rPr>
                <m:sty m:val="p"/>
              </m:rPr>
              <w:rPr>
                <w:rFonts w:ascii="Cambria Math" w:hAnsi="Cambria Math"/>
              </w:rPr>
              <m:t>0</m:t>
            </m:r>
          </m:sub>
        </m:sSub>
      </m:oMath>
      <w:r w:rsidR="00E664E4" w:rsidRPr="000D207A">
        <w:t xml:space="preserve"> </w:t>
      </w:r>
      <w:r w:rsidR="00E664E4" w:rsidRPr="000D207A">
        <w:tab/>
      </w:r>
      <w:r w:rsidR="00E664E4">
        <w:tab/>
      </w:r>
      <w:r w:rsidR="00E664E4">
        <w:tab/>
      </w:r>
      <w:r w:rsidR="00E664E4">
        <w:tab/>
        <w:t>Eq. (3.2.2.62</w:t>
      </w:r>
      <w:r w:rsidR="00E664E4" w:rsidRPr="000D207A">
        <w:t>)</w:t>
      </w:r>
    </w:p>
    <w:p w:rsidR="00E664E4" w:rsidRPr="000D207A" w:rsidRDefault="00E664E4" w:rsidP="00E664E4">
      <w:r w:rsidRPr="000D207A">
        <w:t xml:space="preserve">Proceeding this way to stage </w:t>
      </w:r>
      <m:oMath>
        <m:r>
          <w:rPr>
            <w:rFonts w:ascii="Cambria Math" w:hAnsi="Cambria Math"/>
          </w:rPr>
          <m:t>N</m:t>
        </m:r>
      </m:oMath>
      <w:r w:rsidRPr="000D207A">
        <w:t xml:space="preserve">, Eq. </w:t>
      </w:r>
      <w:r>
        <w:t>3.2.2.60</w:t>
      </w:r>
      <w:r w:rsidRPr="000D207A">
        <w:t xml:space="preserve"> becomes</w:t>
      </w:r>
    </w:p>
    <w:p w:rsidR="00E664E4" w:rsidRPr="000D207A" w:rsidRDefault="00C851DF" w:rsidP="00E664E4">
      <w:pPr>
        <w:jc w:val="right"/>
      </w:pPr>
      <m:oMath>
        <m:sSub>
          <m:sSubPr>
            <m:ctrlPr>
              <w:rPr>
                <w:rFonts w:ascii="Cambria Math" w:hAnsi="Cambria Math"/>
              </w:rPr>
            </m:ctrlPr>
          </m:sSubPr>
          <m:e>
            <m:r>
              <w:rPr>
                <w:rFonts w:ascii="Cambria Math" w:hAnsi="Cambria Math"/>
              </w:rPr>
              <m:t>y</m:t>
            </m:r>
          </m:e>
          <m:sub>
            <m:r>
              <w:rPr>
                <w:rFonts w:ascii="Cambria Math" w:hAnsi="Cambria Math"/>
              </w:rPr>
              <m:t>N</m:t>
            </m:r>
          </m:sub>
        </m:sSub>
        <m:r>
          <m:rPr>
            <m:sty m:val="p"/>
          </m:rPr>
          <w:rPr>
            <w:rFonts w:ascii="Cambria Math" w:hAnsi="Cambria Math"/>
          </w:rPr>
          <m:t>=</m:t>
        </m:r>
        <m:d>
          <m:dPr>
            <m:ctrlPr>
              <w:rPr>
                <w:rFonts w:ascii="Cambria Math" w:hAnsi="Cambria Math"/>
              </w:rPr>
            </m:ctrlPr>
          </m:dPr>
          <m:e>
            <m:r>
              <m:rPr>
                <m:sty m:val="p"/>
              </m:rPr>
              <w:rPr>
                <w:rFonts w:ascii="Cambria Math" w:hAnsi="Cambria Math"/>
              </w:rPr>
              <m:t>1+</m:t>
            </m:r>
            <m:r>
              <w:rPr>
                <w:rFonts w:ascii="Cambria Math" w:hAnsi="Cambria Math"/>
              </w:rPr>
              <m:t>β</m:t>
            </m:r>
            <m:r>
              <m:rPr>
                <m:sty m:val="p"/>
              </m:rPr>
              <w:rPr>
                <w:rFonts w:ascii="Cambria Math" w:hAnsi="Cambria Math"/>
              </w:rPr>
              <m:t>+…+</m:t>
            </m:r>
            <m:sSup>
              <m:sSupPr>
                <m:ctrlPr>
                  <w:rPr>
                    <w:rFonts w:ascii="Cambria Math" w:hAnsi="Cambria Math"/>
                  </w:rPr>
                </m:ctrlPr>
              </m:sSupPr>
              <m:e>
                <m:r>
                  <w:rPr>
                    <w:rFonts w:ascii="Cambria Math" w:hAnsi="Cambria Math"/>
                  </w:rPr>
                  <m:t>β</m:t>
                </m:r>
              </m:e>
              <m:sup>
                <m:r>
                  <w:rPr>
                    <w:rFonts w:ascii="Cambria Math" w:hAnsi="Cambria Math"/>
                  </w:rPr>
                  <m:t>N</m:t>
                </m:r>
                <m:r>
                  <m:rPr>
                    <m:sty m:val="p"/>
                  </m:rPr>
                  <w:rPr>
                    <w:rFonts w:ascii="Cambria Math" w:hAnsi="Cambria Math"/>
                  </w:rPr>
                  <m:t>-1</m:t>
                </m:r>
              </m:sup>
            </m:sSup>
          </m:e>
        </m:d>
        <m:r>
          <w:rPr>
            <w:rFonts w:ascii="Cambria Math" w:hAnsi="Cambria Math"/>
          </w:rPr>
          <m:t>D</m:t>
        </m:r>
        <m:sSub>
          <m:sSubPr>
            <m:ctrlPr>
              <w:rPr>
                <w:rFonts w:ascii="Cambria Math" w:hAnsi="Cambria Math"/>
              </w:rPr>
            </m:ctrlPr>
          </m:sSubPr>
          <m:e>
            <m:r>
              <w:rPr>
                <w:rFonts w:ascii="Cambria Math" w:hAnsi="Cambria Math"/>
              </w:rPr>
              <m:t>x</m:t>
            </m:r>
          </m:e>
          <m:sub>
            <m:r>
              <m:rPr>
                <m:sty m:val="p"/>
              </m:rPr>
              <w:rPr>
                <w:rFonts w:ascii="Cambria Math" w:hAnsi="Cambria Math"/>
              </w:rPr>
              <m:t>1</m:t>
            </m:r>
          </m:sub>
        </m:sSub>
        <m:r>
          <m:rPr>
            <m:sty m:val="p"/>
          </m:rPr>
          <w:rPr>
            <w:rFonts w:ascii="Cambria Math" w:hAnsi="Cambria Math"/>
          </w:rPr>
          <m:t>-</m:t>
        </m:r>
        <m:d>
          <m:dPr>
            <m:ctrlPr>
              <w:rPr>
                <w:rFonts w:ascii="Cambria Math" w:hAnsi="Cambria Math"/>
              </w:rPr>
            </m:ctrlPr>
          </m:dPr>
          <m:e>
            <m:r>
              <w:rPr>
                <w:rFonts w:ascii="Cambria Math" w:hAnsi="Cambria Math"/>
              </w:rPr>
              <m:t>β</m:t>
            </m:r>
            <m:r>
              <m:rPr>
                <m:sty m:val="p"/>
              </m:rPr>
              <w:rPr>
                <w:rFonts w:ascii="Cambria Math" w:hAnsi="Cambria Math"/>
              </w:rPr>
              <m:t>+…+</m:t>
            </m:r>
            <m:sSup>
              <m:sSupPr>
                <m:ctrlPr>
                  <w:rPr>
                    <w:rFonts w:ascii="Cambria Math" w:hAnsi="Cambria Math"/>
                  </w:rPr>
                </m:ctrlPr>
              </m:sSupPr>
              <m:e>
                <m:r>
                  <w:rPr>
                    <w:rFonts w:ascii="Cambria Math" w:hAnsi="Cambria Math"/>
                  </w:rPr>
                  <m:t>β</m:t>
                </m:r>
              </m:e>
              <m:sup>
                <m:r>
                  <w:rPr>
                    <w:rFonts w:ascii="Cambria Math" w:hAnsi="Cambria Math"/>
                  </w:rPr>
                  <m:t>N</m:t>
                </m:r>
                <m:r>
                  <m:rPr>
                    <m:sty m:val="p"/>
                  </m:rPr>
                  <w:rPr>
                    <w:rFonts w:ascii="Cambria Math" w:hAnsi="Cambria Math"/>
                  </w:rPr>
                  <m:t>-1</m:t>
                </m:r>
              </m:sup>
            </m:sSup>
          </m:e>
        </m:d>
        <m:sSub>
          <m:sSubPr>
            <m:ctrlPr>
              <w:rPr>
                <w:rFonts w:ascii="Cambria Math" w:hAnsi="Cambria Math"/>
              </w:rPr>
            </m:ctrlPr>
          </m:sSubPr>
          <m:e>
            <m:r>
              <w:rPr>
                <w:rFonts w:ascii="Cambria Math" w:hAnsi="Cambria Math"/>
              </w:rPr>
              <m:t>y</m:t>
            </m:r>
          </m:e>
          <m:sub>
            <m:r>
              <m:rPr>
                <m:sty m:val="p"/>
              </m:rPr>
              <w:rPr>
                <w:rFonts w:ascii="Cambria Math" w:hAnsi="Cambria Math"/>
              </w:rPr>
              <m:t>0</m:t>
            </m:r>
          </m:sub>
        </m:sSub>
      </m:oMath>
      <w:r w:rsidR="00E664E4" w:rsidRPr="000D207A">
        <w:t xml:space="preserve"> </w:t>
      </w:r>
      <w:r w:rsidR="00E664E4" w:rsidRPr="000D207A">
        <w:tab/>
      </w:r>
      <w:r w:rsidR="00E664E4" w:rsidRPr="000D207A">
        <w:tab/>
      </w:r>
      <w:r w:rsidR="00E664E4">
        <w:tab/>
        <w:t>Eq. (3.2.2.63</w:t>
      </w:r>
      <w:r w:rsidR="00E664E4" w:rsidRPr="000D207A">
        <w:t>)</w:t>
      </w:r>
    </w:p>
    <w:p w:rsidR="00E664E4" w:rsidRPr="003B0783" w:rsidRDefault="00E664E4" w:rsidP="00E664E4">
      <w:r w:rsidRPr="003B0783">
        <w:t xml:space="preserve">Which is identical to </w:t>
      </w:r>
    </w:p>
    <w:p w:rsidR="00E664E4" w:rsidRPr="003B0783" w:rsidRDefault="00C851DF" w:rsidP="00E664E4">
      <w:pPr>
        <w:jc w:val="right"/>
      </w:pPr>
      <m:oMath>
        <m:sSub>
          <m:sSubPr>
            <m:ctrlPr>
              <w:rPr>
                <w:rFonts w:ascii="Cambria Math" w:hAnsi="Cambria Math"/>
              </w:rPr>
            </m:ctrlPr>
          </m:sSubPr>
          <m:e>
            <m:r>
              <w:rPr>
                <w:rFonts w:ascii="Cambria Math" w:hAnsi="Cambria Math"/>
              </w:rPr>
              <m:t>y</m:t>
            </m:r>
          </m:e>
          <m:sub>
            <m:r>
              <w:rPr>
                <w:rFonts w:ascii="Cambria Math" w:hAnsi="Cambria Math"/>
              </w:rPr>
              <m:t>N</m:t>
            </m:r>
          </m:sub>
        </m:sSub>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β</m:t>
                </m:r>
              </m:e>
              <m:sup>
                <m:r>
                  <w:rPr>
                    <w:rFonts w:ascii="Cambria Math" w:hAnsi="Cambria Math"/>
                  </w:rPr>
                  <m:t>N</m:t>
                </m:r>
              </m:sup>
            </m:sSup>
            <m:r>
              <m:rPr>
                <m:sty m:val="p"/>
              </m:rPr>
              <w:rPr>
                <w:rFonts w:ascii="Cambria Math" w:hAnsi="Cambria Math"/>
              </w:rPr>
              <m:t>-1</m:t>
            </m:r>
          </m:num>
          <m:den>
            <m:r>
              <w:rPr>
                <w:rFonts w:ascii="Cambria Math" w:hAnsi="Cambria Math"/>
              </w:rPr>
              <m:t>β</m:t>
            </m:r>
            <m:r>
              <m:rPr>
                <m:sty m:val="p"/>
              </m:rPr>
              <w:rPr>
                <w:rFonts w:ascii="Cambria Math" w:hAnsi="Cambria Math"/>
              </w:rPr>
              <m:t>-1</m:t>
            </m:r>
          </m:den>
        </m:f>
        <m:d>
          <m:dPr>
            <m:ctrlPr>
              <w:rPr>
                <w:rFonts w:ascii="Cambria Math" w:hAnsi="Cambria Math"/>
              </w:rPr>
            </m:ctrlPr>
          </m:dPr>
          <m:e>
            <m:r>
              <w:rPr>
                <w:rFonts w:ascii="Cambria Math" w:hAnsi="Cambria Math"/>
              </w:rPr>
              <m:t>D</m:t>
            </m:r>
            <m:sSub>
              <m:sSubPr>
                <m:ctrlPr>
                  <w:rPr>
                    <w:rFonts w:ascii="Cambria Math" w:hAnsi="Cambria Math"/>
                  </w:rPr>
                </m:ctrlPr>
              </m:sSubPr>
              <m:e>
                <m:r>
                  <w:rPr>
                    <w:rFonts w:ascii="Cambria Math" w:hAnsi="Cambria Math"/>
                  </w:rPr>
                  <m:t>x</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m:rPr>
                    <m:sty m:val="p"/>
                  </m:rPr>
                  <w:rPr>
                    <w:rFonts w:ascii="Cambria Math" w:hAnsi="Cambria Math"/>
                  </w:rPr>
                  <m:t>0</m:t>
                </m:r>
              </m:sub>
            </m:sSub>
          </m:e>
        </m:d>
        <m:r>
          <m:rPr>
            <m:sty m:val="p"/>
          </m:rPr>
          <w:rPr>
            <w:rFonts w:ascii="Cambria Math" w:hAnsi="Cambria Math"/>
          </w:rPr>
          <m:t>+</m:t>
        </m:r>
        <m:sSub>
          <m:sSubPr>
            <m:ctrlPr>
              <w:rPr>
                <w:rFonts w:ascii="Cambria Math" w:hAnsi="Cambria Math"/>
              </w:rPr>
            </m:ctrlPr>
          </m:sSubPr>
          <m:e>
            <m:r>
              <w:rPr>
                <w:rFonts w:ascii="Cambria Math" w:hAnsi="Cambria Math"/>
              </w:rPr>
              <m:t>y</m:t>
            </m:r>
          </m:e>
          <m:sub>
            <m:r>
              <m:rPr>
                <m:sty m:val="p"/>
              </m:rPr>
              <w:rPr>
                <w:rFonts w:ascii="Cambria Math" w:hAnsi="Cambria Math"/>
              </w:rPr>
              <m:t>0</m:t>
            </m:r>
          </m:sub>
        </m:sSub>
      </m:oMath>
      <w:r w:rsidR="00E664E4" w:rsidRPr="003B0783">
        <w:t xml:space="preserve"> </w:t>
      </w:r>
      <w:r w:rsidR="00E664E4" w:rsidRPr="003B0783">
        <w:tab/>
      </w:r>
      <w:r w:rsidR="00E664E4" w:rsidRPr="003B0783">
        <w:tab/>
      </w:r>
      <w:r w:rsidR="00E664E4">
        <w:tab/>
      </w:r>
      <w:r w:rsidR="00E664E4">
        <w:tab/>
        <w:t>Eq. (3.2.2.64</w:t>
      </w:r>
      <w:r w:rsidR="00E664E4" w:rsidRPr="003B0783">
        <w:t>)</w:t>
      </w:r>
    </w:p>
    <w:p w:rsidR="00E664E4" w:rsidRPr="003B0783" w:rsidRDefault="00E664E4" w:rsidP="008173FF">
      <w:r w:rsidRPr="003B0783">
        <w:t>Eq</w:t>
      </w:r>
      <w:r>
        <w:t>uation</w:t>
      </w:r>
      <w:r w:rsidRPr="003B0783">
        <w:t xml:space="preserve"> </w:t>
      </w:r>
      <w:r>
        <w:t>3.2.2.64</w:t>
      </w:r>
      <w:r w:rsidRPr="003B0783">
        <w:t xml:space="preserve"> is a form of the </w:t>
      </w:r>
      <w:proofErr w:type="spellStart"/>
      <w:r w:rsidRPr="003B0783">
        <w:t>Kremser</w:t>
      </w:r>
      <w:proofErr w:type="spellEnd"/>
      <w:r w:rsidRPr="003B0783">
        <w:t xml:space="preserve"> equation. </w:t>
      </w:r>
    </w:p>
    <w:p w:rsidR="00E664E4" w:rsidRDefault="00E664E4" w:rsidP="00E664E4">
      <w:r>
        <w:lastRenderedPageBreak/>
        <w:t>Additional</w:t>
      </w:r>
      <w:r w:rsidRPr="003B0783">
        <w:t xml:space="preserve"> information about the </w:t>
      </w:r>
      <w:proofErr w:type="spellStart"/>
      <w:r w:rsidRPr="003B0783">
        <w:t>Kremser</w:t>
      </w:r>
      <w:proofErr w:type="spellEnd"/>
      <w:r w:rsidRPr="003B0783">
        <w:t xml:space="preserve"> Equation can be found in McCabe</w:t>
      </w:r>
      <w:r>
        <w:t xml:space="preserve">, </w:t>
      </w:r>
      <w:r w:rsidRPr="00D77D8A">
        <w:t xml:space="preserve">Smith, and </w:t>
      </w:r>
      <w:proofErr w:type="spellStart"/>
      <w:r w:rsidRPr="00D77D8A">
        <w:t>Harriott</w:t>
      </w:r>
      <w:proofErr w:type="spellEnd"/>
      <w:r w:rsidRPr="003B0783">
        <w:t xml:space="preserve"> 1993</w:t>
      </w:r>
      <w:r>
        <w:t>;</w:t>
      </w:r>
      <w:r w:rsidRPr="003B0783">
        <w:t xml:space="preserve"> </w:t>
      </w:r>
      <w:r w:rsidRPr="00091653">
        <w:t>Benedict</w:t>
      </w:r>
      <w:r>
        <w:t xml:space="preserve">, </w:t>
      </w:r>
      <w:proofErr w:type="spellStart"/>
      <w:r>
        <w:t>Pigford</w:t>
      </w:r>
      <w:proofErr w:type="spellEnd"/>
      <w:r>
        <w:t xml:space="preserve">, and Levi </w:t>
      </w:r>
      <w:r w:rsidRPr="00091653">
        <w:t>1981</w:t>
      </w:r>
      <w:r>
        <w:t>;</w:t>
      </w:r>
      <w:r w:rsidRPr="003B0783">
        <w:t xml:space="preserve"> and </w:t>
      </w:r>
      <w:proofErr w:type="spellStart"/>
      <w:r w:rsidRPr="003B0783">
        <w:t>Seader</w:t>
      </w:r>
      <w:proofErr w:type="spellEnd"/>
      <w:r w:rsidRPr="003B0783">
        <w:t xml:space="preserve"> and </w:t>
      </w:r>
      <w:r>
        <w:t>Henley (1998). This discussion wa</w:t>
      </w:r>
      <w:r w:rsidRPr="003B0783">
        <w:t xml:space="preserve">s included for completeness as the </w:t>
      </w:r>
      <w:proofErr w:type="spellStart"/>
      <w:r w:rsidRPr="003B0783">
        <w:t>Kremser</w:t>
      </w:r>
      <w:proofErr w:type="spellEnd"/>
      <w:r w:rsidRPr="003B0783">
        <w:t xml:space="preserve"> equation was consider</w:t>
      </w:r>
      <w:r>
        <w:t>ed</w:t>
      </w:r>
      <w:r w:rsidRPr="003B0783">
        <w:t xml:space="preserve"> as a means to describe the process in Module 2 for the base case model. It was decided to treat each pulsed column as a “black box” and to </w:t>
      </w:r>
      <w:r>
        <w:t xml:space="preserve">treat </w:t>
      </w:r>
      <w:r w:rsidRPr="003B0783">
        <w:t>each one as separators as done in the other modules for filters, separators, etc. This allows for greater flexibility to test sensitivity and diversions within Module 2. No reaction rate information was found for the solvent extraction process.</w:t>
      </w:r>
    </w:p>
    <w:p w:rsidR="00E664E4" w:rsidRPr="003B0783" w:rsidRDefault="00E664E4" w:rsidP="00E664E4"/>
    <w:p w:rsidR="00E664E4" w:rsidRDefault="00E664E4" w:rsidP="00E664E4">
      <w:pPr>
        <w:rPr>
          <w:rFonts w:asciiTheme="majorHAnsi" w:hAnsiTheme="majorHAnsi"/>
          <w:b/>
        </w:rPr>
      </w:pPr>
      <w:r w:rsidRPr="00C26992">
        <w:rPr>
          <w:rFonts w:asciiTheme="majorHAnsi" w:hAnsiTheme="majorHAnsi"/>
          <w:b/>
        </w:rPr>
        <w:t>3.2.3 Module 3: Evaporation and Precipitation</w:t>
      </w:r>
    </w:p>
    <w:p w:rsidR="00E664E4" w:rsidRDefault="00E664E4" w:rsidP="00E664E4">
      <w:r w:rsidRPr="002B6A2F">
        <w:t>The purified uranyl nitrate solution from the solvent extraction process is converted into a solid subst</w:t>
      </w:r>
      <w:r>
        <w:t xml:space="preserve">ance, such as </w:t>
      </w:r>
      <w:r w:rsidRPr="002B6A2F">
        <w:t>UO</w:t>
      </w:r>
      <w:r w:rsidRPr="002B6A2F">
        <w:rPr>
          <w:vertAlign w:val="subscript"/>
        </w:rPr>
        <w:t>3</w:t>
      </w:r>
      <w:r w:rsidRPr="002B6A2F">
        <w:t>, U</w:t>
      </w:r>
      <w:r w:rsidRPr="002B6A2F">
        <w:rPr>
          <w:vertAlign w:val="subscript"/>
        </w:rPr>
        <w:t>3</w:t>
      </w:r>
      <w:r w:rsidRPr="002B6A2F">
        <w:t>O</w:t>
      </w:r>
      <w:r w:rsidRPr="002B6A2F">
        <w:rPr>
          <w:vertAlign w:val="subscript"/>
        </w:rPr>
        <w:t>8</w:t>
      </w:r>
      <w:r w:rsidRPr="002B6A2F">
        <w:t xml:space="preserve">, ammonium </w:t>
      </w:r>
      <w:proofErr w:type="spellStart"/>
      <w:r w:rsidRPr="002B6A2F">
        <w:t>diuranate</w:t>
      </w:r>
      <w:proofErr w:type="spellEnd"/>
      <w:r w:rsidRPr="002B6A2F">
        <w:t xml:space="preserve"> (ADU), ammonium uranyl carbonate (AUC), or uranyl peroxide (UO</w:t>
      </w:r>
      <w:r w:rsidRPr="002B6A2F">
        <w:rPr>
          <w:vertAlign w:val="subscript"/>
        </w:rPr>
        <w:t>4</w:t>
      </w:r>
      <w:r w:rsidRPr="002B6A2F">
        <w:t xml:space="preserve">). The uranyl nitrate solution is converted to solid forms using either a thermal </w:t>
      </w:r>
      <w:proofErr w:type="spellStart"/>
      <w:r w:rsidRPr="002B6A2F">
        <w:t>denitration</w:t>
      </w:r>
      <w:proofErr w:type="spellEnd"/>
      <w:r w:rsidRPr="002B6A2F">
        <w:t xml:space="preserve"> or precipitation process. The thermal </w:t>
      </w:r>
      <w:proofErr w:type="spellStart"/>
      <w:r w:rsidRPr="002B6A2F">
        <w:t>denitration</w:t>
      </w:r>
      <w:proofErr w:type="spellEnd"/>
      <w:r w:rsidRPr="002B6A2F">
        <w:t xml:space="preserve"> process is used to produce a uranium oxide (i.e., UO</w:t>
      </w:r>
      <w:r w:rsidRPr="002B6A2F">
        <w:rPr>
          <w:vertAlign w:val="subscript"/>
        </w:rPr>
        <w:t>3</w:t>
      </w:r>
      <w:r w:rsidRPr="002B6A2F">
        <w:t xml:space="preserve"> or U</w:t>
      </w:r>
      <w:r w:rsidRPr="002B6A2F">
        <w:rPr>
          <w:vertAlign w:val="subscript"/>
        </w:rPr>
        <w:t>3</w:t>
      </w:r>
      <w:r w:rsidRPr="002B6A2F">
        <w:t>O</w:t>
      </w:r>
      <w:r w:rsidRPr="002B6A2F">
        <w:rPr>
          <w:vertAlign w:val="subscript"/>
        </w:rPr>
        <w:t>8</w:t>
      </w:r>
      <w:r w:rsidRPr="002B6A2F">
        <w:t>) and is the preferred process for larger NUCPs. The precipitation process produces an intermediate material (i.e., ADU, AUC, UO</w:t>
      </w:r>
      <w:r w:rsidRPr="002B6A2F">
        <w:rPr>
          <w:vertAlign w:val="subscript"/>
        </w:rPr>
        <w:t>4</w:t>
      </w:r>
      <w:r w:rsidRPr="002B6A2F">
        <w:t>) that is subsequently converted to UO</w:t>
      </w:r>
      <w:r w:rsidRPr="002B6A2F">
        <w:rPr>
          <w:vertAlign w:val="subscript"/>
        </w:rPr>
        <w:t>2</w:t>
      </w:r>
      <w:r w:rsidRPr="002B6A2F">
        <w:t xml:space="preserve"> or other oxides and appears to be the preferred process for smaller NUCPs. </w:t>
      </w:r>
    </w:p>
    <w:p w:rsidR="00E664E4" w:rsidRDefault="00E664E4" w:rsidP="00E664E4">
      <w:r w:rsidRPr="002B6A2F">
        <w:t>The uranyl nitrate solution may also be used to produce UO</w:t>
      </w:r>
      <w:r w:rsidRPr="002B6A2F">
        <w:rPr>
          <w:vertAlign w:val="subscript"/>
        </w:rPr>
        <w:t>2</w:t>
      </w:r>
      <w:r w:rsidRPr="002B6A2F">
        <w:t xml:space="preserve"> that is suitable for use in nuclear fuel. Production of UO</w:t>
      </w:r>
      <w:r w:rsidRPr="002B6A2F">
        <w:rPr>
          <w:vertAlign w:val="subscript"/>
        </w:rPr>
        <w:t>2</w:t>
      </w:r>
      <w:r w:rsidRPr="002B6A2F">
        <w:t xml:space="preserve"> for this purpose is typically done in a precipitation type process where ammonium </w:t>
      </w:r>
      <w:proofErr w:type="spellStart"/>
      <w:r w:rsidRPr="002B6A2F">
        <w:t>diuranate</w:t>
      </w:r>
      <w:proofErr w:type="spellEnd"/>
      <w:r w:rsidRPr="002B6A2F">
        <w:t xml:space="preserve"> </w:t>
      </w:r>
      <w:r>
        <w:t>[</w:t>
      </w:r>
      <w:r w:rsidRPr="002B6A2F">
        <w:t>(NH</w:t>
      </w:r>
      <w:r w:rsidRPr="002B6A2F">
        <w:rPr>
          <w:vertAlign w:val="subscript"/>
        </w:rPr>
        <w:t>4</w:t>
      </w:r>
      <w:r w:rsidRPr="002B6A2F">
        <w:t>)</w:t>
      </w:r>
      <w:r w:rsidRPr="002B6A2F">
        <w:rPr>
          <w:vertAlign w:val="subscript"/>
        </w:rPr>
        <w:t>2</w:t>
      </w:r>
      <w:r w:rsidRPr="002B6A2F">
        <w:t>U</w:t>
      </w:r>
      <w:r w:rsidRPr="002B6A2F">
        <w:rPr>
          <w:vertAlign w:val="subscript"/>
        </w:rPr>
        <w:t>2</w:t>
      </w:r>
      <w:r w:rsidRPr="002B6A2F">
        <w:t>O</w:t>
      </w:r>
      <w:r w:rsidRPr="002B6A2F">
        <w:rPr>
          <w:vertAlign w:val="subscript"/>
        </w:rPr>
        <w:t>7</w:t>
      </w:r>
      <w:r>
        <w:t>]</w:t>
      </w:r>
      <w:r w:rsidRPr="002B6A2F">
        <w:t xml:space="preserve">, generally referred to as ADU, or ammonium uranyl carbonate </w:t>
      </w:r>
      <w:r>
        <w:t>[</w:t>
      </w:r>
      <w:r w:rsidRPr="002B6A2F">
        <w:t>(NH</w:t>
      </w:r>
      <w:r w:rsidRPr="002B6A2F">
        <w:rPr>
          <w:vertAlign w:val="subscript"/>
        </w:rPr>
        <w:t>4</w:t>
      </w:r>
      <w:r w:rsidRPr="002B6A2F">
        <w:t>)</w:t>
      </w:r>
      <w:r w:rsidRPr="002B6A2F">
        <w:rPr>
          <w:vertAlign w:val="subscript"/>
        </w:rPr>
        <w:t>4</w:t>
      </w:r>
      <w:r w:rsidRPr="002B6A2F">
        <w:t>UO</w:t>
      </w:r>
      <w:r w:rsidRPr="002B6A2F">
        <w:rPr>
          <w:vertAlign w:val="subscript"/>
        </w:rPr>
        <w:t>2</w:t>
      </w:r>
      <w:r w:rsidRPr="002B6A2F">
        <w:t>(CO</w:t>
      </w:r>
      <w:r w:rsidRPr="002B6A2F">
        <w:rPr>
          <w:vertAlign w:val="subscript"/>
        </w:rPr>
        <w:t>3</w:t>
      </w:r>
      <w:r w:rsidRPr="002B6A2F">
        <w:t>)</w:t>
      </w:r>
      <w:r w:rsidRPr="002B6A2F">
        <w:rPr>
          <w:vertAlign w:val="subscript"/>
        </w:rPr>
        <w:t>3</w:t>
      </w:r>
      <w:r>
        <w:t>]</w:t>
      </w:r>
      <w:r w:rsidRPr="002B6A2F">
        <w:t>, known as AUC,</w:t>
      </w:r>
      <w:r>
        <w:t xml:space="preserve"> are formed. Uranyl peroxide</w:t>
      </w:r>
      <w:r w:rsidRPr="002B6A2F">
        <w:t xml:space="preserve"> is another precipitation product that can be used in the production of UO</w:t>
      </w:r>
      <w:r w:rsidRPr="002B6A2F">
        <w:rPr>
          <w:vertAlign w:val="subscript"/>
        </w:rPr>
        <w:t>2</w:t>
      </w:r>
      <w:r w:rsidRPr="002B6A2F">
        <w:t>, but has not typically been utilized in conversion facilities.</w:t>
      </w:r>
    </w:p>
    <w:p w:rsidR="00E664E4" w:rsidRPr="002B6A2F" w:rsidRDefault="00E664E4" w:rsidP="00E664E4">
      <w:r w:rsidRPr="002B6A2F">
        <w:t xml:space="preserve">ADU is precipitated from uranyl nitrate solution with ammonium hydroxide according to Eq. </w:t>
      </w:r>
      <w:r>
        <w:t>3.2.3.</w:t>
      </w:r>
      <w:r w:rsidRPr="002B6A2F">
        <w:t>1.</w:t>
      </w:r>
    </w:p>
    <w:p w:rsidR="00E664E4" w:rsidRPr="002B6A2F" w:rsidRDefault="00E664E4" w:rsidP="00E664E4">
      <w:pPr>
        <w:jc w:val="right"/>
      </w:pPr>
      <m:oMath>
        <m:r>
          <m:rPr>
            <m:sty m:val="p"/>
          </m:rPr>
          <w:rPr>
            <w:rFonts w:ascii="Cambria Math" w:hAnsi="Cambria Math"/>
          </w:rPr>
          <m:t>2</m:t>
        </m:r>
        <m:r>
          <w:rPr>
            <w:rFonts w:ascii="Cambria Math" w:hAnsi="Cambria Math"/>
          </w:rPr>
          <m:t>U</m:t>
        </m:r>
        <m:sSub>
          <m:sSubPr>
            <m:ctrlPr>
              <w:rPr>
                <w:rFonts w:ascii="Cambria Math" w:hAnsi="Cambria Math"/>
              </w:rPr>
            </m:ctrlPr>
          </m:sSubPr>
          <m:e>
            <m:r>
              <w:rPr>
                <w:rFonts w:ascii="Cambria Math" w:hAnsi="Cambria Math"/>
              </w:rPr>
              <m:t>O</m:t>
            </m:r>
          </m:e>
          <m:sub>
            <m:r>
              <m:rPr>
                <m:sty m:val="p"/>
              </m:rPr>
              <w:rPr>
                <w:rFonts w:ascii="Cambria Math" w:hAnsi="Cambria Math"/>
              </w:rPr>
              <m:t>2</m:t>
            </m:r>
          </m:sub>
        </m:sSub>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NO</m:t>
                    </m:r>
                  </m:e>
                  <m:sub>
                    <m:r>
                      <m:rPr>
                        <m:sty m:val="p"/>
                      </m:rPr>
                      <w:rPr>
                        <w:rFonts w:ascii="Cambria Math" w:hAnsi="Cambria Math"/>
                      </w:rPr>
                      <m:t>3</m:t>
                    </m:r>
                  </m:sub>
                </m:sSub>
              </m:e>
            </m:d>
          </m:e>
          <m:sub>
            <m:r>
              <m:rPr>
                <m:sty m:val="p"/>
              </m:rPr>
              <w:rPr>
                <w:rFonts w:ascii="Cambria Math" w:hAnsi="Cambria Math"/>
              </w:rPr>
              <m:t>2</m:t>
            </m:r>
          </m:sub>
        </m:sSub>
        <m:r>
          <m:rPr>
            <m:sty m:val="p"/>
          </m:rPr>
          <w:rPr>
            <w:rFonts w:ascii="Cambria Math" w:hAnsi="Cambria Math"/>
          </w:rPr>
          <m:t>+6</m:t>
        </m:r>
        <m:sSub>
          <m:sSubPr>
            <m:ctrlPr>
              <w:rPr>
                <w:rFonts w:ascii="Cambria Math" w:hAnsi="Cambria Math"/>
              </w:rPr>
            </m:ctrlPr>
          </m:sSubPr>
          <m:e>
            <m:r>
              <w:rPr>
                <w:rFonts w:ascii="Cambria Math" w:hAnsi="Cambria Math"/>
              </w:rPr>
              <m:t>NH</m:t>
            </m:r>
          </m:e>
          <m:sub>
            <m:r>
              <m:rPr>
                <m:sty m:val="p"/>
              </m:rPr>
              <w:rPr>
                <w:rFonts w:ascii="Cambria Math" w:hAnsi="Cambria Math"/>
              </w:rPr>
              <m:t>4</m:t>
            </m:r>
          </m:sub>
        </m:sSub>
        <m:r>
          <w:rPr>
            <w:rFonts w:ascii="Cambria Math" w:hAnsi="Cambria Math"/>
          </w:rPr>
          <m:t>OH</m:t>
        </m:r>
        <m:r>
          <m:rPr>
            <m:sty m:val="p"/>
          </m:rPr>
          <w:rPr>
            <w:rFonts w:ascii="Cambria Math" w:hAnsi="Cambria Math"/>
          </w:rPr>
          <m:t>→</m:t>
        </m:r>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NH</m:t>
                    </m:r>
                  </m:e>
                  <m:sub>
                    <m:r>
                      <m:rPr>
                        <m:sty m:val="p"/>
                      </m:rPr>
                      <w:rPr>
                        <w:rFonts w:ascii="Cambria Math" w:hAnsi="Cambria Math"/>
                      </w:rPr>
                      <m:t>4</m:t>
                    </m:r>
                  </m:sub>
                </m:sSub>
              </m:e>
            </m:d>
          </m:e>
          <m:sub>
            <m:r>
              <m:rPr>
                <m:sty m:val="p"/>
              </m:rPr>
              <w:rPr>
                <w:rFonts w:ascii="Cambria Math" w:hAnsi="Cambria Math"/>
              </w:rPr>
              <m:t>2</m:t>
            </m:r>
          </m:sub>
        </m:sSub>
        <m:sSub>
          <m:sSubPr>
            <m:ctrlPr>
              <w:rPr>
                <w:rFonts w:ascii="Cambria Math" w:hAnsi="Cambria Math"/>
              </w:rPr>
            </m:ctrlPr>
          </m:sSubPr>
          <m:e>
            <m:r>
              <w:rPr>
                <w:rFonts w:ascii="Cambria Math" w:hAnsi="Cambria Math"/>
              </w:rPr>
              <m:t>U</m:t>
            </m:r>
          </m:e>
          <m:sub>
            <m:r>
              <m:rPr>
                <m:sty m:val="p"/>
              </m:rPr>
              <w:rPr>
                <w:rFonts w:ascii="Cambria Math" w:hAnsi="Cambria Math"/>
              </w:rPr>
              <m:t>2</m:t>
            </m:r>
          </m:sub>
        </m:sSub>
        <m:sSub>
          <m:sSubPr>
            <m:ctrlPr>
              <w:rPr>
                <w:rFonts w:ascii="Cambria Math" w:hAnsi="Cambria Math"/>
              </w:rPr>
            </m:ctrlPr>
          </m:sSubPr>
          <m:e>
            <m:r>
              <w:rPr>
                <w:rFonts w:ascii="Cambria Math" w:hAnsi="Cambria Math"/>
              </w:rPr>
              <m:t>O</m:t>
            </m:r>
          </m:e>
          <m:sub>
            <m:r>
              <m:rPr>
                <m:sty m:val="p"/>
              </m:rPr>
              <w:rPr>
                <w:rFonts w:ascii="Cambria Math" w:hAnsi="Cambria Math"/>
              </w:rPr>
              <m:t>7</m:t>
            </m:r>
          </m:sub>
        </m:sSub>
        <m:r>
          <m:rPr>
            <m:sty m:val="p"/>
          </m:rPr>
          <w:rPr>
            <w:rFonts w:ascii="Cambria Math" w:hAnsi="Cambria Math"/>
          </w:rPr>
          <m:t>+4</m:t>
        </m:r>
        <m:sSub>
          <m:sSubPr>
            <m:ctrlPr>
              <w:rPr>
                <w:rFonts w:ascii="Cambria Math" w:hAnsi="Cambria Math"/>
              </w:rPr>
            </m:ctrlPr>
          </m:sSubPr>
          <m:e>
            <m:r>
              <w:rPr>
                <w:rFonts w:ascii="Cambria Math" w:hAnsi="Cambria Math"/>
              </w:rPr>
              <m:t>NH</m:t>
            </m:r>
          </m:e>
          <m:sub>
            <m:r>
              <m:rPr>
                <m:sty m:val="p"/>
              </m:rPr>
              <w:rPr>
                <w:rFonts w:ascii="Cambria Math" w:hAnsi="Cambria Math"/>
              </w:rPr>
              <m:t>4</m:t>
            </m:r>
          </m:sub>
        </m:sSub>
        <m:sSub>
          <m:sSubPr>
            <m:ctrlPr>
              <w:rPr>
                <w:rFonts w:ascii="Cambria Math" w:hAnsi="Cambria Math"/>
              </w:rPr>
            </m:ctrlPr>
          </m:sSubPr>
          <m:e>
            <m:r>
              <w:rPr>
                <w:rFonts w:ascii="Cambria Math" w:hAnsi="Cambria Math"/>
              </w:rPr>
              <m:t>NO</m:t>
            </m:r>
          </m:e>
          <m:sub>
            <m:r>
              <m:rPr>
                <m:sty m:val="p"/>
              </m:rPr>
              <w:rPr>
                <w:rFonts w:ascii="Cambria Math" w:hAnsi="Cambria Math"/>
              </w:rPr>
              <m:t>3</m:t>
            </m:r>
          </m:sub>
        </m:sSub>
        <m:r>
          <m:rPr>
            <m:sty m:val="p"/>
          </m:rPr>
          <w:rPr>
            <w:rFonts w:ascii="Cambria Math" w:hAnsi="Cambria Math"/>
          </w:rPr>
          <m:t>+3</m:t>
        </m:r>
        <m:sSub>
          <m:sSubPr>
            <m:ctrlPr>
              <w:rPr>
                <w:rFonts w:ascii="Cambria Math" w:hAnsi="Cambria Math"/>
              </w:rPr>
            </m:ctrlPr>
          </m:sSubPr>
          <m:e>
            <m:r>
              <w:rPr>
                <w:rFonts w:ascii="Cambria Math" w:hAnsi="Cambria Math"/>
              </w:rPr>
              <m:t>H</m:t>
            </m:r>
          </m:e>
          <m:sub>
            <m:r>
              <m:rPr>
                <m:sty m:val="p"/>
              </m:rPr>
              <w:rPr>
                <w:rFonts w:ascii="Cambria Math" w:hAnsi="Cambria Math"/>
              </w:rPr>
              <m:t>2</m:t>
            </m:r>
          </m:sub>
        </m:sSub>
        <m:r>
          <w:rPr>
            <w:rFonts w:ascii="Cambria Math" w:hAnsi="Cambria Math"/>
          </w:rPr>
          <m:t>O</m:t>
        </m:r>
      </m:oMath>
      <w:r w:rsidRPr="002B6A2F">
        <w:t xml:space="preserve"> </w:t>
      </w:r>
      <w:r w:rsidRPr="002B6A2F">
        <w:tab/>
      </w:r>
      <w:r w:rsidRPr="002B6A2F">
        <w:tab/>
      </w:r>
      <w:r>
        <w:t>Eq. (3.2.3.</w:t>
      </w:r>
      <w:r w:rsidRPr="002B6A2F">
        <w:t>1)</w:t>
      </w:r>
    </w:p>
    <w:p w:rsidR="00E664E4" w:rsidRPr="002B6A2F" w:rsidRDefault="00E664E4" w:rsidP="00E664E4">
      <w:r w:rsidRPr="002B6A2F">
        <w:t>AUC is precipitated from uranyl nitrate solution with ammonia (NH</w:t>
      </w:r>
      <w:r w:rsidRPr="002B6A2F">
        <w:rPr>
          <w:vertAlign w:val="subscript"/>
        </w:rPr>
        <w:t>3</w:t>
      </w:r>
      <w:r w:rsidRPr="002B6A2F">
        <w:t>) and carbon dioxide (CO</w:t>
      </w:r>
      <w:r w:rsidRPr="002B6A2F">
        <w:rPr>
          <w:vertAlign w:val="subscript"/>
        </w:rPr>
        <w:t>2</w:t>
      </w:r>
      <w:r w:rsidRPr="002B6A2F">
        <w:t xml:space="preserve">) or ammonium bicarbonate </w:t>
      </w:r>
      <w:r>
        <w:t>[</w:t>
      </w:r>
      <w:r w:rsidRPr="002B6A2F">
        <w:t>(NH</w:t>
      </w:r>
      <w:r w:rsidRPr="002B6A2F">
        <w:rPr>
          <w:vertAlign w:val="subscript"/>
        </w:rPr>
        <w:t>4</w:t>
      </w:r>
      <w:r w:rsidRPr="002B6A2F">
        <w:t>)HCO</w:t>
      </w:r>
      <w:r w:rsidRPr="002B6A2F">
        <w:rPr>
          <w:vertAlign w:val="subscript"/>
        </w:rPr>
        <w:t>3</w:t>
      </w:r>
      <w:r>
        <w:t>]</w:t>
      </w:r>
      <w:r w:rsidRPr="002B6A2F">
        <w:t xml:space="preserve">, according to Eq. </w:t>
      </w:r>
      <w:r>
        <w:t>3.2.3.</w:t>
      </w:r>
      <w:r w:rsidRPr="002B6A2F">
        <w:t>2.</w:t>
      </w:r>
    </w:p>
    <w:p w:rsidR="00E664E4" w:rsidRDefault="00E664E4" w:rsidP="00E664E4">
      <w:pPr>
        <w:jc w:val="right"/>
      </w:pPr>
      <m:oMath>
        <m:r>
          <w:rPr>
            <w:rFonts w:ascii="Cambria Math" w:hAnsi="Cambria Math"/>
          </w:rPr>
          <m:t>U</m:t>
        </m:r>
        <m:sSub>
          <m:sSubPr>
            <m:ctrlPr>
              <w:rPr>
                <w:rFonts w:ascii="Cambria Math" w:hAnsi="Cambria Math"/>
              </w:rPr>
            </m:ctrlPr>
          </m:sSubPr>
          <m:e>
            <m:r>
              <w:rPr>
                <w:rFonts w:ascii="Cambria Math" w:hAnsi="Cambria Math"/>
              </w:rPr>
              <m:t>O</m:t>
            </m:r>
          </m:e>
          <m:sub>
            <m:r>
              <m:rPr>
                <m:sty m:val="p"/>
              </m:rPr>
              <w:rPr>
                <w:rFonts w:ascii="Cambria Math" w:hAnsi="Cambria Math"/>
              </w:rPr>
              <m:t>2</m:t>
            </m:r>
          </m:sub>
        </m:sSub>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NO</m:t>
                    </m:r>
                  </m:e>
                  <m:sub>
                    <m:r>
                      <m:rPr>
                        <m:sty m:val="p"/>
                      </m:rPr>
                      <w:rPr>
                        <w:rFonts w:ascii="Cambria Math" w:hAnsi="Cambria Math"/>
                      </w:rPr>
                      <m:t>3</m:t>
                    </m:r>
                  </m:sub>
                </m:sSub>
              </m:e>
            </m:d>
          </m:e>
          <m:sub>
            <m:r>
              <m:rPr>
                <m:sty m:val="p"/>
              </m:rPr>
              <w:rPr>
                <w:rFonts w:ascii="Cambria Math" w:hAnsi="Cambria Math"/>
              </w:rPr>
              <m:t>2</m:t>
            </m:r>
          </m:sub>
        </m:sSub>
        <m:r>
          <m:rPr>
            <m:sty m:val="p"/>
          </m:rPr>
          <w:rPr>
            <w:rFonts w:ascii="Cambria Math" w:hAnsi="Cambria Math"/>
          </w:rPr>
          <m:t>+6</m:t>
        </m:r>
        <m:sSub>
          <m:sSubPr>
            <m:ctrlPr>
              <w:rPr>
                <w:rFonts w:ascii="Cambria Math" w:hAnsi="Cambria Math"/>
              </w:rPr>
            </m:ctrlPr>
          </m:sSubPr>
          <m:e>
            <m:r>
              <w:rPr>
                <w:rFonts w:ascii="Cambria Math" w:hAnsi="Cambria Math"/>
              </w:rPr>
              <m:t>NH</m:t>
            </m:r>
          </m:e>
          <m:sub>
            <m:r>
              <m:rPr>
                <m:sty m:val="p"/>
              </m:rPr>
              <w:rPr>
                <w:rFonts w:ascii="Cambria Math" w:hAnsi="Cambria Math"/>
              </w:rPr>
              <m:t>3</m:t>
            </m:r>
          </m:sub>
        </m:sSub>
        <m:r>
          <m:rPr>
            <m:sty m:val="p"/>
          </m:rPr>
          <w:rPr>
            <w:rFonts w:ascii="Cambria Math" w:hAnsi="Cambria Math"/>
          </w:rPr>
          <m:t>+3</m:t>
        </m:r>
        <m:sSub>
          <m:sSubPr>
            <m:ctrlPr>
              <w:rPr>
                <w:rFonts w:ascii="Cambria Math" w:hAnsi="Cambria Math"/>
              </w:rPr>
            </m:ctrlPr>
          </m:sSubPr>
          <m:e>
            <m:r>
              <w:rPr>
                <w:rFonts w:ascii="Cambria Math" w:hAnsi="Cambria Math"/>
              </w:rPr>
              <m:t>CO</m:t>
            </m:r>
          </m:e>
          <m:sub>
            <m:r>
              <m:rPr>
                <m:sty m:val="p"/>
              </m:rPr>
              <w:rPr>
                <w:rFonts w:ascii="Cambria Math" w:hAnsi="Cambria Math"/>
              </w:rPr>
              <m:t>2</m:t>
            </m:r>
          </m:sub>
        </m:sSub>
        <m:r>
          <m:rPr>
            <m:sty m:val="p"/>
          </m:rPr>
          <w:rPr>
            <w:rFonts w:ascii="Cambria Math" w:hAnsi="Cambria Math"/>
          </w:rPr>
          <m:t>+3</m:t>
        </m:r>
        <m:sSub>
          <m:sSubPr>
            <m:ctrlPr>
              <w:rPr>
                <w:rFonts w:ascii="Cambria Math" w:hAnsi="Cambria Math"/>
              </w:rPr>
            </m:ctrlPr>
          </m:sSubPr>
          <m:e>
            <m:r>
              <w:rPr>
                <w:rFonts w:ascii="Cambria Math" w:hAnsi="Cambria Math"/>
              </w:rPr>
              <m:t>H</m:t>
            </m:r>
          </m:e>
          <m:sub>
            <m:r>
              <m:rPr>
                <m:sty m:val="p"/>
              </m:rPr>
              <w:rPr>
                <w:rFonts w:ascii="Cambria Math" w:hAnsi="Cambria Math"/>
              </w:rPr>
              <m:t>2</m:t>
            </m:r>
          </m:sub>
        </m:sSub>
        <m:r>
          <w:rPr>
            <w:rFonts w:ascii="Cambria Math" w:hAnsi="Cambria Math"/>
          </w:rPr>
          <m:t>O</m:t>
        </m:r>
        <m:r>
          <m:rPr>
            <m:sty m:val="p"/>
          </m:rPr>
          <w:rPr>
            <w:rFonts w:ascii="Cambria Math" w:hAnsi="Cambria Math"/>
          </w:rPr>
          <m:t>→</m:t>
        </m:r>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NH</m:t>
                    </m:r>
                  </m:e>
                  <m:sub>
                    <m:r>
                      <m:rPr>
                        <m:sty m:val="p"/>
                      </m:rPr>
                      <w:rPr>
                        <w:rFonts w:ascii="Cambria Math" w:hAnsi="Cambria Math"/>
                      </w:rPr>
                      <m:t>4</m:t>
                    </m:r>
                  </m:sub>
                </m:sSub>
              </m:e>
            </m:d>
          </m:e>
          <m:sub>
            <m:r>
              <m:rPr>
                <m:sty m:val="p"/>
              </m:rPr>
              <w:rPr>
                <w:rFonts w:ascii="Cambria Math" w:hAnsi="Cambria Math"/>
              </w:rPr>
              <m:t>4</m:t>
            </m:r>
          </m:sub>
        </m:sSub>
        <m:sSub>
          <m:sSubPr>
            <m:ctrlPr>
              <w:rPr>
                <w:rFonts w:ascii="Cambria Math" w:hAnsi="Cambria Math"/>
              </w:rPr>
            </m:ctrlPr>
          </m:sSubPr>
          <m:e>
            <m:r>
              <w:rPr>
                <w:rFonts w:ascii="Cambria Math" w:hAnsi="Cambria Math"/>
              </w:rPr>
              <m:t>UO</m:t>
            </m:r>
          </m:e>
          <m:sub>
            <m:r>
              <m:rPr>
                <m:sty m:val="p"/>
              </m:rPr>
              <w:rPr>
                <w:rFonts w:ascii="Cambria Math" w:hAnsi="Cambria Math"/>
              </w:rPr>
              <m:t>2</m:t>
            </m:r>
          </m:sub>
        </m:sSub>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CO</m:t>
                    </m:r>
                  </m:e>
                  <m:sub>
                    <m:r>
                      <m:rPr>
                        <m:sty m:val="p"/>
                      </m:rPr>
                      <w:rPr>
                        <w:rFonts w:ascii="Cambria Math" w:hAnsi="Cambria Math"/>
                      </w:rPr>
                      <m:t>3</m:t>
                    </m:r>
                  </m:sub>
                </m:sSub>
              </m:e>
            </m:d>
          </m:e>
          <m:sub>
            <m:r>
              <m:rPr>
                <m:sty m:val="p"/>
              </m:rPr>
              <w:rPr>
                <w:rFonts w:ascii="Cambria Math" w:hAnsi="Cambria Math"/>
              </w:rPr>
              <m:t>3</m:t>
            </m:r>
          </m:sub>
        </m:sSub>
        <m:r>
          <m:rPr>
            <m:sty m:val="p"/>
          </m:rPr>
          <w:rPr>
            <w:rFonts w:ascii="Cambria Math" w:hAnsi="Cambria Math"/>
          </w:rPr>
          <m:t>+2</m:t>
        </m:r>
        <m:sSub>
          <m:sSubPr>
            <m:ctrlPr>
              <w:rPr>
                <w:rFonts w:ascii="Cambria Math" w:hAnsi="Cambria Math"/>
              </w:rPr>
            </m:ctrlPr>
          </m:sSubPr>
          <m:e>
            <m:r>
              <w:rPr>
                <w:rFonts w:ascii="Cambria Math" w:hAnsi="Cambria Math"/>
              </w:rPr>
              <m:t>NH</m:t>
            </m:r>
          </m:e>
          <m:sub>
            <m:r>
              <m:rPr>
                <m:sty m:val="p"/>
              </m:rPr>
              <w:rPr>
                <w:rFonts w:ascii="Cambria Math" w:hAnsi="Cambria Math"/>
              </w:rPr>
              <m:t>4</m:t>
            </m:r>
          </m:sub>
        </m:sSub>
        <m:sSub>
          <m:sSubPr>
            <m:ctrlPr>
              <w:rPr>
                <w:rFonts w:ascii="Cambria Math" w:hAnsi="Cambria Math"/>
              </w:rPr>
            </m:ctrlPr>
          </m:sSubPr>
          <m:e>
            <m:r>
              <w:rPr>
                <w:rFonts w:ascii="Cambria Math" w:hAnsi="Cambria Math"/>
              </w:rPr>
              <m:t>NO</m:t>
            </m:r>
          </m:e>
          <m:sub>
            <m:r>
              <m:rPr>
                <m:sty m:val="p"/>
              </m:rPr>
              <w:rPr>
                <w:rFonts w:ascii="Cambria Math" w:hAnsi="Cambria Math"/>
              </w:rPr>
              <m:t>3</m:t>
            </m:r>
          </m:sub>
        </m:sSub>
      </m:oMath>
      <w:r w:rsidRPr="002B6A2F">
        <w:tab/>
      </w:r>
      <w:r>
        <w:t>Eq. (3.2.3.</w:t>
      </w:r>
      <w:r w:rsidRPr="002B6A2F">
        <w:t>2)</w:t>
      </w:r>
    </w:p>
    <w:p w:rsidR="00E664E4" w:rsidRPr="002B6A2F" w:rsidRDefault="00E664E4" w:rsidP="00E664E4">
      <w:r w:rsidRPr="002B6A2F">
        <w:t>In the case of the research present</w:t>
      </w:r>
      <w:r>
        <w:t>ed here, the scope of the work wa</w:t>
      </w:r>
      <w:r w:rsidRPr="002B6A2F">
        <w:t xml:space="preserve">s limited to small NUCPs and </w:t>
      </w:r>
      <w:r>
        <w:t xml:space="preserve">was </w:t>
      </w:r>
      <w:r w:rsidRPr="002B6A2F">
        <w:t>further limited to the precipitation process used to produce AUC.</w:t>
      </w:r>
    </w:p>
    <w:p w:rsidR="00E664E4" w:rsidRDefault="00E664E4" w:rsidP="00E664E4">
      <w:r w:rsidRPr="002B6A2F">
        <w:t>Module 3, Evaporation and Precipitation, encompasse</w:t>
      </w:r>
      <w:r>
        <w:t>d</w:t>
      </w:r>
      <w:r w:rsidRPr="002B6A2F">
        <w:t xml:space="preserve"> the processes to concentrate the purified liquid uranyl nitrate stream from solvent extraction and then convert the concentrated product to a solid. Module 3 </w:t>
      </w:r>
      <w:r>
        <w:t xml:space="preserve">was </w:t>
      </w:r>
      <w:r w:rsidRPr="002B6A2F">
        <w:t xml:space="preserve">further subdivided into four sub-modules. The </w:t>
      </w:r>
      <w:proofErr w:type="spellStart"/>
      <w:r w:rsidRPr="002B6A2F">
        <w:t>flowsheet</w:t>
      </w:r>
      <w:proofErr w:type="spellEnd"/>
      <w:r w:rsidRPr="002B6A2F">
        <w:t xml:space="preserve"> for Module 3 is shown in </w:t>
      </w:r>
      <w:r w:rsidRPr="009D034F">
        <w:t>Figure 3.14.</w:t>
      </w:r>
      <w:r w:rsidRPr="002B6A2F">
        <w:t xml:space="preserve"> </w:t>
      </w:r>
    </w:p>
    <w:p w:rsidR="00E664E4" w:rsidRPr="002B6A2F" w:rsidRDefault="00E664E4" w:rsidP="00E664E4">
      <w:r w:rsidRPr="002B6A2F">
        <w:object w:dxaOrig="12345" w:dyaOrig="6613">
          <v:shape id="_x0000_i1036" type="#_x0000_t75" style="width:467.65pt;height:250.35pt" o:ole="">
            <v:imagedata r:id="rId49" o:title=""/>
          </v:shape>
          <o:OLEObject Type="Embed" ProgID="Visio.Drawing.11" ShapeID="_x0000_i1036" DrawAspect="Content" ObjectID="_1445525561" r:id="rId50"/>
        </w:object>
      </w:r>
    </w:p>
    <w:p w:rsidR="00E664E4" w:rsidRDefault="00E664E4" w:rsidP="004E2FC0">
      <w:pPr>
        <w:jc w:val="center"/>
        <w:rPr>
          <w:b/>
          <w:sz w:val="20"/>
          <w:szCs w:val="20"/>
        </w:rPr>
      </w:pPr>
      <w:r w:rsidRPr="009D034F">
        <w:rPr>
          <w:b/>
          <w:sz w:val="20"/>
          <w:szCs w:val="20"/>
        </w:rPr>
        <w:t>Figure 3.14. Module 3: The Evaporation and Precipitation Processes of a Natural Uranium Conversion Plant</w:t>
      </w:r>
      <w:r w:rsidR="004E2FC0">
        <w:rPr>
          <w:b/>
          <w:sz w:val="20"/>
          <w:szCs w:val="20"/>
        </w:rPr>
        <w:t>.</w:t>
      </w:r>
    </w:p>
    <w:p w:rsidR="001E169B" w:rsidRPr="001E169B" w:rsidRDefault="001E169B" w:rsidP="001E169B"/>
    <w:p w:rsidR="008173FF" w:rsidRPr="002B6A2F" w:rsidRDefault="001D0EF6" w:rsidP="008173FF">
      <w:r w:rsidRPr="002B6A2F">
        <w:t xml:space="preserve">The purified uranyl nitrate from </w:t>
      </w:r>
      <w:r>
        <w:t>the solvent extraction process wa</w:t>
      </w:r>
      <w:r w:rsidRPr="002B6A2F">
        <w:t>s pumped to an evaporator for further concentration of the uranium constituent. The concentra</w:t>
      </w:r>
      <w:r>
        <w:t>ted solution of uranyl nitrate wa</w:t>
      </w:r>
      <w:r w:rsidRPr="002B6A2F">
        <w:t>s cool</w:t>
      </w:r>
      <w:r>
        <w:t>ed</w:t>
      </w:r>
      <w:r w:rsidRPr="002B6A2F">
        <w:t xml:space="preserve"> and pumped to a uranyl nitrate storage tank. The concentration at this point </w:t>
      </w:r>
      <w:r>
        <w:t>was</w:t>
      </w:r>
      <w:r w:rsidRPr="002B6A2F">
        <w:t xml:space="preserve"> to 350–400 g </w:t>
      </w:r>
      <w:r>
        <w:t>U/L. The concentrated solution wa</w:t>
      </w:r>
      <w:r w:rsidRPr="002B6A2F">
        <w:t>s sent to a mi</w:t>
      </w:r>
      <w:r>
        <w:t>xer-reactor where the solution wa</w:t>
      </w:r>
      <w:r w:rsidRPr="002B6A2F">
        <w:t>s mixed with CO</w:t>
      </w:r>
      <w:r w:rsidRPr="002B6A2F">
        <w:rPr>
          <w:vertAlign w:val="subscript"/>
        </w:rPr>
        <w:t>2</w:t>
      </w:r>
      <w:r w:rsidRPr="002B6A2F">
        <w:t xml:space="preserve"> and NH</w:t>
      </w:r>
      <w:r w:rsidRPr="002B6A2F">
        <w:rPr>
          <w:vertAlign w:val="subscript"/>
        </w:rPr>
        <w:t>3</w:t>
      </w:r>
      <w:r w:rsidRPr="002B6A2F">
        <w:t xml:space="preserve"> to form a solid precipitate</w:t>
      </w:r>
      <w:r>
        <w:t xml:space="preserve"> of AUC</w:t>
      </w:r>
      <w:r w:rsidRPr="002B6A2F">
        <w:t xml:space="preserve">. The slurry </w:t>
      </w:r>
      <w:r>
        <w:t>wa</w:t>
      </w:r>
      <w:r w:rsidRPr="002B6A2F">
        <w:t>s pumped to an agitated AUC</w:t>
      </w:r>
      <w:r>
        <w:t xml:space="preserve"> cooling vessel. The vessel </w:t>
      </w:r>
      <w:r w:rsidR="008173FF">
        <w:t>wa</w:t>
      </w:r>
      <w:r w:rsidR="008173FF" w:rsidRPr="002B6A2F">
        <w:t>s cooled with a chill</w:t>
      </w:r>
      <w:r w:rsidR="008173FF">
        <w:t>ed water jacket. The agitation wa</w:t>
      </w:r>
      <w:r w:rsidR="008173FF" w:rsidRPr="002B6A2F">
        <w:t>s between 50 and 100 rpm. T</w:t>
      </w:r>
      <w:r w:rsidR="008173FF">
        <w:t>he cooled suspended AUC slurry wa</w:t>
      </w:r>
      <w:r w:rsidR="008173FF" w:rsidRPr="002B6A2F">
        <w:t xml:space="preserve">s pumped to a rotary vacuum filter and washed with methanol, water, and ammonium carbonate. The filtrate </w:t>
      </w:r>
      <w:r w:rsidR="008173FF">
        <w:t>wa</w:t>
      </w:r>
      <w:r w:rsidR="008173FF" w:rsidRPr="002B6A2F">
        <w:t>s sent to various wa</w:t>
      </w:r>
      <w:r w:rsidR="008173FF">
        <w:t>ste streams, and the solid AUC wa</w:t>
      </w:r>
      <w:r w:rsidR="008173FF" w:rsidRPr="002B6A2F">
        <w:t xml:space="preserve">s sent to a collection hopper where the AUC may be dried with heated air. </w:t>
      </w:r>
    </w:p>
    <w:p w:rsidR="00E664E4" w:rsidRPr="002B6A2F" w:rsidRDefault="00E664E4" w:rsidP="00E664E4">
      <w:r>
        <w:t xml:space="preserve">Some uranium could have been </w:t>
      </w:r>
      <w:r w:rsidRPr="002B6A2F">
        <w:t xml:space="preserve">in the condensate stream from the evaporator, </w:t>
      </w:r>
      <w:r>
        <w:t xml:space="preserve">but </w:t>
      </w:r>
      <w:r w:rsidRPr="002B6A2F">
        <w:t>how much</w:t>
      </w:r>
      <w:r>
        <w:t xml:space="preserve"> depends on how the evaporator wa</w:t>
      </w:r>
      <w:r w:rsidRPr="002B6A2F">
        <w:t>s operated. The vent from the precipitation stage c</w:t>
      </w:r>
      <w:r>
        <w:t>ould</w:t>
      </w:r>
      <w:r w:rsidRPr="002B6A2F">
        <w:t xml:space="preserve"> also contain residual uranium material. The filtration process after </w:t>
      </w:r>
      <w:r>
        <w:t>the precipitation stage produced</w:t>
      </w:r>
      <w:r w:rsidRPr="002B6A2F">
        <w:t xml:space="preserve"> a solid pr</w:t>
      </w:r>
      <w:r>
        <w:t>oduct and a liquid stream that wa</w:t>
      </w:r>
      <w:r w:rsidRPr="002B6A2F">
        <w:t>s considered a waste. Solid</w:t>
      </w:r>
      <w:r>
        <w:t xml:space="preserve"> from the precipitation system wa</w:t>
      </w:r>
      <w:r w:rsidRPr="002B6A2F">
        <w:t>s sent to a c</w:t>
      </w:r>
      <w:r>
        <w:t>ollection vessel from which it wa</w:t>
      </w:r>
      <w:r w:rsidRPr="002B6A2F">
        <w:t>s sent to the next process</w:t>
      </w:r>
      <w:r>
        <w:t>es (</w:t>
      </w:r>
      <w:proofErr w:type="spellStart"/>
      <w:r w:rsidRPr="002B6A2F">
        <w:t>calcining</w:t>
      </w:r>
      <w:proofErr w:type="spellEnd"/>
      <w:r w:rsidRPr="002B6A2F">
        <w:t xml:space="preserve"> a</w:t>
      </w:r>
      <w:r>
        <w:t xml:space="preserve">nd </w:t>
      </w:r>
      <w:proofErr w:type="spellStart"/>
      <w:r>
        <w:t>hydrofluorination</w:t>
      </w:r>
      <w:proofErr w:type="spellEnd"/>
      <w:r>
        <w:t>).</w:t>
      </w:r>
    </w:p>
    <w:p w:rsidR="00DC329E" w:rsidRPr="001E169B" w:rsidRDefault="00DC329E" w:rsidP="001E169B"/>
    <w:p w:rsidR="001D0EF6" w:rsidRDefault="001D0EF6" w:rsidP="00E664E4">
      <w:pPr>
        <w:rPr>
          <w:rFonts w:asciiTheme="majorHAnsi" w:hAnsiTheme="majorHAnsi"/>
          <w:b/>
          <w:i/>
        </w:rPr>
      </w:pPr>
    </w:p>
    <w:p w:rsidR="00E664E4" w:rsidRDefault="00E664E4" w:rsidP="00E664E4">
      <w:pPr>
        <w:rPr>
          <w:rFonts w:asciiTheme="majorHAnsi" w:hAnsiTheme="majorHAnsi"/>
          <w:b/>
          <w:i/>
        </w:rPr>
      </w:pPr>
      <w:r>
        <w:rPr>
          <w:rFonts w:asciiTheme="majorHAnsi" w:hAnsiTheme="majorHAnsi"/>
          <w:b/>
          <w:i/>
        </w:rPr>
        <w:lastRenderedPageBreak/>
        <w:t>3.2.3</w:t>
      </w:r>
      <w:r w:rsidRPr="00C26992">
        <w:rPr>
          <w:rFonts w:asciiTheme="majorHAnsi" w:hAnsiTheme="majorHAnsi"/>
          <w:b/>
          <w:i/>
        </w:rPr>
        <w:t>.</w:t>
      </w:r>
      <w:r>
        <w:rPr>
          <w:rFonts w:asciiTheme="majorHAnsi" w:hAnsiTheme="majorHAnsi"/>
          <w:b/>
          <w:i/>
        </w:rPr>
        <w:t>1 Module 3A</w:t>
      </w:r>
    </w:p>
    <w:p w:rsidR="00E664E4" w:rsidRDefault="00E664E4" w:rsidP="00E664E4">
      <w:r w:rsidRPr="002B6A2F">
        <w:t>Module 3A encompasse</w:t>
      </w:r>
      <w:r>
        <w:t>d</w:t>
      </w:r>
      <w:r w:rsidRPr="002B6A2F">
        <w:t xml:space="preserve"> the evaporation pr</w:t>
      </w:r>
      <w:r>
        <w:t>ocess. The evaporation process wa</w:t>
      </w:r>
      <w:r w:rsidRPr="002B6A2F">
        <w:t>s used to remove some of the water from the purified uranyl nitrate stream from the solvent extraction process prior to precipitation. The in</w:t>
      </w:r>
      <w:r>
        <w:t>put to the evaporation process wa</w:t>
      </w:r>
      <w:r w:rsidRPr="002B6A2F">
        <w:t xml:space="preserve">s the uranyl nitrate stream from Module 2. There </w:t>
      </w:r>
      <w:r>
        <w:t>we</w:t>
      </w:r>
      <w:r w:rsidRPr="002B6A2F">
        <w:t>re two output streams from Module 3A</w:t>
      </w:r>
      <w:r>
        <w:t xml:space="preserve">; </w:t>
      </w:r>
      <w:r w:rsidRPr="002B6A2F">
        <w:t xml:space="preserve">one </w:t>
      </w:r>
      <w:r>
        <w:t>output was the condensate which wa</w:t>
      </w:r>
      <w:r w:rsidRPr="002B6A2F">
        <w:t xml:space="preserve">s sent to waste. </w:t>
      </w:r>
      <w:r w:rsidRPr="009D034F">
        <w:t>Figure 3.15 shows a block diagram of Module 3A with the input and output streams labeled.</w:t>
      </w:r>
      <w:r w:rsidRPr="002B6A2F">
        <w:t xml:space="preserve"> </w:t>
      </w:r>
    </w:p>
    <w:p w:rsidR="001E169B" w:rsidRPr="002B6A2F" w:rsidRDefault="001E169B" w:rsidP="001E169B">
      <w:r>
        <w:t>Component mole balances we</w:t>
      </w:r>
      <w:r w:rsidRPr="002B6A2F">
        <w:t xml:space="preserve">re used to model each of the process units in Module 3. </w:t>
      </w:r>
      <w:r>
        <w:t>The evaporator separated S</w:t>
      </w:r>
      <w:r w:rsidRPr="002B6A2F">
        <w:t xml:space="preserve">tream 19 </w:t>
      </w:r>
      <w:r>
        <w:t>two streams. The separation wa</w:t>
      </w:r>
      <w:r w:rsidRPr="002B6A2F">
        <w:t xml:space="preserve">s defined as the fraction that </w:t>
      </w:r>
      <w:r>
        <w:t xml:space="preserve">was sent </w:t>
      </w:r>
      <w:r w:rsidRPr="002B6A2F">
        <w:t xml:space="preserve">to the condensate stream from the input stream by </w:t>
      </w:r>
      <w:r>
        <w:t>parameter</w:t>
      </w:r>
      <w:proofErr w:type="gramStart"/>
      <w:r w:rsidRPr="002B6A2F">
        <w:t xml:space="preserve">, </w:t>
      </w:r>
      <w:proofErr w:type="gramEnd"/>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3</m:t>
            </m:r>
            <m:r>
              <w:rPr>
                <w:rFonts w:ascii="Cambria Math" w:hAnsi="Cambria Math"/>
              </w:rPr>
              <m:t>A</m:t>
            </m:r>
            <m:r>
              <m:rPr>
                <m:sty m:val="p"/>
              </m:rPr>
              <w:rPr>
                <w:rFonts w:ascii="Cambria Math" w:hAnsi="Cambria Math"/>
              </w:rPr>
              <m:t>,</m:t>
            </m:r>
            <m:r>
              <w:rPr>
                <w:rFonts w:ascii="Cambria Math" w:hAnsi="Cambria Math"/>
              </w:rPr>
              <m:t>i</m:t>
            </m:r>
          </m:sub>
        </m:sSub>
      </m:oMath>
      <w:r w:rsidRPr="002B6A2F">
        <w:t xml:space="preserve">, where each component, </w:t>
      </w:r>
      <m:oMath>
        <m:r>
          <w:rPr>
            <w:rFonts w:ascii="Cambria Math" w:hAnsi="Cambria Math"/>
          </w:rPr>
          <m:t>i</m:t>
        </m:r>
      </m:oMath>
      <w:r w:rsidRPr="002B6A2F">
        <w:t>, ha</w:t>
      </w:r>
      <w:r>
        <w:t>d</w:t>
      </w:r>
      <w:r w:rsidRPr="002B6A2F">
        <w:t xml:space="preserve"> a different fractionation. Equations </w:t>
      </w:r>
      <w:r>
        <w:t>3.2.3.</w:t>
      </w:r>
      <w:r w:rsidRPr="002B6A2F">
        <w:t>3–</w:t>
      </w:r>
      <w:r>
        <w:t xml:space="preserve">3.2.3.7 </w:t>
      </w:r>
      <w:proofErr w:type="gramStart"/>
      <w:r>
        <w:t>define</w:t>
      </w:r>
      <w:proofErr w:type="gramEnd"/>
      <w:r>
        <w:t xml:space="preserve"> the separation of S</w:t>
      </w:r>
      <w:r w:rsidRPr="002B6A2F">
        <w:t xml:space="preserve">tream 19 into </w:t>
      </w:r>
      <w:r>
        <w:t>S</w:t>
      </w:r>
      <w:r w:rsidRPr="002B6A2F">
        <w:t>tream 21.</w:t>
      </w:r>
    </w:p>
    <w:p w:rsidR="001E169B" w:rsidRPr="002B6A2F" w:rsidRDefault="00C851DF" w:rsidP="001E169B">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3</m:t>
            </m:r>
            <m:r>
              <w:rPr>
                <w:rFonts w:ascii="Cambria Math" w:hAnsi="Cambria Math"/>
              </w:rPr>
              <m:t>A</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19,1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21,1</m:t>
            </m:r>
          </m:sub>
        </m:sSub>
        <m:r>
          <m:rPr>
            <m:sty m:val="p"/>
          </m:rPr>
          <w:rPr>
            <w:rFonts w:ascii="Cambria Math" w:hAnsi="Cambria Math"/>
          </w:rPr>
          <m:t>=0</m:t>
        </m:r>
      </m:oMath>
      <w:r w:rsidR="001E169B" w:rsidRPr="002B6A2F">
        <w:t xml:space="preserve">   </w:t>
      </w:r>
      <w:r w:rsidR="001E169B" w:rsidRPr="002B6A2F">
        <w:tab/>
      </w:r>
      <w:r w:rsidR="001E169B" w:rsidRPr="002B6A2F">
        <w:tab/>
      </w:r>
      <w:r w:rsidR="001E169B" w:rsidRPr="002B6A2F">
        <w:tab/>
      </w:r>
      <w:r w:rsidR="001E169B" w:rsidRPr="002B6A2F">
        <w:tab/>
      </w:r>
      <w:r w:rsidR="001E169B">
        <w:t>Eq. (3.2.3.</w:t>
      </w:r>
      <w:r w:rsidR="001E169B" w:rsidRPr="002B6A2F">
        <w:t>3)</w:t>
      </w:r>
    </w:p>
    <w:p w:rsidR="001E169B" w:rsidRPr="002B6A2F" w:rsidRDefault="00C851DF" w:rsidP="001E169B">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3</m:t>
            </m:r>
            <m:r>
              <w:rPr>
                <w:rFonts w:ascii="Cambria Math" w:hAnsi="Cambria Math"/>
              </w:rPr>
              <m:t>A</m:t>
            </m:r>
            <m:r>
              <m:rPr>
                <m:sty m:val="p"/>
              </m:rPr>
              <w:rPr>
                <w:rFonts w:ascii="Cambria Math" w:hAnsi="Cambria Math"/>
              </w:rPr>
              <m:t>,9</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19,9</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21,9</m:t>
            </m:r>
          </m:sub>
        </m:sSub>
        <m:r>
          <m:rPr>
            <m:sty m:val="p"/>
          </m:rPr>
          <w:rPr>
            <w:rFonts w:ascii="Cambria Math" w:hAnsi="Cambria Math"/>
          </w:rPr>
          <m:t>=0</m:t>
        </m:r>
      </m:oMath>
      <w:r w:rsidR="001E169B" w:rsidRPr="002B6A2F">
        <w:t xml:space="preserve">   </w:t>
      </w:r>
      <w:r w:rsidR="001E169B" w:rsidRPr="002B6A2F">
        <w:tab/>
      </w:r>
      <w:r w:rsidR="001E169B" w:rsidRPr="002B6A2F">
        <w:tab/>
      </w:r>
      <w:r w:rsidR="001E169B" w:rsidRPr="002B6A2F">
        <w:tab/>
      </w:r>
      <w:r w:rsidR="001E169B" w:rsidRPr="002B6A2F">
        <w:tab/>
      </w:r>
      <w:r w:rsidR="001E169B">
        <w:t>Eq. (3.2.3.</w:t>
      </w:r>
      <w:r w:rsidR="001E169B" w:rsidRPr="002B6A2F">
        <w:t>4)</w:t>
      </w:r>
    </w:p>
    <w:p w:rsidR="001E169B" w:rsidRPr="002B6A2F" w:rsidRDefault="00C851DF" w:rsidP="001E169B">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3</m:t>
            </m:r>
            <m:r>
              <w:rPr>
                <w:rFonts w:ascii="Cambria Math" w:hAnsi="Cambria Math"/>
              </w:rPr>
              <m:t>A</m:t>
            </m:r>
            <m:r>
              <m:rPr>
                <m:sty m:val="p"/>
              </m:rPr>
              <w:rPr>
                <w:rFonts w:ascii="Cambria Math" w:hAnsi="Cambria Math"/>
              </w:rPr>
              <m:t>,14</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19,14</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21,14</m:t>
            </m:r>
          </m:sub>
        </m:sSub>
        <m:r>
          <m:rPr>
            <m:sty m:val="p"/>
          </m:rPr>
          <w:rPr>
            <w:rFonts w:ascii="Cambria Math" w:hAnsi="Cambria Math"/>
          </w:rPr>
          <m:t>=0</m:t>
        </m:r>
      </m:oMath>
      <w:r w:rsidR="001E169B" w:rsidRPr="002B6A2F">
        <w:t xml:space="preserve">   </w:t>
      </w:r>
      <w:r w:rsidR="001E169B" w:rsidRPr="002B6A2F">
        <w:tab/>
      </w:r>
      <w:r w:rsidR="001E169B" w:rsidRPr="002B6A2F">
        <w:tab/>
      </w:r>
      <w:r w:rsidR="001E169B" w:rsidRPr="002B6A2F">
        <w:tab/>
      </w:r>
      <w:r w:rsidR="001E169B">
        <w:t>Eq. (3.2.3.</w:t>
      </w:r>
      <w:r w:rsidR="001E169B" w:rsidRPr="002B6A2F">
        <w:t>5)</w:t>
      </w:r>
    </w:p>
    <w:p w:rsidR="001E169B" w:rsidRPr="002B6A2F" w:rsidRDefault="00C851DF" w:rsidP="001E169B">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3</m:t>
            </m:r>
            <m:r>
              <w:rPr>
                <w:rFonts w:ascii="Cambria Math" w:hAnsi="Cambria Math"/>
              </w:rPr>
              <m:t>A</m:t>
            </m:r>
            <m:r>
              <m:rPr>
                <m:sty m:val="p"/>
              </m:rPr>
              <w:rPr>
                <w:rFonts w:ascii="Cambria Math" w:hAnsi="Cambria Math"/>
              </w:rPr>
              <m:t>,18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19,18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21,18</m:t>
            </m:r>
          </m:sub>
        </m:sSub>
        <m:r>
          <m:rPr>
            <m:sty m:val="p"/>
          </m:rPr>
          <w:rPr>
            <w:rFonts w:ascii="Cambria Math" w:hAnsi="Cambria Math"/>
          </w:rPr>
          <m:t>=0</m:t>
        </m:r>
      </m:oMath>
      <w:r w:rsidR="001E169B" w:rsidRPr="002B6A2F">
        <w:t xml:space="preserve">   </w:t>
      </w:r>
      <w:r w:rsidR="001E169B" w:rsidRPr="002B6A2F">
        <w:tab/>
      </w:r>
      <w:r w:rsidR="001E169B" w:rsidRPr="002B6A2F">
        <w:tab/>
      </w:r>
      <w:r w:rsidR="001E169B" w:rsidRPr="002B6A2F">
        <w:tab/>
      </w:r>
      <w:r w:rsidR="001E169B">
        <w:t>Eq. (3.2.3.</w:t>
      </w:r>
      <w:r w:rsidR="001E169B" w:rsidRPr="002B6A2F">
        <w:t>6)</w:t>
      </w:r>
    </w:p>
    <w:p w:rsidR="001E169B" w:rsidRPr="002B6A2F" w:rsidRDefault="00C851DF" w:rsidP="001E169B">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3</m:t>
            </m:r>
            <m:r>
              <w:rPr>
                <w:rFonts w:ascii="Cambria Math" w:hAnsi="Cambria Math"/>
              </w:rPr>
              <m:t>A</m:t>
            </m:r>
            <m:r>
              <m:rPr>
                <m:sty m:val="p"/>
              </m:rPr>
              <w:rPr>
                <w:rFonts w:ascii="Cambria Math" w:hAnsi="Cambria Math"/>
              </w:rPr>
              <m:t>,21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19,21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21,21</m:t>
            </m:r>
          </m:sub>
        </m:sSub>
        <m:r>
          <m:rPr>
            <m:sty m:val="p"/>
          </m:rPr>
          <w:rPr>
            <w:rFonts w:ascii="Cambria Math" w:hAnsi="Cambria Math"/>
          </w:rPr>
          <m:t>=0</m:t>
        </m:r>
      </m:oMath>
      <w:r w:rsidR="001E169B" w:rsidRPr="002B6A2F">
        <w:t xml:space="preserve">   </w:t>
      </w:r>
      <w:r w:rsidR="001E169B" w:rsidRPr="002B6A2F">
        <w:tab/>
      </w:r>
      <w:r w:rsidR="001E169B" w:rsidRPr="002B6A2F">
        <w:tab/>
      </w:r>
      <w:r w:rsidR="001E169B" w:rsidRPr="002B6A2F">
        <w:tab/>
      </w:r>
      <w:r w:rsidR="001E169B">
        <w:t>Eq. (3.2.3.</w:t>
      </w:r>
      <w:r w:rsidR="001E169B" w:rsidRPr="002B6A2F">
        <w:t>7)</w:t>
      </w:r>
    </w:p>
    <w:p w:rsidR="001E169B" w:rsidRPr="002B6A2F" w:rsidRDefault="001E169B" w:rsidP="001E169B">
      <w:r w:rsidRPr="002B6A2F">
        <w:t xml:space="preserve">Equations </w:t>
      </w:r>
      <w:r>
        <w:t>3.2.3.</w:t>
      </w:r>
      <w:r w:rsidRPr="002B6A2F">
        <w:t>8–</w:t>
      </w:r>
      <w:r>
        <w:t>3.2.3.</w:t>
      </w:r>
      <w:r w:rsidRPr="002B6A2F">
        <w:t xml:space="preserve">12 </w:t>
      </w:r>
      <w:proofErr w:type="gramStart"/>
      <w:r w:rsidRPr="002B6A2F">
        <w:t>calculate</w:t>
      </w:r>
      <w:proofErr w:type="gramEnd"/>
      <w:r w:rsidRPr="002B6A2F">
        <w:t xml:space="preserve"> the component mole </w:t>
      </w:r>
      <w:r>
        <w:t>balances for S</w:t>
      </w:r>
      <w:r w:rsidRPr="002B6A2F">
        <w:t>tream 22.</w:t>
      </w:r>
    </w:p>
    <w:p w:rsidR="001E169B" w:rsidRPr="002B6A2F" w:rsidRDefault="00C851DF" w:rsidP="001E169B">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19,1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21,1</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22,1</m:t>
            </m:r>
          </m:sub>
        </m:sSub>
        <m:r>
          <m:rPr>
            <m:sty m:val="p"/>
          </m:rPr>
          <w:rPr>
            <w:rFonts w:ascii="Cambria Math" w:hAnsi="Cambria Math"/>
          </w:rPr>
          <m:t>=0</m:t>
        </m:r>
      </m:oMath>
      <w:r w:rsidR="001E169B" w:rsidRPr="002B6A2F">
        <w:t xml:space="preserve">   </w:t>
      </w:r>
      <w:r w:rsidR="001E169B" w:rsidRPr="002B6A2F">
        <w:tab/>
      </w:r>
      <w:r w:rsidR="001E169B" w:rsidRPr="002B6A2F">
        <w:tab/>
      </w:r>
      <w:r w:rsidR="001E169B" w:rsidRPr="002B6A2F">
        <w:tab/>
      </w:r>
      <w:r w:rsidR="001E169B" w:rsidRPr="002B6A2F">
        <w:tab/>
      </w:r>
      <w:r w:rsidR="001E169B">
        <w:t>Eq. (3.2.3.</w:t>
      </w:r>
      <w:r w:rsidR="001E169B" w:rsidRPr="002B6A2F">
        <w:t>8)</w:t>
      </w:r>
    </w:p>
    <w:p w:rsidR="001E169B" w:rsidRDefault="00C851DF" w:rsidP="001E169B">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19,9</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21,9</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22,9</m:t>
            </m:r>
          </m:sub>
        </m:sSub>
        <m:r>
          <m:rPr>
            <m:sty m:val="p"/>
          </m:rPr>
          <w:rPr>
            <w:rFonts w:ascii="Cambria Math" w:hAnsi="Cambria Math"/>
          </w:rPr>
          <m:t>=0</m:t>
        </m:r>
      </m:oMath>
      <w:r w:rsidR="001E169B" w:rsidRPr="002B6A2F">
        <w:t xml:space="preserve">   </w:t>
      </w:r>
      <w:r w:rsidR="001E169B" w:rsidRPr="002B6A2F">
        <w:tab/>
      </w:r>
      <w:r w:rsidR="001E169B" w:rsidRPr="002B6A2F">
        <w:tab/>
      </w:r>
      <w:r w:rsidR="001E169B" w:rsidRPr="002B6A2F">
        <w:tab/>
      </w:r>
      <w:r w:rsidR="001E169B" w:rsidRPr="002B6A2F">
        <w:tab/>
      </w:r>
      <w:r w:rsidR="001E169B">
        <w:t>Eq. (3.2.3.</w:t>
      </w:r>
      <w:r w:rsidR="001E169B" w:rsidRPr="002B6A2F">
        <w:t>9)</w:t>
      </w:r>
    </w:p>
    <w:p w:rsidR="001D0EF6" w:rsidRPr="002B6A2F" w:rsidRDefault="001D0EF6" w:rsidP="008173FF">
      <w:pPr>
        <w:jc w:val="right"/>
      </w:pPr>
    </w:p>
    <w:p w:rsidR="00E664E4" w:rsidRPr="002B6A2F" w:rsidRDefault="00E664E4" w:rsidP="001D0EF6">
      <w:pPr>
        <w:jc w:val="center"/>
      </w:pPr>
      <w:r w:rsidRPr="002B6A2F">
        <w:object w:dxaOrig="7486" w:dyaOrig="2852">
          <v:shape id="_x0000_i1037" type="#_x0000_t75" style="width:375.2pt;height:142.7pt" o:ole="">
            <v:imagedata r:id="rId51" o:title=""/>
          </v:shape>
          <o:OLEObject Type="Embed" ProgID="Visio.Drawing.11" ShapeID="_x0000_i1037" DrawAspect="Content" ObjectID="_1445525562" r:id="rId52"/>
        </w:object>
      </w:r>
    </w:p>
    <w:p w:rsidR="00E664E4" w:rsidRDefault="00E664E4" w:rsidP="00E664E4">
      <w:pPr>
        <w:jc w:val="center"/>
        <w:rPr>
          <w:b/>
          <w:sz w:val="20"/>
          <w:szCs w:val="20"/>
        </w:rPr>
      </w:pPr>
      <w:r w:rsidRPr="009D034F">
        <w:rPr>
          <w:b/>
          <w:sz w:val="20"/>
          <w:szCs w:val="20"/>
        </w:rPr>
        <w:t xml:space="preserve">Figure 3.15. Block Diagram of the Module 3A </w:t>
      </w:r>
      <w:r w:rsidR="004045DF">
        <w:rPr>
          <w:b/>
          <w:sz w:val="20"/>
          <w:szCs w:val="20"/>
        </w:rPr>
        <w:t>Showing Input and Output Streams</w:t>
      </w:r>
      <w:r w:rsidRPr="009D034F">
        <w:rPr>
          <w:b/>
          <w:sz w:val="20"/>
          <w:szCs w:val="20"/>
        </w:rPr>
        <w:t>.</w:t>
      </w:r>
    </w:p>
    <w:p w:rsidR="001D0EF6" w:rsidRDefault="00C851DF" w:rsidP="001D0EF6">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19,14</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21,14</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22,14</m:t>
            </m:r>
          </m:sub>
        </m:sSub>
        <m:r>
          <m:rPr>
            <m:sty m:val="p"/>
          </m:rPr>
          <w:rPr>
            <w:rFonts w:ascii="Cambria Math" w:hAnsi="Cambria Math"/>
          </w:rPr>
          <m:t>=0</m:t>
        </m:r>
      </m:oMath>
      <w:r w:rsidR="001D0EF6" w:rsidRPr="002B6A2F">
        <w:t xml:space="preserve">   </w:t>
      </w:r>
      <w:r w:rsidR="001D0EF6" w:rsidRPr="002B6A2F">
        <w:tab/>
      </w:r>
      <w:r w:rsidR="001D0EF6" w:rsidRPr="002B6A2F">
        <w:tab/>
      </w:r>
      <w:r w:rsidR="001D0EF6" w:rsidRPr="002B6A2F">
        <w:tab/>
      </w:r>
      <w:r w:rsidR="001D0EF6" w:rsidRPr="002B6A2F">
        <w:tab/>
      </w:r>
      <w:r w:rsidR="001D0EF6">
        <w:t>Eq. (3.2.3.</w:t>
      </w:r>
      <w:r w:rsidR="001D0EF6" w:rsidRPr="002B6A2F">
        <w:t>10)</w:t>
      </w:r>
    </w:p>
    <w:p w:rsidR="001D0EF6" w:rsidRPr="002B6A2F" w:rsidRDefault="00C851DF" w:rsidP="001D0EF6">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19,18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21,18</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22,18</m:t>
            </m:r>
          </m:sub>
        </m:sSub>
        <m:r>
          <m:rPr>
            <m:sty m:val="p"/>
          </m:rPr>
          <w:rPr>
            <w:rFonts w:ascii="Cambria Math" w:hAnsi="Cambria Math"/>
          </w:rPr>
          <m:t>=0</m:t>
        </m:r>
      </m:oMath>
      <w:r w:rsidR="001D0EF6" w:rsidRPr="002B6A2F">
        <w:t xml:space="preserve">   </w:t>
      </w:r>
      <w:r w:rsidR="001D0EF6" w:rsidRPr="002B6A2F">
        <w:tab/>
      </w:r>
      <w:r w:rsidR="001D0EF6" w:rsidRPr="002B6A2F">
        <w:tab/>
      </w:r>
      <w:r w:rsidR="001D0EF6" w:rsidRPr="002B6A2F">
        <w:tab/>
      </w:r>
      <w:r w:rsidR="001D0EF6" w:rsidRPr="002B6A2F">
        <w:tab/>
      </w:r>
      <w:r w:rsidR="001D0EF6">
        <w:t>Eq. (3.2.3.</w:t>
      </w:r>
      <w:r w:rsidR="001D0EF6" w:rsidRPr="002B6A2F">
        <w:t>11)</w:t>
      </w:r>
    </w:p>
    <w:p w:rsidR="001D0EF6" w:rsidRDefault="00C851DF" w:rsidP="001D0EF6">
      <w:pPr>
        <w:jc w:val="right"/>
        <w:rPr>
          <w:b/>
          <w:sz w:val="20"/>
          <w:szCs w:val="20"/>
        </w:rPr>
      </w:pPr>
      <m:oMath>
        <m:sSub>
          <m:sSubPr>
            <m:ctrlPr>
              <w:rPr>
                <w:rFonts w:ascii="Cambria Math" w:hAnsi="Cambria Math"/>
              </w:rPr>
            </m:ctrlPr>
          </m:sSubPr>
          <m:e>
            <m:r>
              <w:rPr>
                <w:rFonts w:ascii="Cambria Math" w:hAnsi="Cambria Math"/>
              </w:rPr>
              <m:t>F</m:t>
            </m:r>
          </m:e>
          <m:sub>
            <m:r>
              <m:rPr>
                <m:sty m:val="p"/>
              </m:rPr>
              <w:rPr>
                <w:rFonts w:ascii="Cambria Math" w:hAnsi="Cambria Math"/>
              </w:rPr>
              <m:t>19,21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21,21</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22,21</m:t>
            </m:r>
          </m:sub>
        </m:sSub>
        <m:r>
          <m:rPr>
            <m:sty m:val="p"/>
          </m:rPr>
          <w:rPr>
            <w:rFonts w:ascii="Cambria Math" w:hAnsi="Cambria Math"/>
          </w:rPr>
          <m:t>=0</m:t>
        </m:r>
      </m:oMath>
      <w:r w:rsidR="001D0EF6" w:rsidRPr="002B6A2F">
        <w:t xml:space="preserve">   </w:t>
      </w:r>
      <w:r w:rsidR="001D0EF6" w:rsidRPr="002B6A2F">
        <w:tab/>
      </w:r>
      <w:r w:rsidR="001D0EF6" w:rsidRPr="002B6A2F">
        <w:tab/>
      </w:r>
      <w:r w:rsidR="001D0EF6" w:rsidRPr="002B6A2F">
        <w:tab/>
      </w:r>
      <w:r w:rsidR="001D0EF6" w:rsidRPr="002B6A2F">
        <w:tab/>
      </w:r>
      <w:r w:rsidR="001D0EF6">
        <w:t>Eq. (3.2.3.</w:t>
      </w:r>
      <w:r w:rsidR="001D0EF6" w:rsidRPr="002B6A2F">
        <w:t>12)</w:t>
      </w:r>
    </w:p>
    <w:p w:rsidR="008173FF" w:rsidRPr="002B6A2F" w:rsidRDefault="008173FF" w:rsidP="00E664E4">
      <w:pPr>
        <w:jc w:val="center"/>
        <w:rPr>
          <w:b/>
          <w:sz w:val="20"/>
          <w:szCs w:val="20"/>
        </w:rPr>
      </w:pPr>
    </w:p>
    <w:p w:rsidR="00E664E4" w:rsidRDefault="00E664E4" w:rsidP="00E664E4">
      <w:pPr>
        <w:rPr>
          <w:rFonts w:asciiTheme="majorHAnsi" w:hAnsiTheme="majorHAnsi"/>
          <w:b/>
          <w:i/>
        </w:rPr>
      </w:pPr>
      <w:r>
        <w:rPr>
          <w:rFonts w:asciiTheme="majorHAnsi" w:hAnsiTheme="majorHAnsi"/>
          <w:b/>
          <w:i/>
        </w:rPr>
        <w:t>3.2.3</w:t>
      </w:r>
      <w:r w:rsidRPr="00C26992">
        <w:rPr>
          <w:rFonts w:asciiTheme="majorHAnsi" w:hAnsiTheme="majorHAnsi"/>
          <w:b/>
          <w:i/>
        </w:rPr>
        <w:t>.</w:t>
      </w:r>
      <w:r>
        <w:rPr>
          <w:rFonts w:asciiTheme="majorHAnsi" w:hAnsiTheme="majorHAnsi"/>
          <w:b/>
          <w:i/>
        </w:rPr>
        <w:t>2 Module 3B</w:t>
      </w:r>
    </w:p>
    <w:p w:rsidR="00E664E4" w:rsidRDefault="00E664E4" w:rsidP="00E664E4">
      <w:r w:rsidRPr="001817EE">
        <w:t>Module 3B represent</w:t>
      </w:r>
      <w:r>
        <w:t>ed the mixer that wa</w:t>
      </w:r>
      <w:r w:rsidRPr="001817EE">
        <w:t>s used to mix the reactants prior to the precipitation p</w:t>
      </w:r>
      <w:r>
        <w:t>rocess. The inputs to Module 3B were</w:t>
      </w:r>
      <w:r w:rsidRPr="001817EE">
        <w:t xml:space="preserve"> the output of Module 3A along with water, ammo</w:t>
      </w:r>
      <w:r>
        <w:t>nia, and carbon dioxide. There wa</w:t>
      </w:r>
      <w:r w:rsidRPr="001817EE">
        <w:t xml:space="preserve">s </w:t>
      </w:r>
      <w:r w:rsidRPr="009D034F">
        <w:t>one output from Module 3B. Figure 3.16 shows a block diagram of Module 3B with the input and output</w:t>
      </w:r>
      <w:r w:rsidRPr="001817EE">
        <w:t xml:space="preserve"> streams labeled. </w:t>
      </w:r>
    </w:p>
    <w:p w:rsidR="001E169B" w:rsidRPr="001817EE" w:rsidRDefault="001E169B" w:rsidP="001E169B">
      <w:r w:rsidRPr="001817EE">
        <w:t xml:space="preserve">The reactants </w:t>
      </w:r>
      <w:r>
        <w:t>(S</w:t>
      </w:r>
      <w:r w:rsidRPr="001817EE">
        <w:t>tream</w:t>
      </w:r>
      <w:r>
        <w:t>s 23–25) we</w:t>
      </w:r>
      <w:r w:rsidRPr="001817EE">
        <w:t>re fed into the process in excess based t</w:t>
      </w:r>
      <w:r>
        <w:t>he amount of uranyl nitrate in S</w:t>
      </w:r>
      <w:r w:rsidRPr="001817EE">
        <w:t>tream 22 according to parameter</w:t>
      </w:r>
      <w:proofErr w:type="gramStart"/>
      <w:r w:rsidRPr="001817EE">
        <w:t xml:space="preserve">, </w:t>
      </w:r>
      <w:proofErr w:type="gramEnd"/>
      <m:oMath>
        <m:sSub>
          <m:sSubPr>
            <m:ctrlPr>
              <w:rPr>
                <w:rFonts w:ascii="Cambria Math" w:hAnsi="Cambria Math"/>
              </w:rPr>
            </m:ctrlPr>
          </m:sSubPr>
          <m:e>
            <m:r>
              <w:rPr>
                <w:rFonts w:ascii="Cambria Math" w:hAnsi="Cambria Math"/>
              </w:rPr>
              <m:t>α</m:t>
            </m:r>
          </m:e>
          <m:sub>
            <m:r>
              <w:rPr>
                <w:rFonts w:ascii="Cambria Math" w:hAnsi="Cambria Math"/>
              </w:rPr>
              <m:t>Mod</m:t>
            </m:r>
            <m:r>
              <m:rPr>
                <m:sty m:val="p"/>
              </m:rPr>
              <w:rPr>
                <w:rFonts w:ascii="Cambria Math" w:hAnsi="Cambria Math"/>
              </w:rPr>
              <m:t>3</m:t>
            </m:r>
            <m:r>
              <w:rPr>
                <w:rFonts w:ascii="Cambria Math" w:hAnsi="Cambria Math"/>
              </w:rPr>
              <m:t>B</m:t>
            </m:r>
          </m:sub>
        </m:sSub>
      </m:oMath>
      <w:r w:rsidRPr="001817EE">
        <w:t xml:space="preserve">, as shown in </w:t>
      </w:r>
      <w:proofErr w:type="spellStart"/>
      <w:r w:rsidRPr="001817EE">
        <w:t>Eqs</w:t>
      </w:r>
      <w:proofErr w:type="spellEnd"/>
      <w:r w:rsidRPr="001817EE">
        <w:t xml:space="preserve">. </w:t>
      </w:r>
      <w:r>
        <w:t>3.2.3.</w:t>
      </w:r>
      <w:r w:rsidRPr="001817EE">
        <w:t>13–</w:t>
      </w:r>
      <w:r>
        <w:t>3.2.3.</w:t>
      </w:r>
      <w:r w:rsidRPr="001817EE">
        <w:t>15 for water, ammonia, and carbon dioxi</w:t>
      </w:r>
      <w:r>
        <w:t>de, respectively, w</w:t>
      </w:r>
      <w:r w:rsidRPr="001817EE">
        <w:t xml:space="preserve">here </w:t>
      </w:r>
      <m:oMath>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3</m:t>
            </m:r>
            <m:r>
              <w:rPr>
                <w:rFonts w:ascii="Cambria Math" w:hAnsi="Cambria Math"/>
              </w:rPr>
              <m:t>C</m:t>
            </m:r>
            <m:r>
              <m:rPr>
                <m:sty m:val="p"/>
              </m:rPr>
              <w:rPr>
                <w:rFonts w:ascii="Cambria Math" w:hAnsi="Cambria Math"/>
              </w:rPr>
              <m:t>,</m:t>
            </m:r>
            <m:r>
              <w:rPr>
                <w:rFonts w:ascii="Cambria Math" w:hAnsi="Cambria Math"/>
              </w:rPr>
              <m:t>i</m:t>
            </m:r>
          </m:sub>
        </m:sSub>
      </m:oMath>
      <w:r>
        <w:t xml:space="preserve"> wa</w:t>
      </w:r>
      <w:proofErr w:type="spellStart"/>
      <w:r w:rsidRPr="001817EE">
        <w:t>s</w:t>
      </w:r>
      <w:proofErr w:type="spellEnd"/>
      <w:r w:rsidRPr="001817EE">
        <w:t xml:space="preserve"> the stoichiometric coefficient of the </w:t>
      </w:r>
      <m:oMath>
        <m:r>
          <w:rPr>
            <w:rFonts w:ascii="Cambria Math" w:hAnsi="Cambria Math"/>
          </w:rPr>
          <m:t>i</m:t>
        </m:r>
      </m:oMath>
      <w:r w:rsidRPr="001817EE">
        <w:t>-</w:t>
      </w:r>
      <w:proofErr w:type="gramStart"/>
      <w:r w:rsidRPr="001817EE">
        <w:t>th</w:t>
      </w:r>
      <w:proofErr w:type="gramEnd"/>
      <w:r w:rsidRPr="001817EE">
        <w:t xml:space="preserve"> component.</w:t>
      </w:r>
    </w:p>
    <w:p w:rsidR="001E169B" w:rsidRPr="001817EE" w:rsidRDefault="00C851DF" w:rsidP="001E169B">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23,1</m:t>
            </m:r>
          </m:sub>
        </m:sSub>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Mod</m:t>
            </m:r>
            <m:r>
              <m:rPr>
                <m:sty m:val="p"/>
              </m:rPr>
              <w:rPr>
                <w:rFonts w:ascii="Cambria Math" w:hAnsi="Cambria Math"/>
              </w:rPr>
              <m:t>3</m:t>
            </m:r>
            <m:r>
              <w:rPr>
                <w:rFonts w:ascii="Cambria Math" w:hAnsi="Cambria Math"/>
              </w:rPr>
              <m:t>B</m:t>
            </m:r>
          </m:sub>
        </m:sSub>
        <m:r>
          <m:rPr>
            <m:sty m:val="p"/>
          </m:rPr>
          <w:rPr>
            <w:rFonts w:ascii="Cambria Math" w:hAnsi="Cambria Math"/>
          </w:rPr>
          <m:t>*</m:t>
        </m:r>
        <m:d>
          <m:dPr>
            <m:begChr m:val="|"/>
            <m:endChr m:val="|"/>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3</m:t>
                </m:r>
                <m:r>
                  <w:rPr>
                    <w:rFonts w:ascii="Cambria Math" w:hAnsi="Cambria Math"/>
                  </w:rPr>
                  <m:t>C</m:t>
                </m:r>
                <m:r>
                  <m:rPr>
                    <m:sty m:val="p"/>
                  </m:rPr>
                  <w:rPr>
                    <w:rFonts w:ascii="Cambria Math" w:hAnsi="Cambria Math"/>
                  </w:rPr>
                  <m:t>,1</m:t>
                </m:r>
              </m:sub>
            </m:sSub>
          </m:e>
        </m:d>
        <m: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22,14</m:t>
            </m:r>
          </m:sub>
        </m:sSub>
        <m:r>
          <m:rPr>
            <m:sty m:val="p"/>
          </m:rPr>
          <w:rPr>
            <w:rFonts w:ascii="Cambria Math" w:hAnsi="Cambria Math"/>
          </w:rPr>
          <m:t>=0</m:t>
        </m:r>
      </m:oMath>
      <w:r w:rsidR="001E169B" w:rsidRPr="001817EE">
        <w:t xml:space="preserve"> </w:t>
      </w:r>
      <w:r w:rsidR="001E169B" w:rsidRPr="001817EE">
        <w:tab/>
      </w:r>
      <w:r w:rsidR="001E169B">
        <w:tab/>
      </w:r>
      <w:r w:rsidR="001E169B">
        <w:tab/>
        <w:t>Eq. (3.2.3.</w:t>
      </w:r>
      <w:r w:rsidR="001E169B" w:rsidRPr="001817EE">
        <w:t>13)</w:t>
      </w:r>
    </w:p>
    <w:p w:rsidR="001E169B" w:rsidRPr="001817EE" w:rsidRDefault="00C851DF" w:rsidP="001E169B">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24,3</m:t>
            </m:r>
          </m:sub>
        </m:sSub>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Mod</m:t>
            </m:r>
            <m:r>
              <m:rPr>
                <m:sty m:val="p"/>
              </m:rPr>
              <w:rPr>
                <w:rFonts w:ascii="Cambria Math" w:hAnsi="Cambria Math"/>
              </w:rPr>
              <m:t>3</m:t>
            </m:r>
            <m:r>
              <w:rPr>
                <w:rFonts w:ascii="Cambria Math" w:hAnsi="Cambria Math"/>
              </w:rPr>
              <m:t>B</m:t>
            </m:r>
          </m:sub>
        </m:sSub>
        <m:r>
          <m:rPr>
            <m:sty m:val="p"/>
          </m:rPr>
          <w:rPr>
            <w:rFonts w:ascii="Cambria Math" w:hAnsi="Cambria Math"/>
          </w:rPr>
          <m:t>*</m:t>
        </m:r>
        <m:d>
          <m:dPr>
            <m:begChr m:val="|"/>
            <m:endChr m:val="|"/>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3</m:t>
                </m:r>
                <m:r>
                  <w:rPr>
                    <w:rFonts w:ascii="Cambria Math" w:hAnsi="Cambria Math"/>
                  </w:rPr>
                  <m:t>C</m:t>
                </m:r>
                <m:r>
                  <m:rPr>
                    <m:sty m:val="p"/>
                  </m:rPr>
                  <w:rPr>
                    <w:rFonts w:ascii="Cambria Math" w:hAnsi="Cambria Math"/>
                  </w:rPr>
                  <m:t>,3</m:t>
                </m:r>
              </m:sub>
            </m:sSub>
          </m:e>
        </m:d>
        <m: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22,14</m:t>
            </m:r>
          </m:sub>
        </m:sSub>
        <m:r>
          <m:rPr>
            <m:sty m:val="p"/>
          </m:rPr>
          <w:rPr>
            <w:rFonts w:ascii="Cambria Math" w:hAnsi="Cambria Math"/>
          </w:rPr>
          <m:t>=0</m:t>
        </m:r>
      </m:oMath>
      <w:r w:rsidR="001E169B" w:rsidRPr="001817EE">
        <w:t xml:space="preserve"> </w:t>
      </w:r>
      <w:r w:rsidR="001E169B" w:rsidRPr="001817EE">
        <w:tab/>
      </w:r>
      <w:r w:rsidR="001E169B">
        <w:tab/>
      </w:r>
      <w:r w:rsidR="001E169B">
        <w:tab/>
        <w:t>Eq. (3.2.3.</w:t>
      </w:r>
      <w:r w:rsidR="001E169B" w:rsidRPr="001817EE">
        <w:t>14)</w:t>
      </w:r>
    </w:p>
    <w:p w:rsidR="001E169B" w:rsidRDefault="00C851DF" w:rsidP="001E169B">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25,8</m:t>
            </m:r>
          </m:sub>
        </m:sSub>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Mod</m:t>
            </m:r>
            <m:r>
              <m:rPr>
                <m:sty m:val="p"/>
              </m:rPr>
              <w:rPr>
                <w:rFonts w:ascii="Cambria Math" w:hAnsi="Cambria Math"/>
              </w:rPr>
              <m:t>3</m:t>
            </m:r>
            <m:r>
              <w:rPr>
                <w:rFonts w:ascii="Cambria Math" w:hAnsi="Cambria Math"/>
              </w:rPr>
              <m:t>B</m:t>
            </m:r>
          </m:sub>
        </m:sSub>
        <m:r>
          <m:rPr>
            <m:sty m:val="p"/>
          </m:rPr>
          <w:rPr>
            <w:rFonts w:ascii="Cambria Math" w:hAnsi="Cambria Math"/>
          </w:rPr>
          <m:t>*</m:t>
        </m:r>
        <m:d>
          <m:dPr>
            <m:begChr m:val="|"/>
            <m:endChr m:val="|"/>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3</m:t>
                </m:r>
                <m:r>
                  <w:rPr>
                    <w:rFonts w:ascii="Cambria Math" w:hAnsi="Cambria Math"/>
                  </w:rPr>
                  <m:t>C</m:t>
                </m:r>
                <m:r>
                  <m:rPr>
                    <m:sty m:val="p"/>
                  </m:rPr>
                  <w:rPr>
                    <w:rFonts w:ascii="Cambria Math" w:hAnsi="Cambria Math"/>
                  </w:rPr>
                  <m:t>,8</m:t>
                </m:r>
              </m:sub>
            </m:sSub>
          </m:e>
        </m:d>
        <m: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22,14</m:t>
            </m:r>
          </m:sub>
        </m:sSub>
        <m:r>
          <m:rPr>
            <m:sty m:val="p"/>
          </m:rPr>
          <w:rPr>
            <w:rFonts w:ascii="Cambria Math" w:hAnsi="Cambria Math"/>
          </w:rPr>
          <m:t>=0</m:t>
        </m:r>
      </m:oMath>
      <w:r w:rsidR="001E169B" w:rsidRPr="001817EE">
        <w:t xml:space="preserve"> </w:t>
      </w:r>
      <w:r w:rsidR="001E169B" w:rsidRPr="001817EE">
        <w:tab/>
      </w:r>
      <w:r w:rsidR="001E169B">
        <w:tab/>
      </w:r>
      <w:r w:rsidR="001E169B">
        <w:tab/>
        <w:t>Eq. (3.2.3.</w:t>
      </w:r>
      <w:r w:rsidR="001E169B" w:rsidRPr="001817EE">
        <w:t>15)</w:t>
      </w:r>
    </w:p>
    <w:p w:rsidR="007D1E0A" w:rsidRPr="001817EE" w:rsidRDefault="007D1E0A" w:rsidP="001E169B">
      <w:pPr>
        <w:jc w:val="right"/>
      </w:pPr>
    </w:p>
    <w:p w:rsidR="00E664E4" w:rsidRPr="001817EE" w:rsidRDefault="00E664E4" w:rsidP="00E664E4">
      <w:pPr>
        <w:jc w:val="center"/>
      </w:pPr>
      <w:r w:rsidRPr="001817EE">
        <w:object w:dxaOrig="4065" w:dyaOrig="3649">
          <v:shape id="_x0000_i1038" type="#_x0000_t75" style="width:204.1pt;height:181.65pt" o:ole="">
            <v:imagedata r:id="rId53" o:title=""/>
          </v:shape>
          <o:OLEObject Type="Embed" ProgID="Visio.Drawing.11" ShapeID="_x0000_i1038" DrawAspect="Content" ObjectID="_1445525563" r:id="rId54"/>
        </w:object>
      </w:r>
    </w:p>
    <w:p w:rsidR="00E664E4" w:rsidRDefault="00E664E4" w:rsidP="00E664E4">
      <w:pPr>
        <w:jc w:val="center"/>
        <w:rPr>
          <w:b/>
          <w:sz w:val="20"/>
          <w:szCs w:val="20"/>
        </w:rPr>
      </w:pPr>
      <w:r w:rsidRPr="009D034F">
        <w:rPr>
          <w:b/>
          <w:sz w:val="20"/>
          <w:szCs w:val="20"/>
        </w:rPr>
        <w:t xml:space="preserve">Figure 3.16. Block Diagram of the Module 3B </w:t>
      </w:r>
      <w:r w:rsidR="004045DF">
        <w:rPr>
          <w:b/>
          <w:sz w:val="20"/>
          <w:szCs w:val="20"/>
        </w:rPr>
        <w:t>Showing Input and Output Streams</w:t>
      </w:r>
      <w:r w:rsidRPr="009D034F">
        <w:rPr>
          <w:b/>
          <w:sz w:val="20"/>
          <w:szCs w:val="20"/>
        </w:rPr>
        <w:t>.</w:t>
      </w:r>
    </w:p>
    <w:p w:rsidR="001E169B" w:rsidRPr="001E169B" w:rsidRDefault="001E169B" w:rsidP="001E169B"/>
    <w:p w:rsidR="001D0EF6" w:rsidRPr="001817EE" w:rsidRDefault="001D0EF6" w:rsidP="001D0EF6">
      <w:r w:rsidRPr="001817EE">
        <w:lastRenderedPageBreak/>
        <w:t xml:space="preserve">Equations </w:t>
      </w:r>
      <w:r>
        <w:t>3.2.3.</w:t>
      </w:r>
      <w:r w:rsidRPr="001817EE">
        <w:t>16–</w:t>
      </w:r>
      <w:r>
        <w:t>3.2.3.</w:t>
      </w:r>
      <w:r w:rsidRPr="001817EE">
        <w:t xml:space="preserve">22 </w:t>
      </w:r>
      <w:proofErr w:type="gramStart"/>
      <w:r w:rsidRPr="001817EE">
        <w:t>calculate</w:t>
      </w:r>
      <w:proofErr w:type="gramEnd"/>
      <w:r w:rsidRPr="001817EE">
        <w:t xml:space="preserve"> the component mole balances for </w:t>
      </w:r>
      <w:r>
        <w:t>S</w:t>
      </w:r>
      <w:r w:rsidRPr="001817EE">
        <w:t>tream 26.</w:t>
      </w:r>
    </w:p>
    <w:p w:rsidR="001D0EF6" w:rsidRPr="001817EE" w:rsidRDefault="00C851DF" w:rsidP="001D0EF6">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22,1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23,1</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26,1</m:t>
            </m:r>
          </m:sub>
        </m:sSub>
        <m:r>
          <m:rPr>
            <m:sty m:val="p"/>
          </m:rPr>
          <w:rPr>
            <w:rFonts w:ascii="Cambria Math" w:hAnsi="Cambria Math"/>
          </w:rPr>
          <m:t>=0</m:t>
        </m:r>
      </m:oMath>
      <w:r w:rsidR="001D0EF6" w:rsidRPr="001817EE">
        <w:t xml:space="preserve"> </w:t>
      </w:r>
      <w:r w:rsidR="001D0EF6" w:rsidRPr="001817EE">
        <w:tab/>
      </w:r>
      <w:r w:rsidR="001D0EF6" w:rsidRPr="001817EE">
        <w:tab/>
      </w:r>
      <w:r w:rsidR="001D0EF6">
        <w:tab/>
      </w:r>
      <w:r w:rsidR="001D0EF6">
        <w:tab/>
        <w:t>Eq. (3.2.3.</w:t>
      </w:r>
      <w:r w:rsidR="001D0EF6" w:rsidRPr="001817EE">
        <w:t>16)</w:t>
      </w:r>
    </w:p>
    <w:p w:rsidR="001D0EF6" w:rsidRPr="001817EE" w:rsidRDefault="00C851DF" w:rsidP="001D0EF6">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24,3</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26,3</m:t>
            </m:r>
          </m:sub>
        </m:sSub>
        <m:r>
          <m:rPr>
            <m:sty m:val="p"/>
          </m:rPr>
          <w:rPr>
            <w:rFonts w:ascii="Cambria Math" w:hAnsi="Cambria Math"/>
          </w:rPr>
          <m:t>=0</m:t>
        </m:r>
      </m:oMath>
      <w:r w:rsidR="001D0EF6" w:rsidRPr="001817EE">
        <w:t xml:space="preserve"> </w:t>
      </w:r>
      <w:r w:rsidR="001D0EF6" w:rsidRPr="001817EE">
        <w:tab/>
      </w:r>
      <w:r w:rsidR="001D0EF6" w:rsidRPr="001817EE">
        <w:tab/>
      </w:r>
      <w:r w:rsidR="001D0EF6">
        <w:tab/>
      </w:r>
      <w:r w:rsidR="001D0EF6">
        <w:tab/>
      </w:r>
      <w:r w:rsidR="001D0EF6" w:rsidRPr="001817EE">
        <w:tab/>
      </w:r>
      <w:r w:rsidR="001D0EF6">
        <w:t>Eq. (3.2.3.</w:t>
      </w:r>
      <w:r w:rsidR="001D0EF6" w:rsidRPr="001817EE">
        <w:t>17)</w:t>
      </w:r>
    </w:p>
    <w:p w:rsidR="001D0EF6" w:rsidRPr="001817EE" w:rsidRDefault="00C851DF" w:rsidP="001D0EF6">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25,8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26,8</m:t>
            </m:r>
          </m:sub>
        </m:sSub>
        <m:r>
          <m:rPr>
            <m:sty m:val="p"/>
          </m:rPr>
          <w:rPr>
            <w:rFonts w:ascii="Cambria Math" w:hAnsi="Cambria Math"/>
          </w:rPr>
          <m:t>=0</m:t>
        </m:r>
      </m:oMath>
      <w:r w:rsidR="001D0EF6" w:rsidRPr="001817EE">
        <w:t xml:space="preserve"> </w:t>
      </w:r>
      <w:r w:rsidR="001D0EF6" w:rsidRPr="001817EE">
        <w:tab/>
      </w:r>
      <w:r w:rsidR="001D0EF6" w:rsidRPr="001817EE">
        <w:tab/>
      </w:r>
      <w:r w:rsidR="001D0EF6" w:rsidRPr="001817EE">
        <w:tab/>
      </w:r>
      <w:r w:rsidR="001D0EF6">
        <w:tab/>
      </w:r>
      <w:r w:rsidR="001D0EF6">
        <w:tab/>
        <w:t>Eq. (3.2.3.</w:t>
      </w:r>
      <w:r w:rsidR="001D0EF6" w:rsidRPr="001817EE">
        <w:t>18)</w:t>
      </w:r>
    </w:p>
    <w:p w:rsidR="00E664E4" w:rsidRPr="001817EE"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22,9</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26,9</m:t>
            </m:r>
          </m:sub>
        </m:sSub>
        <m:r>
          <m:rPr>
            <m:sty m:val="p"/>
          </m:rPr>
          <w:rPr>
            <w:rFonts w:ascii="Cambria Math" w:hAnsi="Cambria Math"/>
          </w:rPr>
          <m:t>=0</m:t>
        </m:r>
      </m:oMath>
      <w:r w:rsidR="00E664E4" w:rsidRPr="001817EE">
        <w:t xml:space="preserve"> </w:t>
      </w:r>
      <w:r w:rsidR="00E664E4" w:rsidRPr="001817EE">
        <w:tab/>
      </w:r>
      <w:r w:rsidR="00E664E4" w:rsidRPr="001817EE">
        <w:tab/>
      </w:r>
      <w:r w:rsidR="00E664E4" w:rsidRPr="001817EE">
        <w:tab/>
      </w:r>
      <w:r w:rsidR="00E664E4">
        <w:tab/>
      </w:r>
      <w:r w:rsidR="00E664E4">
        <w:tab/>
        <w:t>Eq. (3.2.3.</w:t>
      </w:r>
      <w:r w:rsidR="00E664E4" w:rsidRPr="001817EE">
        <w:t>19)</w:t>
      </w:r>
    </w:p>
    <w:p w:rsidR="00E664E4" w:rsidRPr="001817EE"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22,14</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26,14</m:t>
            </m:r>
          </m:sub>
        </m:sSub>
        <m:r>
          <m:rPr>
            <m:sty m:val="p"/>
          </m:rPr>
          <w:rPr>
            <w:rFonts w:ascii="Cambria Math" w:hAnsi="Cambria Math"/>
          </w:rPr>
          <m:t>=0</m:t>
        </m:r>
      </m:oMath>
      <w:r w:rsidR="00E664E4" w:rsidRPr="001817EE">
        <w:t xml:space="preserve"> </w:t>
      </w:r>
      <w:r w:rsidR="00E664E4" w:rsidRPr="001817EE">
        <w:tab/>
      </w:r>
      <w:r w:rsidR="00E664E4" w:rsidRPr="001817EE">
        <w:tab/>
      </w:r>
      <w:r w:rsidR="00E664E4" w:rsidRPr="001817EE">
        <w:tab/>
      </w:r>
      <w:r w:rsidR="00E664E4">
        <w:tab/>
      </w:r>
      <w:r w:rsidR="00E664E4">
        <w:tab/>
        <w:t>Eq. (3.2.3.</w:t>
      </w:r>
      <w:r w:rsidR="00E664E4" w:rsidRPr="001817EE">
        <w:t>20)</w:t>
      </w:r>
    </w:p>
    <w:p w:rsidR="00E664E4" w:rsidRPr="001817EE"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22,18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26,18</m:t>
            </m:r>
          </m:sub>
        </m:sSub>
        <m:r>
          <m:rPr>
            <m:sty m:val="p"/>
          </m:rPr>
          <w:rPr>
            <w:rFonts w:ascii="Cambria Math" w:hAnsi="Cambria Math"/>
          </w:rPr>
          <m:t>=0</m:t>
        </m:r>
      </m:oMath>
      <w:r w:rsidR="00E664E4" w:rsidRPr="001817EE">
        <w:t xml:space="preserve"> </w:t>
      </w:r>
      <w:r w:rsidR="00E664E4" w:rsidRPr="001817EE">
        <w:tab/>
      </w:r>
      <w:r w:rsidR="00E664E4" w:rsidRPr="001817EE">
        <w:tab/>
      </w:r>
      <w:r w:rsidR="00E664E4" w:rsidRPr="001817EE">
        <w:tab/>
      </w:r>
      <w:r w:rsidR="00E664E4">
        <w:tab/>
      </w:r>
      <w:r w:rsidR="00E664E4">
        <w:tab/>
        <w:t>Eq. (3.2.3.</w:t>
      </w:r>
      <w:r w:rsidR="00E664E4" w:rsidRPr="001817EE">
        <w:t>21)</w:t>
      </w:r>
    </w:p>
    <w:p w:rsidR="00E664E4" w:rsidRPr="001817EE"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22,21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26,21</m:t>
            </m:r>
          </m:sub>
        </m:sSub>
        <m:r>
          <m:rPr>
            <m:sty m:val="p"/>
          </m:rPr>
          <w:rPr>
            <w:rFonts w:ascii="Cambria Math" w:hAnsi="Cambria Math"/>
          </w:rPr>
          <m:t>=0</m:t>
        </m:r>
      </m:oMath>
      <w:r w:rsidR="00E664E4" w:rsidRPr="001817EE">
        <w:t xml:space="preserve"> </w:t>
      </w:r>
      <w:r w:rsidR="00E664E4" w:rsidRPr="001817EE">
        <w:tab/>
      </w:r>
      <w:r w:rsidR="00E664E4" w:rsidRPr="001817EE">
        <w:tab/>
      </w:r>
      <w:r w:rsidR="00E664E4" w:rsidRPr="001817EE">
        <w:tab/>
      </w:r>
      <w:r w:rsidR="00E664E4">
        <w:tab/>
      </w:r>
      <w:r w:rsidR="00E664E4">
        <w:tab/>
        <w:t>Eq. (3.2.3.</w:t>
      </w:r>
      <w:r w:rsidR="00E664E4" w:rsidRPr="001817EE">
        <w:t>22)</w:t>
      </w:r>
    </w:p>
    <w:p w:rsidR="00E664E4" w:rsidRPr="001817EE" w:rsidRDefault="00E664E4" w:rsidP="00E664E4"/>
    <w:p w:rsidR="00E664E4" w:rsidRDefault="00E664E4" w:rsidP="00E664E4">
      <w:pPr>
        <w:rPr>
          <w:rFonts w:asciiTheme="majorHAnsi" w:hAnsiTheme="majorHAnsi"/>
          <w:b/>
          <w:i/>
        </w:rPr>
      </w:pPr>
      <w:r>
        <w:rPr>
          <w:rFonts w:asciiTheme="majorHAnsi" w:hAnsiTheme="majorHAnsi"/>
          <w:b/>
          <w:i/>
        </w:rPr>
        <w:t>3.2.3</w:t>
      </w:r>
      <w:r w:rsidRPr="00C26992">
        <w:rPr>
          <w:rFonts w:asciiTheme="majorHAnsi" w:hAnsiTheme="majorHAnsi"/>
          <w:b/>
          <w:i/>
        </w:rPr>
        <w:t>.</w:t>
      </w:r>
      <w:r>
        <w:rPr>
          <w:rFonts w:asciiTheme="majorHAnsi" w:hAnsiTheme="majorHAnsi"/>
          <w:b/>
          <w:i/>
        </w:rPr>
        <w:t>3 Module 3C</w:t>
      </w:r>
    </w:p>
    <w:p w:rsidR="00E664E4" w:rsidRPr="00AE4E50" w:rsidRDefault="00E664E4" w:rsidP="00E664E4">
      <w:r>
        <w:t>Module 3C encompassed</w:t>
      </w:r>
      <w:r w:rsidRPr="00AE4E50">
        <w:t xml:space="preserve"> the precipitation p</w:t>
      </w:r>
      <w:r>
        <w:t>rocess. The input to Module 3C was</w:t>
      </w:r>
      <w:r w:rsidRPr="00AE4E50">
        <w:t xml:space="preserve"> the </w:t>
      </w:r>
      <w:r>
        <w:t>output of Module 3B, and there wa</w:t>
      </w:r>
      <w:r w:rsidRPr="00AE4E50">
        <w:t>s o</w:t>
      </w:r>
      <w:r>
        <w:t>ne output from Module 3C which wa</w:t>
      </w:r>
      <w:r w:rsidRPr="00AE4E50">
        <w:t>s the solid AUC and ammonium nitrate along with the unreacted water, ammonia,</w:t>
      </w:r>
      <w:r>
        <w:t xml:space="preserve"> and carbon dioxide. Module 3C wa</w:t>
      </w:r>
      <w:r w:rsidRPr="00AE4E50">
        <w:t>s the only sub-module in M</w:t>
      </w:r>
      <w:r>
        <w:t>odule 3 in which reaction occurred. The reaction that occurred in Module 3C is shown in Eq. 3.2.3.2</w:t>
      </w:r>
      <w:r w:rsidRPr="00AE4E50">
        <w:t>.</w:t>
      </w:r>
    </w:p>
    <w:p w:rsidR="00E664E4" w:rsidRPr="00AE4E50" w:rsidRDefault="00E664E4" w:rsidP="00E664E4">
      <w:pPr>
        <w:jc w:val="right"/>
      </w:pPr>
      <m:oMath>
        <m:r>
          <w:rPr>
            <w:rFonts w:ascii="Cambria Math" w:hAnsi="Cambria Math"/>
          </w:rPr>
          <m:t>U</m:t>
        </m:r>
        <m:sSub>
          <m:sSubPr>
            <m:ctrlPr>
              <w:rPr>
                <w:rFonts w:ascii="Cambria Math" w:hAnsi="Cambria Math"/>
              </w:rPr>
            </m:ctrlPr>
          </m:sSubPr>
          <m:e>
            <m:r>
              <w:rPr>
                <w:rFonts w:ascii="Cambria Math" w:hAnsi="Cambria Math"/>
              </w:rPr>
              <m:t>O</m:t>
            </m:r>
          </m:e>
          <m:sub>
            <m:r>
              <m:rPr>
                <m:sty m:val="p"/>
              </m:rPr>
              <w:rPr>
                <w:rFonts w:ascii="Cambria Math" w:hAnsi="Cambria Math"/>
              </w:rPr>
              <m:t>2</m:t>
            </m:r>
          </m:sub>
        </m:sSub>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NO</m:t>
                    </m:r>
                  </m:e>
                  <m:sub>
                    <m:r>
                      <m:rPr>
                        <m:sty m:val="p"/>
                      </m:rPr>
                      <w:rPr>
                        <w:rFonts w:ascii="Cambria Math" w:hAnsi="Cambria Math"/>
                      </w:rPr>
                      <m:t>3</m:t>
                    </m:r>
                  </m:sub>
                </m:sSub>
              </m:e>
            </m:d>
          </m:e>
          <m:sub>
            <m:r>
              <m:rPr>
                <m:sty m:val="p"/>
              </m:rPr>
              <w:rPr>
                <w:rFonts w:ascii="Cambria Math" w:hAnsi="Cambria Math"/>
              </w:rPr>
              <m:t>2</m:t>
            </m:r>
          </m:sub>
        </m:sSub>
        <m:r>
          <m:rPr>
            <m:sty m:val="p"/>
          </m:rPr>
          <w:rPr>
            <w:rFonts w:ascii="Cambria Math" w:hAnsi="Cambria Math"/>
          </w:rPr>
          <m:t>+6</m:t>
        </m:r>
        <m:sSub>
          <m:sSubPr>
            <m:ctrlPr>
              <w:rPr>
                <w:rFonts w:ascii="Cambria Math" w:hAnsi="Cambria Math"/>
              </w:rPr>
            </m:ctrlPr>
          </m:sSubPr>
          <m:e>
            <m:r>
              <w:rPr>
                <w:rFonts w:ascii="Cambria Math" w:hAnsi="Cambria Math"/>
              </w:rPr>
              <m:t>NH</m:t>
            </m:r>
          </m:e>
          <m:sub>
            <m:r>
              <m:rPr>
                <m:sty m:val="p"/>
              </m:rPr>
              <w:rPr>
                <w:rFonts w:ascii="Cambria Math" w:hAnsi="Cambria Math"/>
              </w:rPr>
              <m:t>3</m:t>
            </m:r>
          </m:sub>
        </m:sSub>
        <m:r>
          <m:rPr>
            <m:sty m:val="p"/>
          </m:rPr>
          <w:rPr>
            <w:rFonts w:ascii="Cambria Math" w:hAnsi="Cambria Math"/>
          </w:rPr>
          <m:t>+3</m:t>
        </m:r>
        <m:sSub>
          <m:sSubPr>
            <m:ctrlPr>
              <w:rPr>
                <w:rFonts w:ascii="Cambria Math" w:hAnsi="Cambria Math"/>
              </w:rPr>
            </m:ctrlPr>
          </m:sSubPr>
          <m:e>
            <m:r>
              <w:rPr>
                <w:rFonts w:ascii="Cambria Math" w:hAnsi="Cambria Math"/>
              </w:rPr>
              <m:t>CO</m:t>
            </m:r>
          </m:e>
          <m:sub>
            <m:r>
              <m:rPr>
                <m:sty m:val="p"/>
              </m:rPr>
              <w:rPr>
                <w:rFonts w:ascii="Cambria Math" w:hAnsi="Cambria Math"/>
              </w:rPr>
              <m:t>2</m:t>
            </m:r>
          </m:sub>
        </m:sSub>
        <m:r>
          <m:rPr>
            <m:sty m:val="p"/>
          </m:rPr>
          <w:rPr>
            <w:rFonts w:ascii="Cambria Math" w:hAnsi="Cambria Math"/>
          </w:rPr>
          <m:t>+3</m:t>
        </m:r>
        <m:sSub>
          <m:sSubPr>
            <m:ctrlPr>
              <w:rPr>
                <w:rFonts w:ascii="Cambria Math" w:hAnsi="Cambria Math"/>
              </w:rPr>
            </m:ctrlPr>
          </m:sSubPr>
          <m:e>
            <m:r>
              <w:rPr>
                <w:rFonts w:ascii="Cambria Math" w:hAnsi="Cambria Math"/>
              </w:rPr>
              <m:t>H</m:t>
            </m:r>
          </m:e>
          <m:sub>
            <m:r>
              <m:rPr>
                <m:sty m:val="p"/>
              </m:rPr>
              <w:rPr>
                <w:rFonts w:ascii="Cambria Math" w:hAnsi="Cambria Math"/>
              </w:rPr>
              <m:t>2</m:t>
            </m:r>
          </m:sub>
        </m:sSub>
        <m:r>
          <w:rPr>
            <w:rFonts w:ascii="Cambria Math" w:hAnsi="Cambria Math"/>
          </w:rPr>
          <m:t>O</m:t>
        </m:r>
        <m:r>
          <m:rPr>
            <m:sty m:val="p"/>
          </m:rPr>
          <w:rPr>
            <w:rFonts w:ascii="Cambria Math" w:hAnsi="Cambria Math"/>
          </w:rPr>
          <m:t>→</m:t>
        </m:r>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NH</m:t>
                    </m:r>
                  </m:e>
                  <m:sub>
                    <m:r>
                      <m:rPr>
                        <m:sty m:val="p"/>
                      </m:rPr>
                      <w:rPr>
                        <w:rFonts w:ascii="Cambria Math" w:hAnsi="Cambria Math"/>
                      </w:rPr>
                      <m:t>4</m:t>
                    </m:r>
                  </m:sub>
                </m:sSub>
              </m:e>
            </m:d>
          </m:e>
          <m:sub>
            <m:r>
              <m:rPr>
                <m:sty m:val="p"/>
              </m:rPr>
              <w:rPr>
                <w:rFonts w:ascii="Cambria Math" w:hAnsi="Cambria Math"/>
              </w:rPr>
              <m:t>4</m:t>
            </m:r>
          </m:sub>
        </m:sSub>
        <m:sSub>
          <m:sSubPr>
            <m:ctrlPr>
              <w:rPr>
                <w:rFonts w:ascii="Cambria Math" w:hAnsi="Cambria Math"/>
              </w:rPr>
            </m:ctrlPr>
          </m:sSubPr>
          <m:e>
            <m:r>
              <w:rPr>
                <w:rFonts w:ascii="Cambria Math" w:hAnsi="Cambria Math"/>
              </w:rPr>
              <m:t>UO</m:t>
            </m:r>
          </m:e>
          <m:sub>
            <m:r>
              <m:rPr>
                <m:sty m:val="p"/>
              </m:rPr>
              <w:rPr>
                <w:rFonts w:ascii="Cambria Math" w:hAnsi="Cambria Math"/>
              </w:rPr>
              <m:t>2</m:t>
            </m:r>
          </m:sub>
        </m:sSub>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CO</m:t>
                    </m:r>
                  </m:e>
                  <m:sub>
                    <m:r>
                      <m:rPr>
                        <m:sty m:val="p"/>
                      </m:rPr>
                      <w:rPr>
                        <w:rFonts w:ascii="Cambria Math" w:hAnsi="Cambria Math"/>
                      </w:rPr>
                      <m:t>3</m:t>
                    </m:r>
                  </m:sub>
                </m:sSub>
              </m:e>
            </m:d>
          </m:e>
          <m:sub>
            <m:r>
              <m:rPr>
                <m:sty m:val="p"/>
              </m:rPr>
              <w:rPr>
                <w:rFonts w:ascii="Cambria Math" w:hAnsi="Cambria Math"/>
              </w:rPr>
              <m:t>3</m:t>
            </m:r>
          </m:sub>
        </m:sSub>
        <m:r>
          <m:rPr>
            <m:sty m:val="p"/>
          </m:rPr>
          <w:rPr>
            <w:rFonts w:ascii="Cambria Math" w:hAnsi="Cambria Math"/>
          </w:rPr>
          <m:t>+2</m:t>
        </m:r>
        <m:sSub>
          <m:sSubPr>
            <m:ctrlPr>
              <w:rPr>
                <w:rFonts w:ascii="Cambria Math" w:hAnsi="Cambria Math"/>
              </w:rPr>
            </m:ctrlPr>
          </m:sSubPr>
          <m:e>
            <m:r>
              <w:rPr>
                <w:rFonts w:ascii="Cambria Math" w:hAnsi="Cambria Math"/>
              </w:rPr>
              <m:t>NH</m:t>
            </m:r>
          </m:e>
          <m:sub>
            <m:r>
              <m:rPr>
                <m:sty m:val="p"/>
              </m:rPr>
              <w:rPr>
                <w:rFonts w:ascii="Cambria Math" w:hAnsi="Cambria Math"/>
              </w:rPr>
              <m:t>4</m:t>
            </m:r>
          </m:sub>
        </m:sSub>
        <m:sSub>
          <m:sSubPr>
            <m:ctrlPr>
              <w:rPr>
                <w:rFonts w:ascii="Cambria Math" w:hAnsi="Cambria Math"/>
              </w:rPr>
            </m:ctrlPr>
          </m:sSubPr>
          <m:e>
            <m:r>
              <w:rPr>
                <w:rFonts w:ascii="Cambria Math" w:hAnsi="Cambria Math"/>
              </w:rPr>
              <m:t>NO</m:t>
            </m:r>
          </m:e>
          <m:sub>
            <m:r>
              <m:rPr>
                <m:sty m:val="p"/>
              </m:rPr>
              <w:rPr>
                <w:rFonts w:ascii="Cambria Math" w:hAnsi="Cambria Math"/>
              </w:rPr>
              <m:t>3</m:t>
            </m:r>
          </m:sub>
        </m:sSub>
      </m:oMath>
      <w:r w:rsidRPr="00AE4E50">
        <w:tab/>
      </w:r>
      <w:r>
        <w:t>Eq. (3.2.3.</w:t>
      </w:r>
      <w:r w:rsidRPr="00AE4E50">
        <w:t>2)</w:t>
      </w:r>
    </w:p>
    <w:p w:rsidR="00E664E4" w:rsidRPr="00AE4E50" w:rsidRDefault="00E664E4" w:rsidP="00E664E4">
      <w:r>
        <w:t>The reaction wa</w:t>
      </w:r>
      <w:r w:rsidRPr="00AE4E50">
        <w:t>s actually a comp</w:t>
      </w:r>
      <w:r>
        <w:t>osite of three reactions which we</w:t>
      </w:r>
      <w:r w:rsidRPr="00AE4E50">
        <w:t xml:space="preserve">re equivalent to Eq. </w:t>
      </w:r>
      <w:r>
        <w:t>3.2.3.</w:t>
      </w:r>
      <w:r w:rsidRPr="00AE4E50">
        <w:t xml:space="preserve">2, as shown in Eq. </w:t>
      </w:r>
      <w:r>
        <w:t>3.2.3.</w:t>
      </w:r>
      <w:r w:rsidRPr="00AE4E50">
        <w:t>23a–c. The three simultaneous reactions take place immediately and go 100% to completion.</w:t>
      </w:r>
    </w:p>
    <w:p w:rsidR="00E664E4" w:rsidRPr="00AE4E50" w:rsidRDefault="00E664E4" w:rsidP="00E664E4">
      <w:pPr>
        <w:jc w:val="right"/>
      </w:pPr>
      <m:oMath>
        <m:r>
          <w:rPr>
            <w:rFonts w:ascii="Cambria Math" w:hAnsi="Cambria Math"/>
          </w:rPr>
          <m:t>U</m:t>
        </m:r>
        <m:sSub>
          <m:sSubPr>
            <m:ctrlPr>
              <w:rPr>
                <w:rFonts w:ascii="Cambria Math" w:hAnsi="Cambria Math"/>
              </w:rPr>
            </m:ctrlPr>
          </m:sSubPr>
          <m:e>
            <m:r>
              <w:rPr>
                <w:rFonts w:ascii="Cambria Math" w:hAnsi="Cambria Math"/>
              </w:rPr>
              <m:t>O</m:t>
            </m:r>
          </m:e>
          <m:sub>
            <m:r>
              <m:rPr>
                <m:sty m:val="p"/>
              </m:rPr>
              <w:rPr>
                <w:rFonts w:ascii="Cambria Math" w:hAnsi="Cambria Math"/>
              </w:rPr>
              <m:t>2</m:t>
            </m:r>
          </m:sub>
        </m:sSub>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NO</m:t>
                    </m:r>
                  </m:e>
                  <m:sub>
                    <m:r>
                      <m:rPr>
                        <m:sty m:val="p"/>
                      </m:rPr>
                      <w:rPr>
                        <w:rFonts w:ascii="Cambria Math" w:hAnsi="Cambria Math"/>
                      </w:rPr>
                      <m:t>3</m:t>
                    </m:r>
                  </m:sub>
                </m:sSub>
              </m:e>
            </m:d>
          </m:e>
          <m:sub>
            <m:r>
              <m:rPr>
                <m:sty m:val="p"/>
              </m:rPr>
              <w:rPr>
                <w:rFonts w:ascii="Cambria Math" w:hAnsi="Cambria Math"/>
              </w:rPr>
              <m:t>2</m:t>
            </m:r>
          </m:sub>
        </m:sSub>
        <m:r>
          <m:rPr>
            <m:sty m:val="p"/>
          </m:rPr>
          <w:rPr>
            <w:rFonts w:ascii="Cambria Math" w:hAnsi="Cambria Math"/>
          </w:rPr>
          <m:t>+6</m:t>
        </m:r>
        <m:sSub>
          <m:sSubPr>
            <m:ctrlPr>
              <w:rPr>
                <w:rFonts w:ascii="Cambria Math" w:hAnsi="Cambria Math"/>
              </w:rPr>
            </m:ctrlPr>
          </m:sSubPr>
          <m:e>
            <m:r>
              <w:rPr>
                <w:rFonts w:ascii="Cambria Math" w:hAnsi="Cambria Math"/>
              </w:rPr>
              <m:t>NH</m:t>
            </m:r>
          </m:e>
          <m:sub>
            <m:r>
              <m:rPr>
                <m:sty m:val="p"/>
              </m:rP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UO</m:t>
            </m:r>
          </m:e>
          <m:sub>
            <m:r>
              <m:rPr>
                <m:sty m:val="p"/>
              </m:rPr>
              <w:rPr>
                <w:rFonts w:ascii="Cambria Math" w:hAnsi="Cambria Math"/>
              </w:rPr>
              <m:t>2</m:t>
            </m:r>
          </m:sub>
        </m:sSub>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NO</m:t>
                    </m:r>
                  </m:e>
                  <m:sub>
                    <m:r>
                      <m:rPr>
                        <m:sty m:val="p"/>
                      </m:rPr>
                      <w:rPr>
                        <w:rFonts w:ascii="Cambria Math" w:hAnsi="Cambria Math"/>
                      </w:rPr>
                      <m:t>3</m:t>
                    </m:r>
                  </m:sub>
                </m:sSub>
              </m:e>
            </m:d>
          </m:e>
          <m:sub>
            <m:r>
              <m:rPr>
                <m:sty m:val="p"/>
              </m:rPr>
              <w:rPr>
                <w:rFonts w:ascii="Cambria Math" w:hAnsi="Cambria Math"/>
              </w:rPr>
              <m:t>2</m:t>
            </m:r>
          </m:sub>
        </m:sSub>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NH</m:t>
                    </m:r>
                  </m:e>
                  <m:sub>
                    <m:r>
                      <m:rPr>
                        <m:sty m:val="p"/>
                      </m:rPr>
                      <w:rPr>
                        <w:rFonts w:ascii="Cambria Math" w:hAnsi="Cambria Math"/>
                      </w:rPr>
                      <m:t>3</m:t>
                    </m:r>
                  </m:sub>
                </m:sSub>
              </m:e>
            </m:d>
          </m:e>
          <m:sub>
            <m:r>
              <m:rPr>
                <m:sty m:val="p"/>
              </m:rPr>
              <w:rPr>
                <w:rFonts w:ascii="Cambria Math" w:hAnsi="Cambria Math"/>
              </w:rPr>
              <m:t>6</m:t>
            </m:r>
          </m:sub>
        </m:sSub>
      </m:oMath>
      <w:r>
        <w:tab/>
      </w:r>
      <w:r>
        <w:tab/>
      </w:r>
      <w:r>
        <w:tab/>
        <w:t>Eq. (3.2.3.</w:t>
      </w:r>
      <w:r w:rsidRPr="00AE4E50">
        <w:t>23a)</w:t>
      </w:r>
    </w:p>
    <w:p w:rsidR="00E664E4" w:rsidRPr="00AE4E50" w:rsidRDefault="00C851DF" w:rsidP="00E664E4">
      <w:pPr>
        <w:jc w:val="right"/>
      </w:pPr>
      <m:oMath>
        <m:sSub>
          <m:sSubPr>
            <m:ctrlPr>
              <w:rPr>
                <w:rFonts w:ascii="Cambria Math" w:hAnsi="Cambria Math"/>
              </w:rPr>
            </m:ctrlPr>
          </m:sSubPr>
          <m:e>
            <m:r>
              <w:rPr>
                <w:rFonts w:ascii="Cambria Math" w:hAnsi="Cambria Math"/>
              </w:rPr>
              <m:t>UO</m:t>
            </m:r>
          </m:e>
          <m:sub>
            <m:r>
              <m:rPr>
                <m:sty m:val="p"/>
              </m:rPr>
              <w:rPr>
                <w:rFonts w:ascii="Cambria Math" w:hAnsi="Cambria Math"/>
              </w:rPr>
              <m:t>2</m:t>
            </m:r>
          </m:sub>
        </m:sSub>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NO</m:t>
                    </m:r>
                  </m:e>
                  <m:sub>
                    <m:r>
                      <m:rPr>
                        <m:sty m:val="p"/>
                      </m:rPr>
                      <w:rPr>
                        <w:rFonts w:ascii="Cambria Math" w:hAnsi="Cambria Math"/>
                      </w:rPr>
                      <m:t>3</m:t>
                    </m:r>
                  </m:sub>
                </m:sSub>
              </m:e>
            </m:d>
          </m:e>
          <m:sub>
            <m:r>
              <m:rPr>
                <m:sty m:val="p"/>
              </m:rPr>
              <w:rPr>
                <w:rFonts w:ascii="Cambria Math" w:hAnsi="Cambria Math"/>
              </w:rPr>
              <m:t>2</m:t>
            </m:r>
          </m:sub>
        </m:sSub>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NH</m:t>
                    </m:r>
                  </m:e>
                  <m:sub>
                    <m:r>
                      <m:rPr>
                        <m:sty m:val="p"/>
                      </m:rPr>
                      <w:rPr>
                        <w:rFonts w:ascii="Cambria Math" w:hAnsi="Cambria Math"/>
                      </w:rPr>
                      <m:t>3</m:t>
                    </m:r>
                  </m:sub>
                </m:sSub>
              </m:e>
            </m:d>
          </m:e>
          <m:sub>
            <m:r>
              <m:rPr>
                <m:sty m:val="p"/>
              </m:rPr>
              <w:rPr>
                <w:rFonts w:ascii="Cambria Math" w:hAnsi="Cambria Math"/>
              </w:rPr>
              <m:t>6</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3</m:t>
            </m:r>
            <m:r>
              <w:rPr>
                <w:rFonts w:ascii="Cambria Math" w:hAnsi="Cambria Math"/>
              </w:rPr>
              <m:t>CO</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UO</m:t>
            </m:r>
          </m:e>
          <m:sub>
            <m:r>
              <m:rPr>
                <m:sty m:val="p"/>
              </m:rPr>
              <w:rPr>
                <w:rFonts w:ascii="Cambria Math" w:hAnsi="Cambria Math"/>
              </w:rPr>
              <m:t>2</m:t>
            </m:r>
          </m:sub>
        </m:sSub>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NO</m:t>
                    </m:r>
                  </m:e>
                  <m:sub>
                    <m:r>
                      <m:rPr>
                        <m:sty m:val="p"/>
                      </m:rPr>
                      <w:rPr>
                        <w:rFonts w:ascii="Cambria Math" w:hAnsi="Cambria Math"/>
                      </w:rPr>
                      <m:t>3</m:t>
                    </m:r>
                  </m:sub>
                </m:sSub>
              </m:e>
            </m:d>
          </m:e>
          <m:sub>
            <m:r>
              <m:rPr>
                <m:sty m:val="p"/>
              </m:rPr>
              <w:rPr>
                <w:rFonts w:ascii="Cambria Math" w:hAnsi="Cambria Math"/>
              </w:rPr>
              <m:t>2</m:t>
            </m:r>
          </m:sub>
        </m:sSub>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NH</m:t>
                    </m:r>
                  </m:e>
                  <m:sub>
                    <m:r>
                      <m:rPr>
                        <m:sty m:val="p"/>
                      </m:rPr>
                      <w:rPr>
                        <w:rFonts w:ascii="Cambria Math" w:hAnsi="Cambria Math"/>
                      </w:rPr>
                      <m:t>3</m:t>
                    </m:r>
                  </m:sub>
                </m:sSub>
              </m:e>
            </m:d>
          </m:e>
          <m:sub>
            <m:r>
              <m:rPr>
                <m:sty m:val="p"/>
              </m:rPr>
              <w:rPr>
                <w:rFonts w:ascii="Cambria Math" w:hAnsi="Cambria Math"/>
              </w:rPr>
              <m:t>6</m:t>
            </m:r>
          </m:sub>
        </m:sSub>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CO</m:t>
                    </m:r>
                  </m:e>
                  <m:sub>
                    <m:r>
                      <m:rPr>
                        <m:sty m:val="p"/>
                      </m:rPr>
                      <w:rPr>
                        <w:rFonts w:ascii="Cambria Math" w:hAnsi="Cambria Math"/>
                      </w:rPr>
                      <m:t>2</m:t>
                    </m:r>
                  </m:sub>
                </m:sSub>
              </m:e>
            </m:d>
          </m:e>
          <m:sub>
            <m:r>
              <m:rPr>
                <m:sty m:val="p"/>
              </m:rPr>
              <w:rPr>
                <w:rFonts w:ascii="Cambria Math" w:hAnsi="Cambria Math"/>
              </w:rPr>
              <m:t>3</m:t>
            </m:r>
          </m:sub>
        </m:sSub>
      </m:oMath>
      <w:r w:rsidR="00E664E4" w:rsidRPr="00AE4E50">
        <w:tab/>
      </w:r>
      <w:r w:rsidR="00E664E4" w:rsidRPr="00AE4E50">
        <w:tab/>
      </w:r>
      <w:r w:rsidR="00E664E4">
        <w:t>Eq. (3.2.3.</w:t>
      </w:r>
      <w:r w:rsidR="00E664E4" w:rsidRPr="00AE4E50">
        <w:t>23b)</w:t>
      </w:r>
    </w:p>
    <w:p w:rsidR="00E664E4" w:rsidRPr="00AE4E50" w:rsidRDefault="00C851DF" w:rsidP="00E664E4">
      <w:pPr>
        <w:jc w:val="right"/>
      </w:pPr>
      <m:oMath>
        <m:sSub>
          <m:sSubPr>
            <m:ctrlPr>
              <w:rPr>
                <w:rFonts w:ascii="Cambria Math" w:hAnsi="Cambria Math"/>
              </w:rPr>
            </m:ctrlPr>
          </m:sSubPr>
          <m:e>
            <m:r>
              <w:rPr>
                <w:rFonts w:ascii="Cambria Math" w:hAnsi="Cambria Math"/>
              </w:rPr>
              <m:t>UO</m:t>
            </m:r>
          </m:e>
          <m:sub>
            <m:r>
              <m:rPr>
                <m:sty m:val="p"/>
              </m:rPr>
              <w:rPr>
                <w:rFonts w:ascii="Cambria Math" w:hAnsi="Cambria Math"/>
              </w:rPr>
              <m:t>2</m:t>
            </m:r>
          </m:sub>
        </m:sSub>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NO</m:t>
                    </m:r>
                  </m:e>
                  <m:sub>
                    <m:r>
                      <m:rPr>
                        <m:sty m:val="p"/>
                      </m:rPr>
                      <w:rPr>
                        <w:rFonts w:ascii="Cambria Math" w:hAnsi="Cambria Math"/>
                      </w:rPr>
                      <m:t>3</m:t>
                    </m:r>
                  </m:sub>
                </m:sSub>
              </m:e>
            </m:d>
          </m:e>
          <m:sub>
            <m:r>
              <m:rPr>
                <m:sty m:val="p"/>
              </m:rPr>
              <w:rPr>
                <w:rFonts w:ascii="Cambria Math" w:hAnsi="Cambria Math"/>
              </w:rPr>
              <m:t>2</m:t>
            </m:r>
          </m:sub>
        </m:sSub>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NH</m:t>
                    </m:r>
                  </m:e>
                  <m:sub>
                    <m:r>
                      <m:rPr>
                        <m:sty m:val="p"/>
                      </m:rPr>
                      <w:rPr>
                        <w:rFonts w:ascii="Cambria Math" w:hAnsi="Cambria Math"/>
                      </w:rPr>
                      <m:t>3</m:t>
                    </m:r>
                  </m:sub>
                </m:sSub>
              </m:e>
            </m:d>
          </m:e>
          <m:sub>
            <m:r>
              <m:rPr>
                <m:sty m:val="p"/>
              </m:rPr>
              <w:rPr>
                <w:rFonts w:ascii="Cambria Math" w:hAnsi="Cambria Math"/>
              </w:rPr>
              <m:t>6</m:t>
            </m:r>
          </m:sub>
        </m:sSub>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CO</m:t>
                    </m:r>
                  </m:e>
                  <m:sub>
                    <m:r>
                      <m:rPr>
                        <m:sty m:val="p"/>
                      </m:rPr>
                      <w:rPr>
                        <w:rFonts w:ascii="Cambria Math" w:hAnsi="Cambria Math"/>
                      </w:rPr>
                      <m:t>2</m:t>
                    </m:r>
                  </m:sub>
                </m:sSub>
              </m:e>
            </m:d>
          </m:e>
          <m:sub>
            <m:r>
              <m:rPr>
                <m:sty m:val="p"/>
              </m:rPr>
              <w:rPr>
                <w:rFonts w:ascii="Cambria Math" w:hAnsi="Cambria Math"/>
              </w:rPr>
              <m:t>3</m:t>
            </m:r>
          </m:sub>
        </m:sSub>
        <m:r>
          <m:rPr>
            <m:sty m:val="p"/>
          </m:rPr>
          <w:rPr>
            <w:rFonts w:ascii="Cambria Math" w:hAnsi="Cambria Math"/>
          </w:rPr>
          <m:t>+3</m:t>
        </m:r>
        <m:sSub>
          <m:sSubPr>
            <m:ctrlPr>
              <w:rPr>
                <w:rFonts w:ascii="Cambria Math" w:hAnsi="Cambria Math"/>
              </w:rPr>
            </m:ctrlPr>
          </m:sSubPr>
          <m:e>
            <m:r>
              <w:rPr>
                <w:rFonts w:ascii="Cambria Math" w:hAnsi="Cambria Math"/>
              </w:rPr>
              <m:t>H</m:t>
            </m:r>
          </m:e>
          <m:sub>
            <m:r>
              <m:rPr>
                <m:sty m:val="p"/>
              </m:rPr>
              <w:rPr>
                <w:rFonts w:ascii="Cambria Math" w:hAnsi="Cambria Math"/>
              </w:rPr>
              <m:t>2</m:t>
            </m:r>
          </m:sub>
        </m:sSub>
        <m:r>
          <w:rPr>
            <w:rFonts w:ascii="Cambria Math" w:hAnsi="Cambria Math"/>
          </w:rPr>
          <m:t>O</m:t>
        </m:r>
        <m:r>
          <m:rPr>
            <m:sty m:val="p"/>
          </m:rPr>
          <w:rPr>
            <w:rFonts w:ascii="Cambria Math" w:hAnsi="Cambria Math"/>
          </w:rPr>
          <m:t>→</m:t>
        </m:r>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NH</m:t>
                    </m:r>
                  </m:e>
                  <m:sub>
                    <m:r>
                      <m:rPr>
                        <m:sty m:val="p"/>
                      </m:rPr>
                      <w:rPr>
                        <w:rFonts w:ascii="Cambria Math" w:hAnsi="Cambria Math"/>
                      </w:rPr>
                      <m:t>4</m:t>
                    </m:r>
                  </m:sub>
                </m:sSub>
              </m:e>
            </m:d>
          </m:e>
          <m:sub>
            <m:r>
              <m:rPr>
                <m:sty m:val="p"/>
              </m:rPr>
              <w:rPr>
                <w:rFonts w:ascii="Cambria Math" w:hAnsi="Cambria Math"/>
              </w:rPr>
              <m:t>4</m:t>
            </m:r>
          </m:sub>
        </m:sSub>
        <m:sSub>
          <m:sSubPr>
            <m:ctrlPr>
              <w:rPr>
                <w:rFonts w:ascii="Cambria Math" w:hAnsi="Cambria Math"/>
              </w:rPr>
            </m:ctrlPr>
          </m:sSubPr>
          <m:e>
            <m:r>
              <w:rPr>
                <w:rFonts w:ascii="Cambria Math" w:hAnsi="Cambria Math"/>
              </w:rPr>
              <m:t>UO</m:t>
            </m:r>
          </m:e>
          <m:sub>
            <m:r>
              <m:rPr>
                <m:sty m:val="p"/>
              </m:rPr>
              <w:rPr>
                <w:rFonts w:ascii="Cambria Math" w:hAnsi="Cambria Math"/>
              </w:rPr>
              <m:t>2</m:t>
            </m:r>
          </m:sub>
        </m:sSub>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CO</m:t>
                    </m:r>
                  </m:e>
                  <m:sub>
                    <m:r>
                      <m:rPr>
                        <m:sty m:val="p"/>
                      </m:rPr>
                      <w:rPr>
                        <w:rFonts w:ascii="Cambria Math" w:hAnsi="Cambria Math"/>
                      </w:rPr>
                      <m:t>3</m:t>
                    </m:r>
                  </m:sub>
                </m:sSub>
              </m:e>
            </m:d>
          </m:e>
          <m:sub>
            <m:r>
              <m:rPr>
                <m:sty m:val="p"/>
              </m:rPr>
              <w:rPr>
                <w:rFonts w:ascii="Cambria Math" w:hAnsi="Cambria Math"/>
              </w:rPr>
              <m:t>3</m:t>
            </m:r>
          </m:sub>
        </m:sSub>
        <m:r>
          <m:rPr>
            <m:sty m:val="p"/>
          </m:rPr>
          <w:rPr>
            <w:rFonts w:ascii="Cambria Math" w:hAnsi="Cambria Math"/>
          </w:rPr>
          <m:t>+2</m:t>
        </m:r>
        <m:sSub>
          <m:sSubPr>
            <m:ctrlPr>
              <w:rPr>
                <w:rFonts w:ascii="Cambria Math" w:hAnsi="Cambria Math"/>
              </w:rPr>
            </m:ctrlPr>
          </m:sSubPr>
          <m:e>
            <m:r>
              <w:rPr>
                <w:rFonts w:ascii="Cambria Math" w:hAnsi="Cambria Math"/>
              </w:rPr>
              <m:t>NH</m:t>
            </m:r>
          </m:e>
          <m:sub>
            <m:r>
              <m:rPr>
                <m:sty m:val="p"/>
              </m:rPr>
              <w:rPr>
                <w:rFonts w:ascii="Cambria Math" w:hAnsi="Cambria Math"/>
              </w:rPr>
              <m:t>4</m:t>
            </m:r>
          </m:sub>
        </m:sSub>
        <m:sSub>
          <m:sSubPr>
            <m:ctrlPr>
              <w:rPr>
                <w:rFonts w:ascii="Cambria Math" w:hAnsi="Cambria Math"/>
              </w:rPr>
            </m:ctrlPr>
          </m:sSubPr>
          <m:e>
            <m:r>
              <w:rPr>
                <w:rFonts w:ascii="Cambria Math" w:hAnsi="Cambria Math"/>
              </w:rPr>
              <m:t>NO</m:t>
            </m:r>
          </m:e>
          <m:sub>
            <m:r>
              <m:rPr>
                <m:sty m:val="p"/>
              </m:rPr>
              <w:rPr>
                <w:rFonts w:ascii="Cambria Math" w:hAnsi="Cambria Math"/>
              </w:rPr>
              <m:t>3</m:t>
            </m:r>
          </m:sub>
        </m:sSub>
      </m:oMath>
      <w:r w:rsidR="00E664E4" w:rsidRPr="00AE4E50">
        <w:tab/>
      </w:r>
      <w:r w:rsidR="00E664E4" w:rsidRPr="00AE4E50">
        <w:tab/>
      </w:r>
      <w:r w:rsidR="00E664E4">
        <w:t>Eq. (3.2.3.</w:t>
      </w:r>
      <w:r w:rsidR="00E664E4" w:rsidRPr="00AE4E50">
        <w:t>23c)</w:t>
      </w:r>
    </w:p>
    <w:p w:rsidR="001E169B" w:rsidRPr="00BF5CD5" w:rsidRDefault="00E664E4" w:rsidP="001E169B">
      <w:r w:rsidRPr="009D034F">
        <w:t>Figure 3.17 shows a block diagram of Module 3C with the input and output streams labeled.</w:t>
      </w:r>
      <w:r w:rsidRPr="00AE4E50">
        <w:t xml:space="preserve"> </w:t>
      </w:r>
      <w:r w:rsidR="001E169B" w:rsidRPr="00BF5CD5">
        <w:t xml:space="preserve">Equations </w:t>
      </w:r>
      <w:r w:rsidR="001E169B">
        <w:t>3.2.3.</w:t>
      </w:r>
      <w:r w:rsidR="001E169B" w:rsidRPr="00BF5CD5">
        <w:t>24–</w:t>
      </w:r>
      <w:r w:rsidR="001E169B">
        <w:t>3.2.3.</w:t>
      </w:r>
      <w:r w:rsidR="001E169B" w:rsidRPr="00BF5CD5">
        <w:t>32 describe</w:t>
      </w:r>
      <w:r w:rsidR="001E169B">
        <w:t xml:space="preserve"> to the precipitation reaction, w</w:t>
      </w:r>
      <w:r w:rsidR="001E169B" w:rsidRPr="00BF5CD5">
        <w:t xml:space="preserve">here </w:t>
      </w:r>
      <m:oMath>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3</m:t>
            </m:r>
            <m:r>
              <w:rPr>
                <w:rFonts w:ascii="Cambria Math" w:hAnsi="Cambria Math"/>
              </w:rPr>
              <m:t>C</m:t>
            </m:r>
          </m:sub>
        </m:sSub>
      </m:oMath>
      <w:r w:rsidR="001E169B">
        <w:t xml:space="preserve"> wa</w:t>
      </w:r>
      <w:proofErr w:type="spellStart"/>
      <w:r w:rsidR="001E169B" w:rsidRPr="00BF5CD5">
        <w:t>s</w:t>
      </w:r>
      <w:proofErr w:type="spellEnd"/>
      <w:r w:rsidR="001E169B" w:rsidRPr="00BF5CD5">
        <w:t xml:space="preserve"> the extent of reaction for the precipitation process.</w:t>
      </w:r>
      <w:r w:rsidR="001E169B">
        <w:t xml:space="preserve"> </w:t>
      </w:r>
      <w:r w:rsidR="001E169B" w:rsidRPr="00BF5CD5">
        <w:t xml:space="preserve">The stoichiometric coefficients are positive for products and negative for reactants. </w:t>
      </w:r>
    </w:p>
    <w:p w:rsidR="001D0EF6" w:rsidRDefault="00C851DF" w:rsidP="001D0EF6">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26,1</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3</m:t>
                </m:r>
                <m:r>
                  <w:rPr>
                    <w:rFonts w:ascii="Cambria Math" w:hAnsi="Cambria Math"/>
                  </w:rPr>
                  <m:t>C</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m:t>
                </m:r>
                <m:r>
                  <w:rPr>
                    <w:rFonts w:ascii="Cambria Math" w:hAnsi="Cambria Math"/>
                  </w:rPr>
                  <m:t>od</m:t>
                </m:r>
                <m:r>
                  <m:rPr>
                    <m:sty m:val="p"/>
                  </m:rPr>
                  <w:rPr>
                    <w:rFonts w:ascii="Cambria Math" w:hAnsi="Cambria Math"/>
                  </w:rPr>
                  <m:t>3</m:t>
                </m:r>
                <m:r>
                  <w:rPr>
                    <w:rFonts w:ascii="Cambria Math" w:hAnsi="Cambria Math"/>
                  </w:rPr>
                  <m:t>C</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26,14</m:t>
                </m:r>
              </m:sub>
            </m:sSub>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27,1</m:t>
            </m:r>
          </m:sub>
        </m:sSub>
        <m:r>
          <m:rPr>
            <m:sty m:val="p"/>
          </m:rPr>
          <w:rPr>
            <w:rFonts w:ascii="Cambria Math" w:hAnsi="Cambria Math"/>
          </w:rPr>
          <m:t>=0</m:t>
        </m:r>
      </m:oMath>
      <w:r w:rsidR="001E169B" w:rsidRPr="00BF5CD5">
        <w:t xml:space="preserve"> </w:t>
      </w:r>
      <w:r w:rsidR="001E169B" w:rsidRPr="00BF5CD5">
        <w:tab/>
      </w:r>
      <w:r w:rsidR="001E169B" w:rsidRPr="00BF5CD5">
        <w:tab/>
      </w:r>
      <w:r w:rsidR="001E169B">
        <w:t>Eq. (3.2.3.</w:t>
      </w:r>
      <w:r w:rsidR="001E169B" w:rsidRPr="00BF5CD5">
        <w:t>24)</w:t>
      </w:r>
    </w:p>
    <w:p w:rsidR="001D0EF6" w:rsidRPr="00BF5CD5" w:rsidRDefault="001D0EF6" w:rsidP="001D0EF6">
      <w:pPr>
        <w:jc w:val="right"/>
      </w:pPr>
      <m:oMath>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26,3</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3</m:t>
                </m:r>
                <m:r>
                  <w:rPr>
                    <w:rFonts w:ascii="Cambria Math" w:hAnsi="Cambria Math"/>
                  </w:rPr>
                  <m:t>C</m:t>
                </m:r>
                <m:r>
                  <m:rPr>
                    <m:sty m:val="p"/>
                  </m:rP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3</m:t>
                </m:r>
                <m:r>
                  <w:rPr>
                    <w:rFonts w:ascii="Cambria Math" w:hAnsi="Cambria Math"/>
                  </w:rPr>
                  <m:t>C</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26,14</m:t>
                </m:r>
              </m:sub>
            </m:sSub>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27,3</m:t>
            </m:r>
          </m:sub>
        </m:sSub>
        <m:r>
          <m:rPr>
            <m:sty m:val="p"/>
          </m:rPr>
          <w:rPr>
            <w:rFonts w:ascii="Cambria Math" w:hAnsi="Cambria Math"/>
          </w:rPr>
          <m:t>=0</m:t>
        </m:r>
      </m:oMath>
      <w:r w:rsidRPr="00BF5CD5">
        <w:t xml:space="preserve"> </w:t>
      </w:r>
      <w:r w:rsidRPr="00BF5CD5">
        <w:tab/>
      </w:r>
      <w:r w:rsidRPr="00BF5CD5">
        <w:tab/>
      </w:r>
      <w:r>
        <w:t>Eq. (3.2.3.</w:t>
      </w:r>
      <w:r w:rsidRPr="00BF5CD5">
        <w:t>25)</w:t>
      </w:r>
    </w:p>
    <w:p w:rsidR="00E664E4" w:rsidRPr="00AE4E50" w:rsidRDefault="00E664E4" w:rsidP="00E664E4">
      <w:pPr>
        <w:jc w:val="center"/>
      </w:pPr>
      <w:r w:rsidRPr="00AE4E50">
        <w:object w:dxaOrig="3799" w:dyaOrig="2414">
          <v:shape id="_x0000_i1039" type="#_x0000_t75" style="width:192.2pt;height:120.2pt" o:ole="">
            <v:imagedata r:id="rId55" o:title=""/>
          </v:shape>
          <o:OLEObject Type="Embed" ProgID="Visio.Drawing.11" ShapeID="_x0000_i1039" DrawAspect="Content" ObjectID="_1445525564" r:id="rId56"/>
        </w:object>
      </w:r>
    </w:p>
    <w:p w:rsidR="00E664E4" w:rsidRDefault="00E664E4" w:rsidP="00E664E4">
      <w:pPr>
        <w:jc w:val="center"/>
        <w:rPr>
          <w:b/>
          <w:sz w:val="20"/>
          <w:szCs w:val="20"/>
        </w:rPr>
      </w:pPr>
      <w:r w:rsidRPr="009D034F">
        <w:rPr>
          <w:b/>
          <w:sz w:val="20"/>
          <w:szCs w:val="20"/>
        </w:rPr>
        <w:t xml:space="preserve">Figure 3.17. </w:t>
      </w:r>
      <w:r w:rsidR="00A87280">
        <w:rPr>
          <w:b/>
          <w:sz w:val="20"/>
          <w:szCs w:val="20"/>
        </w:rPr>
        <w:t xml:space="preserve">Block </w:t>
      </w:r>
      <w:r w:rsidRPr="009D034F">
        <w:rPr>
          <w:b/>
          <w:sz w:val="20"/>
          <w:szCs w:val="20"/>
        </w:rPr>
        <w:t xml:space="preserve">Diagram of the Module 3C </w:t>
      </w:r>
      <w:r w:rsidR="004045DF">
        <w:rPr>
          <w:b/>
          <w:sz w:val="20"/>
          <w:szCs w:val="20"/>
        </w:rPr>
        <w:t>Showing Input and Output Streams</w:t>
      </w:r>
      <w:r w:rsidRPr="009D034F">
        <w:rPr>
          <w:b/>
          <w:sz w:val="20"/>
          <w:szCs w:val="20"/>
        </w:rPr>
        <w:t>.</w:t>
      </w:r>
    </w:p>
    <w:p w:rsidR="001E169B" w:rsidRPr="001E169B" w:rsidRDefault="001E169B" w:rsidP="001E169B"/>
    <w:p w:rsidR="00E664E4" w:rsidRPr="00BF5CD5"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26,8</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3</m:t>
                </m:r>
                <m:r>
                  <w:rPr>
                    <w:rFonts w:ascii="Cambria Math" w:hAnsi="Cambria Math"/>
                  </w:rPr>
                  <m:t>C</m:t>
                </m:r>
                <m:r>
                  <m:rPr>
                    <m:sty m:val="p"/>
                  </m:rPr>
                  <w:rPr>
                    <w:rFonts w:ascii="Cambria Math" w:hAnsi="Cambria Math"/>
                  </w:rPr>
                  <m:t>,8</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3</m:t>
                </m:r>
                <m:r>
                  <w:rPr>
                    <w:rFonts w:ascii="Cambria Math" w:hAnsi="Cambria Math"/>
                  </w:rPr>
                  <m:t>C</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26,14</m:t>
                </m:r>
              </m:sub>
            </m:sSub>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27,8</m:t>
            </m:r>
          </m:sub>
        </m:sSub>
        <m:r>
          <m:rPr>
            <m:sty m:val="p"/>
          </m:rPr>
          <w:rPr>
            <w:rFonts w:ascii="Cambria Math" w:hAnsi="Cambria Math"/>
          </w:rPr>
          <m:t>=0</m:t>
        </m:r>
      </m:oMath>
      <w:r w:rsidR="00E664E4" w:rsidRPr="00BF5CD5">
        <w:t xml:space="preserve"> </w:t>
      </w:r>
      <w:r w:rsidR="00E664E4" w:rsidRPr="00BF5CD5">
        <w:tab/>
      </w:r>
      <w:r w:rsidR="00E664E4" w:rsidRPr="00BF5CD5">
        <w:tab/>
      </w:r>
      <w:r w:rsidR="00E664E4">
        <w:t>Eq. (3.2.3.</w:t>
      </w:r>
      <w:r w:rsidR="00E664E4" w:rsidRPr="00BF5CD5">
        <w:t>26)</w:t>
      </w:r>
    </w:p>
    <w:p w:rsidR="00E664E4" w:rsidRPr="00BF5CD5"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26,9</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27,9</m:t>
            </m:r>
          </m:sub>
        </m:sSub>
        <m:r>
          <m:rPr>
            <m:sty m:val="p"/>
          </m:rPr>
          <w:rPr>
            <w:rFonts w:ascii="Cambria Math" w:hAnsi="Cambria Math"/>
          </w:rPr>
          <m:t>=0</m:t>
        </m:r>
      </m:oMath>
      <w:r w:rsidR="00E664E4" w:rsidRPr="00BF5CD5">
        <w:t xml:space="preserve"> </w:t>
      </w:r>
      <w:r w:rsidR="00E664E4" w:rsidRPr="00BF5CD5">
        <w:tab/>
      </w:r>
      <w:r w:rsidR="00E664E4" w:rsidRPr="00BF5CD5">
        <w:tab/>
      </w:r>
      <w:r w:rsidR="00E664E4" w:rsidRPr="00BF5CD5">
        <w:tab/>
      </w:r>
      <w:r w:rsidR="00E664E4" w:rsidRPr="00BF5CD5">
        <w:tab/>
      </w:r>
      <w:r w:rsidR="00E664E4">
        <w:t>Eq. (3.2.3.</w:t>
      </w:r>
      <w:r w:rsidR="00E664E4" w:rsidRPr="00BF5CD5">
        <w:t>27)</w:t>
      </w:r>
    </w:p>
    <w:p w:rsidR="00E664E4" w:rsidRPr="00BF5CD5" w:rsidRDefault="00C851DF" w:rsidP="00E664E4">
      <w:pPr>
        <w:jc w:val="right"/>
      </w:pPr>
      <m:oMath>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3</m:t>
                </m:r>
                <m:r>
                  <w:rPr>
                    <w:rFonts w:ascii="Cambria Math" w:hAnsi="Cambria Math"/>
                  </w:rPr>
                  <m:t>C</m:t>
                </m:r>
                <m:r>
                  <m:rPr>
                    <m:sty m:val="p"/>
                  </m:rPr>
                  <w:rPr>
                    <w:rFonts w:ascii="Cambria Math" w:hAnsi="Cambria Math"/>
                  </w:rPr>
                  <m:t>,12</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3</m:t>
                </m:r>
                <m:r>
                  <w:rPr>
                    <w:rFonts w:ascii="Cambria Math" w:hAnsi="Cambria Math"/>
                  </w:rPr>
                  <m:t>C</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26,14</m:t>
                </m:r>
              </m:sub>
            </m:sSub>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27,12</m:t>
            </m:r>
          </m:sub>
        </m:sSub>
        <m:r>
          <m:rPr>
            <m:sty m:val="p"/>
          </m:rPr>
          <w:rPr>
            <w:rFonts w:ascii="Cambria Math" w:hAnsi="Cambria Math"/>
          </w:rPr>
          <m:t>=0</m:t>
        </m:r>
      </m:oMath>
      <w:r w:rsidR="00E664E4" w:rsidRPr="00BF5CD5">
        <w:t xml:space="preserve"> </w:t>
      </w:r>
      <w:r w:rsidR="00E664E4" w:rsidRPr="00BF5CD5">
        <w:tab/>
      </w:r>
      <w:r w:rsidR="00E664E4" w:rsidRPr="00BF5CD5">
        <w:tab/>
      </w:r>
      <w:r w:rsidR="00E664E4" w:rsidRPr="00BF5CD5">
        <w:tab/>
      </w:r>
      <w:r w:rsidR="00E664E4">
        <w:t>Eq. (3.2.3.</w:t>
      </w:r>
      <w:r w:rsidR="00E664E4" w:rsidRPr="00BF5CD5">
        <w:t>28)</w:t>
      </w:r>
    </w:p>
    <w:p w:rsidR="00E664E4" w:rsidRPr="00BF5CD5"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26,14</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3</m:t>
                </m:r>
                <m:r>
                  <w:rPr>
                    <w:rFonts w:ascii="Cambria Math" w:hAnsi="Cambria Math"/>
                  </w:rPr>
                  <m:t>C</m:t>
                </m:r>
                <m:r>
                  <m:rPr>
                    <m:sty m:val="p"/>
                  </m:rPr>
                  <w:rPr>
                    <w:rFonts w:ascii="Cambria Math" w:hAnsi="Cambria Math"/>
                  </w:rPr>
                  <m:t>,14</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3</m:t>
                </m:r>
                <m:r>
                  <w:rPr>
                    <w:rFonts w:ascii="Cambria Math" w:hAnsi="Cambria Math"/>
                  </w:rPr>
                  <m:t>C</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26,14</m:t>
                </m:r>
              </m:sub>
            </m:sSub>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27,14</m:t>
            </m:r>
          </m:sub>
        </m:sSub>
        <m:r>
          <m:rPr>
            <m:sty m:val="p"/>
          </m:rPr>
          <w:rPr>
            <w:rFonts w:ascii="Cambria Math" w:hAnsi="Cambria Math"/>
          </w:rPr>
          <m:t>=0</m:t>
        </m:r>
      </m:oMath>
      <w:r w:rsidR="00E664E4" w:rsidRPr="00BF5CD5">
        <w:t xml:space="preserve"> </w:t>
      </w:r>
      <w:r w:rsidR="00E664E4" w:rsidRPr="00BF5CD5">
        <w:tab/>
      </w:r>
      <w:r w:rsidR="00E664E4" w:rsidRPr="00BF5CD5">
        <w:tab/>
      </w:r>
      <w:r w:rsidR="00E664E4">
        <w:t>Eq. (3.2.3.</w:t>
      </w:r>
      <w:r w:rsidR="00E664E4" w:rsidRPr="00BF5CD5">
        <w:t>29)</w:t>
      </w:r>
    </w:p>
    <w:p w:rsidR="00E664E4" w:rsidRPr="00BF5CD5"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26,18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27,18</m:t>
            </m:r>
          </m:sub>
        </m:sSub>
        <m:r>
          <m:rPr>
            <m:sty m:val="p"/>
          </m:rPr>
          <w:rPr>
            <w:rFonts w:ascii="Cambria Math" w:hAnsi="Cambria Math"/>
          </w:rPr>
          <m:t>=0</m:t>
        </m:r>
      </m:oMath>
      <w:r w:rsidR="00E664E4" w:rsidRPr="00BF5CD5">
        <w:t xml:space="preserve"> </w:t>
      </w:r>
      <w:r w:rsidR="00E664E4" w:rsidRPr="00BF5CD5">
        <w:tab/>
      </w:r>
      <w:r w:rsidR="00E664E4" w:rsidRPr="00BF5CD5">
        <w:tab/>
      </w:r>
      <w:r w:rsidR="00E664E4" w:rsidRPr="00BF5CD5">
        <w:tab/>
      </w:r>
      <w:r w:rsidR="00E664E4" w:rsidRPr="00BF5CD5">
        <w:tab/>
      </w:r>
      <w:r w:rsidR="00E664E4">
        <w:t>Eq. (3.2.3.</w:t>
      </w:r>
      <w:r w:rsidR="00E664E4" w:rsidRPr="00BF5CD5">
        <w:t>30)</w:t>
      </w:r>
    </w:p>
    <w:p w:rsidR="00E664E4" w:rsidRPr="00BF5CD5" w:rsidRDefault="00C851DF" w:rsidP="00E664E4">
      <w:pPr>
        <w:jc w:val="right"/>
      </w:pPr>
      <m:oMath>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3</m:t>
                </m:r>
                <m:r>
                  <w:rPr>
                    <w:rFonts w:ascii="Cambria Math" w:hAnsi="Cambria Math"/>
                  </w:rPr>
                  <m:t>C</m:t>
                </m:r>
                <m:r>
                  <m:rPr>
                    <m:sty m:val="p"/>
                  </m:rPr>
                  <w:rPr>
                    <w:rFonts w:ascii="Cambria Math" w:hAnsi="Cambria Math"/>
                  </w:rPr>
                  <m:t>,19</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3</m:t>
                </m:r>
                <m:r>
                  <w:rPr>
                    <w:rFonts w:ascii="Cambria Math" w:hAnsi="Cambria Math"/>
                  </w:rPr>
                  <m:t>C</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26,14</m:t>
                </m:r>
              </m:sub>
            </m:sSub>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27,19</m:t>
            </m:r>
          </m:sub>
        </m:sSub>
        <m:r>
          <m:rPr>
            <m:sty m:val="p"/>
          </m:rPr>
          <w:rPr>
            <w:rFonts w:ascii="Cambria Math" w:hAnsi="Cambria Math"/>
          </w:rPr>
          <m:t>=0</m:t>
        </m:r>
      </m:oMath>
      <w:r w:rsidR="00E664E4" w:rsidRPr="00BF5CD5">
        <w:t xml:space="preserve"> </w:t>
      </w:r>
      <w:r w:rsidR="00E664E4" w:rsidRPr="00BF5CD5">
        <w:tab/>
      </w:r>
      <w:r w:rsidR="00E664E4" w:rsidRPr="00BF5CD5">
        <w:tab/>
      </w:r>
      <w:r w:rsidR="00E664E4" w:rsidRPr="00BF5CD5">
        <w:tab/>
      </w:r>
      <w:r w:rsidR="00E664E4">
        <w:t>Eq. (3.2.3.</w:t>
      </w:r>
      <w:r w:rsidR="00E664E4" w:rsidRPr="00BF5CD5">
        <w:t>31)</w:t>
      </w:r>
    </w:p>
    <w:p w:rsidR="00E664E4" w:rsidRPr="00BF5CD5"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26,21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27,21</m:t>
            </m:r>
          </m:sub>
        </m:sSub>
        <m:r>
          <m:rPr>
            <m:sty m:val="p"/>
          </m:rPr>
          <w:rPr>
            <w:rFonts w:ascii="Cambria Math" w:hAnsi="Cambria Math"/>
          </w:rPr>
          <m:t>=0</m:t>
        </m:r>
      </m:oMath>
      <w:r w:rsidR="00E664E4" w:rsidRPr="00BF5CD5">
        <w:t xml:space="preserve"> </w:t>
      </w:r>
      <w:r w:rsidR="00E664E4" w:rsidRPr="00BF5CD5">
        <w:tab/>
      </w:r>
      <w:r w:rsidR="00E664E4" w:rsidRPr="00BF5CD5">
        <w:tab/>
      </w:r>
      <w:r w:rsidR="00E664E4" w:rsidRPr="00BF5CD5">
        <w:tab/>
      </w:r>
      <w:r w:rsidR="00E664E4" w:rsidRPr="00BF5CD5">
        <w:tab/>
      </w:r>
      <w:r w:rsidR="00E664E4">
        <w:t>Eq. (3.2.3.</w:t>
      </w:r>
      <w:r w:rsidR="00E664E4" w:rsidRPr="00BF5CD5">
        <w:t>32)</w:t>
      </w:r>
    </w:p>
    <w:p w:rsidR="00E664E4" w:rsidRDefault="00E664E4" w:rsidP="00E664E4">
      <w:proofErr w:type="spellStart"/>
      <w:r w:rsidRPr="00D77D8A">
        <w:t>Mellah</w:t>
      </w:r>
      <w:proofErr w:type="spellEnd"/>
      <w:r w:rsidRPr="00D77D8A">
        <w:t xml:space="preserve">, </w:t>
      </w:r>
      <w:proofErr w:type="spellStart"/>
      <w:r w:rsidRPr="00D77D8A">
        <w:t>Chegrouche</w:t>
      </w:r>
      <w:proofErr w:type="spellEnd"/>
      <w:r w:rsidRPr="00D77D8A">
        <w:t xml:space="preserve">, and </w:t>
      </w:r>
      <w:proofErr w:type="spellStart"/>
      <w:r w:rsidRPr="00D77D8A">
        <w:t>Barkat</w:t>
      </w:r>
      <w:proofErr w:type="spellEnd"/>
      <w:r w:rsidRPr="000D1E90">
        <w:t xml:space="preserve"> </w:t>
      </w:r>
      <w:r>
        <w:t>2</w:t>
      </w:r>
      <w:r w:rsidRPr="000D1E90">
        <w:t xml:space="preserve">007 describes the kinetics of the precipitation of AUC using ammonia and carbon dioxide. </w:t>
      </w:r>
      <w:proofErr w:type="spellStart"/>
      <w:r w:rsidRPr="00D77D8A">
        <w:t>Mellah</w:t>
      </w:r>
      <w:proofErr w:type="spellEnd"/>
      <w:r w:rsidRPr="00D77D8A">
        <w:t xml:space="preserve">, </w:t>
      </w:r>
      <w:proofErr w:type="spellStart"/>
      <w:r w:rsidRPr="00D77D8A">
        <w:t>Chegrouche</w:t>
      </w:r>
      <w:proofErr w:type="spellEnd"/>
      <w:r w:rsidRPr="00D77D8A">
        <w:t xml:space="preserve">, and </w:t>
      </w:r>
      <w:proofErr w:type="spellStart"/>
      <w:r w:rsidRPr="00D77D8A">
        <w:t>Barkat</w:t>
      </w:r>
      <w:proofErr w:type="spellEnd"/>
      <w:r w:rsidRPr="000D1E90">
        <w:t xml:space="preserve"> </w:t>
      </w:r>
      <w:r>
        <w:t>2</w:t>
      </w:r>
      <w:r w:rsidRPr="000D1E90">
        <w:t>007 states that “the predominant chemical re</w:t>
      </w:r>
      <w:r>
        <w:t xml:space="preserve">action of AUC precipitation </w:t>
      </w:r>
      <w:proofErr w:type="gramStart"/>
      <w:r>
        <w:t xml:space="preserve">was </w:t>
      </w:r>
      <w:proofErr w:type="gramEnd"/>
      <m:oMath>
        <m:sSub>
          <m:sSubPr>
            <m:ctrlPr>
              <w:rPr>
                <w:rFonts w:ascii="Cambria Math" w:hAnsi="Cambria Math"/>
                <w:i/>
              </w:rPr>
            </m:ctrlPr>
          </m:sSubPr>
          <m:e>
            <m:r>
              <w:rPr>
                <w:rFonts w:ascii="Cambria Math" w:hAnsi="Cambria Math"/>
              </w:rPr>
              <m:t>UO</m:t>
            </m:r>
          </m:e>
          <m:sub>
            <m:r>
              <w:rPr>
                <w:rFonts w:ascii="Cambria Math" w:hAnsi="Cambria Math"/>
              </w:rPr>
              <m:t>2</m:t>
            </m:r>
          </m:sub>
        </m:sSub>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NO</m:t>
                    </m:r>
                  </m:e>
                  <m:sub>
                    <m:r>
                      <w:rPr>
                        <w:rFonts w:ascii="Cambria Math" w:hAnsi="Cambria Math"/>
                      </w:rPr>
                      <m:t>3</m:t>
                    </m:r>
                  </m:sub>
                </m:sSub>
              </m:e>
            </m:d>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6H</m:t>
            </m:r>
          </m:e>
          <m:sub>
            <m:r>
              <w:rPr>
                <w:rFonts w:ascii="Cambria Math" w:hAnsi="Cambria Math"/>
              </w:rPr>
              <m:t>2</m:t>
            </m:r>
          </m:sub>
        </m:sSub>
        <m:r>
          <w:rPr>
            <w:rFonts w:ascii="Cambria Math" w:hAnsi="Cambria Math"/>
          </w:rPr>
          <m:t>O</m:t>
        </m:r>
        <m:d>
          <m:dPr>
            <m:ctrlPr>
              <w:rPr>
                <w:rFonts w:ascii="Cambria Math" w:hAnsi="Cambria Math"/>
                <w:i/>
              </w:rPr>
            </m:ctrlPr>
          </m:dPr>
          <m:e>
            <m:r>
              <w:rPr>
                <w:rFonts w:ascii="Cambria Math" w:hAnsi="Cambria Math"/>
              </w:rPr>
              <m:t>aq</m:t>
            </m:r>
          </m:e>
        </m:d>
        <m:r>
          <w:rPr>
            <w:rFonts w:ascii="Cambria Math" w:hAnsi="Cambria Math"/>
          </w:rPr>
          <m:t>+</m:t>
        </m:r>
        <m:sSub>
          <m:sSubPr>
            <m:ctrlPr>
              <w:rPr>
                <w:rFonts w:ascii="Cambria Math" w:hAnsi="Cambria Math"/>
                <w:i/>
              </w:rPr>
            </m:ctrlPr>
          </m:sSubPr>
          <m:e>
            <m:r>
              <w:rPr>
                <w:rFonts w:ascii="Cambria Math" w:hAnsi="Cambria Math"/>
              </w:rPr>
              <m:t>6NH</m:t>
            </m:r>
          </m:e>
          <m:sub>
            <m:r>
              <w:rPr>
                <w:rFonts w:ascii="Cambria Math" w:hAnsi="Cambria Math"/>
              </w:rPr>
              <m:t>3</m:t>
            </m:r>
          </m:sub>
        </m:sSub>
        <m:d>
          <m:dPr>
            <m:ctrlPr>
              <w:rPr>
                <w:rFonts w:ascii="Cambria Math" w:hAnsi="Cambria Math"/>
                <w:i/>
              </w:rPr>
            </m:ctrlPr>
          </m:dPr>
          <m:e>
            <m:r>
              <w:rPr>
                <w:rFonts w:ascii="Cambria Math" w:hAnsi="Cambria Math"/>
              </w:rPr>
              <m:t>g</m:t>
            </m:r>
          </m:e>
        </m:d>
        <m:r>
          <w:rPr>
            <w:rFonts w:ascii="Cambria Math" w:hAnsi="Cambria Math"/>
          </w:rPr>
          <m:t>+</m:t>
        </m:r>
        <m:sSub>
          <m:sSubPr>
            <m:ctrlPr>
              <w:rPr>
                <w:rFonts w:ascii="Cambria Math" w:hAnsi="Cambria Math"/>
                <w:i/>
              </w:rPr>
            </m:ctrlPr>
          </m:sSubPr>
          <m:e>
            <m:r>
              <w:rPr>
                <w:rFonts w:ascii="Cambria Math" w:hAnsi="Cambria Math"/>
              </w:rPr>
              <m:t>3CO</m:t>
            </m:r>
          </m:e>
          <m:sub>
            <m:r>
              <w:rPr>
                <w:rFonts w:ascii="Cambria Math" w:hAnsi="Cambria Math"/>
              </w:rPr>
              <m:t>2</m:t>
            </m:r>
          </m:sub>
        </m:sSub>
        <m:d>
          <m:dPr>
            <m:ctrlPr>
              <w:rPr>
                <w:rFonts w:ascii="Cambria Math" w:hAnsi="Cambria Math"/>
                <w:i/>
              </w:rPr>
            </m:ctrlPr>
          </m:dPr>
          <m:e>
            <m:r>
              <w:rPr>
                <w:rFonts w:ascii="Cambria Math" w:hAnsi="Cambria Math"/>
              </w:rPr>
              <m:t>g</m:t>
            </m:r>
          </m:e>
        </m:d>
        <m:r>
          <w:rPr>
            <w:rFonts w:ascii="Cambria Math" w:hAnsi="Cambria Math"/>
          </w:rPr>
          <m:t>→</m:t>
        </m:r>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NH</m:t>
                    </m:r>
                  </m:e>
                  <m:sub>
                    <m:r>
                      <w:rPr>
                        <w:rFonts w:ascii="Cambria Math" w:hAnsi="Cambria Math"/>
                      </w:rPr>
                      <m:t>4</m:t>
                    </m:r>
                  </m:sub>
                </m:sSub>
              </m:e>
            </m:d>
          </m:e>
          <m:sub>
            <m:r>
              <w:rPr>
                <w:rFonts w:ascii="Cambria Math" w:hAnsi="Cambria Math"/>
              </w:rPr>
              <m:t>4</m:t>
            </m:r>
          </m:sub>
        </m:sSub>
        <m:sSub>
          <m:sSubPr>
            <m:ctrlPr>
              <w:rPr>
                <w:rFonts w:ascii="Cambria Math" w:hAnsi="Cambria Math"/>
                <w:i/>
              </w:rPr>
            </m:ctrlPr>
          </m:sSubPr>
          <m:e>
            <m:r>
              <w:rPr>
                <w:rFonts w:ascii="Cambria Math" w:hAnsi="Cambria Math"/>
              </w:rPr>
              <m:t>UO</m:t>
            </m:r>
          </m:e>
          <m:sub>
            <m:r>
              <w:rPr>
                <w:rFonts w:ascii="Cambria Math" w:hAnsi="Cambria Math"/>
              </w:rPr>
              <m:t>2</m:t>
            </m:r>
          </m:sub>
        </m:sSub>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CO</m:t>
                    </m:r>
                  </m:e>
                  <m:sub>
                    <m:r>
                      <w:rPr>
                        <w:rFonts w:ascii="Cambria Math" w:hAnsi="Cambria Math"/>
                      </w:rPr>
                      <m:t>3</m:t>
                    </m:r>
                  </m:sub>
                </m:sSub>
              </m:e>
            </m:d>
          </m:e>
          <m:sub>
            <m:r>
              <w:rPr>
                <w:rFonts w:ascii="Cambria Math" w:hAnsi="Cambria Math"/>
              </w:rPr>
              <m:t>3</m:t>
            </m:r>
          </m:sub>
        </m:sSub>
        <m:d>
          <m:dPr>
            <m:ctrlPr>
              <w:rPr>
                <w:rFonts w:ascii="Cambria Math" w:hAnsi="Cambria Math"/>
                <w:i/>
              </w:rPr>
            </m:ctrlPr>
          </m:dPr>
          <m:e>
            <m:r>
              <w:rPr>
                <w:rFonts w:ascii="Cambria Math" w:hAnsi="Cambria Math"/>
              </w:rPr>
              <m:t>s</m:t>
            </m:r>
          </m:e>
        </m:d>
        <m:r>
          <w:rPr>
            <w:rFonts w:ascii="Cambria Math" w:hAnsi="Cambria Math"/>
          </w:rPr>
          <m:t>+</m:t>
        </m:r>
        <m:sSub>
          <m:sSubPr>
            <m:ctrlPr>
              <w:rPr>
                <w:rFonts w:ascii="Cambria Math" w:hAnsi="Cambria Math"/>
                <w:i/>
              </w:rPr>
            </m:ctrlPr>
          </m:sSubPr>
          <m:e>
            <m:r>
              <w:rPr>
                <w:rFonts w:ascii="Cambria Math" w:hAnsi="Cambria Math"/>
              </w:rPr>
              <m:t>2NH</m:t>
            </m:r>
          </m:e>
          <m:sub>
            <m:r>
              <w:rPr>
                <w:rFonts w:ascii="Cambria Math" w:hAnsi="Cambria Math"/>
              </w:rPr>
              <m:t>4</m:t>
            </m:r>
          </m:sub>
        </m:sSub>
        <m:sSub>
          <m:sSubPr>
            <m:ctrlPr>
              <w:rPr>
                <w:rFonts w:ascii="Cambria Math" w:hAnsi="Cambria Math"/>
                <w:i/>
              </w:rPr>
            </m:ctrlPr>
          </m:sSubPr>
          <m:e>
            <m:r>
              <w:rPr>
                <w:rFonts w:ascii="Cambria Math" w:hAnsi="Cambria Math"/>
              </w:rPr>
              <m:t>NO</m:t>
            </m:r>
          </m:e>
          <m:sub>
            <m:r>
              <w:rPr>
                <w:rFonts w:ascii="Cambria Math" w:hAnsi="Cambria Math"/>
              </w:rPr>
              <m:t>3</m:t>
            </m:r>
          </m:sub>
        </m:sSub>
        <m:d>
          <m:dPr>
            <m:ctrlPr>
              <w:rPr>
                <w:rFonts w:ascii="Cambria Math" w:hAnsi="Cambria Math"/>
                <w:i/>
              </w:rPr>
            </m:ctrlPr>
          </m:dPr>
          <m:e>
            <m:r>
              <w:rPr>
                <w:rFonts w:ascii="Cambria Math" w:hAnsi="Cambria Math"/>
              </w:rPr>
              <m:t>aq</m:t>
            </m:r>
          </m:e>
        </m:d>
        <m:r>
          <w:rPr>
            <w:rFonts w:ascii="Cambria Math" w:hAnsi="Cambria Math"/>
          </w:rPr>
          <m:t>+</m:t>
        </m:r>
        <m:sSub>
          <m:sSubPr>
            <m:ctrlPr>
              <w:rPr>
                <w:rFonts w:ascii="Cambria Math" w:hAnsi="Cambria Math"/>
                <w:i/>
              </w:rPr>
            </m:ctrlPr>
          </m:sSubPr>
          <m:e>
            <m:r>
              <w:rPr>
                <w:rFonts w:ascii="Cambria Math" w:hAnsi="Cambria Math"/>
              </w:rPr>
              <m:t>3H</m:t>
            </m:r>
          </m:e>
          <m:sub>
            <m:r>
              <w:rPr>
                <w:rFonts w:ascii="Cambria Math" w:hAnsi="Cambria Math"/>
              </w:rPr>
              <m:t>2</m:t>
            </m:r>
          </m:sub>
        </m:sSub>
        <m:r>
          <w:rPr>
            <w:rFonts w:ascii="Cambria Math" w:hAnsi="Cambria Math"/>
          </w:rPr>
          <m:t>O</m:t>
        </m:r>
        <m:d>
          <m:dPr>
            <m:ctrlPr>
              <w:rPr>
                <w:rFonts w:ascii="Cambria Math" w:hAnsi="Cambria Math"/>
                <w:i/>
              </w:rPr>
            </m:ctrlPr>
          </m:dPr>
          <m:e>
            <m:r>
              <w:rPr>
                <w:rFonts w:ascii="Cambria Math" w:hAnsi="Cambria Math"/>
              </w:rPr>
              <m:t>l</m:t>
            </m:r>
          </m:e>
        </m:d>
      </m:oMath>
      <w:r>
        <w:rPr>
          <w:rFonts w:eastAsiaTheme="minorEastAsia"/>
        </w:rPr>
        <w:t xml:space="preserve">.” </w:t>
      </w:r>
      <w:r w:rsidRPr="000D1E90">
        <w:t>It is</w:t>
      </w:r>
      <w:r>
        <w:t xml:space="preserve"> unclear from the article what wa</w:t>
      </w:r>
      <w:r w:rsidRPr="000D1E90">
        <w:t>s meant by “predominant” reaction. The kinetics of the above reaction w</w:t>
      </w:r>
      <w:r>
        <w:t>as</w:t>
      </w:r>
      <w:r w:rsidRPr="000D1E90">
        <w:t xml:space="preserve"> the only one given. However, the reaction used </w:t>
      </w:r>
      <w:r>
        <w:t>in the model (Eq. 3.2.3.2) wa</w:t>
      </w:r>
      <w:r w:rsidRPr="000D1E90">
        <w:t xml:space="preserve">s discussed in the article. According to </w:t>
      </w:r>
      <w:proofErr w:type="spellStart"/>
      <w:r w:rsidRPr="00D77D8A">
        <w:t>Mellah</w:t>
      </w:r>
      <w:proofErr w:type="spellEnd"/>
      <w:r w:rsidRPr="00D77D8A">
        <w:t xml:space="preserve">, </w:t>
      </w:r>
      <w:proofErr w:type="spellStart"/>
      <w:r w:rsidRPr="00D77D8A">
        <w:t>Chegrouche</w:t>
      </w:r>
      <w:proofErr w:type="spellEnd"/>
      <w:r w:rsidRPr="00D77D8A">
        <w:t xml:space="preserve">, and </w:t>
      </w:r>
      <w:proofErr w:type="spellStart"/>
      <w:r w:rsidRPr="00D77D8A">
        <w:t>Barkat</w:t>
      </w:r>
      <w:proofErr w:type="spellEnd"/>
      <w:r w:rsidRPr="000D1E90">
        <w:t xml:space="preserve"> </w:t>
      </w:r>
      <w:r>
        <w:t>2</w:t>
      </w:r>
      <w:r w:rsidRPr="000D1E90">
        <w:t>007 and in reference to the above reaction, the reaction best fits a second order rate equation. The rate constants,</w:t>
      </w:r>
      <w:r>
        <w:t xml:space="preserve"> </w:t>
      </w:r>
      <m:oMath>
        <m:sSub>
          <m:sSubPr>
            <m:ctrlPr>
              <w:rPr>
                <w:rFonts w:ascii="Cambria Math" w:hAnsi="Cambria Math"/>
                <w:i/>
              </w:rPr>
            </m:ctrlPr>
          </m:sSubPr>
          <m:e>
            <m:r>
              <w:rPr>
                <w:rFonts w:ascii="Cambria Math" w:hAnsi="Cambria Math"/>
              </w:rPr>
              <m:t>k</m:t>
            </m:r>
          </m:e>
          <m:sub>
            <m:r>
              <w:rPr>
                <w:rFonts w:ascii="Cambria Math" w:hAnsi="Cambria Math"/>
              </w:rPr>
              <m:t>2</m:t>
            </m:r>
          </m:sub>
        </m:sSub>
      </m:oMath>
      <w:r w:rsidRPr="000D1E90">
        <w:t>, were 0.310</w:t>
      </w:r>
      <w:r>
        <w:t> L/</w:t>
      </w:r>
      <w:proofErr w:type="spellStart"/>
      <w:r>
        <w:t>mol</w:t>
      </w:r>
      <w:proofErr w:type="spellEnd"/>
      <w:r>
        <w:t xml:space="preserve">/min at </w:t>
      </w:r>
      <m:oMath>
        <m:r>
          <w:rPr>
            <w:rFonts w:ascii="Cambria Math" w:hAnsi="Cambria Math"/>
          </w:rPr>
          <m:t>T</m:t>
        </m:r>
      </m:oMath>
      <w:r w:rsidRPr="000D1E90">
        <w:t>=313.15</w:t>
      </w:r>
      <w:r>
        <w:t> </w:t>
      </w:r>
      <w:r w:rsidRPr="000D1E90">
        <w:t>K and 0.437</w:t>
      </w:r>
      <w:r>
        <w:t> L/</w:t>
      </w:r>
      <w:proofErr w:type="spellStart"/>
      <w:r>
        <w:t>mol</w:t>
      </w:r>
      <w:proofErr w:type="spellEnd"/>
      <w:r>
        <w:t xml:space="preserve">/min at </w:t>
      </w:r>
      <m:oMath>
        <m:r>
          <w:rPr>
            <w:rFonts w:ascii="Cambria Math" w:hAnsi="Cambria Math"/>
          </w:rPr>
          <m:t>T</m:t>
        </m:r>
      </m:oMath>
      <w:r w:rsidRPr="000D1E90">
        <w:t>=330.15</w:t>
      </w:r>
      <w:r>
        <w:t> </w:t>
      </w:r>
      <w:r w:rsidRPr="000D1E90">
        <w:t>K</w:t>
      </w:r>
      <w:r>
        <w:t>,</w:t>
      </w:r>
      <w:r w:rsidRPr="000D1E90">
        <w:t xml:space="preserve"> and the activation energy, </w:t>
      </w:r>
      <m:oMath>
        <m:sSub>
          <m:sSubPr>
            <m:ctrlPr>
              <w:rPr>
                <w:rFonts w:ascii="Cambria Math" w:hAnsi="Cambria Math"/>
                <w:i/>
              </w:rPr>
            </m:ctrlPr>
          </m:sSubPr>
          <m:e>
            <m:r>
              <w:rPr>
                <w:rFonts w:ascii="Cambria Math" w:hAnsi="Cambria Math"/>
              </w:rPr>
              <m:t>E</m:t>
            </m:r>
          </m:e>
          <m:sub>
            <m:r>
              <w:rPr>
                <w:rFonts w:ascii="Cambria Math" w:hAnsi="Cambria Math"/>
              </w:rPr>
              <m:t>a</m:t>
            </m:r>
          </m:sub>
        </m:sSub>
      </m:oMath>
      <w:r w:rsidRPr="000D1E90">
        <w:t>, determined using the Arrehenius equation was found as 17.4</w:t>
      </w:r>
      <w:r>
        <w:t> kJ/mol. This</w:t>
      </w:r>
      <w:r w:rsidRPr="000D1E90">
        <w:t xml:space="preserve"> informatio</w:t>
      </w:r>
      <w:r>
        <w:t xml:space="preserve">n was provided for completeness, but the reaction rate information was not used in the model. </w:t>
      </w:r>
    </w:p>
    <w:p w:rsidR="00E664E4" w:rsidRPr="00BF5CD5" w:rsidRDefault="00E664E4" w:rsidP="00E664E4"/>
    <w:p w:rsidR="001D0EF6" w:rsidRDefault="001D0EF6" w:rsidP="00E664E4">
      <w:pPr>
        <w:rPr>
          <w:rFonts w:asciiTheme="majorHAnsi" w:hAnsiTheme="majorHAnsi"/>
          <w:b/>
          <w:i/>
        </w:rPr>
      </w:pPr>
    </w:p>
    <w:p w:rsidR="00E664E4" w:rsidRDefault="00E664E4" w:rsidP="00E664E4">
      <w:pPr>
        <w:rPr>
          <w:rFonts w:asciiTheme="majorHAnsi" w:hAnsiTheme="majorHAnsi"/>
          <w:b/>
          <w:i/>
        </w:rPr>
      </w:pPr>
      <w:r>
        <w:rPr>
          <w:rFonts w:asciiTheme="majorHAnsi" w:hAnsiTheme="majorHAnsi"/>
          <w:b/>
          <w:i/>
        </w:rPr>
        <w:lastRenderedPageBreak/>
        <w:t>3.2.3</w:t>
      </w:r>
      <w:r w:rsidRPr="00C26992">
        <w:rPr>
          <w:rFonts w:asciiTheme="majorHAnsi" w:hAnsiTheme="majorHAnsi"/>
          <w:b/>
          <w:i/>
        </w:rPr>
        <w:t>.</w:t>
      </w:r>
      <w:r>
        <w:rPr>
          <w:rFonts w:asciiTheme="majorHAnsi" w:hAnsiTheme="majorHAnsi"/>
          <w:b/>
          <w:i/>
        </w:rPr>
        <w:t>4 Module 3D</w:t>
      </w:r>
    </w:p>
    <w:p w:rsidR="00E664E4" w:rsidRDefault="00E664E4" w:rsidP="00E664E4">
      <w:r w:rsidRPr="004A4DE6">
        <w:t>Modu</w:t>
      </w:r>
      <w:r>
        <w:t>le 3D wa</w:t>
      </w:r>
      <w:r w:rsidRPr="004A4DE6">
        <w:t xml:space="preserve">s the post-precipitation processing of the solid product before transfer to the </w:t>
      </w:r>
      <w:proofErr w:type="spellStart"/>
      <w:r w:rsidRPr="004A4DE6">
        <w:t>calciner</w:t>
      </w:r>
      <w:proofErr w:type="spellEnd"/>
      <w:r w:rsidRPr="004A4DE6">
        <w:t xml:space="preserve"> for conversion to UO</w:t>
      </w:r>
      <w:r w:rsidRPr="004A4DE6">
        <w:rPr>
          <w:vertAlign w:val="subscript"/>
        </w:rPr>
        <w:t>2</w:t>
      </w:r>
      <w:r>
        <w:t>. This processing included</w:t>
      </w:r>
      <w:r w:rsidRPr="004A4DE6">
        <w:t xml:space="preserve"> a cooling vessel, </w:t>
      </w:r>
      <w:r>
        <w:t>a vent, and a filter. The inputs</w:t>
      </w:r>
      <w:r w:rsidRPr="004A4DE6">
        <w:t xml:space="preserve"> to Module 3D </w:t>
      </w:r>
      <w:r>
        <w:t>were</w:t>
      </w:r>
      <w:r w:rsidRPr="004A4DE6">
        <w:t xml:space="preserve"> the output of Module 3C and a filter wash st</w:t>
      </w:r>
      <w:r>
        <w:t>ream. There we</w:t>
      </w:r>
      <w:r w:rsidRPr="004A4DE6">
        <w:t xml:space="preserve">re three outputs from Module 3D, one </w:t>
      </w:r>
      <w:r w:rsidRPr="009D034F">
        <w:t>from the vent and two from the filter. Figure 3.18 shows a block diagram of Module 3D with the input</w:t>
      </w:r>
      <w:r w:rsidRPr="004A4DE6">
        <w:t xml:space="preserve"> and output streams labeled. </w:t>
      </w:r>
    </w:p>
    <w:p w:rsidR="001E169B" w:rsidRPr="0016527C" w:rsidRDefault="001E169B" w:rsidP="001E169B">
      <w:r w:rsidRPr="0016527C">
        <w:t>The precipitation pr</w:t>
      </w:r>
      <w:r>
        <w:t>ocess vent (</w:t>
      </w:r>
      <w:proofErr w:type="spellStart"/>
      <w:r>
        <w:t>Vent_PP</w:t>
      </w:r>
      <w:proofErr w:type="spellEnd"/>
      <w:r>
        <w:t>) separated Stream 27 into two streams. It wa</w:t>
      </w:r>
      <w:r w:rsidRPr="0016527C">
        <w:t>s assumed that only gaseous components exit</w:t>
      </w:r>
      <w:r>
        <w:t>ed</w:t>
      </w:r>
      <w:r w:rsidRPr="0016527C">
        <w:t xml:space="preserve"> in the vent and that all of the gaseous components exit</w:t>
      </w:r>
      <w:r>
        <w:t>ed</w:t>
      </w:r>
      <w:r w:rsidRPr="0016527C">
        <w:t xml:space="preserve"> to the vent. Equations </w:t>
      </w:r>
      <w:r>
        <w:t>3.2.3.33 and 3.2.3.</w:t>
      </w:r>
      <w:r w:rsidRPr="0016527C">
        <w:t>34 are the component mole balances for the vent waste stream.</w:t>
      </w:r>
    </w:p>
    <w:p w:rsidR="001E169B" w:rsidRPr="0016527C" w:rsidRDefault="00C851DF" w:rsidP="001E169B">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27,3</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28,3</m:t>
            </m:r>
          </m:sub>
        </m:sSub>
        <m:r>
          <m:rPr>
            <m:sty m:val="p"/>
          </m:rPr>
          <w:rPr>
            <w:rFonts w:ascii="Cambria Math" w:hAnsi="Cambria Math"/>
          </w:rPr>
          <m:t>=0</m:t>
        </m:r>
      </m:oMath>
      <w:r w:rsidR="001E169B" w:rsidRPr="0016527C">
        <w:t xml:space="preserve"> </w:t>
      </w:r>
      <w:r w:rsidR="001E169B" w:rsidRPr="0016527C">
        <w:tab/>
      </w:r>
      <w:r w:rsidR="001E169B" w:rsidRPr="0016527C">
        <w:tab/>
      </w:r>
      <w:r w:rsidR="001E169B">
        <w:tab/>
      </w:r>
      <w:r w:rsidR="001E169B">
        <w:tab/>
        <w:t>Eq. (3.2.3.</w:t>
      </w:r>
      <w:r w:rsidR="001E169B" w:rsidRPr="0016527C">
        <w:t>33)</w:t>
      </w:r>
    </w:p>
    <w:p w:rsidR="001E169B" w:rsidRPr="0016527C" w:rsidRDefault="00C851DF" w:rsidP="001E169B">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27,8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28,8</m:t>
            </m:r>
          </m:sub>
        </m:sSub>
        <m:r>
          <m:rPr>
            <m:sty m:val="p"/>
          </m:rPr>
          <w:rPr>
            <w:rFonts w:ascii="Cambria Math" w:hAnsi="Cambria Math"/>
          </w:rPr>
          <m:t>=0</m:t>
        </m:r>
      </m:oMath>
      <w:r w:rsidR="001E169B" w:rsidRPr="0016527C">
        <w:t xml:space="preserve"> </w:t>
      </w:r>
      <w:r w:rsidR="001E169B" w:rsidRPr="0016527C">
        <w:tab/>
      </w:r>
      <w:r w:rsidR="001E169B" w:rsidRPr="0016527C">
        <w:tab/>
      </w:r>
      <w:r w:rsidR="001E169B">
        <w:tab/>
      </w:r>
      <w:r w:rsidR="001E169B">
        <w:tab/>
        <w:t>Eq. (3.2.3.</w:t>
      </w:r>
      <w:r w:rsidR="001E169B" w:rsidRPr="0016527C">
        <w:t>34)</w:t>
      </w:r>
    </w:p>
    <w:p w:rsidR="001E169B" w:rsidRPr="0016527C" w:rsidRDefault="001E169B" w:rsidP="001E169B">
      <w:r w:rsidRPr="0016527C">
        <w:t xml:space="preserve">Equations </w:t>
      </w:r>
      <w:r>
        <w:t>3.2.3.</w:t>
      </w:r>
      <w:r w:rsidRPr="0016527C">
        <w:t>35–</w:t>
      </w:r>
      <w:r>
        <w:t>3.2.3.</w:t>
      </w:r>
      <w:r w:rsidRPr="0016527C">
        <w:t xml:space="preserve">43 </w:t>
      </w:r>
      <w:proofErr w:type="gramStart"/>
      <w:r w:rsidRPr="0016527C">
        <w:t>calculate</w:t>
      </w:r>
      <w:proofErr w:type="gramEnd"/>
      <w:r w:rsidRPr="0016527C">
        <w:t xml:space="preserve"> t</w:t>
      </w:r>
      <w:r>
        <w:t>he component mole balances for S</w:t>
      </w:r>
      <w:r w:rsidRPr="0016527C">
        <w:t>tream 29.</w:t>
      </w:r>
    </w:p>
    <w:p w:rsidR="001E169B" w:rsidRPr="0016527C" w:rsidRDefault="00C851DF" w:rsidP="001E169B">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27,1</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F</m:t>
                </m:r>
              </m:e>
              <m:sub>
                <m:r>
                  <m:rPr>
                    <m:sty m:val="p"/>
                  </m:rPr>
                  <w:rPr>
                    <w:rFonts w:ascii="Cambria Math" w:hAnsi="Cambria Math"/>
                  </w:rPr>
                  <m:t>10</m:t>
                </m:r>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m:rPr>
                    <m:sty m:val="p"/>
                  </m:rPr>
                  <w:rPr>
                    <w:rFonts w:ascii="Cambria Math" w:hAnsi="Cambria Math"/>
                  </w:rPr>
                  <m:t>10</m:t>
                </m:r>
                <m:r>
                  <w:rPr>
                    <w:rFonts w:ascii="Cambria Math" w:hAnsi="Cambria Math"/>
                  </w:rPr>
                  <m:t>A</m:t>
                </m:r>
                <m:r>
                  <m:rPr>
                    <m:sty m:val="p"/>
                  </m:rPr>
                  <w:rPr>
                    <w:rFonts w:ascii="Cambria Math" w:hAnsi="Cambria Math"/>
                  </w:rPr>
                  <m:t>,1</m:t>
                </m:r>
              </m:sub>
            </m:sSub>
            <m:r>
              <m:rPr>
                <m:sty m:val="p"/>
              </m:rPr>
              <w:rPr>
                <w:rFonts w:ascii="Cambria Math" w:hAnsi="Cambria Math"/>
              </w:rPr>
              <m:t>*</m:t>
            </m:r>
            <m:f>
              <m:fPr>
                <m:ctrlPr>
                  <w:rPr>
                    <w:rFonts w:ascii="Cambria Math" w:hAnsi="Cambria Math"/>
                  </w:rPr>
                </m:ctrlPr>
              </m:fPr>
              <m:num>
                <m:r>
                  <m:rPr>
                    <m:sty m:val="p"/>
                  </m:rPr>
                  <w:rPr>
                    <w:rFonts w:ascii="Cambria Math" w:hAnsi="Cambria Math"/>
                  </w:rPr>
                  <m:t>1000</m:t>
                </m:r>
              </m:num>
              <m:den>
                <m:sSub>
                  <m:sSubPr>
                    <m:ctrlPr>
                      <w:rPr>
                        <w:rFonts w:ascii="Cambria Math" w:hAnsi="Cambria Math"/>
                      </w:rPr>
                    </m:ctrlPr>
                  </m:sSubPr>
                  <m:e>
                    <m:r>
                      <w:rPr>
                        <w:rFonts w:ascii="Cambria Math" w:hAnsi="Cambria Math"/>
                      </w:rPr>
                      <m:t>MW</m:t>
                    </m:r>
                  </m:e>
                  <m:sub>
                    <m:r>
                      <m:rPr>
                        <m:sty m:val="p"/>
                      </m:rPr>
                      <w:rPr>
                        <w:rFonts w:ascii="Cambria Math" w:hAnsi="Cambria Math"/>
                      </w:rPr>
                      <m:t>1</m:t>
                    </m:r>
                  </m:sub>
                </m:sSub>
              </m:den>
            </m:f>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29,1</m:t>
            </m:r>
          </m:sub>
        </m:sSub>
        <m:r>
          <m:rPr>
            <m:sty m:val="p"/>
          </m:rPr>
          <w:rPr>
            <w:rFonts w:ascii="Cambria Math" w:hAnsi="Cambria Math"/>
          </w:rPr>
          <m:t>=0</m:t>
        </m:r>
      </m:oMath>
      <w:r w:rsidR="001E169B" w:rsidRPr="0016527C">
        <w:t xml:space="preserve"> </w:t>
      </w:r>
      <w:r w:rsidR="001E169B" w:rsidRPr="0016527C">
        <w:tab/>
      </w:r>
      <w:r w:rsidR="001E169B">
        <w:tab/>
        <w:t>Eq. (3.2.3.</w:t>
      </w:r>
      <w:r w:rsidR="001E169B" w:rsidRPr="0016527C">
        <w:t>35)</w:t>
      </w:r>
    </w:p>
    <w:p w:rsidR="001E169B" w:rsidRPr="0016527C" w:rsidRDefault="00C851DF" w:rsidP="001E169B">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27,9</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29,9</m:t>
            </m:r>
          </m:sub>
        </m:sSub>
        <m:r>
          <m:rPr>
            <m:sty m:val="p"/>
          </m:rPr>
          <w:rPr>
            <w:rFonts w:ascii="Cambria Math" w:hAnsi="Cambria Math"/>
          </w:rPr>
          <m:t>=0</m:t>
        </m:r>
      </m:oMath>
      <w:r w:rsidR="001E169B" w:rsidRPr="0016527C">
        <w:t xml:space="preserve"> </w:t>
      </w:r>
      <w:r w:rsidR="001E169B" w:rsidRPr="0016527C">
        <w:tab/>
      </w:r>
      <w:r w:rsidR="001E169B" w:rsidRPr="0016527C">
        <w:tab/>
      </w:r>
      <w:r w:rsidR="001E169B" w:rsidRPr="0016527C">
        <w:tab/>
      </w:r>
      <w:r w:rsidR="001E169B" w:rsidRPr="0016527C">
        <w:tab/>
      </w:r>
      <w:r w:rsidR="001E169B">
        <w:t>Eq. (3.2.3.</w:t>
      </w:r>
      <w:r w:rsidR="001E169B" w:rsidRPr="0016527C">
        <w:t>36)</w:t>
      </w:r>
    </w:p>
    <w:p w:rsidR="001E169B" w:rsidRPr="0016527C" w:rsidRDefault="00C851DF" w:rsidP="001E169B">
      <w:pPr>
        <w:jc w:val="right"/>
      </w:pPr>
      <m:oMath>
        <m:d>
          <m:dPr>
            <m:ctrlPr>
              <w:rPr>
                <w:rFonts w:ascii="Cambria Math" w:hAnsi="Cambria Math"/>
              </w:rPr>
            </m:ctrlPr>
          </m:dPr>
          <m:e>
            <m:sSub>
              <m:sSubPr>
                <m:ctrlPr>
                  <w:rPr>
                    <w:rFonts w:ascii="Cambria Math" w:hAnsi="Cambria Math"/>
                  </w:rPr>
                </m:ctrlPr>
              </m:sSubPr>
              <m:e>
                <m:r>
                  <w:rPr>
                    <w:rFonts w:ascii="Cambria Math" w:hAnsi="Cambria Math"/>
                  </w:rPr>
                  <m:t>F</m:t>
                </m:r>
              </m:e>
              <m:sub>
                <m:r>
                  <m:rPr>
                    <m:sty m:val="p"/>
                  </m:rPr>
                  <w:rPr>
                    <w:rFonts w:ascii="Cambria Math" w:hAnsi="Cambria Math"/>
                  </w:rPr>
                  <m:t>10</m:t>
                </m:r>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m:rPr>
                    <m:sty m:val="p"/>
                  </m:rPr>
                  <w:rPr>
                    <w:rFonts w:ascii="Cambria Math" w:hAnsi="Cambria Math"/>
                  </w:rPr>
                  <m:t>10</m:t>
                </m:r>
                <m:r>
                  <w:rPr>
                    <w:rFonts w:ascii="Cambria Math" w:hAnsi="Cambria Math"/>
                  </w:rPr>
                  <m:t>A</m:t>
                </m:r>
                <m:r>
                  <m:rPr>
                    <m:sty m:val="p"/>
                  </m:rPr>
                  <w:rPr>
                    <w:rFonts w:ascii="Cambria Math" w:hAnsi="Cambria Math"/>
                  </w:rPr>
                  <m:t>,10</m:t>
                </m:r>
              </m:sub>
            </m:sSub>
            <m:r>
              <m:rPr>
                <m:sty m:val="p"/>
              </m:rPr>
              <w:rPr>
                <w:rFonts w:ascii="Cambria Math" w:hAnsi="Cambria Math"/>
              </w:rPr>
              <m:t>*</m:t>
            </m:r>
            <m:f>
              <m:fPr>
                <m:ctrlPr>
                  <w:rPr>
                    <w:rFonts w:ascii="Cambria Math" w:hAnsi="Cambria Math"/>
                  </w:rPr>
                </m:ctrlPr>
              </m:fPr>
              <m:num>
                <m:r>
                  <m:rPr>
                    <m:sty m:val="p"/>
                  </m:rPr>
                  <w:rPr>
                    <w:rFonts w:ascii="Cambria Math" w:hAnsi="Cambria Math"/>
                  </w:rPr>
                  <m:t>1000</m:t>
                </m:r>
              </m:num>
              <m:den>
                <m:sSub>
                  <m:sSubPr>
                    <m:ctrlPr>
                      <w:rPr>
                        <w:rFonts w:ascii="Cambria Math" w:hAnsi="Cambria Math"/>
                      </w:rPr>
                    </m:ctrlPr>
                  </m:sSubPr>
                  <m:e>
                    <m:r>
                      <w:rPr>
                        <w:rFonts w:ascii="Cambria Math" w:hAnsi="Cambria Math"/>
                      </w:rPr>
                      <m:t>MW</m:t>
                    </m:r>
                  </m:e>
                  <m:sub>
                    <m:r>
                      <m:rPr>
                        <m:sty m:val="p"/>
                      </m:rPr>
                      <w:rPr>
                        <w:rFonts w:ascii="Cambria Math" w:hAnsi="Cambria Math"/>
                      </w:rPr>
                      <m:t>10</m:t>
                    </m:r>
                  </m:sub>
                </m:sSub>
              </m:den>
            </m:f>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29,10</m:t>
            </m:r>
          </m:sub>
        </m:sSub>
        <m:r>
          <m:rPr>
            <m:sty m:val="p"/>
          </m:rPr>
          <w:rPr>
            <w:rFonts w:ascii="Cambria Math" w:hAnsi="Cambria Math"/>
          </w:rPr>
          <m:t>=0</m:t>
        </m:r>
      </m:oMath>
      <w:r w:rsidR="001E169B" w:rsidRPr="0016527C">
        <w:t xml:space="preserve"> </w:t>
      </w:r>
      <w:r w:rsidR="001E169B" w:rsidRPr="0016527C">
        <w:tab/>
      </w:r>
      <w:r w:rsidR="001E169B" w:rsidRPr="0016527C">
        <w:tab/>
      </w:r>
      <w:r w:rsidR="001E169B" w:rsidRPr="0016527C">
        <w:tab/>
      </w:r>
      <w:r w:rsidR="001E169B">
        <w:t>Eq. (3.2.3.</w:t>
      </w:r>
      <w:r w:rsidR="001E169B" w:rsidRPr="0016527C">
        <w:t>37)</w:t>
      </w:r>
    </w:p>
    <w:p w:rsidR="001E169B" w:rsidRPr="0016527C" w:rsidRDefault="00C851DF" w:rsidP="001E169B">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27,12</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29,12</m:t>
            </m:r>
          </m:sub>
        </m:sSub>
        <m:r>
          <m:rPr>
            <m:sty m:val="p"/>
          </m:rPr>
          <w:rPr>
            <w:rFonts w:ascii="Cambria Math" w:hAnsi="Cambria Math"/>
          </w:rPr>
          <m:t>=0</m:t>
        </m:r>
      </m:oMath>
      <w:r w:rsidR="001E169B" w:rsidRPr="0016527C">
        <w:t xml:space="preserve"> </w:t>
      </w:r>
      <w:r w:rsidR="001E169B" w:rsidRPr="0016527C">
        <w:tab/>
      </w:r>
      <w:r w:rsidR="001E169B" w:rsidRPr="0016527C">
        <w:tab/>
      </w:r>
      <w:r w:rsidR="001E169B" w:rsidRPr="0016527C">
        <w:tab/>
      </w:r>
      <w:r w:rsidR="001E169B" w:rsidRPr="0016527C">
        <w:tab/>
      </w:r>
      <w:r w:rsidR="001E169B">
        <w:t>Eq. (3.2.3.</w:t>
      </w:r>
      <w:r w:rsidR="001E169B" w:rsidRPr="0016527C">
        <w:t>38)</w:t>
      </w:r>
    </w:p>
    <w:p w:rsidR="001E169B" w:rsidRPr="004A4DE6" w:rsidRDefault="001E169B" w:rsidP="00E664E4"/>
    <w:p w:rsidR="00E664E4" w:rsidRPr="004A4DE6" w:rsidRDefault="00E664E4" w:rsidP="00E664E4">
      <w:pPr>
        <w:jc w:val="center"/>
      </w:pPr>
      <w:r w:rsidRPr="004A4DE6">
        <w:object w:dxaOrig="6585" w:dyaOrig="3711">
          <v:shape id="_x0000_i1040" type="#_x0000_t75" style="width:328.3pt;height:184.3pt" o:ole="">
            <v:imagedata r:id="rId57" o:title=""/>
          </v:shape>
          <o:OLEObject Type="Embed" ProgID="Visio.Drawing.11" ShapeID="_x0000_i1040" DrawAspect="Content" ObjectID="_1445525565" r:id="rId58"/>
        </w:object>
      </w:r>
    </w:p>
    <w:p w:rsidR="00E664E4" w:rsidRPr="004A4DE6" w:rsidRDefault="00E664E4" w:rsidP="00E664E4">
      <w:pPr>
        <w:jc w:val="center"/>
        <w:rPr>
          <w:b/>
          <w:sz w:val="20"/>
          <w:szCs w:val="20"/>
        </w:rPr>
      </w:pPr>
      <w:r w:rsidRPr="009D034F">
        <w:rPr>
          <w:b/>
          <w:sz w:val="20"/>
          <w:szCs w:val="20"/>
        </w:rPr>
        <w:t xml:space="preserve">Figure 3.18. Block Diagram of the Module 3D </w:t>
      </w:r>
      <w:r w:rsidR="004045DF">
        <w:rPr>
          <w:b/>
          <w:sz w:val="20"/>
          <w:szCs w:val="20"/>
        </w:rPr>
        <w:t>Showing Input and Output Streams</w:t>
      </w:r>
      <w:r w:rsidRPr="009D034F">
        <w:rPr>
          <w:b/>
          <w:sz w:val="20"/>
          <w:szCs w:val="20"/>
        </w:rPr>
        <w:t>.</w:t>
      </w:r>
    </w:p>
    <w:p w:rsidR="00E664E4" w:rsidRPr="0016527C" w:rsidRDefault="00C851DF" w:rsidP="00E664E4">
      <w:pPr>
        <w:jc w:val="right"/>
      </w:pPr>
      <m:oMath>
        <m:d>
          <m:dPr>
            <m:ctrlPr>
              <w:rPr>
                <w:rFonts w:ascii="Cambria Math" w:hAnsi="Cambria Math"/>
              </w:rPr>
            </m:ctrlPr>
          </m:dPr>
          <m:e>
            <m:sSub>
              <m:sSubPr>
                <m:ctrlPr>
                  <w:rPr>
                    <w:rFonts w:ascii="Cambria Math" w:hAnsi="Cambria Math"/>
                  </w:rPr>
                </m:ctrlPr>
              </m:sSubPr>
              <m:e>
                <m:r>
                  <w:rPr>
                    <w:rFonts w:ascii="Cambria Math" w:hAnsi="Cambria Math"/>
                  </w:rPr>
                  <m:t>F</m:t>
                </m:r>
              </m:e>
              <m:sub>
                <m:r>
                  <m:rPr>
                    <m:sty m:val="p"/>
                  </m:rPr>
                  <w:rPr>
                    <w:rFonts w:ascii="Cambria Math" w:hAnsi="Cambria Math"/>
                  </w:rPr>
                  <m:t>10</m:t>
                </m:r>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m:rPr>
                    <m:sty m:val="p"/>
                  </m:rPr>
                  <w:rPr>
                    <w:rFonts w:ascii="Cambria Math" w:hAnsi="Cambria Math"/>
                  </w:rPr>
                  <m:t>10</m:t>
                </m:r>
                <m:r>
                  <w:rPr>
                    <w:rFonts w:ascii="Cambria Math" w:hAnsi="Cambria Math"/>
                  </w:rPr>
                  <m:t>A</m:t>
                </m:r>
                <m:r>
                  <m:rPr>
                    <m:sty m:val="p"/>
                  </m:rPr>
                  <w:rPr>
                    <w:rFonts w:ascii="Cambria Math" w:hAnsi="Cambria Math"/>
                  </w:rPr>
                  <m:t>,13</m:t>
                </m:r>
              </m:sub>
            </m:sSub>
            <m:r>
              <m:rPr>
                <m:sty m:val="p"/>
              </m:rPr>
              <w:rPr>
                <w:rFonts w:ascii="Cambria Math" w:hAnsi="Cambria Math"/>
              </w:rPr>
              <m:t>*</m:t>
            </m:r>
            <m:f>
              <m:fPr>
                <m:ctrlPr>
                  <w:rPr>
                    <w:rFonts w:ascii="Cambria Math" w:hAnsi="Cambria Math"/>
                  </w:rPr>
                </m:ctrlPr>
              </m:fPr>
              <m:num>
                <m:r>
                  <m:rPr>
                    <m:sty m:val="p"/>
                  </m:rPr>
                  <w:rPr>
                    <w:rFonts w:ascii="Cambria Math" w:hAnsi="Cambria Math"/>
                  </w:rPr>
                  <m:t>1000</m:t>
                </m:r>
              </m:num>
              <m:den>
                <m:sSub>
                  <m:sSubPr>
                    <m:ctrlPr>
                      <w:rPr>
                        <w:rFonts w:ascii="Cambria Math" w:hAnsi="Cambria Math"/>
                      </w:rPr>
                    </m:ctrlPr>
                  </m:sSubPr>
                  <m:e>
                    <m:r>
                      <w:rPr>
                        <w:rFonts w:ascii="Cambria Math" w:hAnsi="Cambria Math"/>
                      </w:rPr>
                      <m:t>MW</m:t>
                    </m:r>
                  </m:e>
                  <m:sub>
                    <m:r>
                      <m:rPr>
                        <m:sty m:val="p"/>
                      </m:rPr>
                      <w:rPr>
                        <w:rFonts w:ascii="Cambria Math" w:hAnsi="Cambria Math"/>
                      </w:rPr>
                      <m:t>13</m:t>
                    </m:r>
                  </m:sub>
                </m:sSub>
              </m:den>
            </m:f>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29,13</m:t>
            </m:r>
          </m:sub>
        </m:sSub>
        <m:r>
          <m:rPr>
            <m:sty m:val="p"/>
          </m:rPr>
          <w:rPr>
            <w:rFonts w:ascii="Cambria Math" w:hAnsi="Cambria Math"/>
          </w:rPr>
          <m:t>=0</m:t>
        </m:r>
      </m:oMath>
      <w:r w:rsidR="00E664E4" w:rsidRPr="0016527C">
        <w:t xml:space="preserve"> </w:t>
      </w:r>
      <w:r w:rsidR="00E664E4" w:rsidRPr="0016527C">
        <w:tab/>
      </w:r>
      <w:r w:rsidR="00E664E4" w:rsidRPr="0016527C">
        <w:tab/>
      </w:r>
      <w:r w:rsidR="00E664E4" w:rsidRPr="0016527C">
        <w:tab/>
      </w:r>
      <w:r w:rsidR="00E664E4">
        <w:t>Eq. (3.2.3.</w:t>
      </w:r>
      <w:r w:rsidR="00E664E4" w:rsidRPr="0016527C">
        <w:t>39)</w:t>
      </w:r>
    </w:p>
    <w:p w:rsidR="00E664E4" w:rsidRPr="0016527C"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27,14</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29,14</m:t>
            </m:r>
          </m:sub>
        </m:sSub>
        <m:r>
          <m:rPr>
            <m:sty m:val="p"/>
          </m:rPr>
          <w:rPr>
            <w:rFonts w:ascii="Cambria Math" w:hAnsi="Cambria Math"/>
          </w:rPr>
          <m:t>=0</m:t>
        </m:r>
      </m:oMath>
      <w:r w:rsidR="00E664E4" w:rsidRPr="0016527C">
        <w:t xml:space="preserve"> </w:t>
      </w:r>
      <w:r w:rsidR="00E664E4" w:rsidRPr="0016527C">
        <w:tab/>
      </w:r>
      <w:r w:rsidR="00E664E4" w:rsidRPr="0016527C">
        <w:tab/>
      </w:r>
      <w:r w:rsidR="00E664E4" w:rsidRPr="0016527C">
        <w:tab/>
      </w:r>
      <w:r w:rsidR="00E664E4" w:rsidRPr="0016527C">
        <w:tab/>
      </w:r>
      <w:r w:rsidR="00E664E4">
        <w:t>Eq. (3.2.3.</w:t>
      </w:r>
      <w:r w:rsidR="00E664E4" w:rsidRPr="0016527C">
        <w:t>40)</w:t>
      </w:r>
    </w:p>
    <w:p w:rsidR="00E664E4" w:rsidRPr="0016527C"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27,18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29,18</m:t>
            </m:r>
          </m:sub>
        </m:sSub>
        <m:r>
          <m:rPr>
            <m:sty m:val="p"/>
          </m:rPr>
          <w:rPr>
            <w:rFonts w:ascii="Cambria Math" w:hAnsi="Cambria Math"/>
          </w:rPr>
          <m:t>=0</m:t>
        </m:r>
      </m:oMath>
      <w:r w:rsidR="00E664E4" w:rsidRPr="0016527C">
        <w:t xml:space="preserve"> </w:t>
      </w:r>
      <w:r w:rsidR="00E664E4" w:rsidRPr="0016527C">
        <w:tab/>
      </w:r>
      <w:r w:rsidR="00E664E4" w:rsidRPr="0016527C">
        <w:tab/>
      </w:r>
      <w:r w:rsidR="00E664E4" w:rsidRPr="0016527C">
        <w:tab/>
      </w:r>
      <w:r w:rsidR="00E664E4" w:rsidRPr="0016527C">
        <w:tab/>
      </w:r>
      <w:r w:rsidR="00E664E4">
        <w:t>Eq. (3.2.3.</w:t>
      </w:r>
      <w:r w:rsidR="00E664E4" w:rsidRPr="0016527C">
        <w:t>41)</w:t>
      </w:r>
    </w:p>
    <w:p w:rsidR="00E664E4" w:rsidRPr="0016527C"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27,19</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29,19</m:t>
            </m:r>
          </m:sub>
        </m:sSub>
        <m:r>
          <m:rPr>
            <m:sty m:val="p"/>
          </m:rPr>
          <w:rPr>
            <w:rFonts w:ascii="Cambria Math" w:hAnsi="Cambria Math"/>
          </w:rPr>
          <m:t>=0</m:t>
        </m:r>
      </m:oMath>
      <w:r w:rsidR="00E664E4" w:rsidRPr="0016527C">
        <w:t xml:space="preserve"> </w:t>
      </w:r>
      <w:r w:rsidR="00E664E4" w:rsidRPr="0016527C">
        <w:tab/>
      </w:r>
      <w:r w:rsidR="00E664E4" w:rsidRPr="0016527C">
        <w:tab/>
      </w:r>
      <w:r w:rsidR="00E664E4" w:rsidRPr="0016527C">
        <w:tab/>
      </w:r>
      <w:r w:rsidR="00E664E4" w:rsidRPr="0016527C">
        <w:tab/>
      </w:r>
      <w:r w:rsidR="00E664E4">
        <w:t>Eq. (3.2.3.</w:t>
      </w:r>
      <w:r w:rsidR="00E664E4" w:rsidRPr="0016527C">
        <w:t>42)</w:t>
      </w:r>
    </w:p>
    <w:p w:rsidR="00E664E4" w:rsidRPr="0016527C"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27,21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29,21</m:t>
            </m:r>
          </m:sub>
        </m:sSub>
        <m:r>
          <m:rPr>
            <m:sty m:val="p"/>
          </m:rPr>
          <w:rPr>
            <w:rFonts w:ascii="Cambria Math" w:hAnsi="Cambria Math"/>
          </w:rPr>
          <m:t>=0</m:t>
        </m:r>
      </m:oMath>
      <w:r w:rsidR="00E664E4" w:rsidRPr="0016527C">
        <w:t xml:space="preserve"> </w:t>
      </w:r>
      <w:r w:rsidR="00E664E4" w:rsidRPr="0016527C">
        <w:tab/>
      </w:r>
      <w:r w:rsidR="00E664E4" w:rsidRPr="0016527C">
        <w:tab/>
      </w:r>
      <w:r w:rsidR="00E664E4" w:rsidRPr="0016527C">
        <w:tab/>
      </w:r>
      <w:r w:rsidR="00E664E4" w:rsidRPr="0016527C">
        <w:tab/>
      </w:r>
      <w:r w:rsidR="00E664E4">
        <w:t>Eq. (3.2.3.</w:t>
      </w:r>
      <w:r w:rsidR="00E664E4" w:rsidRPr="0016527C">
        <w:t>43)</w:t>
      </w:r>
    </w:p>
    <w:p w:rsidR="00E664E4" w:rsidRPr="0016527C" w:rsidRDefault="00E664E4" w:rsidP="00E664E4">
      <w:r w:rsidRPr="0016527C">
        <w:t>The precipitation proces</w:t>
      </w:r>
      <w:r>
        <w:t>s filter (</w:t>
      </w:r>
      <w:proofErr w:type="spellStart"/>
      <w:r>
        <w:t>Filter_PP</w:t>
      </w:r>
      <w:proofErr w:type="spellEnd"/>
      <w:r>
        <w:t>) separated S</w:t>
      </w:r>
      <w:r w:rsidRPr="0016527C">
        <w:t xml:space="preserve">tream 29 into </w:t>
      </w:r>
      <w:r>
        <w:t>two</w:t>
      </w:r>
      <w:r w:rsidRPr="0016527C">
        <w:t xml:space="preserve"> stream</w:t>
      </w:r>
      <w:r>
        <w:t>s. The separation wa</w:t>
      </w:r>
      <w:r w:rsidRPr="0016527C">
        <w:t xml:space="preserve">s defined as the fraction that </w:t>
      </w:r>
      <w:r>
        <w:t>was sent t</w:t>
      </w:r>
      <w:r w:rsidRPr="0016527C">
        <w:t xml:space="preserve">o the product stream from the input stream by </w:t>
      </w:r>
      <w:r>
        <w:t>parameter</w:t>
      </w:r>
      <w:r w:rsidRPr="0016527C">
        <w:t xml:space="preserve">, </w:t>
      </w: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3</m:t>
            </m:r>
            <m:r>
              <w:rPr>
                <w:rFonts w:ascii="Cambria Math" w:hAnsi="Cambria Math"/>
              </w:rPr>
              <m:t>D</m:t>
            </m:r>
            <m:r>
              <m:rPr>
                <m:sty m:val="p"/>
              </m:rPr>
              <w:rPr>
                <w:rFonts w:ascii="Cambria Math" w:hAnsi="Cambria Math"/>
              </w:rPr>
              <m:t>,</m:t>
            </m:r>
            <m:r>
              <w:rPr>
                <w:rFonts w:ascii="Cambria Math" w:hAnsi="Cambria Math"/>
              </w:rPr>
              <m:t>i</m:t>
            </m:r>
          </m:sub>
        </m:sSub>
      </m:oMath>
      <w:r>
        <w:t xml:space="preserve">, where each component, </w:t>
      </w:r>
      <m:oMath>
        <m:r>
          <w:rPr>
            <w:rFonts w:ascii="Cambria Math" w:hAnsi="Cambria Math"/>
          </w:rPr>
          <m:t>i</m:t>
        </m:r>
      </m:oMath>
      <w:r>
        <w:t>, had</w:t>
      </w:r>
      <w:r w:rsidRPr="0016527C">
        <w:t xml:space="preserve"> a different fractionation. Equations </w:t>
      </w:r>
      <w:r>
        <w:t>3.2.3.</w:t>
      </w:r>
      <w:r w:rsidRPr="0016527C">
        <w:t>44–</w:t>
      </w:r>
      <w:r>
        <w:t>3.2.3.46 define the separation of Stream 29 into S</w:t>
      </w:r>
      <w:r w:rsidRPr="0016527C">
        <w:t>tream 30.</w:t>
      </w:r>
    </w:p>
    <w:p w:rsidR="00E664E4" w:rsidRPr="0016527C" w:rsidRDefault="00C851DF" w:rsidP="00E664E4">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3</m:t>
            </m:r>
            <m:r>
              <w:rPr>
                <w:rFonts w:ascii="Cambria Math" w:hAnsi="Cambria Math"/>
              </w:rPr>
              <m:t>D</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29,1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30,1</m:t>
            </m:r>
          </m:sub>
        </m:sSub>
        <m:r>
          <m:rPr>
            <m:sty m:val="p"/>
          </m:rPr>
          <w:rPr>
            <w:rFonts w:ascii="Cambria Math" w:hAnsi="Cambria Math"/>
          </w:rPr>
          <m:t>=0</m:t>
        </m:r>
      </m:oMath>
      <w:r w:rsidR="00E664E4" w:rsidRPr="0016527C">
        <w:t xml:space="preserve"> </w:t>
      </w:r>
      <w:r w:rsidR="00E664E4" w:rsidRPr="0016527C">
        <w:tab/>
      </w:r>
      <w:r w:rsidR="00E664E4" w:rsidRPr="0016527C">
        <w:tab/>
      </w:r>
      <w:r w:rsidR="00E664E4" w:rsidRPr="0016527C">
        <w:tab/>
      </w:r>
      <w:r w:rsidR="00E664E4">
        <w:tab/>
        <w:t>Eq. (3.2.3.</w:t>
      </w:r>
      <w:r w:rsidR="00E664E4" w:rsidRPr="0016527C">
        <w:t>44)</w:t>
      </w:r>
    </w:p>
    <w:p w:rsidR="00E664E4" w:rsidRPr="0016527C" w:rsidRDefault="00C851DF" w:rsidP="00E664E4">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3</m:t>
            </m:r>
            <m:r>
              <w:rPr>
                <w:rFonts w:ascii="Cambria Math" w:hAnsi="Cambria Math"/>
              </w:rPr>
              <m:t>D</m:t>
            </m:r>
            <m:r>
              <m:rPr>
                <m:sty m:val="p"/>
              </m:rPr>
              <w:rPr>
                <w:rFonts w:ascii="Cambria Math" w:hAnsi="Cambria Math"/>
              </w:rPr>
              <m:t>,18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29,18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30,18</m:t>
            </m:r>
          </m:sub>
        </m:sSub>
        <m:r>
          <m:rPr>
            <m:sty m:val="p"/>
          </m:rPr>
          <w:rPr>
            <w:rFonts w:ascii="Cambria Math" w:hAnsi="Cambria Math"/>
          </w:rPr>
          <m:t>=0</m:t>
        </m:r>
      </m:oMath>
      <w:r w:rsidR="00E664E4" w:rsidRPr="0016527C">
        <w:t xml:space="preserve"> </w:t>
      </w:r>
      <w:r w:rsidR="00E664E4" w:rsidRPr="0016527C">
        <w:tab/>
      </w:r>
      <w:r w:rsidR="00E664E4">
        <w:tab/>
      </w:r>
      <w:r w:rsidR="00E9624E">
        <w:tab/>
      </w:r>
      <w:r w:rsidR="00E664E4" w:rsidRPr="0016527C">
        <w:tab/>
      </w:r>
      <w:r w:rsidR="00E664E4">
        <w:t>Eq. (3.2.3.</w:t>
      </w:r>
      <w:r w:rsidR="00E664E4" w:rsidRPr="0016527C">
        <w:t>45)</w:t>
      </w:r>
    </w:p>
    <w:p w:rsidR="00E664E4" w:rsidRPr="0016527C" w:rsidRDefault="00C851DF" w:rsidP="00E664E4">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3</m:t>
            </m:r>
            <m:r>
              <w:rPr>
                <w:rFonts w:ascii="Cambria Math" w:hAnsi="Cambria Math"/>
              </w:rPr>
              <m:t>D</m:t>
            </m:r>
            <m:r>
              <m:rPr>
                <m:sty m:val="p"/>
              </m:rPr>
              <w:rPr>
                <w:rFonts w:ascii="Cambria Math" w:hAnsi="Cambria Math"/>
              </w:rPr>
              <m:t>,19</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29,19</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30,19</m:t>
            </m:r>
          </m:sub>
        </m:sSub>
        <m:r>
          <m:rPr>
            <m:sty m:val="p"/>
          </m:rPr>
          <w:rPr>
            <w:rFonts w:ascii="Cambria Math" w:hAnsi="Cambria Math"/>
          </w:rPr>
          <m:t>=0</m:t>
        </m:r>
      </m:oMath>
      <w:r w:rsidR="00E664E4" w:rsidRPr="0016527C">
        <w:t xml:space="preserve"> </w:t>
      </w:r>
      <w:r w:rsidR="00E664E4" w:rsidRPr="0016527C">
        <w:tab/>
      </w:r>
      <w:r w:rsidR="00E9624E">
        <w:tab/>
      </w:r>
      <w:r w:rsidR="00E664E4">
        <w:tab/>
      </w:r>
      <w:r w:rsidR="00E664E4" w:rsidRPr="0016527C">
        <w:tab/>
      </w:r>
      <w:r w:rsidR="00E664E4">
        <w:t>Eq. (3.2.3.</w:t>
      </w:r>
      <w:r w:rsidR="00E664E4" w:rsidRPr="0016527C">
        <w:t>46)</w:t>
      </w:r>
    </w:p>
    <w:p w:rsidR="00E664E4" w:rsidRPr="0016527C" w:rsidRDefault="00E664E4" w:rsidP="00E664E4">
      <w:r w:rsidRPr="0016527C">
        <w:t xml:space="preserve">Equations </w:t>
      </w:r>
      <w:r>
        <w:t>3.2.3.</w:t>
      </w:r>
      <w:r w:rsidRPr="0016527C">
        <w:t>47–</w:t>
      </w:r>
      <w:r>
        <w:t>3.2.3.</w:t>
      </w:r>
      <w:r w:rsidRPr="0016527C">
        <w:t>55 calculate t</w:t>
      </w:r>
      <w:r>
        <w:t>he component mole balances for St</w:t>
      </w:r>
      <w:r w:rsidRPr="0016527C">
        <w:t>ream 31.</w:t>
      </w:r>
    </w:p>
    <w:p w:rsidR="00E664E4" w:rsidRPr="0016527C"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29,1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30,1</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31,1</m:t>
            </m:r>
          </m:sub>
        </m:sSub>
        <m:r>
          <m:rPr>
            <m:sty m:val="p"/>
          </m:rPr>
          <w:rPr>
            <w:rFonts w:ascii="Cambria Math" w:hAnsi="Cambria Math"/>
          </w:rPr>
          <m:t>=0</m:t>
        </m:r>
      </m:oMath>
      <w:r w:rsidR="00E664E4" w:rsidRPr="0016527C">
        <w:t xml:space="preserve"> </w:t>
      </w:r>
      <w:r w:rsidR="00E664E4">
        <w:tab/>
      </w:r>
      <w:r w:rsidR="00E664E4">
        <w:tab/>
      </w:r>
      <w:r w:rsidR="00E664E4" w:rsidRPr="0016527C">
        <w:tab/>
      </w:r>
      <w:r w:rsidR="00E664E4" w:rsidRPr="0016527C">
        <w:tab/>
      </w:r>
      <w:r w:rsidR="00E664E4">
        <w:t>Eq. (3.2.3.</w:t>
      </w:r>
      <w:r w:rsidR="00E664E4" w:rsidRPr="0016527C">
        <w:t>47)</w:t>
      </w:r>
    </w:p>
    <w:p w:rsidR="00E664E4" w:rsidRPr="0016527C"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29,9</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31,9</m:t>
            </m:r>
          </m:sub>
        </m:sSub>
        <m:r>
          <m:rPr>
            <m:sty m:val="p"/>
          </m:rPr>
          <w:rPr>
            <w:rFonts w:ascii="Cambria Math" w:hAnsi="Cambria Math"/>
          </w:rPr>
          <m:t>=0</m:t>
        </m:r>
      </m:oMath>
      <w:r w:rsidR="00E664E4" w:rsidRPr="0016527C">
        <w:t xml:space="preserve"> </w:t>
      </w:r>
      <w:r w:rsidR="00E664E4" w:rsidRPr="0016527C">
        <w:tab/>
      </w:r>
      <w:r w:rsidR="00E664E4">
        <w:tab/>
      </w:r>
      <w:r w:rsidR="00E664E4" w:rsidRPr="0016527C">
        <w:tab/>
      </w:r>
      <w:r w:rsidR="00E664E4" w:rsidRPr="0016527C">
        <w:tab/>
      </w:r>
      <w:r w:rsidR="00E664E4">
        <w:t>Eq. (3.2.3.</w:t>
      </w:r>
      <w:r w:rsidR="00E664E4" w:rsidRPr="0016527C">
        <w:t>48)</w:t>
      </w:r>
    </w:p>
    <w:p w:rsidR="00E664E4" w:rsidRPr="0016527C"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29,10</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31,10</m:t>
            </m:r>
          </m:sub>
        </m:sSub>
        <m:r>
          <m:rPr>
            <m:sty m:val="p"/>
          </m:rPr>
          <w:rPr>
            <w:rFonts w:ascii="Cambria Math" w:hAnsi="Cambria Math"/>
          </w:rPr>
          <m:t>=0</m:t>
        </m:r>
      </m:oMath>
      <w:r w:rsidR="00E664E4" w:rsidRPr="0016527C">
        <w:t xml:space="preserve"> </w:t>
      </w:r>
      <w:r w:rsidR="00E664E4" w:rsidRPr="0016527C">
        <w:tab/>
      </w:r>
      <w:r w:rsidR="00E664E4">
        <w:tab/>
      </w:r>
      <w:r w:rsidR="00E664E4" w:rsidRPr="0016527C">
        <w:tab/>
      </w:r>
      <w:r w:rsidR="00E664E4" w:rsidRPr="0016527C">
        <w:tab/>
      </w:r>
      <w:r w:rsidR="00E664E4">
        <w:t>Eq. (3.2.3.</w:t>
      </w:r>
      <w:r w:rsidR="00E664E4" w:rsidRPr="0016527C">
        <w:t>49)</w:t>
      </w:r>
    </w:p>
    <w:p w:rsidR="00E664E4" w:rsidRPr="0016527C"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29,12</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31,12</m:t>
            </m:r>
          </m:sub>
        </m:sSub>
        <m:r>
          <m:rPr>
            <m:sty m:val="p"/>
          </m:rPr>
          <w:rPr>
            <w:rFonts w:ascii="Cambria Math" w:hAnsi="Cambria Math"/>
          </w:rPr>
          <m:t>=0</m:t>
        </m:r>
      </m:oMath>
      <w:r w:rsidR="00E664E4" w:rsidRPr="0016527C">
        <w:t xml:space="preserve"> </w:t>
      </w:r>
      <w:r w:rsidR="00E664E4" w:rsidRPr="0016527C">
        <w:tab/>
      </w:r>
      <w:r w:rsidR="00E664E4">
        <w:tab/>
      </w:r>
      <w:r w:rsidR="00E664E4" w:rsidRPr="0016527C">
        <w:tab/>
      </w:r>
      <w:r w:rsidR="00E664E4" w:rsidRPr="0016527C">
        <w:tab/>
      </w:r>
      <w:r w:rsidR="00E664E4">
        <w:t>Eq. (3.2.3.</w:t>
      </w:r>
      <w:r w:rsidR="00E664E4" w:rsidRPr="0016527C">
        <w:t>50)</w:t>
      </w:r>
    </w:p>
    <w:p w:rsidR="00E664E4" w:rsidRPr="0016527C"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29,13</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31,13</m:t>
            </m:r>
          </m:sub>
        </m:sSub>
        <m:r>
          <m:rPr>
            <m:sty m:val="p"/>
          </m:rPr>
          <w:rPr>
            <w:rFonts w:ascii="Cambria Math" w:hAnsi="Cambria Math"/>
          </w:rPr>
          <m:t>=0</m:t>
        </m:r>
      </m:oMath>
      <w:r w:rsidR="00E664E4" w:rsidRPr="0016527C">
        <w:t xml:space="preserve"> </w:t>
      </w:r>
      <w:r w:rsidR="00E664E4" w:rsidRPr="0016527C">
        <w:tab/>
      </w:r>
      <w:r w:rsidR="00E664E4">
        <w:tab/>
      </w:r>
      <w:r w:rsidR="00E664E4" w:rsidRPr="0016527C">
        <w:tab/>
      </w:r>
      <w:r w:rsidR="00E664E4" w:rsidRPr="0016527C">
        <w:tab/>
      </w:r>
      <w:r w:rsidR="00E664E4">
        <w:t>Eq. (3.2.3.</w:t>
      </w:r>
      <w:r w:rsidR="00E664E4" w:rsidRPr="0016527C">
        <w:t>51)</w:t>
      </w:r>
    </w:p>
    <w:p w:rsidR="00E664E4" w:rsidRPr="0016527C"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29,14</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31,14</m:t>
            </m:r>
          </m:sub>
        </m:sSub>
        <m:r>
          <m:rPr>
            <m:sty m:val="p"/>
          </m:rPr>
          <w:rPr>
            <w:rFonts w:ascii="Cambria Math" w:hAnsi="Cambria Math"/>
          </w:rPr>
          <m:t>=0</m:t>
        </m:r>
      </m:oMath>
      <w:r w:rsidR="00E664E4" w:rsidRPr="0016527C">
        <w:t xml:space="preserve"> </w:t>
      </w:r>
      <w:r w:rsidR="00E664E4" w:rsidRPr="0016527C">
        <w:tab/>
      </w:r>
      <w:r w:rsidR="00E664E4">
        <w:tab/>
      </w:r>
      <w:r w:rsidR="00E664E4" w:rsidRPr="0016527C">
        <w:tab/>
      </w:r>
      <w:r w:rsidR="00E664E4" w:rsidRPr="0016527C">
        <w:tab/>
      </w:r>
      <w:r w:rsidR="00E664E4">
        <w:t>Eq. (3.2.3.</w:t>
      </w:r>
      <w:r w:rsidR="00E664E4" w:rsidRPr="0016527C">
        <w:t>52)</w:t>
      </w:r>
    </w:p>
    <w:p w:rsidR="00E664E4" w:rsidRPr="0016527C"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29,18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30,18</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31,18</m:t>
            </m:r>
          </m:sub>
        </m:sSub>
        <m:r>
          <m:rPr>
            <m:sty m:val="p"/>
          </m:rPr>
          <w:rPr>
            <w:rFonts w:ascii="Cambria Math" w:hAnsi="Cambria Math"/>
          </w:rPr>
          <m:t>=0</m:t>
        </m:r>
      </m:oMath>
      <w:r w:rsidR="00E664E4" w:rsidRPr="0016527C">
        <w:t xml:space="preserve"> </w:t>
      </w:r>
      <w:r w:rsidR="00E664E4" w:rsidRPr="0016527C">
        <w:tab/>
      </w:r>
      <w:r w:rsidR="00E664E4">
        <w:tab/>
      </w:r>
      <w:r w:rsidR="00E664E4">
        <w:tab/>
      </w:r>
      <w:r w:rsidR="00E664E4" w:rsidRPr="0016527C">
        <w:tab/>
      </w:r>
      <w:r w:rsidR="00E664E4">
        <w:t>Eq. (3.2.3.</w:t>
      </w:r>
      <w:r w:rsidR="00E664E4" w:rsidRPr="0016527C">
        <w:t>53)</w:t>
      </w:r>
    </w:p>
    <w:p w:rsidR="00E664E4" w:rsidRPr="0016527C"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29,19</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30,19</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31,19</m:t>
            </m:r>
          </m:sub>
        </m:sSub>
        <m:r>
          <m:rPr>
            <m:sty m:val="p"/>
          </m:rPr>
          <w:rPr>
            <w:rFonts w:ascii="Cambria Math" w:hAnsi="Cambria Math"/>
          </w:rPr>
          <m:t>=0</m:t>
        </m:r>
      </m:oMath>
      <w:r w:rsidR="00E664E4" w:rsidRPr="0016527C">
        <w:t xml:space="preserve"> </w:t>
      </w:r>
      <w:r w:rsidR="00E664E4" w:rsidRPr="0016527C">
        <w:tab/>
      </w:r>
      <w:r w:rsidR="00E664E4">
        <w:tab/>
      </w:r>
      <w:r w:rsidR="00E664E4">
        <w:tab/>
      </w:r>
      <w:r w:rsidR="00E664E4" w:rsidRPr="0016527C">
        <w:tab/>
      </w:r>
      <w:r w:rsidR="00E664E4">
        <w:t>Eq. (3.2.3.</w:t>
      </w:r>
      <w:r w:rsidR="00E664E4" w:rsidRPr="0016527C">
        <w:t>54)</w:t>
      </w:r>
    </w:p>
    <w:p w:rsidR="00E664E4"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29,21</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m:rPr>
                <m:sty m:val="p"/>
              </m:rPr>
              <w:rPr>
                <w:rFonts w:ascii="Cambria Math" w:hAnsi="Cambria Math"/>
              </w:rPr>
              <m:t>31,21</m:t>
            </m:r>
          </m:sub>
        </m:sSub>
        <m:r>
          <m:rPr>
            <m:sty m:val="p"/>
          </m:rPr>
          <w:rPr>
            <w:rFonts w:ascii="Cambria Math" w:hAnsi="Cambria Math"/>
          </w:rPr>
          <m:t>=0</m:t>
        </m:r>
      </m:oMath>
      <w:r w:rsidR="00E664E4" w:rsidRPr="0016527C">
        <w:t xml:space="preserve"> </w:t>
      </w:r>
      <w:r w:rsidR="00E664E4" w:rsidRPr="0016527C">
        <w:tab/>
      </w:r>
      <w:r w:rsidR="00E664E4" w:rsidRPr="0016527C">
        <w:tab/>
      </w:r>
      <w:r w:rsidR="00E664E4">
        <w:tab/>
      </w:r>
      <w:r w:rsidR="00E664E4" w:rsidRPr="0016527C">
        <w:tab/>
      </w:r>
      <w:r w:rsidR="00E664E4">
        <w:t>Eq. (3.2.3.</w:t>
      </w:r>
      <w:r w:rsidR="00E664E4" w:rsidRPr="0016527C">
        <w:t>55)</w:t>
      </w:r>
    </w:p>
    <w:p w:rsidR="00E664E4" w:rsidRDefault="00E664E4" w:rsidP="00E664E4">
      <w:pPr>
        <w:jc w:val="right"/>
      </w:pPr>
    </w:p>
    <w:p w:rsidR="001E169B" w:rsidRDefault="001E169B">
      <w:pPr>
        <w:rPr>
          <w:rFonts w:asciiTheme="majorHAnsi" w:hAnsiTheme="majorHAnsi"/>
          <w:b/>
          <w:i/>
        </w:rPr>
      </w:pPr>
      <w:r>
        <w:rPr>
          <w:rFonts w:asciiTheme="majorHAnsi" w:hAnsiTheme="majorHAnsi"/>
          <w:b/>
          <w:i/>
        </w:rPr>
        <w:br w:type="page"/>
      </w:r>
    </w:p>
    <w:p w:rsidR="00E664E4" w:rsidRDefault="00E664E4" w:rsidP="00E664E4">
      <w:pPr>
        <w:rPr>
          <w:rFonts w:asciiTheme="majorHAnsi" w:hAnsiTheme="majorHAnsi"/>
          <w:b/>
          <w:i/>
        </w:rPr>
      </w:pPr>
      <w:r>
        <w:rPr>
          <w:rFonts w:asciiTheme="majorHAnsi" w:hAnsiTheme="majorHAnsi"/>
          <w:b/>
          <w:i/>
        </w:rPr>
        <w:lastRenderedPageBreak/>
        <w:t>3.2.3.5 Module 3: Overall Material Balance</w:t>
      </w:r>
    </w:p>
    <w:p w:rsidR="00E664E4" w:rsidRDefault="00E664E4" w:rsidP="00E664E4">
      <w:r w:rsidRPr="00096721">
        <w:t>The streams used for</w:t>
      </w:r>
      <w:r>
        <w:t xml:space="preserve"> the overall material balances we</w:t>
      </w:r>
      <w:r w:rsidRPr="00096721">
        <w:t>re those that cross the dark dashed boundary that enclose</w:t>
      </w:r>
      <w:r>
        <w:t>d all of Module 3. There were five</w:t>
      </w:r>
      <w:r w:rsidRPr="00096721">
        <w:t xml:space="preserve"> input streams and </w:t>
      </w:r>
      <w:r>
        <w:t>four</w:t>
      </w:r>
      <w:r w:rsidRPr="00096721">
        <w:t xml:space="preserve"> output stream</w:t>
      </w:r>
      <w:r>
        <w:t>s</w:t>
      </w:r>
      <w:r w:rsidRPr="00096721">
        <w:t xml:space="preserve"> for Modu</w:t>
      </w:r>
      <w:r>
        <w:t>le 3. One of the input streams wa</w:t>
      </w:r>
      <w:r w:rsidRPr="00096721">
        <w:t>s the output of Module 2</w:t>
      </w:r>
      <w:r>
        <w:t>,</w:t>
      </w:r>
      <w:r w:rsidRPr="00096721">
        <w:t xml:space="preserve"> and </w:t>
      </w:r>
      <w:r>
        <w:t>three</w:t>
      </w:r>
      <w:r w:rsidRPr="00096721">
        <w:t xml:space="preserve"> of the input streams </w:t>
      </w:r>
      <w:r>
        <w:t>we</w:t>
      </w:r>
      <w:r w:rsidRPr="00096721">
        <w:t>re d</w:t>
      </w:r>
      <w:r>
        <w:t>ependent. Additionally, there wa</w:t>
      </w:r>
      <w:r w:rsidRPr="00096721">
        <w:t xml:space="preserve">s one reaction in Module 3 that occurs in the precipitation process and is described by Eq. </w:t>
      </w:r>
      <w:r>
        <w:t>3.2.3.2</w:t>
      </w:r>
      <w:r w:rsidRPr="00096721">
        <w:t>.</w:t>
      </w:r>
    </w:p>
    <w:p w:rsidR="00E664E4" w:rsidRDefault="00E664E4" w:rsidP="00E664E4">
      <w:pPr>
        <w:jc w:val="right"/>
      </w:pPr>
      <m:oMath>
        <m:r>
          <w:rPr>
            <w:rFonts w:ascii="Cambria Math" w:hAnsi="Cambria Math"/>
          </w:rPr>
          <m:t>U</m:t>
        </m:r>
        <m:sSub>
          <m:sSubPr>
            <m:ctrlPr>
              <w:rPr>
                <w:rFonts w:ascii="Cambria Math" w:hAnsi="Cambria Math"/>
              </w:rPr>
            </m:ctrlPr>
          </m:sSubPr>
          <m:e>
            <m:r>
              <w:rPr>
                <w:rFonts w:ascii="Cambria Math" w:hAnsi="Cambria Math"/>
              </w:rPr>
              <m:t>O</m:t>
            </m:r>
          </m:e>
          <m:sub>
            <m:r>
              <m:rPr>
                <m:sty m:val="p"/>
              </m:rPr>
              <w:rPr>
                <w:rFonts w:ascii="Cambria Math" w:hAnsi="Cambria Math"/>
              </w:rPr>
              <m:t>2</m:t>
            </m:r>
          </m:sub>
        </m:sSub>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NO</m:t>
                    </m:r>
                  </m:e>
                  <m:sub>
                    <m:r>
                      <m:rPr>
                        <m:sty m:val="p"/>
                      </m:rPr>
                      <w:rPr>
                        <w:rFonts w:ascii="Cambria Math" w:hAnsi="Cambria Math"/>
                      </w:rPr>
                      <m:t>3</m:t>
                    </m:r>
                  </m:sub>
                </m:sSub>
              </m:e>
            </m:d>
          </m:e>
          <m:sub>
            <m:r>
              <m:rPr>
                <m:sty m:val="p"/>
              </m:rPr>
              <w:rPr>
                <w:rFonts w:ascii="Cambria Math" w:hAnsi="Cambria Math"/>
              </w:rPr>
              <m:t>2</m:t>
            </m:r>
          </m:sub>
        </m:sSub>
        <m:r>
          <m:rPr>
            <m:sty m:val="p"/>
          </m:rPr>
          <w:rPr>
            <w:rFonts w:ascii="Cambria Math" w:hAnsi="Cambria Math"/>
          </w:rPr>
          <m:t>+6</m:t>
        </m:r>
        <m:sSub>
          <m:sSubPr>
            <m:ctrlPr>
              <w:rPr>
                <w:rFonts w:ascii="Cambria Math" w:hAnsi="Cambria Math"/>
              </w:rPr>
            </m:ctrlPr>
          </m:sSubPr>
          <m:e>
            <m:r>
              <w:rPr>
                <w:rFonts w:ascii="Cambria Math" w:hAnsi="Cambria Math"/>
              </w:rPr>
              <m:t>NH</m:t>
            </m:r>
          </m:e>
          <m:sub>
            <m:r>
              <m:rPr>
                <m:sty m:val="p"/>
              </m:rPr>
              <w:rPr>
                <w:rFonts w:ascii="Cambria Math" w:hAnsi="Cambria Math"/>
              </w:rPr>
              <m:t>3</m:t>
            </m:r>
          </m:sub>
        </m:sSub>
        <m:r>
          <m:rPr>
            <m:sty m:val="p"/>
          </m:rPr>
          <w:rPr>
            <w:rFonts w:ascii="Cambria Math" w:hAnsi="Cambria Math"/>
          </w:rPr>
          <m:t>+3</m:t>
        </m:r>
        <m:sSub>
          <m:sSubPr>
            <m:ctrlPr>
              <w:rPr>
                <w:rFonts w:ascii="Cambria Math" w:hAnsi="Cambria Math"/>
              </w:rPr>
            </m:ctrlPr>
          </m:sSubPr>
          <m:e>
            <m:r>
              <w:rPr>
                <w:rFonts w:ascii="Cambria Math" w:hAnsi="Cambria Math"/>
              </w:rPr>
              <m:t>CO</m:t>
            </m:r>
          </m:e>
          <m:sub>
            <m:r>
              <m:rPr>
                <m:sty m:val="p"/>
              </m:rPr>
              <w:rPr>
                <w:rFonts w:ascii="Cambria Math" w:hAnsi="Cambria Math"/>
              </w:rPr>
              <m:t>2</m:t>
            </m:r>
          </m:sub>
        </m:sSub>
        <m:r>
          <m:rPr>
            <m:sty m:val="p"/>
          </m:rPr>
          <w:rPr>
            <w:rFonts w:ascii="Cambria Math" w:hAnsi="Cambria Math"/>
          </w:rPr>
          <m:t>+3</m:t>
        </m:r>
        <m:sSub>
          <m:sSubPr>
            <m:ctrlPr>
              <w:rPr>
                <w:rFonts w:ascii="Cambria Math" w:hAnsi="Cambria Math"/>
              </w:rPr>
            </m:ctrlPr>
          </m:sSubPr>
          <m:e>
            <m:r>
              <w:rPr>
                <w:rFonts w:ascii="Cambria Math" w:hAnsi="Cambria Math"/>
              </w:rPr>
              <m:t>H</m:t>
            </m:r>
          </m:e>
          <m:sub>
            <m:r>
              <m:rPr>
                <m:sty m:val="p"/>
              </m:rPr>
              <w:rPr>
                <w:rFonts w:ascii="Cambria Math" w:hAnsi="Cambria Math"/>
              </w:rPr>
              <m:t>2</m:t>
            </m:r>
          </m:sub>
        </m:sSub>
        <m:r>
          <w:rPr>
            <w:rFonts w:ascii="Cambria Math" w:hAnsi="Cambria Math"/>
          </w:rPr>
          <m:t>O</m:t>
        </m:r>
        <m:r>
          <m:rPr>
            <m:sty m:val="p"/>
          </m:rPr>
          <w:rPr>
            <w:rFonts w:ascii="Cambria Math" w:hAnsi="Cambria Math"/>
          </w:rPr>
          <m:t>→</m:t>
        </m:r>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NH</m:t>
                    </m:r>
                  </m:e>
                  <m:sub>
                    <m:r>
                      <m:rPr>
                        <m:sty m:val="p"/>
                      </m:rPr>
                      <w:rPr>
                        <w:rFonts w:ascii="Cambria Math" w:hAnsi="Cambria Math"/>
                      </w:rPr>
                      <m:t>4</m:t>
                    </m:r>
                  </m:sub>
                </m:sSub>
              </m:e>
            </m:d>
          </m:e>
          <m:sub>
            <m:r>
              <m:rPr>
                <m:sty m:val="p"/>
              </m:rPr>
              <w:rPr>
                <w:rFonts w:ascii="Cambria Math" w:hAnsi="Cambria Math"/>
              </w:rPr>
              <m:t>4</m:t>
            </m:r>
          </m:sub>
        </m:sSub>
        <m:sSub>
          <m:sSubPr>
            <m:ctrlPr>
              <w:rPr>
                <w:rFonts w:ascii="Cambria Math" w:hAnsi="Cambria Math"/>
              </w:rPr>
            </m:ctrlPr>
          </m:sSubPr>
          <m:e>
            <m:r>
              <w:rPr>
                <w:rFonts w:ascii="Cambria Math" w:hAnsi="Cambria Math"/>
              </w:rPr>
              <m:t>UO</m:t>
            </m:r>
          </m:e>
          <m:sub>
            <m:r>
              <m:rPr>
                <m:sty m:val="p"/>
              </m:rPr>
              <w:rPr>
                <w:rFonts w:ascii="Cambria Math" w:hAnsi="Cambria Math"/>
              </w:rPr>
              <m:t>2</m:t>
            </m:r>
          </m:sub>
        </m:sSub>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CO</m:t>
                    </m:r>
                  </m:e>
                  <m:sub>
                    <m:r>
                      <m:rPr>
                        <m:sty m:val="p"/>
                      </m:rPr>
                      <w:rPr>
                        <w:rFonts w:ascii="Cambria Math" w:hAnsi="Cambria Math"/>
                      </w:rPr>
                      <m:t>3</m:t>
                    </m:r>
                  </m:sub>
                </m:sSub>
              </m:e>
            </m:d>
          </m:e>
          <m:sub>
            <m:r>
              <m:rPr>
                <m:sty m:val="p"/>
              </m:rPr>
              <w:rPr>
                <w:rFonts w:ascii="Cambria Math" w:hAnsi="Cambria Math"/>
              </w:rPr>
              <m:t>3</m:t>
            </m:r>
          </m:sub>
        </m:sSub>
        <m:r>
          <m:rPr>
            <m:sty m:val="p"/>
          </m:rPr>
          <w:rPr>
            <w:rFonts w:ascii="Cambria Math" w:hAnsi="Cambria Math"/>
          </w:rPr>
          <m:t>+2</m:t>
        </m:r>
        <m:sSub>
          <m:sSubPr>
            <m:ctrlPr>
              <w:rPr>
                <w:rFonts w:ascii="Cambria Math" w:hAnsi="Cambria Math"/>
              </w:rPr>
            </m:ctrlPr>
          </m:sSubPr>
          <m:e>
            <m:r>
              <w:rPr>
                <w:rFonts w:ascii="Cambria Math" w:hAnsi="Cambria Math"/>
              </w:rPr>
              <m:t>NH</m:t>
            </m:r>
          </m:e>
          <m:sub>
            <m:r>
              <m:rPr>
                <m:sty m:val="p"/>
              </m:rPr>
              <w:rPr>
                <w:rFonts w:ascii="Cambria Math" w:hAnsi="Cambria Math"/>
              </w:rPr>
              <m:t>4</m:t>
            </m:r>
          </m:sub>
        </m:sSub>
        <m:sSub>
          <m:sSubPr>
            <m:ctrlPr>
              <w:rPr>
                <w:rFonts w:ascii="Cambria Math" w:hAnsi="Cambria Math"/>
              </w:rPr>
            </m:ctrlPr>
          </m:sSubPr>
          <m:e>
            <m:r>
              <w:rPr>
                <w:rFonts w:ascii="Cambria Math" w:hAnsi="Cambria Math"/>
              </w:rPr>
              <m:t>NO</m:t>
            </m:r>
          </m:e>
          <m:sub>
            <m:r>
              <m:rPr>
                <m:sty m:val="p"/>
              </m:rPr>
              <w:rPr>
                <w:rFonts w:ascii="Cambria Math" w:hAnsi="Cambria Math"/>
              </w:rPr>
              <m:t>3</m:t>
            </m:r>
          </m:sub>
        </m:sSub>
      </m:oMath>
      <w:r w:rsidRPr="002B6A2F">
        <w:tab/>
      </w:r>
      <w:r>
        <w:t>Eq. (3.2.3.</w:t>
      </w:r>
      <w:r w:rsidRPr="002B6A2F">
        <w:t>2)</w:t>
      </w:r>
    </w:p>
    <w:p w:rsidR="00E664E4" w:rsidRDefault="00E664E4" w:rsidP="00E664E4">
      <w:r w:rsidRPr="00096721">
        <w:t xml:space="preserve">The overall component material balances </w:t>
      </w:r>
      <w:r>
        <w:t>for</w:t>
      </w:r>
      <w:r w:rsidRPr="00096721">
        <w:t xml:space="preserve"> Module 3 are shown in Equations </w:t>
      </w:r>
      <w:r>
        <w:t>3.2.3.56</w:t>
      </w:r>
      <w:r w:rsidRPr="00096721">
        <w:t>–</w:t>
      </w:r>
      <w:r>
        <w:t>3.2.3.66.</w:t>
      </w:r>
    </w:p>
    <w:p w:rsidR="00E664E4" w:rsidRPr="00096721"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10A,1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19,1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23,1</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Mod3C,1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Mod3C</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26,14</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21,1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30,1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31,1</m:t>
            </m:r>
          </m:sub>
        </m:sSub>
        <m:r>
          <w:rPr>
            <w:rFonts w:ascii="Cambria Math" w:hAnsi="Cambria Math"/>
          </w:rPr>
          <m:t>=0</m:t>
        </m:r>
      </m:oMath>
      <w:r w:rsidR="00E664E4" w:rsidRPr="00096721">
        <w:t xml:space="preserve"> </w:t>
      </w:r>
      <w:r w:rsidR="00E664E4" w:rsidRPr="00096721">
        <w:tab/>
      </w:r>
      <w:r w:rsidR="00E664E4">
        <w:t>Eq. (3.2.3.56</w:t>
      </w:r>
      <w:r w:rsidR="00E664E4" w:rsidRPr="00096721">
        <w:t>)</w:t>
      </w:r>
    </w:p>
    <w:p w:rsidR="00E664E4" w:rsidRPr="00096721"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24,3</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Mod3C,3</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Mod3C</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26,14</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28,3</m:t>
            </m:r>
          </m:sub>
        </m:sSub>
        <m:r>
          <w:rPr>
            <w:rFonts w:ascii="Cambria Math" w:hAnsi="Cambria Math"/>
          </w:rPr>
          <m:t>=0</m:t>
        </m:r>
      </m:oMath>
      <w:r w:rsidR="00E664E4">
        <w:t xml:space="preserve"> </w:t>
      </w:r>
      <w:r w:rsidR="00E664E4">
        <w:tab/>
      </w:r>
      <w:r w:rsidR="00E664E4">
        <w:tab/>
      </w:r>
      <w:r w:rsidR="00E664E4">
        <w:tab/>
        <w:t>Eq. (3.2.3.57</w:t>
      </w:r>
      <w:r w:rsidR="00E664E4" w:rsidRPr="00096721">
        <w:t>)</w:t>
      </w:r>
    </w:p>
    <w:p w:rsidR="00E664E4" w:rsidRPr="00096721"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25,8</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Mod3C,8</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Mod3C</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26,14</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28,8</m:t>
            </m:r>
          </m:sub>
        </m:sSub>
        <m:r>
          <w:rPr>
            <w:rFonts w:ascii="Cambria Math" w:hAnsi="Cambria Math"/>
          </w:rPr>
          <m:t>=0</m:t>
        </m:r>
      </m:oMath>
      <w:r w:rsidR="00E664E4">
        <w:t xml:space="preserve"> </w:t>
      </w:r>
      <w:r w:rsidR="00E664E4">
        <w:tab/>
      </w:r>
      <w:r w:rsidR="00E664E4">
        <w:tab/>
      </w:r>
      <w:r w:rsidR="00E664E4">
        <w:tab/>
        <w:t>Eq. (3.2.3.58</w:t>
      </w:r>
      <w:r w:rsidR="00E664E4" w:rsidRPr="00096721">
        <w:t>)</w:t>
      </w:r>
    </w:p>
    <w:p w:rsidR="00E664E4" w:rsidRPr="00096721"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19,9</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Mod3C,9</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Mod3C</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26,14</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21,9</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31,9</m:t>
            </m:r>
          </m:sub>
        </m:sSub>
        <m:r>
          <w:rPr>
            <w:rFonts w:ascii="Cambria Math" w:hAnsi="Cambria Math"/>
          </w:rPr>
          <m:t>=0</m:t>
        </m:r>
      </m:oMath>
      <w:r w:rsidR="00E664E4">
        <w:t xml:space="preserve"> </w:t>
      </w:r>
      <w:r w:rsidR="00E664E4">
        <w:tab/>
      </w:r>
      <w:r w:rsidR="00E664E4">
        <w:tab/>
        <w:t>Eq. (3.2.3.59</w:t>
      </w:r>
      <w:r w:rsidR="00E664E4" w:rsidRPr="00096721">
        <w:t>)</w:t>
      </w:r>
    </w:p>
    <w:p w:rsidR="00E664E4" w:rsidRPr="00096721"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10A</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10A,10</m:t>
            </m:r>
          </m:sub>
        </m:sSub>
        <m:r>
          <w:rPr>
            <w:rFonts w:ascii="Cambria Math" w:hAnsi="Cambria Math"/>
          </w:rPr>
          <m:t>*</m:t>
        </m:r>
        <m:f>
          <m:fPr>
            <m:ctrlPr>
              <w:rPr>
                <w:rFonts w:ascii="Cambria Math" w:hAnsi="Cambria Math"/>
                <w:i/>
              </w:rPr>
            </m:ctrlPr>
          </m:fPr>
          <m:num>
            <m:r>
              <w:rPr>
                <w:rFonts w:ascii="Cambria Math" w:hAnsi="Cambria Math"/>
              </w:rPr>
              <m:t>1000</m:t>
            </m:r>
          </m:num>
          <m:den>
            <m:sSub>
              <m:sSubPr>
                <m:ctrlPr>
                  <w:rPr>
                    <w:rFonts w:ascii="Cambria Math" w:hAnsi="Cambria Math"/>
                    <w:i/>
                  </w:rPr>
                </m:ctrlPr>
              </m:sSubPr>
              <m:e>
                <m:r>
                  <w:rPr>
                    <w:rFonts w:ascii="Cambria Math" w:hAnsi="Cambria Math"/>
                  </w:rPr>
                  <m:t>MW</m:t>
                </m:r>
              </m:e>
              <m:sub>
                <m:r>
                  <w:rPr>
                    <w:rFonts w:ascii="Cambria Math" w:hAnsi="Cambria Math"/>
                  </w:rPr>
                  <m:t>10</m:t>
                </m:r>
              </m:sub>
            </m:sSub>
          </m:den>
        </m:f>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31,10</m:t>
            </m:r>
          </m:sub>
        </m:sSub>
        <m:r>
          <w:rPr>
            <w:rFonts w:ascii="Cambria Math" w:hAnsi="Cambria Math"/>
          </w:rPr>
          <m:t>=0</m:t>
        </m:r>
      </m:oMath>
      <w:r w:rsidR="00E664E4">
        <w:t xml:space="preserve"> </w:t>
      </w:r>
      <w:r w:rsidR="00E664E4">
        <w:tab/>
      </w:r>
      <w:r w:rsidR="00E664E4">
        <w:tab/>
      </w:r>
      <w:r w:rsidR="00E664E4">
        <w:tab/>
      </w:r>
      <w:r w:rsidR="00E664E4">
        <w:tab/>
        <w:t>Eq. (3.2.3.60</w:t>
      </w:r>
      <w:r w:rsidR="00E664E4" w:rsidRPr="00096721">
        <w:t>)</w:t>
      </w:r>
    </w:p>
    <w:p w:rsidR="00E664E4" w:rsidRPr="00096721" w:rsidRDefault="00C851DF" w:rsidP="00E664E4">
      <w:pPr>
        <w:jc w:val="right"/>
      </w:pPr>
      <m:oMath>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Mod3C,12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Mod3C</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26,14</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31,12</m:t>
            </m:r>
          </m:sub>
        </m:sSub>
        <m:r>
          <w:rPr>
            <w:rFonts w:ascii="Cambria Math" w:hAnsi="Cambria Math"/>
          </w:rPr>
          <m:t>=0</m:t>
        </m:r>
      </m:oMath>
      <w:r w:rsidR="00E664E4">
        <w:t xml:space="preserve"> </w:t>
      </w:r>
      <w:r w:rsidR="00E664E4">
        <w:tab/>
      </w:r>
      <w:r w:rsidR="00E664E4">
        <w:tab/>
      </w:r>
      <w:r w:rsidR="00E664E4">
        <w:tab/>
      </w:r>
      <w:r w:rsidR="00E664E4">
        <w:tab/>
        <w:t>Eq. (3.2.3.61</w:t>
      </w:r>
      <w:r w:rsidR="00E664E4" w:rsidRPr="00096721">
        <w:t>)</w:t>
      </w:r>
    </w:p>
    <w:p w:rsidR="00E664E4" w:rsidRPr="00096721"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10A</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10A,13</m:t>
            </m:r>
          </m:sub>
        </m:sSub>
        <m:r>
          <w:rPr>
            <w:rFonts w:ascii="Cambria Math" w:hAnsi="Cambria Math"/>
          </w:rPr>
          <m:t>*</m:t>
        </m:r>
        <m:f>
          <m:fPr>
            <m:ctrlPr>
              <w:rPr>
                <w:rFonts w:ascii="Cambria Math" w:hAnsi="Cambria Math"/>
                <w:i/>
              </w:rPr>
            </m:ctrlPr>
          </m:fPr>
          <m:num>
            <m:r>
              <w:rPr>
                <w:rFonts w:ascii="Cambria Math" w:hAnsi="Cambria Math"/>
              </w:rPr>
              <m:t>1000</m:t>
            </m:r>
          </m:num>
          <m:den>
            <m:sSub>
              <m:sSubPr>
                <m:ctrlPr>
                  <w:rPr>
                    <w:rFonts w:ascii="Cambria Math" w:hAnsi="Cambria Math"/>
                    <w:i/>
                  </w:rPr>
                </m:ctrlPr>
              </m:sSubPr>
              <m:e>
                <m:r>
                  <w:rPr>
                    <w:rFonts w:ascii="Cambria Math" w:hAnsi="Cambria Math"/>
                  </w:rPr>
                  <m:t>MW</m:t>
                </m:r>
              </m:e>
              <m:sub>
                <m:r>
                  <w:rPr>
                    <w:rFonts w:ascii="Cambria Math" w:hAnsi="Cambria Math"/>
                  </w:rPr>
                  <m:t>13</m:t>
                </m:r>
              </m:sub>
            </m:sSub>
          </m:den>
        </m:f>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31,13</m:t>
            </m:r>
          </m:sub>
        </m:sSub>
        <m:r>
          <w:rPr>
            <w:rFonts w:ascii="Cambria Math" w:hAnsi="Cambria Math"/>
          </w:rPr>
          <m:t>=0</m:t>
        </m:r>
      </m:oMath>
      <w:r w:rsidR="00E664E4">
        <w:t xml:space="preserve"> </w:t>
      </w:r>
      <w:r w:rsidR="00E664E4">
        <w:tab/>
      </w:r>
      <w:r w:rsidR="00E664E4">
        <w:tab/>
      </w:r>
      <w:r w:rsidR="00E664E4">
        <w:tab/>
      </w:r>
      <w:r w:rsidR="00E664E4">
        <w:tab/>
        <w:t>Eq. (3.2.3.62</w:t>
      </w:r>
      <w:r w:rsidR="00E664E4" w:rsidRPr="00096721">
        <w:t>)</w:t>
      </w:r>
    </w:p>
    <w:p w:rsidR="00E664E4" w:rsidRPr="00096721"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19,14</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Mod3C,14</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Mod3C</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26,14</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21,14</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31,14</m:t>
            </m:r>
          </m:sub>
        </m:sSub>
        <m:r>
          <w:rPr>
            <w:rFonts w:ascii="Cambria Math" w:hAnsi="Cambria Math"/>
          </w:rPr>
          <m:t>=0</m:t>
        </m:r>
      </m:oMath>
      <w:r w:rsidR="00E664E4" w:rsidRPr="00096721">
        <w:t xml:space="preserve"> </w:t>
      </w:r>
      <w:r w:rsidR="00E664E4" w:rsidRPr="00096721">
        <w:tab/>
      </w:r>
      <w:r w:rsidR="00E664E4" w:rsidRPr="00096721">
        <w:tab/>
      </w:r>
      <w:r w:rsidR="00E664E4">
        <w:t>Eq. (3.2.3.63</w:t>
      </w:r>
      <w:r w:rsidR="00E664E4" w:rsidRPr="00096721">
        <w:t>)</w:t>
      </w:r>
    </w:p>
    <w:p w:rsidR="00E664E4" w:rsidRPr="00096721"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19,18</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Mod3C,18</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Mod3C</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26,14</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21,18</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30,18</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31,18</m:t>
            </m:r>
          </m:sub>
        </m:sSub>
        <m:r>
          <w:rPr>
            <w:rFonts w:ascii="Cambria Math" w:hAnsi="Cambria Math"/>
          </w:rPr>
          <m:t>=0</m:t>
        </m:r>
      </m:oMath>
      <w:r w:rsidR="00E664E4">
        <w:t xml:space="preserve"> </w:t>
      </w:r>
      <w:r w:rsidR="00E664E4">
        <w:tab/>
      </w:r>
      <w:r w:rsidR="00E664E4">
        <w:tab/>
        <w:t>Eq. (3.2.3.64</w:t>
      </w:r>
      <w:r w:rsidR="00E664E4" w:rsidRPr="00096721">
        <w:t>)</w:t>
      </w:r>
    </w:p>
    <w:p w:rsidR="00E664E4" w:rsidRPr="00096721" w:rsidRDefault="00C851DF" w:rsidP="00E664E4">
      <w:pPr>
        <w:jc w:val="right"/>
      </w:pPr>
      <m:oMath>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Mod3C,19</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Mod3C</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26,14</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30,19</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31,19</m:t>
            </m:r>
          </m:sub>
        </m:sSub>
        <m:r>
          <w:rPr>
            <w:rFonts w:ascii="Cambria Math" w:hAnsi="Cambria Math"/>
          </w:rPr>
          <m:t>=0</m:t>
        </m:r>
      </m:oMath>
      <w:r w:rsidR="00E664E4">
        <w:t xml:space="preserve"> </w:t>
      </w:r>
      <w:r w:rsidR="00E664E4">
        <w:tab/>
      </w:r>
      <w:r w:rsidR="00E664E4">
        <w:tab/>
      </w:r>
      <w:r w:rsidR="00E664E4">
        <w:tab/>
        <w:t>Eq. (3.2.3.65</w:t>
      </w:r>
      <w:r w:rsidR="00E664E4" w:rsidRPr="00096721">
        <w:t>)</w:t>
      </w:r>
    </w:p>
    <w:p w:rsidR="00E664E4" w:rsidRPr="00096721"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19,21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21,21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31,21</m:t>
            </m:r>
          </m:sub>
        </m:sSub>
        <m:r>
          <w:rPr>
            <w:rFonts w:ascii="Cambria Math" w:hAnsi="Cambria Math"/>
          </w:rPr>
          <m:t>=0</m:t>
        </m:r>
      </m:oMath>
      <w:r w:rsidR="00E664E4">
        <w:t xml:space="preserve"> </w:t>
      </w:r>
      <w:r w:rsidR="00E664E4">
        <w:tab/>
      </w:r>
      <w:r w:rsidR="00E664E4">
        <w:tab/>
      </w:r>
      <w:r w:rsidR="00E664E4">
        <w:tab/>
      </w:r>
      <w:r w:rsidR="00E664E4">
        <w:tab/>
        <w:t>Eq. (3.2.3.66</w:t>
      </w:r>
      <w:r w:rsidR="00E664E4" w:rsidRPr="00096721">
        <w:t>)</w:t>
      </w:r>
    </w:p>
    <w:p w:rsidR="00E664E4" w:rsidRPr="00096721" w:rsidRDefault="00E664E4" w:rsidP="00E664E4"/>
    <w:p w:rsidR="00E664E4" w:rsidRDefault="00E664E4" w:rsidP="00E664E4">
      <w:pPr>
        <w:rPr>
          <w:rFonts w:asciiTheme="majorHAnsi" w:hAnsiTheme="majorHAnsi"/>
          <w:b/>
        </w:rPr>
      </w:pPr>
      <w:r w:rsidRPr="00C26992">
        <w:rPr>
          <w:rFonts w:asciiTheme="majorHAnsi" w:hAnsiTheme="majorHAnsi"/>
          <w:b/>
        </w:rPr>
        <w:t xml:space="preserve">3.2.4 Module 4: Conversion to Uranium Dioxide then Uranium </w:t>
      </w:r>
      <w:proofErr w:type="spellStart"/>
      <w:r w:rsidRPr="00C26992">
        <w:rPr>
          <w:rFonts w:asciiTheme="majorHAnsi" w:hAnsiTheme="majorHAnsi"/>
          <w:b/>
        </w:rPr>
        <w:t>Tetrafluoride</w:t>
      </w:r>
      <w:proofErr w:type="spellEnd"/>
    </w:p>
    <w:p w:rsidR="00E664E4" w:rsidRPr="00376874" w:rsidRDefault="00E664E4" w:rsidP="00E664E4">
      <w:pPr>
        <w:rPr>
          <w:rFonts w:asciiTheme="majorHAnsi" w:hAnsiTheme="majorHAnsi"/>
          <w:i/>
          <w:u w:val="single"/>
        </w:rPr>
      </w:pPr>
      <w:r w:rsidRPr="00376874">
        <w:rPr>
          <w:rFonts w:asciiTheme="majorHAnsi" w:hAnsiTheme="majorHAnsi"/>
          <w:i/>
          <w:u w:val="single"/>
        </w:rPr>
        <w:t>Uranium Dioxide Production</w:t>
      </w:r>
    </w:p>
    <w:p w:rsidR="00E664E4" w:rsidRPr="00376874" w:rsidRDefault="00E664E4" w:rsidP="00E664E4">
      <w:r w:rsidRPr="00376874">
        <w:t>One of the primary products of an NUCP is UO</w:t>
      </w:r>
      <w:r w:rsidRPr="00376874">
        <w:rPr>
          <w:vertAlign w:val="subscript"/>
        </w:rPr>
        <w:t>2</w:t>
      </w:r>
      <w:r w:rsidRPr="00376874">
        <w:t xml:space="preserve"> that can be used in reactor fuel. </w:t>
      </w:r>
      <w:r>
        <w:t>Uranium dioxide</w:t>
      </w:r>
      <w:r w:rsidRPr="00376874">
        <w:t xml:space="preserve"> is also generated as an intermediate material in the NUCP in the conversion of yellowcake to uranium</w:t>
      </w:r>
      <w:r>
        <w:t xml:space="preserve"> </w:t>
      </w:r>
      <w:proofErr w:type="spellStart"/>
      <w:r>
        <w:t>tetrafluoride</w:t>
      </w:r>
      <w:proofErr w:type="spellEnd"/>
      <w:r w:rsidRPr="00376874">
        <w:t xml:space="preserve"> </w:t>
      </w:r>
      <w:r>
        <w:t>(</w:t>
      </w:r>
      <w:r w:rsidRPr="00376874">
        <w:t>UF</w:t>
      </w:r>
      <w:r w:rsidRPr="00376874">
        <w:rPr>
          <w:vertAlign w:val="subscript"/>
        </w:rPr>
        <w:t>4</w:t>
      </w:r>
      <w:r>
        <w:t>).</w:t>
      </w:r>
      <w:r w:rsidRPr="00376874">
        <w:t xml:space="preserve"> </w:t>
      </w:r>
      <w:r>
        <w:t>Uranium dioxide</w:t>
      </w:r>
      <w:r w:rsidRPr="00376874">
        <w:t xml:space="preserve"> may be produced via calcination and reduction of precipitates (ADU or AUC) or the reduction of UO</w:t>
      </w:r>
      <w:r w:rsidRPr="00376874">
        <w:rPr>
          <w:vertAlign w:val="subscript"/>
        </w:rPr>
        <w:t>3</w:t>
      </w:r>
      <w:r w:rsidRPr="00376874">
        <w:t xml:space="preserve"> with hydrogen.</w:t>
      </w:r>
    </w:p>
    <w:p w:rsidR="00E664E4" w:rsidRPr="00376874" w:rsidRDefault="00E664E4" w:rsidP="00E664E4">
      <w:r w:rsidRPr="00376874">
        <w:lastRenderedPageBreak/>
        <w:t>If the precipitation process is used, the ADU and AUC powders are readily converted to UO</w:t>
      </w:r>
      <w:r w:rsidRPr="00376874">
        <w:rPr>
          <w:vertAlign w:val="subscript"/>
        </w:rPr>
        <w:t>2</w:t>
      </w:r>
      <w:r w:rsidRPr="00376874">
        <w:t xml:space="preserve"> by heating (</w:t>
      </w:r>
      <w:proofErr w:type="spellStart"/>
      <w:r w:rsidRPr="00376874">
        <w:t>calcining</w:t>
      </w:r>
      <w:proofErr w:type="spellEnd"/>
      <w:r w:rsidRPr="00376874">
        <w:t>) in a reducing environment that has a hydrogen atmosphere. ADU generally consists of agglomerates of small irregularly shaped crystals (1 to 20 micron) and is usually converted to UO</w:t>
      </w:r>
      <w:r w:rsidRPr="00376874">
        <w:rPr>
          <w:vertAlign w:val="subscript"/>
        </w:rPr>
        <w:t>2</w:t>
      </w:r>
      <w:r w:rsidRPr="00376874">
        <w:t xml:space="preserve"> in a </w:t>
      </w:r>
      <w:proofErr w:type="spellStart"/>
      <w:r w:rsidRPr="00376874">
        <w:t>calciner</w:t>
      </w:r>
      <w:proofErr w:type="spellEnd"/>
      <w:r w:rsidRPr="00376874">
        <w:t xml:space="preserve"> (rotary furnace) or a fixed-bed type of furnace. The use of fluidized beds for conversion of ADU to uranium oxides is generally not considered practical because of the poor </w:t>
      </w:r>
      <w:proofErr w:type="spellStart"/>
      <w:r w:rsidRPr="00376874">
        <w:t>flowability</w:t>
      </w:r>
      <w:proofErr w:type="spellEnd"/>
      <w:r w:rsidRPr="00376874">
        <w:t xml:space="preserve"> of ADU and the large amount of particles lost to the fluid bed off-gas stream. The following reaction </w:t>
      </w:r>
      <w:r>
        <w:t>(Eq. 3.2.4.</w:t>
      </w:r>
      <w:r w:rsidRPr="00376874">
        <w:t>1) takes place when ADU is contacted with hydrogen in a heated vessel.</w:t>
      </w:r>
    </w:p>
    <w:p w:rsidR="00E664E4" w:rsidRPr="00376874" w:rsidRDefault="00C851DF" w:rsidP="00E664E4">
      <w:pPr>
        <w:jc w:val="right"/>
      </w:pPr>
      <m:oMath>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NH</m:t>
                    </m:r>
                  </m:e>
                  <m:sub>
                    <m:r>
                      <m:rPr>
                        <m:sty m:val="p"/>
                      </m:rPr>
                      <w:rPr>
                        <w:rFonts w:ascii="Cambria Math" w:hAnsi="Cambria Math"/>
                      </w:rPr>
                      <m:t>4</m:t>
                    </m:r>
                  </m:sub>
                </m:sSub>
              </m:e>
            </m:d>
          </m:e>
          <m:sub>
            <m:r>
              <m:rPr>
                <m:sty m:val="p"/>
              </m:rPr>
              <w:rPr>
                <w:rFonts w:ascii="Cambria Math" w:hAnsi="Cambria Math"/>
              </w:rPr>
              <m:t>2</m:t>
            </m:r>
          </m:sub>
        </m:sSub>
        <m:sSub>
          <m:sSubPr>
            <m:ctrlPr>
              <w:rPr>
                <w:rFonts w:ascii="Cambria Math" w:hAnsi="Cambria Math"/>
              </w:rPr>
            </m:ctrlPr>
          </m:sSubPr>
          <m:e>
            <m:r>
              <w:rPr>
                <w:rFonts w:ascii="Cambria Math" w:hAnsi="Cambria Math"/>
              </w:rPr>
              <m:t>U</m:t>
            </m:r>
          </m:e>
          <m:sub>
            <m:r>
              <m:rPr>
                <m:sty m:val="p"/>
              </m:rPr>
              <w:rPr>
                <w:rFonts w:ascii="Cambria Math" w:hAnsi="Cambria Math"/>
              </w:rPr>
              <m:t>2</m:t>
            </m:r>
          </m:sub>
        </m:sSub>
        <m:sSub>
          <m:sSubPr>
            <m:ctrlPr>
              <w:rPr>
                <w:rFonts w:ascii="Cambria Math" w:hAnsi="Cambria Math"/>
              </w:rPr>
            </m:ctrlPr>
          </m:sSubPr>
          <m:e>
            <m:r>
              <w:rPr>
                <w:rFonts w:ascii="Cambria Math" w:hAnsi="Cambria Math"/>
              </w:rPr>
              <m:t>O</m:t>
            </m:r>
          </m:e>
          <m:sub>
            <m:r>
              <m:rPr>
                <m:sty m:val="p"/>
              </m:rPr>
              <w:rPr>
                <w:rFonts w:ascii="Cambria Math" w:hAnsi="Cambria Math"/>
              </w:rPr>
              <m:t>7</m:t>
            </m:r>
          </m:sub>
        </m:sSub>
        <m:r>
          <m:rPr>
            <m:sty m:val="p"/>
          </m:rPr>
          <w:rPr>
            <w:rFonts w:ascii="Cambria Math" w:hAnsi="Cambria Math"/>
          </w:rPr>
          <m:t>+2</m:t>
        </m:r>
        <m:sSub>
          <m:sSubPr>
            <m:ctrlPr>
              <w:rPr>
                <w:rFonts w:ascii="Cambria Math" w:hAnsi="Cambria Math"/>
              </w:rPr>
            </m:ctrlPr>
          </m:sSubPr>
          <m:e>
            <m:r>
              <w:rPr>
                <w:rFonts w:ascii="Cambria Math" w:hAnsi="Cambria Math"/>
              </w:rPr>
              <m:t>H</m:t>
            </m:r>
          </m:e>
          <m:sub>
            <m:r>
              <m:rPr>
                <m:sty m:val="p"/>
              </m:rPr>
              <w:rPr>
                <w:rFonts w:ascii="Cambria Math" w:hAnsi="Cambria Math"/>
              </w:rPr>
              <m:t>2</m:t>
            </m:r>
          </m:sub>
        </m:sSub>
        <m:r>
          <m:rPr>
            <m:sty m:val="p"/>
          </m:rPr>
          <w:rPr>
            <w:rFonts w:ascii="Cambria Math" w:hAnsi="Cambria Math"/>
          </w:rPr>
          <m:t>→2</m:t>
        </m:r>
        <m:sSub>
          <m:sSubPr>
            <m:ctrlPr>
              <w:rPr>
                <w:rFonts w:ascii="Cambria Math" w:hAnsi="Cambria Math"/>
              </w:rPr>
            </m:ctrlPr>
          </m:sSubPr>
          <m:e>
            <m:r>
              <w:rPr>
                <w:rFonts w:ascii="Cambria Math" w:hAnsi="Cambria Math"/>
              </w:rPr>
              <m:t>UO</m:t>
            </m:r>
          </m:e>
          <m:sub>
            <m:r>
              <m:rPr>
                <m:sty m:val="p"/>
              </m:rPr>
              <w:rPr>
                <w:rFonts w:ascii="Cambria Math" w:hAnsi="Cambria Math"/>
              </w:rPr>
              <m:t>2</m:t>
            </m:r>
          </m:sub>
        </m:sSub>
        <m:r>
          <m:rPr>
            <m:sty m:val="p"/>
          </m:rPr>
          <w:rPr>
            <w:rFonts w:ascii="Cambria Math" w:hAnsi="Cambria Math"/>
          </w:rPr>
          <m:t>+3</m:t>
        </m:r>
        <m:sSub>
          <m:sSubPr>
            <m:ctrlPr>
              <w:rPr>
                <w:rFonts w:ascii="Cambria Math" w:hAnsi="Cambria Math"/>
              </w:rPr>
            </m:ctrlPr>
          </m:sSubPr>
          <m:e>
            <m:r>
              <w:rPr>
                <w:rFonts w:ascii="Cambria Math" w:hAnsi="Cambria Math"/>
              </w:rPr>
              <m:t>H</m:t>
            </m:r>
          </m:e>
          <m:sub>
            <m:r>
              <m:rPr>
                <m:sty m:val="p"/>
              </m:rPr>
              <w:rPr>
                <w:rFonts w:ascii="Cambria Math" w:hAnsi="Cambria Math"/>
              </w:rPr>
              <m:t>2</m:t>
            </m:r>
          </m:sub>
        </m:sSub>
        <m:r>
          <w:rPr>
            <w:rFonts w:ascii="Cambria Math" w:hAnsi="Cambria Math"/>
          </w:rPr>
          <m:t>O</m:t>
        </m:r>
        <m:r>
          <m:rPr>
            <m:sty m:val="p"/>
          </m:rPr>
          <w:rPr>
            <w:rFonts w:ascii="Cambria Math" w:hAnsi="Cambria Math"/>
          </w:rPr>
          <m:t>+2</m:t>
        </m:r>
        <m:sSub>
          <m:sSubPr>
            <m:ctrlPr>
              <w:rPr>
                <w:rFonts w:ascii="Cambria Math" w:hAnsi="Cambria Math"/>
              </w:rPr>
            </m:ctrlPr>
          </m:sSubPr>
          <m:e>
            <m:r>
              <w:rPr>
                <w:rFonts w:ascii="Cambria Math" w:hAnsi="Cambria Math"/>
              </w:rPr>
              <m:t>NH</m:t>
            </m:r>
          </m:e>
          <m:sub>
            <m:r>
              <m:rPr>
                <m:sty m:val="p"/>
              </m:rPr>
              <w:rPr>
                <w:rFonts w:ascii="Cambria Math" w:hAnsi="Cambria Math"/>
              </w:rPr>
              <m:t>3</m:t>
            </m:r>
          </m:sub>
        </m:sSub>
      </m:oMath>
      <w:r w:rsidR="00E664E4" w:rsidRPr="00376874">
        <w:t xml:space="preserve"> </w:t>
      </w:r>
      <w:r w:rsidR="00E664E4" w:rsidRPr="00376874">
        <w:tab/>
      </w:r>
      <w:r w:rsidR="00E664E4" w:rsidRPr="00376874">
        <w:tab/>
      </w:r>
      <w:r w:rsidR="00E664E4" w:rsidRPr="00376874">
        <w:tab/>
      </w:r>
      <w:r w:rsidR="00E664E4">
        <w:t>Eq. (3.2.4.</w:t>
      </w:r>
      <w:r w:rsidR="00E664E4" w:rsidRPr="00376874">
        <w:t>1)</w:t>
      </w:r>
    </w:p>
    <w:p w:rsidR="00E664E4" w:rsidRDefault="00E664E4" w:rsidP="00E664E4">
      <w:r w:rsidRPr="00562C0B">
        <w:t>A</w:t>
      </w:r>
      <w:r>
        <w:t>mmonium uranyl carbonate</w:t>
      </w:r>
      <w:r w:rsidRPr="00562C0B">
        <w:t xml:space="preserve"> is a coarser, more free-flowing powder as compared to ADU. A</w:t>
      </w:r>
      <w:r>
        <w:t>mmonium uranyl carbonate</w:t>
      </w:r>
      <w:r w:rsidRPr="00562C0B">
        <w:t xml:space="preserve"> can be </w:t>
      </w:r>
      <w:proofErr w:type="spellStart"/>
      <w:r w:rsidRPr="00562C0B">
        <w:t>calcined</w:t>
      </w:r>
      <w:proofErr w:type="spellEnd"/>
      <w:r w:rsidRPr="00562C0B">
        <w:t xml:space="preserve">/reduced in a fluidized bed, as well as a rotary </w:t>
      </w:r>
      <w:proofErr w:type="spellStart"/>
      <w:r w:rsidRPr="00562C0B">
        <w:t>calciner</w:t>
      </w:r>
      <w:proofErr w:type="spellEnd"/>
      <w:r w:rsidRPr="00562C0B">
        <w:t xml:space="preserve"> or a fixed-bed type of furnace. The following reaction</w:t>
      </w:r>
      <w:r>
        <w:t xml:space="preserve"> (Eq. 3.2.4.2)</w:t>
      </w:r>
      <w:r w:rsidRPr="00562C0B">
        <w:t xml:space="preserve"> takes place when AUC is contacted wi</w:t>
      </w:r>
      <w:r>
        <w:t>th hydrogen in a heated vessel.</w:t>
      </w:r>
    </w:p>
    <w:p w:rsidR="00E664E4" w:rsidRPr="00F67894" w:rsidRDefault="00C851DF" w:rsidP="00E664E4">
      <w:pPr>
        <w:jc w:val="right"/>
      </w:pPr>
      <m:oMath>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NH</m:t>
                    </m:r>
                  </m:e>
                  <m:sub>
                    <m:r>
                      <w:rPr>
                        <w:rFonts w:ascii="Cambria Math" w:hAnsi="Cambria Math"/>
                      </w:rPr>
                      <m:t>4</m:t>
                    </m:r>
                  </m:sub>
                </m:sSub>
              </m:e>
            </m:d>
          </m:e>
          <m:sub>
            <m:r>
              <w:rPr>
                <w:rFonts w:ascii="Cambria Math" w:hAnsi="Cambria Math"/>
              </w:rPr>
              <m:t>4</m:t>
            </m:r>
          </m:sub>
        </m:sSub>
        <m:sSub>
          <m:sSubPr>
            <m:ctrlPr>
              <w:rPr>
                <w:rFonts w:ascii="Cambria Math" w:hAnsi="Cambria Math"/>
                <w:i/>
              </w:rPr>
            </m:ctrlPr>
          </m:sSubPr>
          <m:e>
            <m:r>
              <w:rPr>
                <w:rFonts w:ascii="Cambria Math" w:hAnsi="Cambria Math"/>
              </w:rPr>
              <m:t>UO</m:t>
            </m:r>
          </m:e>
          <m:sub>
            <m:r>
              <w:rPr>
                <w:rFonts w:ascii="Cambria Math" w:hAnsi="Cambria Math"/>
              </w:rPr>
              <m:t>2</m:t>
            </m:r>
          </m:sub>
        </m:sSub>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CO</m:t>
                    </m:r>
                  </m:e>
                  <m:sub>
                    <m:r>
                      <w:rPr>
                        <w:rFonts w:ascii="Cambria Math" w:hAnsi="Cambria Math"/>
                      </w:rPr>
                      <m:t>3</m:t>
                    </m:r>
                  </m:sub>
                </m:sSub>
              </m:e>
            </m:d>
          </m:e>
          <m:sub>
            <m:r>
              <w:rPr>
                <w:rFonts w:ascii="Cambria Math" w:hAnsi="Cambria Math"/>
              </w:rPr>
              <m:t>3</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UO</m:t>
            </m:r>
          </m:e>
          <m:sub>
            <m:r>
              <w:rPr>
                <w:rFonts w:ascii="Cambria Math" w:eastAsiaTheme="minorEastAsia" w:hAnsi="Cambria Math"/>
              </w:rPr>
              <m:t>2</m:t>
            </m:r>
          </m:sub>
        </m:sSub>
        <m:r>
          <w:rPr>
            <w:rFonts w:ascii="Cambria Math" w:eastAsiaTheme="minorEastAsia" w:hAnsi="Cambria Math"/>
          </w:rPr>
          <m:t>+3</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m:t>
            </m:r>
          </m:sub>
        </m:sSub>
        <m:r>
          <w:rPr>
            <w:rFonts w:ascii="Cambria Math" w:eastAsiaTheme="minorEastAsia" w:hAnsi="Cambria Math"/>
          </w:rPr>
          <m:t>O+4</m:t>
        </m:r>
        <m:sSub>
          <m:sSubPr>
            <m:ctrlPr>
              <w:rPr>
                <w:rFonts w:ascii="Cambria Math" w:eastAsiaTheme="minorEastAsia" w:hAnsi="Cambria Math"/>
                <w:i/>
              </w:rPr>
            </m:ctrlPr>
          </m:sSubPr>
          <m:e>
            <m:r>
              <w:rPr>
                <w:rFonts w:ascii="Cambria Math" w:eastAsiaTheme="minorEastAsia" w:hAnsi="Cambria Math"/>
              </w:rPr>
              <m:t>NH</m:t>
            </m:r>
          </m:e>
          <m:sub>
            <m:r>
              <w:rPr>
                <w:rFonts w:ascii="Cambria Math" w:eastAsiaTheme="minorEastAsia" w:hAnsi="Cambria Math"/>
              </w:rPr>
              <m:t>3</m:t>
            </m:r>
          </m:sub>
        </m:sSub>
        <m:r>
          <w:rPr>
            <w:rFonts w:ascii="Cambria Math" w:eastAsiaTheme="minorEastAsia" w:hAnsi="Cambria Math"/>
          </w:rPr>
          <m:t>+3</m:t>
        </m:r>
        <m:sSub>
          <m:sSubPr>
            <m:ctrlPr>
              <w:rPr>
                <w:rFonts w:ascii="Cambria Math" w:eastAsiaTheme="minorEastAsia" w:hAnsi="Cambria Math"/>
                <w:i/>
              </w:rPr>
            </m:ctrlPr>
          </m:sSubPr>
          <m:e>
            <m:r>
              <w:rPr>
                <w:rFonts w:ascii="Cambria Math" w:eastAsiaTheme="minorEastAsia" w:hAnsi="Cambria Math"/>
              </w:rPr>
              <m:t>CO</m:t>
            </m:r>
          </m:e>
          <m:sub>
            <m:r>
              <w:rPr>
                <w:rFonts w:ascii="Cambria Math" w:eastAsiaTheme="minorEastAsia" w:hAnsi="Cambria Math"/>
              </w:rPr>
              <m:t>2</m:t>
            </m:r>
          </m:sub>
        </m:sSub>
      </m:oMath>
      <w:r w:rsidR="00E664E4">
        <w:rPr>
          <w:rFonts w:eastAsiaTheme="minorEastAsia"/>
        </w:rPr>
        <w:t xml:space="preserve"> </w:t>
      </w:r>
      <w:r w:rsidR="00E664E4">
        <w:rPr>
          <w:rFonts w:eastAsiaTheme="minorEastAsia"/>
        </w:rPr>
        <w:tab/>
      </w:r>
      <w:r w:rsidR="00E664E4">
        <w:rPr>
          <w:rFonts w:eastAsiaTheme="minorEastAsia"/>
        </w:rPr>
        <w:tab/>
        <w:t>Eq. (3.2.4.2)</w:t>
      </w:r>
    </w:p>
    <w:p w:rsidR="00E664E4" w:rsidRPr="00376874" w:rsidRDefault="00E664E4" w:rsidP="00E664E4">
      <w:r w:rsidRPr="00376874">
        <w:t>Uranium oxides [i.e., yellowcake in the form of uranium oxide (U</w:t>
      </w:r>
      <w:r w:rsidRPr="00376874">
        <w:rPr>
          <w:vertAlign w:val="subscript"/>
        </w:rPr>
        <w:t>3</w:t>
      </w:r>
      <w:r w:rsidRPr="00376874">
        <w:t>O</w:t>
      </w:r>
      <w:r w:rsidRPr="00376874">
        <w:rPr>
          <w:vertAlign w:val="subscript"/>
        </w:rPr>
        <w:t>8</w:t>
      </w:r>
      <w:r w:rsidRPr="00376874">
        <w:t xml:space="preserve"> or UO</w:t>
      </w:r>
      <w:r w:rsidRPr="00376874">
        <w:rPr>
          <w:vertAlign w:val="subscript"/>
        </w:rPr>
        <w:t>3</w:t>
      </w:r>
      <w:r w:rsidRPr="00376874">
        <w:t xml:space="preserve">) from the </w:t>
      </w:r>
      <w:proofErr w:type="spellStart"/>
      <w:r w:rsidRPr="00376874">
        <w:t>denitration</w:t>
      </w:r>
      <w:proofErr w:type="spellEnd"/>
      <w:r w:rsidRPr="00376874">
        <w:t xml:space="preserve"> process] can be directly reduced using H</w:t>
      </w:r>
      <w:r w:rsidRPr="00376874">
        <w:rPr>
          <w:vertAlign w:val="subscript"/>
        </w:rPr>
        <w:t>2</w:t>
      </w:r>
      <w:r w:rsidRPr="00376874">
        <w:t xml:space="preserve"> to produce UO</w:t>
      </w:r>
      <w:r w:rsidRPr="00376874">
        <w:rPr>
          <w:vertAlign w:val="subscript"/>
        </w:rPr>
        <w:t>2</w:t>
      </w:r>
      <w:r w:rsidRPr="00376874">
        <w:t>. Typically, this UO</w:t>
      </w:r>
      <w:r w:rsidRPr="00376874">
        <w:rPr>
          <w:vertAlign w:val="subscript"/>
        </w:rPr>
        <w:t>2</w:t>
      </w:r>
      <w:r w:rsidRPr="00376874">
        <w:t xml:space="preserve"> is an intermediate compound produced in an NUCP that is subsequently reduced to UF</w:t>
      </w:r>
      <w:r w:rsidRPr="002F1BEB">
        <w:rPr>
          <w:vertAlign w:val="subscript"/>
        </w:rPr>
        <w:t>4</w:t>
      </w:r>
      <w:r w:rsidRPr="00376874">
        <w:t>. Direct reduction of the yellowcake (that has been converted to either UO</w:t>
      </w:r>
      <w:r w:rsidRPr="002F1BEB">
        <w:rPr>
          <w:vertAlign w:val="subscript"/>
        </w:rPr>
        <w:t>3</w:t>
      </w:r>
      <w:r w:rsidRPr="00376874">
        <w:t xml:space="preserve"> or U</w:t>
      </w:r>
      <w:r w:rsidRPr="002F1BEB">
        <w:rPr>
          <w:vertAlign w:val="subscript"/>
        </w:rPr>
        <w:t>3</w:t>
      </w:r>
      <w:r w:rsidRPr="00376874">
        <w:t>O</w:t>
      </w:r>
      <w:r w:rsidRPr="002F1BEB">
        <w:rPr>
          <w:vertAlign w:val="subscript"/>
        </w:rPr>
        <w:t>8</w:t>
      </w:r>
      <w:r w:rsidRPr="00376874">
        <w:t>) takes place when the yellowcake is fairly pure, thus the need for dissolution and solvent extraction of the yellowcake is not warranted. UO</w:t>
      </w:r>
      <w:r w:rsidRPr="002F1BEB">
        <w:rPr>
          <w:vertAlign w:val="subscript"/>
        </w:rPr>
        <w:t>3</w:t>
      </w:r>
      <w:r w:rsidRPr="00376874">
        <w:t xml:space="preserve"> and U</w:t>
      </w:r>
      <w:r w:rsidRPr="002F1BEB">
        <w:rPr>
          <w:vertAlign w:val="subscript"/>
        </w:rPr>
        <w:t>3</w:t>
      </w:r>
      <w:r w:rsidRPr="00376874">
        <w:t>O</w:t>
      </w:r>
      <w:r w:rsidRPr="002F1BEB">
        <w:rPr>
          <w:vertAlign w:val="subscript"/>
        </w:rPr>
        <w:t>8</w:t>
      </w:r>
      <w:r w:rsidRPr="00376874">
        <w:t xml:space="preserve"> are readily reduced to UO</w:t>
      </w:r>
      <w:r w:rsidRPr="002F1BEB">
        <w:rPr>
          <w:vertAlign w:val="subscript"/>
        </w:rPr>
        <w:t>2</w:t>
      </w:r>
      <w:r w:rsidRPr="00376874">
        <w:t xml:space="preserve"> by heating the oxides in a hydrogen atmosphere. The reactions involved in the reduction of these oxides are shown in Equations </w:t>
      </w:r>
      <w:r>
        <w:t>3.2.4.</w:t>
      </w:r>
      <w:r w:rsidRPr="00376874">
        <w:t xml:space="preserve">3 and </w:t>
      </w:r>
      <w:r>
        <w:t>3.2.4.</w:t>
      </w:r>
      <w:r w:rsidRPr="00376874">
        <w:t xml:space="preserve">4. </w:t>
      </w:r>
    </w:p>
    <w:p w:rsidR="00E664E4" w:rsidRPr="00376874" w:rsidRDefault="00C851DF" w:rsidP="00E664E4">
      <w:pPr>
        <w:jc w:val="right"/>
      </w:pPr>
      <m:oMath>
        <m:sSub>
          <m:sSubPr>
            <m:ctrlPr>
              <w:rPr>
                <w:rFonts w:ascii="Cambria Math" w:hAnsi="Cambria Math"/>
              </w:rPr>
            </m:ctrlPr>
          </m:sSubPr>
          <m:e>
            <m:r>
              <w:rPr>
                <w:rFonts w:ascii="Cambria Math" w:hAnsi="Cambria Math"/>
              </w:rPr>
              <m:t>UO</m:t>
            </m:r>
          </m:e>
          <m:sub>
            <m:r>
              <m:rPr>
                <m:sty m:val="p"/>
              </m:rP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H</m:t>
            </m:r>
          </m:e>
          <m:sub>
            <m:r>
              <m:rPr>
                <m:sty m:val="p"/>
              </m:rPr>
              <w:rPr>
                <w:rFonts w:ascii="Cambria Math" w:hAnsi="Cambria Math"/>
              </w:rPr>
              <m:t>2</m:t>
            </m:r>
          </m:sub>
        </m:sSub>
        <m:box>
          <m:boxPr>
            <m:opEmu m:val="1"/>
            <m:ctrlPr>
              <w:rPr>
                <w:rFonts w:ascii="Cambria Math" w:hAnsi="Cambria Math"/>
              </w:rPr>
            </m:ctrlPr>
          </m:boxPr>
          <m:e>
            <m:groupChr>
              <m:groupChrPr>
                <m:chr m:val="→"/>
                <m:vertJc m:val="bot"/>
                <m:ctrlPr>
                  <w:rPr>
                    <w:rFonts w:ascii="Cambria Math" w:hAnsi="Cambria Math"/>
                  </w:rPr>
                </m:ctrlPr>
              </m:groupChrPr>
              <m:e>
                <m:r>
                  <w:rPr>
                    <w:rFonts w:ascii="Cambria Math" w:hAnsi="Cambria Math"/>
                  </w:rPr>
                  <m:t>heat</m:t>
                </m:r>
              </m:e>
            </m:groupChr>
          </m:e>
        </m:box>
        <m:sSub>
          <m:sSubPr>
            <m:ctrlPr>
              <w:rPr>
                <w:rFonts w:ascii="Cambria Math" w:hAnsi="Cambria Math"/>
              </w:rPr>
            </m:ctrlPr>
          </m:sSubPr>
          <m:e>
            <m:r>
              <w:rPr>
                <w:rFonts w:ascii="Cambria Math" w:hAnsi="Cambria Math"/>
              </w:rPr>
              <m:t>UO</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H</m:t>
            </m:r>
          </m:e>
          <m:sub>
            <m:r>
              <m:rPr>
                <m:sty m:val="p"/>
              </m:rPr>
              <w:rPr>
                <w:rFonts w:ascii="Cambria Math" w:hAnsi="Cambria Math"/>
              </w:rPr>
              <m:t>2</m:t>
            </m:r>
          </m:sub>
        </m:sSub>
        <m:r>
          <w:rPr>
            <w:rFonts w:ascii="Cambria Math" w:hAnsi="Cambria Math"/>
          </w:rPr>
          <m:t>O</m:t>
        </m:r>
      </m:oMath>
      <w:r w:rsidR="00E664E4" w:rsidRPr="00376874">
        <w:t xml:space="preserve"> </w:t>
      </w:r>
      <w:r w:rsidR="00E664E4" w:rsidRPr="00376874">
        <w:tab/>
      </w:r>
      <w:r w:rsidR="00E664E4">
        <w:tab/>
      </w:r>
      <w:r w:rsidR="00E664E4">
        <w:tab/>
      </w:r>
      <w:r w:rsidR="00E664E4" w:rsidRPr="00376874">
        <w:tab/>
      </w:r>
      <w:r w:rsidR="00E664E4">
        <w:t>Eq. (3.2.4.</w:t>
      </w:r>
      <w:r w:rsidR="00E664E4" w:rsidRPr="00376874">
        <w:t>3)</w:t>
      </w:r>
    </w:p>
    <w:p w:rsidR="00E664E4" w:rsidRPr="00376874" w:rsidRDefault="00C851DF" w:rsidP="00E664E4">
      <w:pPr>
        <w:jc w:val="right"/>
      </w:pPr>
      <m:oMath>
        <m:sSub>
          <m:sSubPr>
            <m:ctrlPr>
              <w:rPr>
                <w:rFonts w:ascii="Cambria Math" w:hAnsi="Cambria Math"/>
              </w:rPr>
            </m:ctrlPr>
          </m:sSubPr>
          <m:e>
            <m:sSub>
              <m:sSubPr>
                <m:ctrlPr>
                  <w:rPr>
                    <w:rFonts w:ascii="Cambria Math" w:hAnsi="Cambria Math"/>
                  </w:rPr>
                </m:ctrlPr>
              </m:sSubPr>
              <m:e>
                <m:r>
                  <w:rPr>
                    <w:rFonts w:ascii="Cambria Math" w:hAnsi="Cambria Math"/>
                  </w:rPr>
                  <m:t>U</m:t>
                </m:r>
              </m:e>
              <m:sub>
                <m:r>
                  <m:rPr>
                    <m:sty m:val="p"/>
                  </m:rPr>
                  <w:rPr>
                    <w:rFonts w:ascii="Cambria Math" w:hAnsi="Cambria Math"/>
                  </w:rPr>
                  <m:t>3</m:t>
                </m:r>
              </m:sub>
            </m:sSub>
            <m:r>
              <w:rPr>
                <w:rFonts w:ascii="Cambria Math" w:hAnsi="Cambria Math"/>
              </w:rPr>
              <m:t>O</m:t>
            </m:r>
          </m:e>
          <m:sub>
            <m:r>
              <m:rPr>
                <m:sty m:val="p"/>
              </m:rPr>
              <w:rPr>
                <w:rFonts w:ascii="Cambria Math" w:hAnsi="Cambria Math"/>
              </w:rPr>
              <m:t>8</m:t>
            </m:r>
          </m:sub>
        </m:sSub>
        <m:r>
          <m:rPr>
            <m:sty m:val="p"/>
          </m:rPr>
          <w:rPr>
            <w:rFonts w:ascii="Cambria Math" w:hAnsi="Cambria Math"/>
          </w:rPr>
          <m:t>+</m:t>
        </m:r>
        <m:sSub>
          <m:sSubPr>
            <m:ctrlPr>
              <w:rPr>
                <w:rFonts w:ascii="Cambria Math" w:hAnsi="Cambria Math"/>
              </w:rPr>
            </m:ctrlPr>
          </m:sSubPr>
          <m:e>
            <m:r>
              <w:rPr>
                <w:rFonts w:ascii="Cambria Math" w:hAnsi="Cambria Math"/>
              </w:rPr>
              <m:t>H</m:t>
            </m:r>
          </m:e>
          <m:sub>
            <m:r>
              <m:rPr>
                <m:sty m:val="p"/>
              </m:rPr>
              <w:rPr>
                <w:rFonts w:ascii="Cambria Math" w:hAnsi="Cambria Math"/>
              </w:rPr>
              <m:t>2</m:t>
            </m:r>
          </m:sub>
        </m:sSub>
        <m:box>
          <m:boxPr>
            <m:opEmu m:val="1"/>
            <m:ctrlPr>
              <w:rPr>
                <w:rFonts w:ascii="Cambria Math" w:hAnsi="Cambria Math"/>
              </w:rPr>
            </m:ctrlPr>
          </m:boxPr>
          <m:e>
            <m:groupChr>
              <m:groupChrPr>
                <m:chr m:val="→"/>
                <m:vertJc m:val="bot"/>
                <m:ctrlPr>
                  <w:rPr>
                    <w:rFonts w:ascii="Cambria Math" w:hAnsi="Cambria Math"/>
                  </w:rPr>
                </m:ctrlPr>
              </m:groupChrPr>
              <m:e>
                <m:r>
                  <w:rPr>
                    <w:rFonts w:ascii="Cambria Math" w:hAnsi="Cambria Math"/>
                  </w:rPr>
                  <m:t>heat</m:t>
                </m:r>
              </m:e>
            </m:groupChr>
          </m:e>
        </m:box>
        <m:sSub>
          <m:sSubPr>
            <m:ctrlPr>
              <w:rPr>
                <w:rFonts w:ascii="Cambria Math" w:hAnsi="Cambria Math"/>
              </w:rPr>
            </m:ctrlPr>
          </m:sSubPr>
          <m:e>
            <m:r>
              <m:rPr>
                <m:sty m:val="p"/>
              </m:rPr>
              <w:rPr>
                <w:rFonts w:ascii="Cambria Math" w:hAnsi="Cambria Math"/>
              </w:rPr>
              <m:t>3</m:t>
            </m:r>
            <m:r>
              <w:rPr>
                <w:rFonts w:ascii="Cambria Math" w:hAnsi="Cambria Math"/>
              </w:rPr>
              <m:t>UO</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2</m:t>
            </m:r>
            <m:r>
              <w:rPr>
                <w:rFonts w:ascii="Cambria Math" w:hAnsi="Cambria Math"/>
              </w:rPr>
              <m:t>H</m:t>
            </m:r>
          </m:e>
          <m:sub>
            <m:r>
              <m:rPr>
                <m:sty m:val="p"/>
              </m:rPr>
              <w:rPr>
                <w:rFonts w:ascii="Cambria Math" w:hAnsi="Cambria Math"/>
              </w:rPr>
              <m:t>2</m:t>
            </m:r>
          </m:sub>
        </m:sSub>
        <m:r>
          <w:rPr>
            <w:rFonts w:ascii="Cambria Math" w:hAnsi="Cambria Math"/>
          </w:rPr>
          <m:t>O</m:t>
        </m:r>
      </m:oMath>
      <w:r w:rsidR="00E664E4" w:rsidRPr="00376874">
        <w:t xml:space="preserve"> </w:t>
      </w:r>
      <w:r w:rsidR="00E664E4" w:rsidRPr="00376874">
        <w:tab/>
      </w:r>
      <w:r w:rsidR="00E664E4">
        <w:tab/>
      </w:r>
      <w:r w:rsidR="00E664E4">
        <w:tab/>
      </w:r>
      <w:r w:rsidR="00E664E4" w:rsidRPr="00376874">
        <w:tab/>
      </w:r>
      <w:r w:rsidR="00E664E4">
        <w:t>Eq. (3.2.4.</w:t>
      </w:r>
      <w:r w:rsidR="00E664E4" w:rsidRPr="00376874">
        <w:t>4)</w:t>
      </w:r>
    </w:p>
    <w:p w:rsidR="00E664E4" w:rsidRPr="00376874" w:rsidRDefault="00E664E4" w:rsidP="00E664E4">
      <w:r w:rsidRPr="00376874">
        <w:t>This discussion is limited to the conversion of AUC to UO</w:t>
      </w:r>
      <w:r w:rsidRPr="002F1BEB">
        <w:rPr>
          <w:vertAlign w:val="subscript"/>
        </w:rPr>
        <w:t>2</w:t>
      </w:r>
      <w:r w:rsidRPr="009104F8">
        <w:t>.</w:t>
      </w:r>
    </w:p>
    <w:p w:rsidR="00E664E4" w:rsidRDefault="00E664E4" w:rsidP="00E664E4">
      <w:r w:rsidRPr="00376874">
        <w:t xml:space="preserve">Different types of heated vessels, such as a fixed bed, rotary </w:t>
      </w:r>
      <w:proofErr w:type="spellStart"/>
      <w:r w:rsidRPr="00376874">
        <w:t>calciners</w:t>
      </w:r>
      <w:proofErr w:type="spellEnd"/>
      <w:r w:rsidRPr="00376874">
        <w:t>, stirred bed, fluidized bed, or vibrating-tray type reactors are used in the reduction of UO</w:t>
      </w:r>
      <w:r w:rsidRPr="002F1BEB">
        <w:rPr>
          <w:vertAlign w:val="subscript"/>
        </w:rPr>
        <w:t>3</w:t>
      </w:r>
      <w:r w:rsidRPr="00376874">
        <w:t xml:space="preserve"> or U</w:t>
      </w:r>
      <w:r w:rsidRPr="002F1BEB">
        <w:rPr>
          <w:vertAlign w:val="subscript"/>
        </w:rPr>
        <w:t>3</w:t>
      </w:r>
      <w:r w:rsidRPr="00376874">
        <w:t>O</w:t>
      </w:r>
      <w:r w:rsidRPr="002F1BEB">
        <w:rPr>
          <w:vertAlign w:val="subscript"/>
        </w:rPr>
        <w:t>8</w:t>
      </w:r>
      <w:r w:rsidRPr="00376874">
        <w:t xml:space="preserve"> to UO</w:t>
      </w:r>
      <w:r w:rsidRPr="002F1BEB">
        <w:rPr>
          <w:vertAlign w:val="subscript"/>
        </w:rPr>
        <w:t>2</w:t>
      </w:r>
      <w:r w:rsidRPr="00376874">
        <w:t>. The material of construction for this equipment is typically stainless steel. The hydrogen used is typically generated on</w:t>
      </w:r>
      <w:r>
        <w:noBreakHyphen/>
      </w:r>
      <w:r w:rsidRPr="00376874">
        <w:t>site at an NUCP via dissociation of ammonia.</w:t>
      </w:r>
    </w:p>
    <w:p w:rsidR="00E664E4" w:rsidRPr="002F1BEB" w:rsidRDefault="00E664E4" w:rsidP="00E664E4">
      <w:pPr>
        <w:rPr>
          <w:rFonts w:asciiTheme="majorHAnsi" w:hAnsiTheme="majorHAnsi"/>
          <w:i/>
          <w:u w:val="single"/>
        </w:rPr>
      </w:pPr>
      <w:r w:rsidRPr="002F1BEB">
        <w:rPr>
          <w:rFonts w:asciiTheme="majorHAnsi" w:hAnsiTheme="majorHAnsi"/>
          <w:i/>
          <w:u w:val="single"/>
        </w:rPr>
        <w:t xml:space="preserve">Uranium </w:t>
      </w:r>
      <w:proofErr w:type="spellStart"/>
      <w:r w:rsidRPr="002F1BEB">
        <w:rPr>
          <w:rFonts w:asciiTheme="majorHAnsi" w:hAnsiTheme="majorHAnsi"/>
          <w:i/>
          <w:u w:val="single"/>
        </w:rPr>
        <w:t>Tetrafluoride</w:t>
      </w:r>
      <w:proofErr w:type="spellEnd"/>
      <w:r w:rsidRPr="002F1BEB">
        <w:rPr>
          <w:rFonts w:asciiTheme="majorHAnsi" w:hAnsiTheme="majorHAnsi"/>
          <w:i/>
          <w:u w:val="single"/>
        </w:rPr>
        <w:t xml:space="preserve"> Production</w:t>
      </w:r>
    </w:p>
    <w:p w:rsidR="00E664E4" w:rsidRPr="002F1BEB" w:rsidRDefault="00E664E4" w:rsidP="00E664E4">
      <w:r w:rsidRPr="002F1BEB">
        <w:t xml:space="preserve">Uranium </w:t>
      </w:r>
      <w:proofErr w:type="spellStart"/>
      <w:r w:rsidRPr="002F1BEB">
        <w:t>tetrafluoride</w:t>
      </w:r>
      <w:proofErr w:type="spellEnd"/>
      <w:r w:rsidRPr="002F1BEB">
        <w:t xml:space="preserve"> is an intermediate compound that is generated in an NUCP that is utilized in the production of UF</w:t>
      </w:r>
      <w:r w:rsidRPr="002F1BEB">
        <w:rPr>
          <w:vertAlign w:val="subscript"/>
        </w:rPr>
        <w:t>6</w:t>
      </w:r>
      <w:r w:rsidRPr="002F1BEB">
        <w:t xml:space="preserve"> or uranium metal. U</w:t>
      </w:r>
      <w:r>
        <w:t xml:space="preserve">ranium </w:t>
      </w:r>
      <w:proofErr w:type="spellStart"/>
      <w:r>
        <w:t>tetrafluoride</w:t>
      </w:r>
      <w:proofErr w:type="spellEnd"/>
      <w:r>
        <w:t xml:space="preserve"> </w:t>
      </w:r>
      <w:r w:rsidRPr="002F1BEB">
        <w:t xml:space="preserve">is </w:t>
      </w:r>
      <w:r>
        <w:t xml:space="preserve">typically </w:t>
      </w:r>
      <w:r w:rsidRPr="002F1BEB">
        <w:t>produced by reacting UO</w:t>
      </w:r>
      <w:r w:rsidRPr="002F1BEB">
        <w:rPr>
          <w:vertAlign w:val="subscript"/>
        </w:rPr>
        <w:t>2</w:t>
      </w:r>
      <w:r w:rsidRPr="002F1BEB">
        <w:t xml:space="preserve"> with anhydrous hydrogen fluoride (AHF) in what is known as a </w:t>
      </w:r>
      <w:proofErr w:type="spellStart"/>
      <w:r w:rsidRPr="002F1BEB">
        <w:t>hydrofluorination</w:t>
      </w:r>
      <w:proofErr w:type="spellEnd"/>
      <w:r w:rsidRPr="002F1BEB">
        <w:t xml:space="preserve"> process. The chemical reaction that takes place in </w:t>
      </w:r>
      <w:proofErr w:type="spellStart"/>
      <w:r w:rsidRPr="002F1BEB">
        <w:t>hydrofluorination</w:t>
      </w:r>
      <w:proofErr w:type="spellEnd"/>
      <w:r w:rsidRPr="002F1BEB">
        <w:t xml:space="preserve"> is shown in Eq. </w:t>
      </w:r>
      <w:r>
        <w:t>3.2.4.</w:t>
      </w:r>
      <w:r w:rsidRPr="002F1BEB">
        <w:t>5.</w:t>
      </w:r>
    </w:p>
    <w:p w:rsidR="00E664E4" w:rsidRPr="002F1BEB" w:rsidRDefault="00C851DF" w:rsidP="00E664E4">
      <w:pPr>
        <w:jc w:val="right"/>
      </w:pPr>
      <m:oMath>
        <m:sSub>
          <m:sSubPr>
            <m:ctrlPr>
              <w:rPr>
                <w:rFonts w:ascii="Cambria Math" w:hAnsi="Cambria Math"/>
              </w:rPr>
            </m:ctrlPr>
          </m:sSubPr>
          <m:e>
            <m:r>
              <w:rPr>
                <w:rFonts w:ascii="Cambria Math" w:hAnsi="Cambria Math"/>
              </w:rPr>
              <m:t>UO</m:t>
            </m:r>
          </m:e>
          <m:sub>
            <m:r>
              <m:rPr>
                <m:sty m:val="p"/>
              </m:rPr>
              <w:rPr>
                <w:rFonts w:ascii="Cambria Math" w:hAnsi="Cambria Math"/>
              </w:rPr>
              <m:t>2</m:t>
            </m:r>
          </m:sub>
        </m:sSub>
        <m:r>
          <m:rPr>
            <m:sty m:val="p"/>
          </m:rPr>
          <w:rPr>
            <w:rFonts w:ascii="Cambria Math" w:hAnsi="Cambria Math"/>
          </w:rPr>
          <m:t>+4</m:t>
        </m:r>
        <m:r>
          <w:rPr>
            <w:rFonts w:ascii="Cambria Math" w:hAnsi="Cambria Math"/>
          </w:rPr>
          <m:t>HF</m:t>
        </m:r>
        <m:r>
          <m:rPr>
            <m:sty m:val="p"/>
          </m:rPr>
          <w:rPr>
            <w:rFonts w:ascii="Cambria Math" w:hAnsi="Cambria Math"/>
          </w:rPr>
          <m:t>↔</m:t>
        </m:r>
        <m:sSub>
          <m:sSubPr>
            <m:ctrlPr>
              <w:rPr>
                <w:rFonts w:ascii="Cambria Math" w:hAnsi="Cambria Math"/>
              </w:rPr>
            </m:ctrlPr>
          </m:sSubPr>
          <m:e>
            <m:r>
              <w:rPr>
                <w:rFonts w:ascii="Cambria Math" w:hAnsi="Cambria Math"/>
              </w:rPr>
              <m:t>UF</m:t>
            </m:r>
          </m:e>
          <m:sub>
            <m:r>
              <m:rPr>
                <m:sty m:val="p"/>
              </m:rPr>
              <w:rPr>
                <w:rFonts w:ascii="Cambria Math" w:hAnsi="Cambria Math"/>
              </w:rPr>
              <m:t>4</m:t>
            </m:r>
          </m:sub>
        </m:sSub>
        <m:r>
          <m:rPr>
            <m:sty m:val="p"/>
          </m:rPr>
          <w:rPr>
            <w:rFonts w:ascii="Cambria Math" w:hAnsi="Cambria Math"/>
          </w:rPr>
          <m:t>+2</m:t>
        </m:r>
        <m:sSub>
          <m:sSubPr>
            <m:ctrlPr>
              <w:rPr>
                <w:rFonts w:ascii="Cambria Math" w:hAnsi="Cambria Math"/>
              </w:rPr>
            </m:ctrlPr>
          </m:sSubPr>
          <m:e>
            <m:r>
              <w:rPr>
                <w:rFonts w:ascii="Cambria Math" w:hAnsi="Cambria Math"/>
              </w:rPr>
              <m:t>H</m:t>
            </m:r>
          </m:e>
          <m:sub>
            <m:r>
              <m:rPr>
                <m:sty m:val="p"/>
              </m:rPr>
              <w:rPr>
                <w:rFonts w:ascii="Cambria Math" w:hAnsi="Cambria Math"/>
              </w:rPr>
              <m:t>2</m:t>
            </m:r>
          </m:sub>
        </m:sSub>
        <m:r>
          <w:rPr>
            <w:rFonts w:ascii="Cambria Math" w:hAnsi="Cambria Math"/>
          </w:rPr>
          <m:t>O</m:t>
        </m:r>
      </m:oMath>
      <w:r w:rsidR="00E664E4" w:rsidRPr="002F1BEB">
        <w:t xml:space="preserve"> </w:t>
      </w:r>
      <w:r w:rsidR="00E664E4" w:rsidRPr="002F1BEB">
        <w:tab/>
      </w:r>
      <w:r w:rsidR="00E664E4">
        <w:tab/>
      </w:r>
      <w:r w:rsidR="00E664E4">
        <w:tab/>
      </w:r>
      <w:r w:rsidR="00E664E4" w:rsidRPr="002F1BEB">
        <w:tab/>
      </w:r>
      <w:r w:rsidR="00E664E4">
        <w:t>Eq. (3.2.4.</w:t>
      </w:r>
      <w:r w:rsidR="00E664E4" w:rsidRPr="002F1BEB">
        <w:t>5)</w:t>
      </w:r>
    </w:p>
    <w:p w:rsidR="00E664E4" w:rsidRPr="002F1BEB" w:rsidRDefault="00E664E4" w:rsidP="00E664E4">
      <w:r w:rsidRPr="002F1BEB">
        <w:t xml:space="preserve">Different types of heated vessels, such as screw reactors, rotary </w:t>
      </w:r>
      <w:proofErr w:type="spellStart"/>
      <w:r w:rsidRPr="002F1BEB">
        <w:t>calciners</w:t>
      </w:r>
      <w:proofErr w:type="spellEnd"/>
      <w:r w:rsidRPr="002F1BEB">
        <w:t xml:space="preserve">, fluidized beds, stirred beds, or vibrating-tray type beds are used in the </w:t>
      </w:r>
      <w:proofErr w:type="spellStart"/>
      <w:r w:rsidRPr="002F1BEB">
        <w:t>hydrofluorination</w:t>
      </w:r>
      <w:proofErr w:type="spellEnd"/>
      <w:r w:rsidRPr="002F1BEB">
        <w:t xml:space="preserve"> process. Because hydrogen fluoride (HF), which is extremely corrosive, is used in this reaction, the equipment involved in </w:t>
      </w:r>
      <w:proofErr w:type="spellStart"/>
      <w:r w:rsidRPr="002F1BEB">
        <w:t>hydrofluorination</w:t>
      </w:r>
      <w:proofErr w:type="spellEnd"/>
      <w:r w:rsidRPr="002F1BEB">
        <w:t xml:space="preserve"> must be fabricated from materials resistant to HF (e.g., </w:t>
      </w:r>
      <w:proofErr w:type="spellStart"/>
      <w:r w:rsidRPr="002F1BEB">
        <w:t>Hastelloy</w:t>
      </w:r>
      <w:proofErr w:type="spellEnd"/>
      <w:r>
        <w:t>®</w:t>
      </w:r>
      <w:r w:rsidRPr="002F1BEB">
        <w:t xml:space="preserve">, </w:t>
      </w:r>
      <w:proofErr w:type="spellStart"/>
      <w:r w:rsidRPr="002F1BEB">
        <w:t>Monel</w:t>
      </w:r>
      <w:proofErr w:type="spellEnd"/>
      <w:r>
        <w:t>®</w:t>
      </w:r>
      <w:r w:rsidRPr="002F1BEB">
        <w:t>, and Inconel</w:t>
      </w:r>
      <w:r>
        <w:t>®</w:t>
      </w:r>
      <w:r w:rsidRPr="002F1BEB">
        <w:t xml:space="preserve">). </w:t>
      </w:r>
    </w:p>
    <w:p w:rsidR="00E664E4" w:rsidRDefault="00E664E4" w:rsidP="00E664E4">
      <w:r w:rsidRPr="002F1BEB">
        <w:t>Module 4, Conversion to UO</w:t>
      </w:r>
      <w:r w:rsidRPr="002F1BEB">
        <w:rPr>
          <w:vertAlign w:val="subscript"/>
        </w:rPr>
        <w:t>2</w:t>
      </w:r>
      <w:r w:rsidRPr="002F1BEB">
        <w:t xml:space="preserve"> and UF</w:t>
      </w:r>
      <w:r w:rsidRPr="002F1BEB">
        <w:rPr>
          <w:vertAlign w:val="subscript"/>
        </w:rPr>
        <w:t>4</w:t>
      </w:r>
      <w:r w:rsidRPr="002F1BEB">
        <w:t>, encompasse</w:t>
      </w:r>
      <w:r>
        <w:t>d</w:t>
      </w:r>
      <w:r w:rsidRPr="002F1BEB">
        <w:t xml:space="preserve"> the processes to convert the solid </w:t>
      </w:r>
      <w:r>
        <w:t xml:space="preserve">AUC </w:t>
      </w:r>
      <w:r w:rsidRPr="002F1BEB">
        <w:t>to solid UO</w:t>
      </w:r>
      <w:r w:rsidRPr="002F1BEB">
        <w:rPr>
          <w:vertAlign w:val="subscript"/>
        </w:rPr>
        <w:t>2</w:t>
      </w:r>
      <w:r w:rsidRPr="002F1BEB">
        <w:t xml:space="preserve"> and then convert the UO</w:t>
      </w:r>
      <w:r w:rsidRPr="002F1BEB">
        <w:rPr>
          <w:vertAlign w:val="subscript"/>
        </w:rPr>
        <w:t>2</w:t>
      </w:r>
      <w:r w:rsidRPr="002F1BEB">
        <w:t xml:space="preserve"> to UF</w:t>
      </w:r>
      <w:r w:rsidRPr="002F1BEB">
        <w:rPr>
          <w:vertAlign w:val="subscript"/>
        </w:rPr>
        <w:t>4</w:t>
      </w:r>
      <w:r w:rsidRPr="002F1BEB">
        <w:t xml:space="preserve">. Module 4 </w:t>
      </w:r>
      <w:r>
        <w:t xml:space="preserve">was </w:t>
      </w:r>
      <w:r w:rsidRPr="009D034F">
        <w:t xml:space="preserve">subdivided into six sub-modules. The </w:t>
      </w:r>
      <w:proofErr w:type="spellStart"/>
      <w:r w:rsidRPr="009D034F">
        <w:t>flowsheet</w:t>
      </w:r>
      <w:proofErr w:type="spellEnd"/>
      <w:r w:rsidRPr="009D034F">
        <w:t xml:space="preserve"> for Module 4 is shown in Figure 3.19.</w:t>
      </w:r>
      <w:r w:rsidRPr="002F1BEB">
        <w:t xml:space="preserve"> </w:t>
      </w:r>
    </w:p>
    <w:p w:rsidR="001E169B" w:rsidRPr="00F61D8C" w:rsidRDefault="001E169B" w:rsidP="001E169B">
      <w:r w:rsidRPr="00F61D8C">
        <w:t xml:space="preserve">Nitrogen and hydrogen </w:t>
      </w:r>
      <w:r>
        <w:t xml:space="preserve">were </w:t>
      </w:r>
      <w:r w:rsidRPr="00F61D8C">
        <w:t>preheated to 500–1000</w:t>
      </w:r>
      <w:r>
        <w:t xml:space="preserve">°C was fed </w:t>
      </w:r>
      <w:proofErr w:type="spellStart"/>
      <w:r>
        <w:t>counter</w:t>
      </w:r>
      <w:r w:rsidRPr="00F61D8C">
        <w:t>currently</w:t>
      </w:r>
      <w:proofErr w:type="spellEnd"/>
      <w:r w:rsidRPr="00F61D8C">
        <w:t xml:space="preserve"> to the </w:t>
      </w:r>
      <w:proofErr w:type="spellStart"/>
      <w:r w:rsidRPr="00F61D8C">
        <w:t>calciner</w:t>
      </w:r>
      <w:proofErr w:type="spellEnd"/>
      <w:r w:rsidRPr="00F61D8C">
        <w:t>.</w:t>
      </w:r>
      <w:r>
        <w:t xml:space="preserve"> The washed and dried AUC wa</w:t>
      </w:r>
      <w:r w:rsidRPr="00F61D8C">
        <w:t xml:space="preserve">s introduced via a feed hopper to the rotary </w:t>
      </w:r>
      <w:proofErr w:type="spellStart"/>
      <w:r w:rsidRPr="00F61D8C">
        <w:t>calciner</w:t>
      </w:r>
      <w:proofErr w:type="spellEnd"/>
      <w:r w:rsidRPr="00F61D8C">
        <w:t xml:space="preserve"> by means of a screw conveyor. The rotary </w:t>
      </w:r>
      <w:proofErr w:type="spellStart"/>
      <w:r w:rsidRPr="00F61D8C">
        <w:t>calciner</w:t>
      </w:r>
      <w:proofErr w:type="spellEnd"/>
      <w:r w:rsidRPr="00F61D8C">
        <w:t xml:space="preserve"> operates at 550–650</w:t>
      </w:r>
      <w:r>
        <w:t>°</w:t>
      </w:r>
      <w:r w:rsidRPr="00F61D8C">
        <w:t>C. U</w:t>
      </w:r>
      <w:r>
        <w:t>ranium dioxide wa</w:t>
      </w:r>
      <w:r w:rsidRPr="00F61D8C">
        <w:t xml:space="preserve">s produced in the </w:t>
      </w:r>
      <w:proofErr w:type="spellStart"/>
      <w:r w:rsidRPr="00F61D8C">
        <w:t>calciner</w:t>
      </w:r>
      <w:proofErr w:type="spellEnd"/>
      <w:r w:rsidRPr="00F61D8C">
        <w:t xml:space="preserve"> and subsequently cooled </w:t>
      </w:r>
      <w:r>
        <w:t xml:space="preserve">to less than </w:t>
      </w:r>
      <w:r w:rsidRPr="00F61D8C">
        <w:t>100</w:t>
      </w:r>
      <w:r>
        <w:t>°</w:t>
      </w:r>
      <w:r w:rsidRPr="00F61D8C">
        <w:t>C in a UO</w:t>
      </w:r>
      <w:r w:rsidRPr="00F61D8C">
        <w:rPr>
          <w:vertAlign w:val="subscript"/>
        </w:rPr>
        <w:t>2</w:t>
      </w:r>
      <w:r w:rsidRPr="00F61D8C">
        <w:t xml:space="preserve"> screw conveyor </w:t>
      </w:r>
      <w:r>
        <w:t xml:space="preserve">with </w:t>
      </w:r>
      <w:r w:rsidRPr="00F61D8C">
        <w:t>a cooling jacket. The UO</w:t>
      </w:r>
      <w:r w:rsidRPr="00F61D8C">
        <w:rPr>
          <w:vertAlign w:val="subscript"/>
        </w:rPr>
        <w:t>2</w:t>
      </w:r>
      <w:r>
        <w:t xml:space="preserve"> wa</w:t>
      </w:r>
      <w:r w:rsidRPr="00F61D8C">
        <w:t>s collected in a UO</w:t>
      </w:r>
      <w:r w:rsidRPr="00F61D8C">
        <w:rPr>
          <w:vertAlign w:val="subscript"/>
        </w:rPr>
        <w:t>2</w:t>
      </w:r>
      <w:r>
        <w:t xml:space="preserve"> collection hopper where it wa</w:t>
      </w:r>
      <w:r w:rsidRPr="00F61D8C">
        <w:t>s eventually transferred to storage containers (i.e., drums).</w:t>
      </w:r>
    </w:p>
    <w:p w:rsidR="001E169B" w:rsidRPr="002F1BEB" w:rsidRDefault="001E169B" w:rsidP="00E664E4"/>
    <w:p w:rsidR="00E664E4" w:rsidRPr="002F1BEB" w:rsidRDefault="00E664E4" w:rsidP="00E664E4">
      <w:pPr>
        <w:jc w:val="center"/>
      </w:pPr>
      <w:r w:rsidRPr="002F1BEB">
        <w:object w:dxaOrig="12705" w:dyaOrig="7393">
          <v:shape id="_x0000_i1041" type="#_x0000_t75" style="width:468.35pt;height:271.5pt" o:ole="">
            <v:imagedata r:id="rId59" o:title=""/>
          </v:shape>
          <o:OLEObject Type="Embed" ProgID="Visio.Drawing.11" ShapeID="_x0000_i1041" DrawAspect="Content" ObjectID="_1445525566" r:id="rId60"/>
        </w:object>
      </w:r>
    </w:p>
    <w:p w:rsidR="00E664E4" w:rsidRPr="002F1BEB" w:rsidRDefault="00E664E4" w:rsidP="004E2FC0">
      <w:pPr>
        <w:jc w:val="center"/>
        <w:rPr>
          <w:b/>
          <w:sz w:val="20"/>
          <w:szCs w:val="20"/>
        </w:rPr>
      </w:pPr>
      <w:r w:rsidRPr="009D034F">
        <w:rPr>
          <w:b/>
          <w:sz w:val="20"/>
          <w:szCs w:val="20"/>
        </w:rPr>
        <w:t xml:space="preserve">Figure 3.19. Module 4: The </w:t>
      </w:r>
      <w:proofErr w:type="spellStart"/>
      <w:r w:rsidRPr="009D034F">
        <w:rPr>
          <w:b/>
          <w:sz w:val="20"/>
          <w:szCs w:val="20"/>
        </w:rPr>
        <w:t>Hydrofluorination</w:t>
      </w:r>
      <w:proofErr w:type="spellEnd"/>
      <w:r w:rsidRPr="009D034F">
        <w:rPr>
          <w:b/>
          <w:sz w:val="20"/>
          <w:szCs w:val="20"/>
        </w:rPr>
        <w:t xml:space="preserve"> Process of a Natural Uranium Conversion Plant</w:t>
      </w:r>
      <w:r w:rsidR="004E2FC0">
        <w:rPr>
          <w:b/>
          <w:sz w:val="20"/>
          <w:szCs w:val="20"/>
        </w:rPr>
        <w:t>.</w:t>
      </w:r>
    </w:p>
    <w:p w:rsidR="00E664E4" w:rsidRPr="00F61D8C" w:rsidRDefault="00E664E4" w:rsidP="00E664E4">
      <w:r w:rsidRPr="00F61D8C">
        <w:lastRenderedPageBreak/>
        <w:t>The hopper fe</w:t>
      </w:r>
      <w:r>
        <w:t>d</w:t>
      </w:r>
      <w:r w:rsidRPr="00F61D8C">
        <w:t xml:space="preserve"> UO</w:t>
      </w:r>
      <w:r w:rsidRPr="00F61D8C">
        <w:rPr>
          <w:vertAlign w:val="subscript"/>
        </w:rPr>
        <w:t>2</w:t>
      </w:r>
      <w:r w:rsidRPr="00F61D8C">
        <w:t xml:space="preserve"> into the fluid</w:t>
      </w:r>
      <w:r>
        <w:t>ized</w:t>
      </w:r>
      <w:r w:rsidRPr="00F61D8C">
        <w:t xml:space="preserve"> bed reactor </w:t>
      </w:r>
      <w:r>
        <w:t xml:space="preserve">where it was </w:t>
      </w:r>
      <w:r w:rsidRPr="00F61D8C">
        <w:t>reacted with anhydrous HF (AHF) in the presence of N</w:t>
      </w:r>
      <w:r w:rsidRPr="00F61D8C">
        <w:rPr>
          <w:vertAlign w:val="subscript"/>
        </w:rPr>
        <w:t>2</w:t>
      </w:r>
      <w:r w:rsidRPr="00F61D8C">
        <w:t xml:space="preserve"> to produce UF</w:t>
      </w:r>
      <w:r w:rsidRPr="00F61D8C">
        <w:rPr>
          <w:vertAlign w:val="subscript"/>
        </w:rPr>
        <w:t>4</w:t>
      </w:r>
      <w:r w:rsidRPr="00F61D8C">
        <w:t>. The reactor operates between 300 and 550</w:t>
      </w:r>
      <w:r>
        <w:t>°C. The AHF wa</w:t>
      </w:r>
      <w:r w:rsidRPr="00F61D8C">
        <w:t xml:space="preserve">s superheated to </w:t>
      </w:r>
      <w:r>
        <w:t>approximately</w:t>
      </w:r>
      <w:r w:rsidRPr="00F61D8C">
        <w:t xml:space="preserve"> 150</w:t>
      </w:r>
      <w:r>
        <w:t>°C. Nitrogen wa</w:t>
      </w:r>
      <w:r w:rsidRPr="00F61D8C">
        <w:t xml:space="preserve">s added to the system and the mixture </w:t>
      </w:r>
      <w:r>
        <w:t xml:space="preserve">was </w:t>
      </w:r>
      <w:r w:rsidRPr="00F61D8C">
        <w:t xml:space="preserve">preheated to </w:t>
      </w:r>
      <w:r>
        <w:t>approximately</w:t>
      </w:r>
      <w:r w:rsidRPr="00F61D8C">
        <w:t xml:space="preserve"> 250</w:t>
      </w:r>
      <w:r>
        <w:t>°</w:t>
      </w:r>
      <w:r w:rsidRPr="00F61D8C">
        <w:t>C before enter</w:t>
      </w:r>
      <w:r>
        <w:t>ing</w:t>
      </w:r>
      <w:r w:rsidRPr="00F61D8C">
        <w:t xml:space="preserve"> the fluidized bed reactor. The UF</w:t>
      </w:r>
      <w:r w:rsidRPr="00F61D8C">
        <w:rPr>
          <w:vertAlign w:val="subscript"/>
        </w:rPr>
        <w:t>4</w:t>
      </w:r>
      <w:r>
        <w:t xml:space="preserve"> wa</w:t>
      </w:r>
      <w:r w:rsidRPr="00F61D8C">
        <w:t>s withdrawn from the bottom of the reactor into a UF</w:t>
      </w:r>
      <w:r w:rsidRPr="00F61D8C">
        <w:rPr>
          <w:vertAlign w:val="subscript"/>
        </w:rPr>
        <w:t>4</w:t>
      </w:r>
      <w:r w:rsidRPr="00F61D8C">
        <w:t xml:space="preserve"> hopper that fed a </w:t>
      </w:r>
      <w:r>
        <w:t>screw conveyor where the solid wa</w:t>
      </w:r>
      <w:r w:rsidRPr="00F61D8C">
        <w:t>s cooled indirectly by a cooling jacket. The UF</w:t>
      </w:r>
      <w:r w:rsidRPr="00F61D8C">
        <w:rPr>
          <w:vertAlign w:val="subscript"/>
        </w:rPr>
        <w:t>4</w:t>
      </w:r>
      <w:r w:rsidRPr="00F61D8C">
        <w:t xml:space="preserve"> le</w:t>
      </w:r>
      <w:r>
        <w:t>ft</w:t>
      </w:r>
      <w:r w:rsidRPr="00F61D8C">
        <w:t xml:space="preserve"> the conveyor at a temperature below 100</w:t>
      </w:r>
      <w:r>
        <w:t>°</w:t>
      </w:r>
      <w:r w:rsidRPr="00F61D8C">
        <w:t xml:space="preserve">C and </w:t>
      </w:r>
      <w:r>
        <w:t>wa</w:t>
      </w:r>
      <w:r w:rsidRPr="00F61D8C">
        <w:t>s collected in a UF</w:t>
      </w:r>
      <w:r w:rsidRPr="00F61D8C">
        <w:rPr>
          <w:vertAlign w:val="subscript"/>
        </w:rPr>
        <w:t>4</w:t>
      </w:r>
      <w:r w:rsidRPr="00F61D8C">
        <w:t xml:space="preserve"> collection hopper. The hopper </w:t>
      </w:r>
      <w:r>
        <w:t>was used to feed</w:t>
      </w:r>
      <w:r w:rsidRPr="00F61D8C">
        <w:t xml:space="preserve"> the UF</w:t>
      </w:r>
      <w:r w:rsidRPr="00F61D8C">
        <w:rPr>
          <w:vertAlign w:val="subscript"/>
        </w:rPr>
        <w:t>4</w:t>
      </w:r>
      <w:r w:rsidRPr="00F61D8C">
        <w:t xml:space="preserve"> blender. The gaseous stream,</w:t>
      </w:r>
      <w:r>
        <w:t xml:space="preserve"> which </w:t>
      </w:r>
      <w:r w:rsidRPr="00F61D8C">
        <w:t>contain</w:t>
      </w:r>
      <w:r>
        <w:t>ed</w:t>
      </w:r>
      <w:r w:rsidRPr="00F61D8C">
        <w:t xml:space="preserve"> unreacted HF, le</w:t>
      </w:r>
      <w:r>
        <w:t xml:space="preserve">ft the reactor through the top. The </w:t>
      </w:r>
      <w:r w:rsidRPr="00F61D8C">
        <w:t xml:space="preserve">HF </w:t>
      </w:r>
      <w:r>
        <w:t xml:space="preserve">could be </w:t>
      </w:r>
      <w:r w:rsidRPr="00F61D8C">
        <w:t xml:space="preserve">condensed into liquid HF in a storage tank. </w:t>
      </w:r>
      <w:r>
        <w:t>A</w:t>
      </w:r>
      <w:r w:rsidRPr="00F61D8C">
        <w:t>nhydrous HF c</w:t>
      </w:r>
      <w:r>
        <w:t>ould</w:t>
      </w:r>
      <w:r w:rsidRPr="00F61D8C">
        <w:t xml:space="preserve"> also be recovered and stored in a liquid AHF storage tank for reuse. Residual HF remaining in the</w:t>
      </w:r>
      <w:r>
        <w:t xml:space="preserve"> off-gas stream wa</w:t>
      </w:r>
      <w:r w:rsidRPr="00F61D8C">
        <w:t xml:space="preserve">s removed using a packed bed scrubber with potassium hydroxide (KOH) solution. The scrubbed off-gas </w:t>
      </w:r>
      <w:r>
        <w:t>wa</w:t>
      </w:r>
      <w:r w:rsidRPr="00F61D8C">
        <w:t>s discharged from the top of the s</w:t>
      </w:r>
      <w:r>
        <w:t>crubber, and the bottom liquid wa</w:t>
      </w:r>
      <w:r w:rsidRPr="00F61D8C">
        <w:t xml:space="preserve">s part of the waste streams. </w:t>
      </w:r>
    </w:p>
    <w:p w:rsidR="00E664E4" w:rsidRPr="00F61D8C" w:rsidRDefault="008F75F8" w:rsidP="00E664E4">
      <w:r>
        <w:t>Complete recovery of UO</w:t>
      </w:r>
      <w:r w:rsidRPr="008F75F8">
        <w:rPr>
          <w:vertAlign w:val="subscript"/>
        </w:rPr>
        <w:t>2</w:t>
      </w:r>
      <w:r>
        <w:t xml:space="preserve"> and UF</w:t>
      </w:r>
      <w:r w:rsidRPr="008F75F8">
        <w:rPr>
          <w:vertAlign w:val="subscript"/>
        </w:rPr>
        <w:t>4</w:t>
      </w:r>
      <w:r>
        <w:t xml:space="preserve"> from the fluidized bed was assumed. However in actual operation, filtration and recycle would be required to recover the product powders that would be entrained in the reactor. </w:t>
      </w:r>
      <w:r w:rsidR="00E664E4" w:rsidRPr="00F61D8C">
        <w:t>Waste streams c</w:t>
      </w:r>
      <w:r w:rsidR="00E664E4">
        <w:t>ould</w:t>
      </w:r>
      <w:r w:rsidR="00E664E4" w:rsidRPr="00F61D8C">
        <w:t xml:space="preserve"> contain from 0.2% to 2.0% uranium depending on recovery systems.</w:t>
      </w:r>
    </w:p>
    <w:p w:rsidR="00E664E4" w:rsidRPr="00376874" w:rsidRDefault="00E664E4" w:rsidP="00E664E4"/>
    <w:p w:rsidR="00E664E4" w:rsidRDefault="00E664E4" w:rsidP="00E664E4">
      <w:pPr>
        <w:rPr>
          <w:rFonts w:asciiTheme="majorHAnsi" w:hAnsiTheme="majorHAnsi"/>
          <w:b/>
          <w:i/>
        </w:rPr>
      </w:pPr>
      <w:r>
        <w:rPr>
          <w:rFonts w:asciiTheme="majorHAnsi" w:hAnsiTheme="majorHAnsi"/>
          <w:b/>
          <w:i/>
        </w:rPr>
        <w:t>3.2.4</w:t>
      </w:r>
      <w:r w:rsidRPr="00C26992">
        <w:rPr>
          <w:rFonts w:asciiTheme="majorHAnsi" w:hAnsiTheme="majorHAnsi"/>
          <w:b/>
          <w:i/>
        </w:rPr>
        <w:t>.</w:t>
      </w:r>
      <w:r>
        <w:rPr>
          <w:rFonts w:asciiTheme="majorHAnsi" w:hAnsiTheme="majorHAnsi"/>
          <w:b/>
          <w:i/>
        </w:rPr>
        <w:t>1 Module 4A</w:t>
      </w:r>
    </w:p>
    <w:p w:rsidR="00E664E4" w:rsidRPr="00F61D8C" w:rsidRDefault="00E664E4" w:rsidP="00E664E4">
      <w:r w:rsidRPr="00F61D8C">
        <w:t xml:space="preserve">Module 4A </w:t>
      </w:r>
      <w:r>
        <w:t>was</w:t>
      </w:r>
      <w:r w:rsidRPr="00F61D8C">
        <w:t xml:space="preserve"> the ammonia cracking process which </w:t>
      </w:r>
      <w:r>
        <w:t>wa</w:t>
      </w:r>
      <w:r w:rsidRPr="00F61D8C">
        <w:t>s used to produce hydrogen for the conversion of AUC to UO</w:t>
      </w:r>
      <w:r w:rsidRPr="00F61D8C">
        <w:rPr>
          <w:vertAlign w:val="subscript"/>
        </w:rPr>
        <w:t>2</w:t>
      </w:r>
      <w:r w:rsidRPr="00F61D8C">
        <w:t xml:space="preserve">. In industrial processes, it is safer and more economical to crack ammonia in order to obtain hydrogen rather than supplying hydrogen directly. The input to the cracking process </w:t>
      </w:r>
      <w:r>
        <w:t>wa</w:t>
      </w:r>
      <w:r w:rsidRPr="00F61D8C">
        <w:t xml:space="preserve">s pure ammonia. The output stream from Module 4A </w:t>
      </w:r>
      <w:r>
        <w:t>wa</w:t>
      </w:r>
      <w:r w:rsidRPr="00F61D8C">
        <w:t xml:space="preserve">s hydrogen and nitrogen. The ammonia cracking chemical reaction is shown in Eq. </w:t>
      </w:r>
      <w:r>
        <w:t>3.2.4.</w:t>
      </w:r>
      <w:r w:rsidRPr="00F61D8C">
        <w:t>6.</w:t>
      </w:r>
    </w:p>
    <w:p w:rsidR="00E664E4" w:rsidRPr="00F61D8C" w:rsidRDefault="00C851DF" w:rsidP="00E664E4">
      <w:pPr>
        <w:jc w:val="right"/>
      </w:pPr>
      <m:oMath>
        <m:sSub>
          <m:sSubPr>
            <m:ctrlPr>
              <w:rPr>
                <w:rFonts w:ascii="Cambria Math" w:hAnsi="Cambria Math"/>
              </w:rPr>
            </m:ctrlPr>
          </m:sSubPr>
          <m:e>
            <m:r>
              <m:rPr>
                <m:sty m:val="p"/>
              </m:rPr>
              <w:rPr>
                <w:rFonts w:ascii="Cambria Math" w:hAnsi="Cambria Math"/>
              </w:rPr>
              <m:t>2</m:t>
            </m:r>
            <m:r>
              <w:rPr>
                <w:rFonts w:ascii="Cambria Math" w:hAnsi="Cambria Math"/>
              </w:rPr>
              <m:t>NH</m:t>
            </m:r>
          </m:e>
          <m:sub>
            <m:r>
              <m:rPr>
                <m:sty m:val="p"/>
              </m:rP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3</m:t>
            </m:r>
            <m:r>
              <w:rPr>
                <w:rFonts w:ascii="Cambria Math" w:hAnsi="Cambria Math"/>
              </w:rPr>
              <m:t>H</m:t>
            </m:r>
          </m:e>
          <m:sub>
            <m:r>
              <m:rPr>
                <m:sty m:val="p"/>
              </m:rPr>
              <w:rPr>
                <w:rFonts w:ascii="Cambria Math" w:hAnsi="Cambria Math"/>
              </w:rPr>
              <m:t>2</m:t>
            </m:r>
          </m:sub>
        </m:sSub>
      </m:oMath>
      <w:r w:rsidR="00E664E4" w:rsidRPr="00F61D8C">
        <w:t xml:space="preserve">  </w:t>
      </w:r>
      <w:r w:rsidR="00E664E4" w:rsidRPr="00F61D8C">
        <w:tab/>
      </w:r>
      <w:r w:rsidR="00E664E4">
        <w:tab/>
      </w:r>
      <w:r w:rsidR="00E664E4">
        <w:tab/>
      </w:r>
      <w:r w:rsidR="00E664E4" w:rsidRPr="00F61D8C">
        <w:tab/>
      </w:r>
      <w:r w:rsidR="00E664E4">
        <w:t>Eq. (3.2.4.</w:t>
      </w:r>
      <w:r w:rsidR="00E664E4" w:rsidRPr="00F61D8C">
        <w:t>6)</w:t>
      </w:r>
    </w:p>
    <w:p w:rsidR="00E664E4" w:rsidRDefault="00E664E4" w:rsidP="00E664E4">
      <w:r w:rsidRPr="009D034F">
        <w:t xml:space="preserve">Figure 3.20 shows a block diagram of Module 4A with the input and output streams labeled. </w:t>
      </w:r>
    </w:p>
    <w:p w:rsidR="00002CAE" w:rsidRDefault="00002CAE" w:rsidP="00002CAE">
      <w:r>
        <w:t>Component mole balances we</w:t>
      </w:r>
      <w:r w:rsidRPr="00F61D8C">
        <w:t xml:space="preserve">re used to model each of the process units in Module 4. </w:t>
      </w:r>
      <w:r>
        <w:t>Ammonia (Stream 32) wa</w:t>
      </w:r>
      <w:r w:rsidRPr="00F61D8C">
        <w:t xml:space="preserve">s fed into the process in excess based the amount of AUC in </w:t>
      </w:r>
      <w:r>
        <w:t>S</w:t>
      </w:r>
      <w:r w:rsidRPr="00F61D8C">
        <w:t xml:space="preserve">tream 30 </w:t>
      </w:r>
      <w:r>
        <w:t xml:space="preserve">that was </w:t>
      </w:r>
      <w:r w:rsidRPr="00F61D8C">
        <w:t xml:space="preserve">fed to the </w:t>
      </w:r>
      <w:proofErr w:type="spellStart"/>
      <w:r w:rsidRPr="00F61D8C">
        <w:t>calciner</w:t>
      </w:r>
      <w:proofErr w:type="spellEnd"/>
      <w:r w:rsidRPr="00F61D8C">
        <w:t xml:space="preserve"> according to parameter</w:t>
      </w:r>
      <w:proofErr w:type="gramStart"/>
      <w:r w:rsidRPr="00F61D8C">
        <w:t xml:space="preserve">, </w:t>
      </w:r>
      <w:proofErr w:type="gramEnd"/>
      <m:oMath>
        <m:sSub>
          <m:sSubPr>
            <m:ctrlPr>
              <w:rPr>
                <w:rFonts w:ascii="Cambria Math" w:hAnsi="Cambria Math"/>
              </w:rPr>
            </m:ctrlPr>
          </m:sSubPr>
          <m:e>
            <m:r>
              <w:rPr>
                <w:rFonts w:ascii="Cambria Math" w:hAnsi="Cambria Math"/>
              </w:rPr>
              <m:t>α</m:t>
            </m:r>
          </m:e>
          <m:sub>
            <m:r>
              <w:rPr>
                <w:rFonts w:ascii="Cambria Math" w:hAnsi="Cambria Math"/>
              </w:rPr>
              <m:t>Mod</m:t>
            </m:r>
            <m:r>
              <m:rPr>
                <m:sty m:val="p"/>
              </m:rPr>
              <w:rPr>
                <w:rFonts w:ascii="Cambria Math" w:hAnsi="Cambria Math"/>
              </w:rPr>
              <m:t>4</m:t>
            </m:r>
            <m:r>
              <w:rPr>
                <w:rFonts w:ascii="Cambria Math" w:hAnsi="Cambria Math"/>
              </w:rPr>
              <m:t>A</m:t>
            </m:r>
          </m:sub>
        </m:sSub>
      </m:oMath>
      <w:r w:rsidRPr="00F61D8C">
        <w:t xml:space="preserve">, as shown in Eq. </w:t>
      </w:r>
      <w:r>
        <w:t>3.2.4.</w:t>
      </w:r>
      <w:r w:rsidRPr="00F61D8C">
        <w:t>7</w:t>
      </w:r>
      <w:r>
        <w:t>, w</w:t>
      </w:r>
      <w:r w:rsidRPr="00F61D8C">
        <w:t xml:space="preserve">here </w:t>
      </w:r>
      <m:oMath>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4</m:t>
            </m:r>
            <m:r>
              <w:rPr>
                <w:rFonts w:ascii="Cambria Math" w:hAnsi="Cambria Math"/>
              </w:rPr>
              <m:t>A</m:t>
            </m:r>
            <m:r>
              <m:rPr>
                <m:sty m:val="p"/>
              </m:rPr>
              <w:rPr>
                <w:rFonts w:ascii="Cambria Math" w:hAnsi="Cambria Math"/>
              </w:rPr>
              <m:t>,</m:t>
            </m:r>
            <m:r>
              <w:rPr>
                <w:rFonts w:ascii="Cambria Math" w:hAnsi="Cambria Math"/>
              </w:rPr>
              <m:t>i</m:t>
            </m:r>
          </m:sub>
        </m:sSub>
      </m:oMath>
      <w:r>
        <w:t xml:space="preserve"> wa</w:t>
      </w:r>
      <w:proofErr w:type="spellStart"/>
      <w:r w:rsidRPr="00F61D8C">
        <w:t>s</w:t>
      </w:r>
      <w:proofErr w:type="spellEnd"/>
      <w:r w:rsidRPr="00F61D8C">
        <w:t xml:space="preserve"> the stoichiometric coefficient of the </w:t>
      </w:r>
      <m:oMath>
        <m:r>
          <w:rPr>
            <w:rFonts w:ascii="Cambria Math" w:hAnsi="Cambria Math"/>
          </w:rPr>
          <m:t>i</m:t>
        </m:r>
      </m:oMath>
      <w:r w:rsidRPr="00F61D8C">
        <w:t xml:space="preserve">-th component of the dissociation reaction and </w:t>
      </w:r>
      <m:oMath>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4</m:t>
            </m:r>
            <m:r>
              <w:rPr>
                <w:rFonts w:ascii="Cambria Math" w:hAnsi="Cambria Math"/>
              </w:rPr>
              <m:t>B</m:t>
            </m:r>
            <m:r>
              <m:rPr>
                <m:sty m:val="p"/>
              </m:rPr>
              <w:rPr>
                <w:rFonts w:ascii="Cambria Math" w:hAnsi="Cambria Math"/>
              </w:rPr>
              <m:t>,</m:t>
            </m:r>
            <m:r>
              <w:rPr>
                <w:rFonts w:ascii="Cambria Math" w:hAnsi="Cambria Math"/>
              </w:rPr>
              <m:t>i</m:t>
            </m:r>
          </m:sub>
        </m:sSub>
      </m:oMath>
      <w:r>
        <w:t xml:space="preserve"> wa</w:t>
      </w:r>
      <w:proofErr w:type="spellStart"/>
      <w:r w:rsidRPr="00F61D8C">
        <w:t>s</w:t>
      </w:r>
      <w:proofErr w:type="spellEnd"/>
      <w:r w:rsidRPr="00F61D8C">
        <w:t xml:space="preserve"> the stoichiometric coefficient of the </w:t>
      </w:r>
      <m:oMath>
        <m:r>
          <w:rPr>
            <w:rFonts w:ascii="Cambria Math" w:hAnsi="Cambria Math"/>
          </w:rPr>
          <m:t>i</m:t>
        </m:r>
      </m:oMath>
      <w:r w:rsidRPr="00F61D8C">
        <w:t>-th component of the conversion of AUC to UO</w:t>
      </w:r>
      <w:r w:rsidRPr="00F61D8C">
        <w:rPr>
          <w:vertAlign w:val="subscript"/>
        </w:rPr>
        <w:t>2</w:t>
      </w:r>
      <w:r w:rsidRPr="00F61D8C">
        <w:t>.</w:t>
      </w:r>
      <w:r>
        <w:t xml:space="preserve"> </w:t>
      </w:r>
      <w:r w:rsidRPr="00F61D8C">
        <w:t>The stoichiometric coefficients are positive for products and negative for reactants.</w:t>
      </w:r>
    </w:p>
    <w:p w:rsidR="00002CAE" w:rsidRPr="00F61D8C" w:rsidRDefault="00002CAE" w:rsidP="00002CAE">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32,3</m:t>
            </m:r>
          </m:sub>
        </m:sSub>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Mod</m:t>
            </m:r>
            <m:r>
              <m:rPr>
                <m:sty m:val="p"/>
              </m:rPr>
              <w:rPr>
                <w:rFonts w:ascii="Cambria Math" w:hAnsi="Cambria Math"/>
              </w:rPr>
              <m:t>4</m:t>
            </m:r>
            <m:r>
              <w:rPr>
                <w:rFonts w:ascii="Cambria Math" w:hAnsi="Cambria Math"/>
              </w:rPr>
              <m:t>A</m:t>
            </m:r>
          </m:sub>
        </m:sSub>
        <m:r>
          <m:rPr>
            <m:sty m:val="p"/>
          </m:rPr>
          <w:rPr>
            <w:rFonts w:ascii="Cambria Math" w:hAnsi="Cambria Math"/>
          </w:rPr>
          <m:t>*</m:t>
        </m:r>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4</m:t>
                    </m:r>
                    <m:r>
                      <w:rPr>
                        <w:rFonts w:ascii="Cambria Math" w:hAnsi="Cambria Math"/>
                      </w:rPr>
                      <m:t>B</m:t>
                    </m:r>
                    <m:r>
                      <m:rPr>
                        <m:sty m:val="p"/>
                      </m:rPr>
                      <w:rPr>
                        <w:rFonts w:ascii="Cambria Math" w:hAnsi="Cambria Math"/>
                      </w:rPr>
                      <m:t>,5</m:t>
                    </m:r>
                  </m:sub>
                </m:sSub>
              </m:num>
              <m:den>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4</m:t>
                    </m:r>
                    <m:r>
                      <w:rPr>
                        <w:rFonts w:ascii="Cambria Math" w:hAnsi="Cambria Math"/>
                      </w:rPr>
                      <m:t>B</m:t>
                    </m:r>
                    <m:r>
                      <m:rPr>
                        <m:sty m:val="p"/>
                      </m:rPr>
                      <w:rPr>
                        <w:rFonts w:ascii="Cambria Math" w:hAnsi="Cambria Math"/>
                      </w:rPr>
                      <m:t>,19</m:t>
                    </m:r>
                  </m:sub>
                </m:sSub>
              </m:den>
            </m:f>
          </m:e>
        </m:d>
        <m:sSub>
          <m:sSubPr>
            <m:ctrlPr>
              <w:rPr>
                <w:rFonts w:ascii="Cambria Math" w:hAnsi="Cambria Math"/>
              </w:rPr>
            </m:ctrlPr>
          </m:sSubPr>
          <m:e>
            <m:r>
              <m:rPr>
                <m:sty m:val="p"/>
              </m:rPr>
              <w:rPr>
                <w:rFonts w:ascii="Cambria Math" w:hAnsi="Cambria Math"/>
              </w:rPr>
              <m:t>*</m:t>
            </m:r>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4</m:t>
                        </m:r>
                        <m:r>
                          <w:rPr>
                            <w:rFonts w:ascii="Cambria Math" w:hAnsi="Cambria Math"/>
                          </w:rPr>
                          <m:t>A</m:t>
                        </m:r>
                        <m:r>
                          <m:rPr>
                            <m:sty m:val="p"/>
                          </m:rPr>
                          <w:rPr>
                            <w:rFonts w:ascii="Cambria Math" w:hAnsi="Cambria Math"/>
                          </w:rPr>
                          <m:t>,3</m:t>
                        </m:r>
                      </m:sub>
                    </m:sSub>
                  </m:num>
                  <m:den>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4</m:t>
                        </m:r>
                        <m:r>
                          <w:rPr>
                            <w:rFonts w:ascii="Cambria Math" w:hAnsi="Cambria Math"/>
                          </w:rPr>
                          <m:t>A</m:t>
                        </m:r>
                        <m:r>
                          <m:rPr>
                            <m:sty m:val="p"/>
                          </m:rPr>
                          <w:rPr>
                            <w:rFonts w:ascii="Cambria Math" w:hAnsi="Cambria Math"/>
                          </w:rPr>
                          <m:t>,5</m:t>
                        </m:r>
                      </m:sub>
                    </m:sSub>
                  </m:den>
                </m:f>
              </m:e>
            </m:d>
            <m:r>
              <w:rPr>
                <w:rFonts w:ascii="Cambria Math" w:hAnsi="Cambria Math"/>
              </w:rPr>
              <m:t>*F</m:t>
            </m:r>
          </m:e>
          <m:sub>
            <m:r>
              <m:rPr>
                <m:sty m:val="p"/>
              </m:rPr>
              <w:rPr>
                <w:rFonts w:ascii="Cambria Math" w:hAnsi="Cambria Math"/>
              </w:rPr>
              <m:t>30,19</m:t>
            </m:r>
          </m:sub>
        </m:sSub>
        <m:r>
          <m:rPr>
            <m:sty m:val="p"/>
          </m:rPr>
          <w:rPr>
            <w:rFonts w:ascii="Cambria Math" w:hAnsi="Cambria Math"/>
          </w:rPr>
          <m:t>=0</m:t>
        </m:r>
      </m:oMath>
      <w:r w:rsidRPr="00F61D8C">
        <w:t xml:space="preserve"> </w:t>
      </w:r>
      <w:r w:rsidRPr="00F61D8C">
        <w:tab/>
      </w:r>
      <w:r>
        <w:tab/>
        <w:t>Eq. (3.2.4.</w:t>
      </w:r>
      <w:r w:rsidRPr="00F61D8C">
        <w:t>7)</w:t>
      </w:r>
    </w:p>
    <w:p w:rsidR="00002CAE" w:rsidRPr="00F61D8C" w:rsidRDefault="00002CAE" w:rsidP="00002CAE"/>
    <w:p w:rsidR="00E664E4" w:rsidRPr="009D034F" w:rsidRDefault="00E664E4" w:rsidP="00E664E4">
      <w:pPr>
        <w:jc w:val="center"/>
      </w:pPr>
      <w:r w:rsidRPr="009D034F">
        <w:object w:dxaOrig="4677" w:dyaOrig="2414">
          <v:shape id="_x0000_i1042" type="#_x0000_t75" style="width:233.85pt;height:120.2pt" o:ole="">
            <v:imagedata r:id="rId61" o:title=""/>
          </v:shape>
          <o:OLEObject Type="Embed" ProgID="Visio.Drawing.11" ShapeID="_x0000_i1042" DrawAspect="Content" ObjectID="_1445525567" r:id="rId62"/>
        </w:object>
      </w:r>
    </w:p>
    <w:p w:rsidR="00E664E4" w:rsidRDefault="00E664E4" w:rsidP="00E664E4">
      <w:pPr>
        <w:jc w:val="center"/>
        <w:rPr>
          <w:b/>
          <w:sz w:val="20"/>
          <w:szCs w:val="20"/>
        </w:rPr>
      </w:pPr>
      <w:r w:rsidRPr="009D034F">
        <w:rPr>
          <w:b/>
          <w:sz w:val="20"/>
          <w:szCs w:val="20"/>
        </w:rPr>
        <w:t xml:space="preserve">Figure 3.20. Block Diagram of the Module 4A </w:t>
      </w:r>
      <w:r w:rsidR="004045DF">
        <w:rPr>
          <w:b/>
          <w:sz w:val="20"/>
          <w:szCs w:val="20"/>
        </w:rPr>
        <w:t>Showing Input and Output Streams</w:t>
      </w:r>
      <w:r w:rsidRPr="009D034F">
        <w:rPr>
          <w:b/>
          <w:sz w:val="20"/>
          <w:szCs w:val="20"/>
        </w:rPr>
        <w:t>.</w:t>
      </w:r>
    </w:p>
    <w:p w:rsidR="00002CAE" w:rsidRPr="00002CAE" w:rsidRDefault="00002CAE" w:rsidP="00002CAE"/>
    <w:p w:rsidR="00E664E4" w:rsidRPr="00F61D8C" w:rsidRDefault="00E664E4" w:rsidP="00E664E4">
      <w:r w:rsidRPr="00F61D8C">
        <w:t xml:space="preserve">The </w:t>
      </w:r>
      <w:proofErr w:type="spellStart"/>
      <w:r w:rsidRPr="00F61D8C">
        <w:t>dissociator</w:t>
      </w:r>
      <w:proofErr w:type="spellEnd"/>
      <w:r w:rsidRPr="00F61D8C">
        <w:t xml:space="preserve"> separate</w:t>
      </w:r>
      <w:r>
        <w:t>d</w:t>
      </w:r>
      <w:r w:rsidRPr="00F61D8C">
        <w:t xml:space="preserve"> the incoming ammonia into nitrogen and hydrogen, as shown in Equations </w:t>
      </w:r>
      <w:r>
        <w:t>3.2.4.</w:t>
      </w:r>
      <w:r w:rsidRPr="00F61D8C">
        <w:t>8</w:t>
      </w:r>
      <w:r>
        <w:t xml:space="preserve"> and 3.2.4.</w:t>
      </w:r>
      <w:r w:rsidRPr="00F61D8C">
        <w:t>9</w:t>
      </w:r>
      <w:r>
        <w:t>, w</w:t>
      </w:r>
      <w:r w:rsidRPr="00F61D8C">
        <w:t xml:space="preserve">here </w:t>
      </w:r>
      <m:oMath>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4</m:t>
            </m:r>
            <m:r>
              <w:rPr>
                <w:rFonts w:ascii="Cambria Math" w:hAnsi="Cambria Math"/>
              </w:rPr>
              <m:t>A</m:t>
            </m:r>
          </m:sub>
        </m:sSub>
      </m:oMath>
      <w:r>
        <w:t xml:space="preserve"> wa</w:t>
      </w:r>
      <w:proofErr w:type="spellStart"/>
      <w:r w:rsidRPr="00F61D8C">
        <w:t>s</w:t>
      </w:r>
      <w:proofErr w:type="spellEnd"/>
      <w:r w:rsidRPr="00F61D8C">
        <w:t xml:space="preserve"> the extent of reaction for the dissociation of ammonia.</w:t>
      </w:r>
      <w:r>
        <w:t xml:space="preserve"> </w:t>
      </w:r>
      <w:r w:rsidRPr="00F61D8C">
        <w:t>These equations assume</w:t>
      </w:r>
      <w:r>
        <w:t>d</w:t>
      </w:r>
      <w:r w:rsidRPr="00F61D8C">
        <w:t xml:space="preserve"> complete conversion</w:t>
      </w:r>
      <w:r>
        <w:t xml:space="preserve"> of ammonia so that no ammonia wa</w:t>
      </w:r>
      <w:r w:rsidRPr="00F61D8C">
        <w:t xml:space="preserve">s in the stream </w:t>
      </w:r>
      <w:r>
        <w:t xml:space="preserve">feeding </w:t>
      </w:r>
      <w:r w:rsidRPr="00F61D8C">
        <w:t xml:space="preserve">the </w:t>
      </w:r>
      <w:proofErr w:type="spellStart"/>
      <w:r w:rsidRPr="00F61D8C">
        <w:t>calciner</w:t>
      </w:r>
      <w:proofErr w:type="spellEnd"/>
      <w:r w:rsidRPr="00F61D8C">
        <w:t>.</w:t>
      </w:r>
    </w:p>
    <w:p w:rsidR="00E664E4" w:rsidRPr="00F61D8C"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32,3</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4</m:t>
                </m:r>
                <m:r>
                  <w:rPr>
                    <w:rFonts w:ascii="Cambria Math" w:hAnsi="Cambria Math"/>
                  </w:rPr>
                  <m:t>A</m:t>
                </m:r>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4</m:t>
                </m:r>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32,3</m:t>
                </m:r>
              </m:sub>
            </m:sSub>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33,2</m:t>
            </m:r>
          </m:sub>
        </m:sSub>
        <m:r>
          <m:rPr>
            <m:sty m:val="p"/>
          </m:rPr>
          <w:rPr>
            <w:rFonts w:ascii="Cambria Math" w:hAnsi="Cambria Math"/>
          </w:rPr>
          <m:t>=0</m:t>
        </m:r>
      </m:oMath>
      <w:r w:rsidR="00E664E4" w:rsidRPr="00F61D8C">
        <w:t xml:space="preserve"> </w:t>
      </w:r>
      <w:r w:rsidR="00E664E4" w:rsidRPr="00F61D8C">
        <w:tab/>
      </w:r>
      <w:r w:rsidR="00E664E4" w:rsidRPr="00F61D8C">
        <w:tab/>
      </w:r>
      <w:r w:rsidR="00E664E4">
        <w:t>Eq. (3.2.4.</w:t>
      </w:r>
      <w:r w:rsidR="00E664E4" w:rsidRPr="00F61D8C">
        <w:t>8)</w:t>
      </w:r>
    </w:p>
    <w:p w:rsidR="00E664E4" w:rsidRPr="00F61D8C"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32,3</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4</m:t>
                </m:r>
                <m:r>
                  <w:rPr>
                    <w:rFonts w:ascii="Cambria Math" w:hAnsi="Cambria Math"/>
                  </w:rPr>
                  <m:t>A</m:t>
                </m:r>
                <m:r>
                  <m:rPr>
                    <m:sty m:val="p"/>
                  </m:rPr>
                  <w:rPr>
                    <w:rFonts w:ascii="Cambria Math" w:hAnsi="Cambria Math"/>
                  </w:rPr>
                  <m:t>,5</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4</m:t>
                </m:r>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32,3</m:t>
                </m:r>
              </m:sub>
            </m:sSub>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33,5</m:t>
            </m:r>
          </m:sub>
        </m:sSub>
        <m:r>
          <m:rPr>
            <m:sty m:val="p"/>
          </m:rPr>
          <w:rPr>
            <w:rFonts w:ascii="Cambria Math" w:hAnsi="Cambria Math"/>
          </w:rPr>
          <m:t>=0</m:t>
        </m:r>
      </m:oMath>
      <w:r w:rsidR="00E664E4" w:rsidRPr="00F61D8C">
        <w:t xml:space="preserve"> </w:t>
      </w:r>
      <w:r w:rsidR="00E664E4" w:rsidRPr="00F61D8C">
        <w:tab/>
      </w:r>
      <w:r w:rsidR="00E664E4" w:rsidRPr="00F61D8C">
        <w:tab/>
      </w:r>
      <w:r w:rsidR="00E664E4">
        <w:t>Eq. (3.2.4.</w:t>
      </w:r>
      <w:r w:rsidR="00E664E4" w:rsidRPr="00F61D8C">
        <w:t>9)</w:t>
      </w:r>
    </w:p>
    <w:p w:rsidR="00E664E4" w:rsidRPr="00D830C5" w:rsidRDefault="00E664E4" w:rsidP="00E664E4"/>
    <w:p w:rsidR="00E664E4" w:rsidRDefault="00E664E4" w:rsidP="00E664E4">
      <w:pPr>
        <w:rPr>
          <w:rFonts w:asciiTheme="majorHAnsi" w:hAnsiTheme="majorHAnsi"/>
          <w:b/>
          <w:i/>
        </w:rPr>
      </w:pPr>
      <w:r>
        <w:rPr>
          <w:rFonts w:asciiTheme="majorHAnsi" w:hAnsiTheme="majorHAnsi"/>
          <w:b/>
          <w:i/>
        </w:rPr>
        <w:t>3.2.4</w:t>
      </w:r>
      <w:r w:rsidRPr="00C26992">
        <w:rPr>
          <w:rFonts w:asciiTheme="majorHAnsi" w:hAnsiTheme="majorHAnsi"/>
          <w:b/>
          <w:i/>
        </w:rPr>
        <w:t>.</w:t>
      </w:r>
      <w:r>
        <w:rPr>
          <w:rFonts w:asciiTheme="majorHAnsi" w:hAnsiTheme="majorHAnsi"/>
          <w:b/>
          <w:i/>
        </w:rPr>
        <w:t>2 Module 4B</w:t>
      </w:r>
    </w:p>
    <w:p w:rsidR="00E664E4" w:rsidRPr="00FF4EC3" w:rsidRDefault="00E664E4" w:rsidP="00E664E4">
      <w:r w:rsidRPr="00FF4EC3">
        <w:t>Module 4B encompasse</w:t>
      </w:r>
      <w:r>
        <w:t>d</w:t>
      </w:r>
      <w:r w:rsidRPr="00FF4EC3">
        <w:t xml:space="preserve"> the </w:t>
      </w:r>
      <w:proofErr w:type="spellStart"/>
      <w:r w:rsidRPr="00FF4EC3">
        <w:t>calciner</w:t>
      </w:r>
      <w:proofErr w:type="spellEnd"/>
      <w:r w:rsidRPr="00FF4EC3">
        <w:t xml:space="preserve"> and associated sep</w:t>
      </w:r>
      <w:r>
        <w:t>arator. The inputs to Module 4B were</w:t>
      </w:r>
      <w:r w:rsidRPr="00FF4EC3">
        <w:t xml:space="preserve"> the output of Module 3 and </w:t>
      </w:r>
      <w:r>
        <w:t>the output of Module 4A. There we</w:t>
      </w:r>
      <w:r w:rsidRPr="00FF4EC3">
        <w:t xml:space="preserve">re two outputs from Module 4B, </w:t>
      </w:r>
      <w:r>
        <w:t xml:space="preserve">(1) </w:t>
      </w:r>
      <w:r w:rsidRPr="00FF4EC3">
        <w:t>the UO</w:t>
      </w:r>
      <w:r w:rsidRPr="00FF4EC3">
        <w:rPr>
          <w:vertAlign w:val="subscript"/>
        </w:rPr>
        <w:t>2</w:t>
      </w:r>
      <w:r w:rsidRPr="00FF4EC3">
        <w:t xml:space="preserve"> solid product and </w:t>
      </w:r>
      <w:r>
        <w:t xml:space="preserve">(2) </w:t>
      </w:r>
      <w:r w:rsidRPr="00FF4EC3">
        <w:t xml:space="preserve">the off-gas which </w:t>
      </w:r>
      <w:r>
        <w:t xml:space="preserve">was sent </w:t>
      </w:r>
      <w:r w:rsidRPr="00FF4EC3">
        <w:t xml:space="preserve">to waste after mixing with additional off-gas in Module 4C. The reaction that occurs in Module 4B is shown in Eq. </w:t>
      </w:r>
      <w:r>
        <w:t>3.2.4.</w:t>
      </w:r>
      <w:r w:rsidRPr="00FF4EC3">
        <w:t>2.</w:t>
      </w:r>
      <w:r w:rsidR="001E169B">
        <w:t xml:space="preserve"> </w:t>
      </w:r>
      <w:r w:rsidR="001E169B" w:rsidRPr="009D034F">
        <w:t xml:space="preserve">Figure 3.21 shows a block diagram of Module 4B with the input and output streams labeled. </w:t>
      </w:r>
    </w:p>
    <w:p w:rsidR="00E664E4" w:rsidRDefault="00C851DF" w:rsidP="00E664E4">
      <w:pPr>
        <w:jc w:val="right"/>
      </w:pPr>
      <m:oMath>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NH</m:t>
                    </m:r>
                  </m:e>
                  <m:sub>
                    <m:r>
                      <m:rPr>
                        <m:sty m:val="p"/>
                      </m:rPr>
                      <w:rPr>
                        <w:rFonts w:ascii="Cambria Math" w:hAnsi="Cambria Math"/>
                      </w:rPr>
                      <m:t>4</m:t>
                    </m:r>
                  </m:sub>
                </m:sSub>
              </m:e>
            </m:d>
          </m:e>
          <m:sub>
            <m:r>
              <m:rPr>
                <m:sty m:val="p"/>
              </m:rPr>
              <w:rPr>
                <w:rFonts w:ascii="Cambria Math" w:hAnsi="Cambria Math"/>
              </w:rPr>
              <m:t>4</m:t>
            </m:r>
          </m:sub>
        </m:sSub>
        <m:sSub>
          <m:sSubPr>
            <m:ctrlPr>
              <w:rPr>
                <w:rFonts w:ascii="Cambria Math" w:hAnsi="Cambria Math"/>
              </w:rPr>
            </m:ctrlPr>
          </m:sSubPr>
          <m:e>
            <m:r>
              <w:rPr>
                <w:rFonts w:ascii="Cambria Math" w:hAnsi="Cambria Math"/>
              </w:rPr>
              <m:t>UO</m:t>
            </m:r>
          </m:e>
          <m:sub>
            <m:r>
              <m:rPr>
                <m:sty m:val="p"/>
              </m:rPr>
              <w:rPr>
                <w:rFonts w:ascii="Cambria Math" w:hAnsi="Cambria Math"/>
              </w:rPr>
              <m:t>2</m:t>
            </m:r>
          </m:sub>
        </m:sSub>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CO</m:t>
                    </m:r>
                  </m:e>
                  <m:sub>
                    <m:r>
                      <m:rPr>
                        <m:sty m:val="p"/>
                      </m:rPr>
                      <w:rPr>
                        <w:rFonts w:ascii="Cambria Math" w:hAnsi="Cambria Math"/>
                      </w:rPr>
                      <m:t>3</m:t>
                    </m:r>
                  </m:sub>
                </m:sSub>
              </m:e>
            </m:d>
          </m:e>
          <m:sub>
            <m:r>
              <m:rPr>
                <m:sty m:val="p"/>
              </m:rP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H</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UO</m:t>
            </m:r>
          </m:e>
          <m:sub>
            <m:r>
              <m:rPr>
                <m:sty m:val="p"/>
              </m:rPr>
              <w:rPr>
                <w:rFonts w:ascii="Cambria Math" w:hAnsi="Cambria Math"/>
              </w:rPr>
              <m:t>2</m:t>
            </m:r>
          </m:sub>
        </m:sSub>
        <m:r>
          <m:rPr>
            <m:sty m:val="p"/>
          </m:rPr>
          <w:rPr>
            <w:rFonts w:ascii="Cambria Math" w:hAnsi="Cambria Math"/>
          </w:rPr>
          <m:t>+3</m:t>
        </m:r>
        <m:sSub>
          <m:sSubPr>
            <m:ctrlPr>
              <w:rPr>
                <w:rFonts w:ascii="Cambria Math" w:hAnsi="Cambria Math"/>
              </w:rPr>
            </m:ctrlPr>
          </m:sSubPr>
          <m:e>
            <m:r>
              <w:rPr>
                <w:rFonts w:ascii="Cambria Math" w:hAnsi="Cambria Math"/>
              </w:rPr>
              <m:t>H</m:t>
            </m:r>
          </m:e>
          <m:sub>
            <m:r>
              <m:rPr>
                <m:sty m:val="p"/>
              </m:rPr>
              <w:rPr>
                <w:rFonts w:ascii="Cambria Math" w:hAnsi="Cambria Math"/>
              </w:rPr>
              <m:t>2</m:t>
            </m:r>
          </m:sub>
        </m:sSub>
        <m:r>
          <w:rPr>
            <w:rFonts w:ascii="Cambria Math" w:hAnsi="Cambria Math"/>
          </w:rPr>
          <m:t>O</m:t>
        </m:r>
        <m:r>
          <m:rPr>
            <m:sty m:val="p"/>
          </m:rPr>
          <w:rPr>
            <w:rFonts w:ascii="Cambria Math" w:hAnsi="Cambria Math"/>
          </w:rPr>
          <m:t>+4</m:t>
        </m:r>
        <m:sSub>
          <m:sSubPr>
            <m:ctrlPr>
              <w:rPr>
                <w:rFonts w:ascii="Cambria Math" w:hAnsi="Cambria Math"/>
              </w:rPr>
            </m:ctrlPr>
          </m:sSubPr>
          <m:e>
            <m:r>
              <w:rPr>
                <w:rFonts w:ascii="Cambria Math" w:hAnsi="Cambria Math"/>
              </w:rPr>
              <m:t>NH</m:t>
            </m:r>
          </m:e>
          <m:sub>
            <m:r>
              <m:rPr>
                <m:sty m:val="p"/>
              </m:rPr>
              <w:rPr>
                <w:rFonts w:ascii="Cambria Math" w:hAnsi="Cambria Math"/>
              </w:rPr>
              <m:t>3</m:t>
            </m:r>
          </m:sub>
        </m:sSub>
        <m:r>
          <m:rPr>
            <m:sty m:val="p"/>
          </m:rPr>
          <w:rPr>
            <w:rFonts w:ascii="Cambria Math" w:hAnsi="Cambria Math"/>
          </w:rPr>
          <m:t>+3</m:t>
        </m:r>
        <m:sSub>
          <m:sSubPr>
            <m:ctrlPr>
              <w:rPr>
                <w:rFonts w:ascii="Cambria Math" w:hAnsi="Cambria Math"/>
              </w:rPr>
            </m:ctrlPr>
          </m:sSubPr>
          <m:e>
            <m:r>
              <w:rPr>
                <w:rFonts w:ascii="Cambria Math" w:hAnsi="Cambria Math"/>
              </w:rPr>
              <m:t>CO</m:t>
            </m:r>
          </m:e>
          <m:sub>
            <m:r>
              <m:rPr>
                <m:sty m:val="p"/>
              </m:rPr>
              <w:rPr>
                <w:rFonts w:ascii="Cambria Math" w:hAnsi="Cambria Math"/>
              </w:rPr>
              <m:t>2</m:t>
            </m:r>
          </m:sub>
        </m:sSub>
      </m:oMath>
      <w:r w:rsidR="00E664E4" w:rsidRPr="00FF4EC3">
        <w:t xml:space="preserve"> </w:t>
      </w:r>
      <w:r w:rsidR="00E664E4" w:rsidRPr="00FF4EC3">
        <w:tab/>
      </w:r>
      <w:r w:rsidR="00E664E4" w:rsidRPr="00FF4EC3">
        <w:tab/>
      </w:r>
      <w:r w:rsidR="00E664E4">
        <w:t>Eq. (3.2.4.</w:t>
      </w:r>
      <w:r w:rsidR="00E664E4" w:rsidRPr="00FF4EC3">
        <w:t>2)</w:t>
      </w:r>
    </w:p>
    <w:p w:rsidR="006E7422" w:rsidRPr="00FF4EC3" w:rsidRDefault="006E7422" w:rsidP="006E7422">
      <w:r w:rsidRPr="00FF4EC3">
        <w:t xml:space="preserve">Equations </w:t>
      </w:r>
      <w:r>
        <w:t>3.2.4.</w:t>
      </w:r>
      <w:r w:rsidRPr="00FF4EC3">
        <w:t>10–</w:t>
      </w:r>
      <w:r>
        <w:t>3.2.4.</w:t>
      </w:r>
      <w:r w:rsidRPr="00FF4EC3">
        <w:t>17 describe to the conversion of AUC to UO</w:t>
      </w:r>
      <w:r w:rsidRPr="00FF4EC3">
        <w:rPr>
          <w:vertAlign w:val="subscript"/>
        </w:rPr>
        <w:t>2</w:t>
      </w:r>
      <w:r>
        <w:t xml:space="preserve"> using hydrogen, w</w:t>
      </w:r>
      <w:r w:rsidRPr="00FF4EC3">
        <w:t xml:space="preserve">here </w:t>
      </w:r>
      <m:oMath>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4</m:t>
            </m:r>
            <m:r>
              <w:rPr>
                <w:rFonts w:ascii="Cambria Math" w:hAnsi="Cambria Math"/>
              </w:rPr>
              <m:t>B</m:t>
            </m:r>
          </m:sub>
        </m:sSub>
      </m:oMath>
      <w:r>
        <w:t xml:space="preserve"> wa</w:t>
      </w:r>
      <w:proofErr w:type="spellStart"/>
      <w:r w:rsidRPr="00FF4EC3">
        <w:t>s</w:t>
      </w:r>
      <w:proofErr w:type="spellEnd"/>
      <w:r w:rsidRPr="00FF4EC3">
        <w:t xml:space="preserve"> the extent of reaction for the conversion of AUC to UO</w:t>
      </w:r>
      <w:r w:rsidRPr="00FF4EC3">
        <w:rPr>
          <w:vertAlign w:val="subscript"/>
        </w:rPr>
        <w:t>2</w:t>
      </w:r>
      <w:r w:rsidRPr="00FF4EC3">
        <w:t>.</w:t>
      </w:r>
    </w:p>
    <w:p w:rsidR="006E7422" w:rsidRPr="00FF4EC3" w:rsidRDefault="00C851DF" w:rsidP="006E7422">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30,1</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4</m:t>
                </m:r>
                <m:r>
                  <w:rPr>
                    <w:rFonts w:ascii="Cambria Math" w:hAnsi="Cambria Math"/>
                  </w:rPr>
                  <m:t>B</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4</m:t>
                </m:r>
                <m:r>
                  <w:rPr>
                    <w:rFonts w:ascii="Cambria Math" w:hAnsi="Cambria Math"/>
                  </w:rPr>
                  <m:t>B</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30,19</m:t>
                </m:r>
              </m:sub>
            </m:sSub>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34,1</m:t>
            </m:r>
          </m:sub>
        </m:sSub>
        <m:r>
          <m:rPr>
            <m:sty m:val="p"/>
          </m:rPr>
          <w:rPr>
            <w:rFonts w:ascii="Cambria Math" w:hAnsi="Cambria Math"/>
          </w:rPr>
          <m:t>=0</m:t>
        </m:r>
      </m:oMath>
      <w:r w:rsidR="006E7422" w:rsidRPr="00FF4EC3">
        <w:t xml:space="preserve"> </w:t>
      </w:r>
      <w:r w:rsidR="006E7422" w:rsidRPr="00FF4EC3">
        <w:tab/>
      </w:r>
      <w:r w:rsidR="006E7422" w:rsidRPr="00FF4EC3">
        <w:tab/>
      </w:r>
      <w:r w:rsidR="006E7422">
        <w:t>Eq. (3.2.4.</w:t>
      </w:r>
      <w:r w:rsidR="006E7422" w:rsidRPr="00FF4EC3">
        <w:t>10)</w:t>
      </w:r>
    </w:p>
    <w:p w:rsidR="006E7422" w:rsidRPr="00FF4EC3" w:rsidRDefault="00C851DF" w:rsidP="006E7422">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33,2</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4</m:t>
                </m:r>
                <m:r>
                  <w:rPr>
                    <w:rFonts w:ascii="Cambria Math" w:hAnsi="Cambria Math"/>
                  </w:rPr>
                  <m:t>B</m:t>
                </m:r>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4</m:t>
                </m:r>
                <m:r>
                  <w:rPr>
                    <w:rFonts w:ascii="Cambria Math" w:hAnsi="Cambria Math"/>
                  </w:rPr>
                  <m:t>B</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30,19</m:t>
                </m:r>
              </m:sub>
            </m:sSub>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34,2</m:t>
            </m:r>
          </m:sub>
        </m:sSub>
        <m:r>
          <m:rPr>
            <m:sty m:val="p"/>
          </m:rPr>
          <w:rPr>
            <w:rFonts w:ascii="Cambria Math" w:hAnsi="Cambria Math"/>
          </w:rPr>
          <m:t>=0</m:t>
        </m:r>
      </m:oMath>
      <w:r w:rsidR="006E7422" w:rsidRPr="00FF4EC3">
        <w:t xml:space="preserve"> </w:t>
      </w:r>
      <w:r w:rsidR="006E7422" w:rsidRPr="00FF4EC3">
        <w:tab/>
      </w:r>
      <w:r w:rsidR="006E7422" w:rsidRPr="00FF4EC3">
        <w:tab/>
      </w:r>
      <w:r w:rsidR="006E7422">
        <w:t>Eq. (3.2.4.</w:t>
      </w:r>
      <w:r w:rsidR="006E7422" w:rsidRPr="00FF4EC3">
        <w:t>11)</w:t>
      </w:r>
    </w:p>
    <w:p w:rsidR="006E7422" w:rsidRPr="00FF4EC3" w:rsidRDefault="00C851DF" w:rsidP="006E7422">
      <w:pPr>
        <w:jc w:val="right"/>
      </w:pPr>
      <m:oMath>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4</m:t>
                </m:r>
                <m:r>
                  <w:rPr>
                    <w:rFonts w:ascii="Cambria Math" w:hAnsi="Cambria Math"/>
                  </w:rPr>
                  <m:t>B</m:t>
                </m:r>
                <m:r>
                  <m:rPr>
                    <m:sty m:val="p"/>
                  </m:rP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4</m:t>
                </m:r>
                <m:r>
                  <w:rPr>
                    <w:rFonts w:ascii="Cambria Math" w:hAnsi="Cambria Math"/>
                  </w:rPr>
                  <m:t>B</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30,19</m:t>
                </m:r>
              </m:sub>
            </m:sSub>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34,3</m:t>
            </m:r>
          </m:sub>
        </m:sSub>
        <m:r>
          <m:rPr>
            <m:sty m:val="p"/>
          </m:rPr>
          <w:rPr>
            <w:rFonts w:ascii="Cambria Math" w:hAnsi="Cambria Math"/>
          </w:rPr>
          <m:t>=0</m:t>
        </m:r>
      </m:oMath>
      <w:r w:rsidR="006E7422" w:rsidRPr="00FF4EC3">
        <w:t xml:space="preserve"> </w:t>
      </w:r>
      <w:r w:rsidR="006E7422" w:rsidRPr="00FF4EC3">
        <w:tab/>
      </w:r>
      <w:r w:rsidR="006E7422" w:rsidRPr="00FF4EC3">
        <w:tab/>
      </w:r>
      <w:r w:rsidR="006E7422" w:rsidRPr="00FF4EC3">
        <w:tab/>
      </w:r>
      <w:r w:rsidR="006E7422">
        <w:t>Eq. (3.2.4.</w:t>
      </w:r>
      <w:r w:rsidR="006E7422" w:rsidRPr="00FF4EC3">
        <w:t>12)</w:t>
      </w:r>
    </w:p>
    <w:p w:rsidR="006E7422" w:rsidRPr="00FF4EC3" w:rsidRDefault="00C851DF" w:rsidP="006E7422">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33,5</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4</m:t>
                </m:r>
                <m:r>
                  <w:rPr>
                    <w:rFonts w:ascii="Cambria Math" w:hAnsi="Cambria Math"/>
                  </w:rPr>
                  <m:t>B</m:t>
                </m:r>
                <m:r>
                  <m:rPr>
                    <m:sty m:val="p"/>
                  </m:rPr>
                  <w:rPr>
                    <w:rFonts w:ascii="Cambria Math" w:hAnsi="Cambria Math"/>
                  </w:rPr>
                  <m:t>,5</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4</m:t>
                </m:r>
                <m:r>
                  <w:rPr>
                    <w:rFonts w:ascii="Cambria Math" w:hAnsi="Cambria Math"/>
                  </w:rPr>
                  <m:t>B</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30,19</m:t>
                </m:r>
              </m:sub>
            </m:sSub>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34,5</m:t>
            </m:r>
          </m:sub>
        </m:sSub>
        <m:r>
          <m:rPr>
            <m:sty m:val="p"/>
          </m:rPr>
          <w:rPr>
            <w:rFonts w:ascii="Cambria Math" w:hAnsi="Cambria Math"/>
          </w:rPr>
          <m:t>=0</m:t>
        </m:r>
      </m:oMath>
      <w:r w:rsidR="006E7422" w:rsidRPr="00FF4EC3">
        <w:t xml:space="preserve"> </w:t>
      </w:r>
      <w:r w:rsidR="006E7422" w:rsidRPr="00FF4EC3">
        <w:tab/>
      </w:r>
      <w:r w:rsidR="006E7422" w:rsidRPr="00FF4EC3">
        <w:tab/>
      </w:r>
      <w:r w:rsidR="006E7422">
        <w:t>Eq. (3.2.4.</w:t>
      </w:r>
      <w:r w:rsidR="006E7422" w:rsidRPr="00FF4EC3">
        <w:t>13)</w:t>
      </w:r>
    </w:p>
    <w:p w:rsidR="00E664E4" w:rsidRPr="009D034F" w:rsidRDefault="001E169B" w:rsidP="00E664E4">
      <w:pPr>
        <w:jc w:val="center"/>
      </w:pPr>
      <w:r w:rsidRPr="009D034F">
        <w:object w:dxaOrig="4606" w:dyaOrig="2804">
          <v:shape id="_x0000_i1043" type="#_x0000_t75" style="width:214.7pt;height:130.8pt" o:ole="">
            <v:imagedata r:id="rId63" o:title=""/>
          </v:shape>
          <o:OLEObject Type="Embed" ProgID="Visio.Drawing.11" ShapeID="_x0000_i1043" DrawAspect="Content" ObjectID="_1445525568" r:id="rId64"/>
        </w:object>
      </w:r>
    </w:p>
    <w:p w:rsidR="00E664E4" w:rsidRDefault="00E664E4" w:rsidP="00E664E4">
      <w:pPr>
        <w:jc w:val="center"/>
        <w:rPr>
          <w:b/>
          <w:sz w:val="20"/>
          <w:szCs w:val="20"/>
        </w:rPr>
      </w:pPr>
      <w:r w:rsidRPr="009D034F">
        <w:rPr>
          <w:b/>
          <w:sz w:val="20"/>
          <w:szCs w:val="20"/>
        </w:rPr>
        <w:t xml:space="preserve">Figure 3.21. Block Diagram of the Module 4B </w:t>
      </w:r>
      <w:r w:rsidR="004045DF">
        <w:rPr>
          <w:b/>
          <w:sz w:val="20"/>
          <w:szCs w:val="20"/>
        </w:rPr>
        <w:t>Showing Input and Output Streams</w:t>
      </w:r>
      <w:r w:rsidRPr="009D034F">
        <w:rPr>
          <w:b/>
          <w:sz w:val="20"/>
          <w:szCs w:val="20"/>
        </w:rPr>
        <w:t>.</w:t>
      </w:r>
    </w:p>
    <w:p w:rsidR="006E7422" w:rsidRPr="006E7422" w:rsidRDefault="006E7422" w:rsidP="006E7422"/>
    <w:p w:rsidR="00002CAE" w:rsidRPr="00FF4EC3" w:rsidRDefault="00002CAE" w:rsidP="00002CAE">
      <w:pPr>
        <w:jc w:val="right"/>
      </w:pPr>
      <m:oMath>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4</m:t>
                </m:r>
                <m:r>
                  <w:rPr>
                    <w:rFonts w:ascii="Cambria Math" w:hAnsi="Cambria Math"/>
                  </w:rPr>
                  <m:t>B</m:t>
                </m:r>
                <m:r>
                  <m:rPr>
                    <m:sty m:val="p"/>
                  </m:rPr>
                  <w:rPr>
                    <w:rFonts w:ascii="Cambria Math" w:hAnsi="Cambria Math"/>
                  </w:rPr>
                  <m:t>,8</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4</m:t>
                </m:r>
                <m:r>
                  <w:rPr>
                    <w:rFonts w:ascii="Cambria Math" w:hAnsi="Cambria Math"/>
                  </w:rPr>
                  <m:t>B</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30,19</m:t>
                </m:r>
              </m:sub>
            </m:sSub>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34,8</m:t>
            </m:r>
          </m:sub>
        </m:sSub>
        <m:r>
          <m:rPr>
            <m:sty m:val="p"/>
          </m:rPr>
          <w:rPr>
            <w:rFonts w:ascii="Cambria Math" w:hAnsi="Cambria Math"/>
          </w:rPr>
          <m:t>=0</m:t>
        </m:r>
      </m:oMath>
      <w:r w:rsidRPr="00FF4EC3">
        <w:t xml:space="preserve"> </w:t>
      </w:r>
      <w:r w:rsidRPr="00FF4EC3">
        <w:tab/>
      </w:r>
      <w:r w:rsidRPr="00FF4EC3">
        <w:tab/>
      </w:r>
      <w:r w:rsidRPr="00FF4EC3">
        <w:tab/>
      </w:r>
      <w:r>
        <w:t>Eq. (3.2.4.</w:t>
      </w:r>
      <w:r w:rsidRPr="00FF4EC3">
        <w:t>14)</w:t>
      </w:r>
    </w:p>
    <w:p w:rsidR="006E7422" w:rsidRPr="00FF4EC3" w:rsidRDefault="00C851DF" w:rsidP="006E7422">
      <w:pPr>
        <w:jc w:val="right"/>
      </w:pPr>
      <m:oMath>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4</m:t>
                </m:r>
                <m:r>
                  <w:rPr>
                    <w:rFonts w:ascii="Cambria Math" w:hAnsi="Cambria Math"/>
                  </w:rPr>
                  <m:t>B</m:t>
                </m:r>
                <m:r>
                  <m:rPr>
                    <m:sty m:val="p"/>
                  </m:rPr>
                  <w:rPr>
                    <w:rFonts w:ascii="Cambria Math" w:hAnsi="Cambria Math"/>
                  </w:rPr>
                  <m:t>,17</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4</m:t>
                </m:r>
                <m:r>
                  <w:rPr>
                    <w:rFonts w:ascii="Cambria Math" w:hAnsi="Cambria Math"/>
                  </w:rPr>
                  <m:t>B</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30,19</m:t>
                </m:r>
              </m:sub>
            </m:sSub>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34,17</m:t>
            </m:r>
          </m:sub>
        </m:sSub>
        <m:r>
          <m:rPr>
            <m:sty m:val="p"/>
          </m:rPr>
          <w:rPr>
            <w:rFonts w:ascii="Cambria Math" w:hAnsi="Cambria Math"/>
          </w:rPr>
          <m:t>=0</m:t>
        </m:r>
      </m:oMath>
      <w:r w:rsidR="006E7422" w:rsidRPr="00FF4EC3">
        <w:t xml:space="preserve"> </w:t>
      </w:r>
      <w:r w:rsidR="006E7422" w:rsidRPr="00FF4EC3">
        <w:tab/>
      </w:r>
      <w:r w:rsidR="006E7422" w:rsidRPr="00FF4EC3">
        <w:tab/>
      </w:r>
      <w:r w:rsidR="006E7422" w:rsidRPr="00FF4EC3">
        <w:tab/>
      </w:r>
      <w:r w:rsidR="006E7422">
        <w:t>Eq. (3.2.4.</w:t>
      </w:r>
      <w:r w:rsidR="006E7422" w:rsidRPr="00FF4EC3">
        <w:t>15)</w:t>
      </w:r>
    </w:p>
    <w:p w:rsidR="006E7422" w:rsidRPr="00FF4EC3" w:rsidRDefault="00C851DF" w:rsidP="006E7422">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30,18</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4</m:t>
                </m:r>
                <m:r>
                  <w:rPr>
                    <w:rFonts w:ascii="Cambria Math" w:hAnsi="Cambria Math"/>
                  </w:rPr>
                  <m:t>B</m:t>
                </m:r>
                <m:r>
                  <m:rPr>
                    <m:sty m:val="p"/>
                  </m:rPr>
                  <w:rPr>
                    <w:rFonts w:ascii="Cambria Math" w:hAnsi="Cambria Math"/>
                  </w:rPr>
                  <m:t>,18</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4</m:t>
                </m:r>
                <m:r>
                  <w:rPr>
                    <w:rFonts w:ascii="Cambria Math" w:hAnsi="Cambria Math"/>
                  </w:rPr>
                  <m:t>B</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30,19</m:t>
                </m:r>
              </m:sub>
            </m:sSub>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34,18</m:t>
            </m:r>
          </m:sub>
        </m:sSub>
        <m:r>
          <m:rPr>
            <m:sty m:val="p"/>
          </m:rPr>
          <w:rPr>
            <w:rFonts w:ascii="Cambria Math" w:hAnsi="Cambria Math"/>
          </w:rPr>
          <m:t>=0</m:t>
        </m:r>
      </m:oMath>
      <w:r w:rsidR="006E7422" w:rsidRPr="00FF4EC3">
        <w:t xml:space="preserve"> </w:t>
      </w:r>
      <w:r w:rsidR="006E7422" w:rsidRPr="00FF4EC3">
        <w:tab/>
      </w:r>
      <w:r w:rsidR="006E7422" w:rsidRPr="00FF4EC3">
        <w:tab/>
      </w:r>
      <w:r w:rsidR="006E7422">
        <w:t>Eq. (3.2.4.</w:t>
      </w:r>
      <w:r w:rsidR="006E7422" w:rsidRPr="00FF4EC3">
        <w:t>16)</w:t>
      </w:r>
    </w:p>
    <w:p w:rsidR="006E7422" w:rsidRPr="00FF4EC3" w:rsidRDefault="00C851DF" w:rsidP="006E7422">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30,19</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4</m:t>
                </m:r>
                <m:r>
                  <w:rPr>
                    <w:rFonts w:ascii="Cambria Math" w:hAnsi="Cambria Math"/>
                  </w:rPr>
                  <m:t>B</m:t>
                </m:r>
                <m:r>
                  <m:rPr>
                    <m:sty m:val="p"/>
                  </m:rPr>
                  <w:rPr>
                    <w:rFonts w:ascii="Cambria Math" w:hAnsi="Cambria Math"/>
                  </w:rPr>
                  <m:t>,19</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4</m:t>
                </m:r>
                <m:r>
                  <w:rPr>
                    <w:rFonts w:ascii="Cambria Math" w:hAnsi="Cambria Math"/>
                  </w:rPr>
                  <m:t>B</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30,19</m:t>
                </m:r>
              </m:sub>
            </m:sSub>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34,19</m:t>
            </m:r>
          </m:sub>
        </m:sSub>
        <m:r>
          <m:rPr>
            <m:sty m:val="p"/>
          </m:rPr>
          <w:rPr>
            <w:rFonts w:ascii="Cambria Math" w:hAnsi="Cambria Math"/>
          </w:rPr>
          <m:t>=0</m:t>
        </m:r>
      </m:oMath>
      <w:r w:rsidR="006E7422" w:rsidRPr="00FF4EC3">
        <w:t xml:space="preserve"> </w:t>
      </w:r>
      <w:r w:rsidR="006E7422" w:rsidRPr="00FF4EC3">
        <w:tab/>
      </w:r>
      <w:r w:rsidR="006E7422" w:rsidRPr="00FF4EC3">
        <w:tab/>
      </w:r>
      <w:r w:rsidR="006E7422">
        <w:t>Eq. (3.2.4.</w:t>
      </w:r>
      <w:r w:rsidR="006E7422" w:rsidRPr="00FF4EC3">
        <w:t>17)</w:t>
      </w:r>
    </w:p>
    <w:p w:rsidR="00E664E4" w:rsidRPr="00FF4EC3" w:rsidRDefault="00E664E4" w:rsidP="00E664E4">
      <w:r>
        <w:t>It wa</w:t>
      </w:r>
      <w:r w:rsidRPr="00FF4EC3">
        <w:t xml:space="preserve">s assumed that all solid components </w:t>
      </w:r>
      <w:r>
        <w:t>were sent to S</w:t>
      </w:r>
      <w:r w:rsidRPr="00FF4EC3">
        <w:t>tream 35 and that all other components le</w:t>
      </w:r>
      <w:r>
        <w:t>ft</w:t>
      </w:r>
      <w:r w:rsidR="006E7422">
        <w:t xml:space="preserve"> this </w:t>
      </w:r>
      <w:r w:rsidRPr="00FF4EC3">
        <w:t>sub</w:t>
      </w:r>
      <w:r>
        <w:noBreakHyphen/>
      </w:r>
      <w:r w:rsidRPr="00FF4EC3">
        <w:t xml:space="preserve">module as waste according to </w:t>
      </w:r>
      <w:proofErr w:type="spellStart"/>
      <w:r w:rsidRPr="00FF4EC3">
        <w:t>Eqs</w:t>
      </w:r>
      <w:proofErr w:type="spellEnd"/>
      <w:r w:rsidRPr="00FF4EC3">
        <w:t xml:space="preserve">. </w:t>
      </w:r>
      <w:r>
        <w:t>3.2.4.</w:t>
      </w:r>
      <w:r w:rsidRPr="00FF4EC3">
        <w:t>18–</w:t>
      </w:r>
      <w:r>
        <w:t>3.2.</w:t>
      </w:r>
      <w:r w:rsidR="00BE36F0">
        <w:t>4.2</w:t>
      </w:r>
      <w:r w:rsidR="00B47812">
        <w:t>5</w:t>
      </w:r>
      <w:r w:rsidRPr="00FF4EC3">
        <w:t>.</w:t>
      </w:r>
    </w:p>
    <w:p w:rsidR="00E664E4" w:rsidRPr="00FF4EC3"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34,17</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35,17</m:t>
            </m:r>
          </m:sub>
        </m:sSub>
        <m:r>
          <m:rPr>
            <m:sty m:val="p"/>
          </m:rPr>
          <w:rPr>
            <w:rFonts w:ascii="Cambria Math" w:hAnsi="Cambria Math"/>
          </w:rPr>
          <m:t>=0</m:t>
        </m:r>
      </m:oMath>
      <w:r w:rsidR="00E664E4" w:rsidRPr="00FF4EC3">
        <w:t xml:space="preserve"> </w:t>
      </w:r>
      <w:r w:rsidR="00E664E4" w:rsidRPr="00FF4EC3">
        <w:tab/>
      </w:r>
      <w:r w:rsidR="00E664E4" w:rsidRPr="00FF4EC3">
        <w:tab/>
      </w:r>
      <w:r w:rsidR="00E664E4" w:rsidRPr="00FF4EC3">
        <w:tab/>
      </w:r>
      <w:r w:rsidR="00E664E4" w:rsidRPr="00FF4EC3">
        <w:tab/>
      </w:r>
      <w:r w:rsidR="00E664E4">
        <w:t>Eq. (3.2.4.</w:t>
      </w:r>
      <w:r w:rsidR="00E664E4" w:rsidRPr="00FF4EC3">
        <w:t>18)</w:t>
      </w:r>
    </w:p>
    <w:p w:rsidR="00E664E4" w:rsidRPr="00FF4EC3"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34,18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35,18</m:t>
            </m:r>
          </m:sub>
        </m:sSub>
        <m:r>
          <m:rPr>
            <m:sty m:val="p"/>
          </m:rPr>
          <w:rPr>
            <w:rFonts w:ascii="Cambria Math" w:hAnsi="Cambria Math"/>
          </w:rPr>
          <m:t>=0</m:t>
        </m:r>
      </m:oMath>
      <w:r w:rsidR="00E664E4" w:rsidRPr="00FF4EC3">
        <w:t xml:space="preserve"> </w:t>
      </w:r>
      <w:r w:rsidR="00E664E4" w:rsidRPr="00FF4EC3">
        <w:tab/>
      </w:r>
      <w:r w:rsidR="00E664E4" w:rsidRPr="00FF4EC3">
        <w:tab/>
      </w:r>
      <w:r w:rsidR="00E664E4" w:rsidRPr="00FF4EC3">
        <w:tab/>
      </w:r>
      <w:r w:rsidR="00E664E4" w:rsidRPr="00FF4EC3">
        <w:tab/>
      </w:r>
      <w:r w:rsidR="00E664E4">
        <w:t>Eq. (3.2.4.</w:t>
      </w:r>
      <w:r w:rsidR="00E664E4" w:rsidRPr="00FF4EC3">
        <w:t>19)</w:t>
      </w:r>
    </w:p>
    <w:p w:rsidR="00E664E4" w:rsidRPr="00FF4EC3"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34,19</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35,19</m:t>
            </m:r>
          </m:sub>
        </m:sSub>
        <m:r>
          <m:rPr>
            <m:sty m:val="p"/>
          </m:rPr>
          <w:rPr>
            <w:rFonts w:ascii="Cambria Math" w:hAnsi="Cambria Math"/>
          </w:rPr>
          <m:t>=0</m:t>
        </m:r>
      </m:oMath>
      <w:r w:rsidR="00E664E4" w:rsidRPr="00FF4EC3">
        <w:t xml:space="preserve"> </w:t>
      </w:r>
      <w:r w:rsidR="00E664E4" w:rsidRPr="00FF4EC3">
        <w:tab/>
      </w:r>
      <w:r w:rsidR="00E664E4" w:rsidRPr="00FF4EC3">
        <w:tab/>
      </w:r>
      <w:r w:rsidR="00E664E4" w:rsidRPr="00FF4EC3">
        <w:tab/>
      </w:r>
      <w:r w:rsidR="00E664E4" w:rsidRPr="00FF4EC3">
        <w:tab/>
      </w:r>
      <w:r w:rsidR="00E664E4">
        <w:t>Eq. (3.2.4.</w:t>
      </w:r>
      <w:r w:rsidR="00E664E4" w:rsidRPr="00FF4EC3">
        <w:t>20)</w:t>
      </w:r>
    </w:p>
    <w:p w:rsidR="00E664E4" w:rsidRPr="00FF4EC3"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34,1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36,1</m:t>
            </m:r>
          </m:sub>
        </m:sSub>
        <m:r>
          <m:rPr>
            <m:sty m:val="p"/>
          </m:rPr>
          <w:rPr>
            <w:rFonts w:ascii="Cambria Math" w:hAnsi="Cambria Math"/>
          </w:rPr>
          <m:t>=0</m:t>
        </m:r>
      </m:oMath>
      <w:r w:rsidR="00E664E4" w:rsidRPr="00FF4EC3">
        <w:t xml:space="preserve"> </w:t>
      </w:r>
      <w:r w:rsidR="00E664E4" w:rsidRPr="00FF4EC3">
        <w:tab/>
      </w:r>
      <w:r w:rsidR="00E664E4" w:rsidRPr="00FF4EC3">
        <w:tab/>
      </w:r>
      <w:r w:rsidR="00E664E4" w:rsidRPr="00FF4EC3">
        <w:tab/>
      </w:r>
      <w:r w:rsidR="00E664E4" w:rsidRPr="00FF4EC3">
        <w:tab/>
      </w:r>
      <w:r w:rsidR="00E664E4">
        <w:t>Eq. (3.2.4.</w:t>
      </w:r>
      <w:r w:rsidR="00E664E4" w:rsidRPr="00FF4EC3">
        <w:t>21)</w:t>
      </w:r>
    </w:p>
    <w:p w:rsidR="00E664E4" w:rsidRPr="00FF4EC3"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34,2</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36,2</m:t>
            </m:r>
          </m:sub>
        </m:sSub>
        <m:r>
          <m:rPr>
            <m:sty m:val="p"/>
          </m:rPr>
          <w:rPr>
            <w:rFonts w:ascii="Cambria Math" w:hAnsi="Cambria Math"/>
          </w:rPr>
          <m:t>=0</m:t>
        </m:r>
      </m:oMath>
      <w:r w:rsidR="00E664E4" w:rsidRPr="00FF4EC3">
        <w:t xml:space="preserve"> </w:t>
      </w:r>
      <w:r w:rsidR="00E664E4" w:rsidRPr="00FF4EC3">
        <w:tab/>
      </w:r>
      <w:r w:rsidR="00E664E4" w:rsidRPr="00FF4EC3">
        <w:tab/>
      </w:r>
      <w:r w:rsidR="00E664E4" w:rsidRPr="00FF4EC3">
        <w:tab/>
      </w:r>
      <w:r w:rsidR="00E664E4" w:rsidRPr="00FF4EC3">
        <w:tab/>
      </w:r>
      <w:r w:rsidR="00E664E4">
        <w:t>Eq. (3.2.4.</w:t>
      </w:r>
      <w:r w:rsidR="00E664E4" w:rsidRPr="00FF4EC3">
        <w:t>22)</w:t>
      </w:r>
    </w:p>
    <w:p w:rsidR="00E664E4" w:rsidRPr="00FF4EC3"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34,3</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36,3</m:t>
            </m:r>
          </m:sub>
        </m:sSub>
        <m:r>
          <m:rPr>
            <m:sty m:val="p"/>
          </m:rPr>
          <w:rPr>
            <w:rFonts w:ascii="Cambria Math" w:hAnsi="Cambria Math"/>
          </w:rPr>
          <m:t>=0</m:t>
        </m:r>
      </m:oMath>
      <w:r w:rsidR="00E664E4" w:rsidRPr="00FF4EC3">
        <w:t xml:space="preserve"> </w:t>
      </w:r>
      <w:r w:rsidR="00E664E4" w:rsidRPr="00FF4EC3">
        <w:tab/>
      </w:r>
      <w:r w:rsidR="00E664E4" w:rsidRPr="00FF4EC3">
        <w:tab/>
      </w:r>
      <w:r w:rsidR="00E664E4" w:rsidRPr="00FF4EC3">
        <w:tab/>
      </w:r>
      <w:r w:rsidR="00E664E4" w:rsidRPr="00FF4EC3">
        <w:tab/>
      </w:r>
      <w:r w:rsidR="00E664E4">
        <w:t>Eq. (3.2.4.</w:t>
      </w:r>
      <w:r w:rsidR="00E664E4" w:rsidRPr="00FF4EC3">
        <w:t>23)</w:t>
      </w:r>
    </w:p>
    <w:p w:rsidR="00E664E4" w:rsidRPr="00FF4EC3"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34,5</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36,5</m:t>
            </m:r>
          </m:sub>
        </m:sSub>
        <m:r>
          <m:rPr>
            <m:sty m:val="p"/>
          </m:rPr>
          <w:rPr>
            <w:rFonts w:ascii="Cambria Math" w:hAnsi="Cambria Math"/>
          </w:rPr>
          <m:t>=0</m:t>
        </m:r>
      </m:oMath>
      <w:r w:rsidR="00E664E4" w:rsidRPr="00FF4EC3">
        <w:t xml:space="preserve"> </w:t>
      </w:r>
      <w:r w:rsidR="00E664E4" w:rsidRPr="00FF4EC3">
        <w:tab/>
      </w:r>
      <w:r w:rsidR="00E664E4" w:rsidRPr="00FF4EC3">
        <w:tab/>
      </w:r>
      <w:r w:rsidR="00E664E4" w:rsidRPr="00FF4EC3">
        <w:tab/>
      </w:r>
      <w:r w:rsidR="00E664E4" w:rsidRPr="00FF4EC3">
        <w:tab/>
      </w:r>
      <w:r w:rsidR="00E664E4">
        <w:t>Eq. (3.2.4.</w:t>
      </w:r>
      <w:r w:rsidR="00E664E4" w:rsidRPr="00FF4EC3">
        <w:t>24)</w:t>
      </w:r>
    </w:p>
    <w:p w:rsidR="00E664E4" w:rsidRPr="00FF4EC3"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34,8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36,8</m:t>
            </m:r>
          </m:sub>
        </m:sSub>
        <m:r>
          <m:rPr>
            <m:sty m:val="p"/>
          </m:rPr>
          <w:rPr>
            <w:rFonts w:ascii="Cambria Math" w:hAnsi="Cambria Math"/>
          </w:rPr>
          <m:t>=0</m:t>
        </m:r>
      </m:oMath>
      <w:r w:rsidR="00E664E4" w:rsidRPr="00FF4EC3">
        <w:t xml:space="preserve"> </w:t>
      </w:r>
      <w:r w:rsidR="00E664E4" w:rsidRPr="00FF4EC3">
        <w:tab/>
      </w:r>
      <w:r w:rsidR="00E664E4" w:rsidRPr="00FF4EC3">
        <w:tab/>
      </w:r>
      <w:r w:rsidR="00E664E4" w:rsidRPr="00FF4EC3">
        <w:tab/>
      </w:r>
      <w:r w:rsidR="00E664E4" w:rsidRPr="00FF4EC3">
        <w:tab/>
      </w:r>
      <w:r w:rsidR="00E664E4">
        <w:t>Eq. (3.2.</w:t>
      </w:r>
      <w:r w:rsidR="00BE36F0">
        <w:t>4.2</w:t>
      </w:r>
      <w:r w:rsidR="00B47812">
        <w:t>5</w:t>
      </w:r>
      <w:r w:rsidR="00E664E4" w:rsidRPr="00FF4EC3">
        <w:t xml:space="preserve">) </w:t>
      </w:r>
    </w:p>
    <w:p w:rsidR="001E169B" w:rsidRDefault="00E664E4">
      <w:r>
        <w:t>R</w:t>
      </w:r>
      <w:r w:rsidRPr="00FF4EC3">
        <w:t>eaction rate data for the conversion of AUC to UO</w:t>
      </w:r>
      <w:r w:rsidRPr="00FF4EC3">
        <w:rPr>
          <w:vertAlign w:val="subscript"/>
        </w:rPr>
        <w:t>2</w:t>
      </w:r>
      <w:r w:rsidRPr="00FF4EC3">
        <w:t xml:space="preserve"> using hydrogen</w:t>
      </w:r>
      <w:r>
        <w:t xml:space="preserve"> was not available</w:t>
      </w:r>
      <w:r w:rsidRPr="00FF4EC3">
        <w:t>.</w:t>
      </w:r>
    </w:p>
    <w:p w:rsidR="00002CAE" w:rsidRDefault="00002CAE">
      <w:pPr>
        <w:rPr>
          <w:rFonts w:asciiTheme="majorHAnsi" w:hAnsiTheme="majorHAnsi"/>
          <w:b/>
          <w:i/>
        </w:rPr>
      </w:pPr>
    </w:p>
    <w:p w:rsidR="00E664E4" w:rsidRDefault="00E664E4" w:rsidP="00E664E4">
      <w:pPr>
        <w:rPr>
          <w:rFonts w:asciiTheme="majorHAnsi" w:hAnsiTheme="majorHAnsi"/>
          <w:b/>
          <w:i/>
        </w:rPr>
      </w:pPr>
      <w:r>
        <w:rPr>
          <w:rFonts w:asciiTheme="majorHAnsi" w:hAnsiTheme="majorHAnsi"/>
          <w:b/>
          <w:i/>
        </w:rPr>
        <w:lastRenderedPageBreak/>
        <w:t>3.2.4</w:t>
      </w:r>
      <w:r w:rsidRPr="00C26992">
        <w:rPr>
          <w:rFonts w:asciiTheme="majorHAnsi" w:hAnsiTheme="majorHAnsi"/>
          <w:b/>
          <w:i/>
        </w:rPr>
        <w:t>.</w:t>
      </w:r>
      <w:r>
        <w:rPr>
          <w:rFonts w:asciiTheme="majorHAnsi" w:hAnsiTheme="majorHAnsi"/>
          <w:b/>
          <w:i/>
        </w:rPr>
        <w:t>3 Module 4C</w:t>
      </w:r>
    </w:p>
    <w:p w:rsidR="00E664E4" w:rsidRDefault="00E664E4" w:rsidP="00E664E4">
      <w:r w:rsidRPr="00280B72">
        <w:t>Module 4C include</w:t>
      </w:r>
      <w:r>
        <w:t>d</w:t>
      </w:r>
      <w:r w:rsidRPr="00280B72">
        <w:t xml:space="preserve"> the UO</w:t>
      </w:r>
      <w:r w:rsidRPr="00280B72">
        <w:rPr>
          <w:vertAlign w:val="subscript"/>
        </w:rPr>
        <w:t>2</w:t>
      </w:r>
      <w:r w:rsidRPr="00280B72">
        <w:t xml:space="preserve"> post-processing equipment and the off-gas from the </w:t>
      </w:r>
      <w:proofErr w:type="spellStart"/>
      <w:r w:rsidRPr="00280B72">
        <w:t>calciner</w:t>
      </w:r>
      <w:proofErr w:type="spellEnd"/>
      <w:r w:rsidRPr="00280B72">
        <w:t>. Module 4C include</w:t>
      </w:r>
      <w:r>
        <w:t>d</w:t>
      </w:r>
      <w:r w:rsidRPr="00280B72">
        <w:t xml:space="preserve"> the following equipment: a cooler, UO</w:t>
      </w:r>
      <w:r w:rsidRPr="00280B72">
        <w:rPr>
          <w:vertAlign w:val="subscript"/>
        </w:rPr>
        <w:t>2</w:t>
      </w:r>
      <w:r w:rsidRPr="00280B72">
        <w:t xml:space="preserve"> vent, gaseous waste blender, and UO</w:t>
      </w:r>
      <w:r w:rsidRPr="00280B72">
        <w:rPr>
          <w:vertAlign w:val="subscript"/>
        </w:rPr>
        <w:t>2</w:t>
      </w:r>
      <w:r w:rsidRPr="00280B72">
        <w:t xml:space="preserve"> blender. The input</w:t>
      </w:r>
      <w:r>
        <w:t>s</w:t>
      </w:r>
      <w:r w:rsidRPr="00280B72">
        <w:t xml:space="preserve"> to Module 4C </w:t>
      </w:r>
      <w:r>
        <w:t>were</w:t>
      </w:r>
      <w:r w:rsidRPr="00280B72">
        <w:t xml:space="preserve"> both outputs from Module 4B and nitrogen to the UO</w:t>
      </w:r>
      <w:r w:rsidRPr="00280B72">
        <w:rPr>
          <w:vertAlign w:val="subscript"/>
        </w:rPr>
        <w:t>2</w:t>
      </w:r>
      <w:r>
        <w:t xml:space="preserve"> vent. There we</w:t>
      </w:r>
      <w:r w:rsidRPr="00280B72">
        <w:t xml:space="preserve">re two </w:t>
      </w:r>
      <w:r w:rsidRPr="009D034F">
        <w:t>outputs from Module 4C, the gaseous waste stream and the blended UO</w:t>
      </w:r>
      <w:r w:rsidRPr="009D034F">
        <w:rPr>
          <w:vertAlign w:val="subscript"/>
        </w:rPr>
        <w:t>2</w:t>
      </w:r>
      <w:r w:rsidRPr="009D034F">
        <w:t xml:space="preserve"> product. Figure 3.22 shows a</w:t>
      </w:r>
      <w:r w:rsidRPr="00280B72">
        <w:t xml:space="preserve"> </w:t>
      </w:r>
      <w:r>
        <w:t xml:space="preserve">block </w:t>
      </w:r>
      <w:r w:rsidRPr="00280B72">
        <w:t xml:space="preserve">diagram of Module 4C with the input and output streams labeled. </w:t>
      </w:r>
    </w:p>
    <w:p w:rsidR="001E169B" w:rsidRPr="00280B72" w:rsidRDefault="001E169B" w:rsidP="001E169B">
      <w:r>
        <w:t>It wa</w:t>
      </w:r>
      <w:r w:rsidRPr="00280B72">
        <w:t>s assumed that the stream leaving the UO</w:t>
      </w:r>
      <w:r w:rsidRPr="00280B72">
        <w:rPr>
          <w:vertAlign w:val="subscript"/>
        </w:rPr>
        <w:t>2</w:t>
      </w:r>
      <w:r>
        <w:t xml:space="preserve"> vent wa</w:t>
      </w:r>
      <w:r w:rsidRPr="00280B72">
        <w:t xml:space="preserve">s pure nitrogen according to Eq. </w:t>
      </w:r>
      <w:r>
        <w:t>3.2.4.26</w:t>
      </w:r>
      <w:r w:rsidRPr="00280B72">
        <w:t>.</w:t>
      </w:r>
    </w:p>
    <w:p w:rsidR="001E169B" w:rsidRPr="00280B72" w:rsidRDefault="00C851DF" w:rsidP="001E169B">
      <w:pPr>
        <w:jc w:val="right"/>
      </w:pPr>
      <m:oMath>
        <m:d>
          <m:dPr>
            <m:ctrlPr>
              <w:rPr>
                <w:rFonts w:ascii="Cambria Math" w:hAnsi="Cambria Math"/>
              </w:rPr>
            </m:ctrlPr>
          </m:dPr>
          <m:e>
            <m:sSub>
              <m:sSubPr>
                <m:ctrlPr>
                  <w:rPr>
                    <w:rFonts w:ascii="Cambria Math" w:hAnsi="Cambria Math"/>
                  </w:rPr>
                </m:ctrlPr>
              </m:sSubPr>
              <m:e>
                <m:r>
                  <w:rPr>
                    <w:rFonts w:ascii="Cambria Math" w:hAnsi="Cambria Math"/>
                  </w:rPr>
                  <m:t>F</m:t>
                </m:r>
              </m:e>
              <m:sub>
                <m:r>
                  <m:rPr>
                    <m:sty m:val="p"/>
                  </m:rPr>
                  <w:rPr>
                    <w:rFonts w:ascii="Cambria Math" w:hAnsi="Cambria Math"/>
                  </w:rPr>
                  <m:t>11</m:t>
                </m:r>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m:rPr>
                    <m:sty m:val="p"/>
                  </m:rPr>
                  <w:rPr>
                    <w:rFonts w:ascii="Cambria Math" w:hAnsi="Cambria Math"/>
                  </w:rPr>
                  <m:t>11</m:t>
                </m:r>
                <m:r>
                  <w:rPr>
                    <w:rFonts w:ascii="Cambria Math" w:hAnsi="Cambria Math"/>
                  </w:rPr>
                  <m:t>A</m:t>
                </m:r>
                <m:r>
                  <m:rPr>
                    <m:sty m:val="p"/>
                  </m:rPr>
                  <w:rPr>
                    <w:rFonts w:ascii="Cambria Math" w:hAnsi="Cambria Math"/>
                  </w:rPr>
                  <m:t>,2</m:t>
                </m:r>
              </m:sub>
            </m:sSub>
            <m:r>
              <m:rPr>
                <m:sty m:val="p"/>
              </m:rPr>
              <w:rPr>
                <w:rFonts w:ascii="Cambria Math" w:hAnsi="Cambria Math"/>
              </w:rPr>
              <m:t>*</m:t>
            </m:r>
            <m:f>
              <m:fPr>
                <m:ctrlPr>
                  <w:rPr>
                    <w:rFonts w:ascii="Cambria Math" w:hAnsi="Cambria Math"/>
                  </w:rPr>
                </m:ctrlPr>
              </m:fPr>
              <m:num>
                <m:r>
                  <m:rPr>
                    <m:sty m:val="p"/>
                  </m:rPr>
                  <w:rPr>
                    <w:rFonts w:ascii="Cambria Math" w:hAnsi="Cambria Math"/>
                  </w:rPr>
                  <m:t>1000</m:t>
                </m:r>
              </m:num>
              <m:den>
                <m:sSub>
                  <m:sSubPr>
                    <m:ctrlPr>
                      <w:rPr>
                        <w:rFonts w:ascii="Cambria Math" w:hAnsi="Cambria Math"/>
                      </w:rPr>
                    </m:ctrlPr>
                  </m:sSubPr>
                  <m:e>
                    <m:r>
                      <w:rPr>
                        <w:rFonts w:ascii="Cambria Math" w:hAnsi="Cambria Math"/>
                      </w:rPr>
                      <m:t>MW</m:t>
                    </m:r>
                  </m:e>
                  <m:sub>
                    <m:r>
                      <m:rPr>
                        <m:sty m:val="p"/>
                      </m:rPr>
                      <w:rPr>
                        <w:rFonts w:ascii="Cambria Math" w:hAnsi="Cambria Math"/>
                      </w:rPr>
                      <m:t>2</m:t>
                    </m:r>
                  </m:sub>
                </m:sSub>
              </m:den>
            </m:f>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37,2</m:t>
            </m:r>
          </m:sub>
        </m:sSub>
        <m:r>
          <m:rPr>
            <m:sty m:val="p"/>
          </m:rPr>
          <w:rPr>
            <w:rFonts w:ascii="Cambria Math" w:hAnsi="Cambria Math"/>
          </w:rPr>
          <m:t>=0</m:t>
        </m:r>
      </m:oMath>
      <w:r w:rsidR="001E169B" w:rsidRPr="00280B72">
        <w:t xml:space="preserve"> </w:t>
      </w:r>
      <w:r w:rsidR="001E169B" w:rsidRPr="00280B72">
        <w:tab/>
      </w:r>
      <w:r w:rsidR="001E169B">
        <w:tab/>
      </w:r>
      <w:r w:rsidR="001E169B" w:rsidRPr="00280B72">
        <w:tab/>
      </w:r>
      <w:r w:rsidR="001E169B">
        <w:t>Eq. (3.2.4.26</w:t>
      </w:r>
      <w:r w:rsidR="001E169B" w:rsidRPr="00280B72">
        <w:t>)</w:t>
      </w:r>
    </w:p>
    <w:p w:rsidR="001E169B" w:rsidRPr="00280B72" w:rsidRDefault="001E169B" w:rsidP="001E169B">
      <w:r w:rsidRPr="00280B72">
        <w:t xml:space="preserve">The off-gas blender </w:t>
      </w:r>
      <w:r>
        <w:t xml:space="preserve">was used to </w:t>
      </w:r>
      <w:r w:rsidRPr="00280B72">
        <w:t>blend the nitrogen exiting the UO</w:t>
      </w:r>
      <w:r w:rsidRPr="00280B72">
        <w:rPr>
          <w:vertAlign w:val="subscript"/>
        </w:rPr>
        <w:t>2</w:t>
      </w:r>
      <w:r w:rsidRPr="00280B72">
        <w:t xml:space="preserve"> vent and the gaseous waste stream from Module 3B as shown in Equations </w:t>
      </w:r>
      <w:r>
        <w:t>3.2.4.27</w:t>
      </w:r>
      <w:r w:rsidRPr="00280B72">
        <w:t>–</w:t>
      </w:r>
      <w:r>
        <w:t>3.2.4.31</w:t>
      </w:r>
      <w:r w:rsidRPr="00280B72">
        <w:t>.</w:t>
      </w:r>
    </w:p>
    <w:p w:rsidR="001E169B" w:rsidRPr="00280B72" w:rsidRDefault="00C851DF" w:rsidP="001E169B">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36,1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38,1</m:t>
            </m:r>
          </m:sub>
        </m:sSub>
        <m:r>
          <m:rPr>
            <m:sty m:val="p"/>
          </m:rPr>
          <w:rPr>
            <w:rFonts w:ascii="Cambria Math" w:hAnsi="Cambria Math"/>
          </w:rPr>
          <m:t>=0</m:t>
        </m:r>
      </m:oMath>
      <w:r w:rsidR="001E169B" w:rsidRPr="00280B72">
        <w:t xml:space="preserve"> </w:t>
      </w:r>
      <w:r w:rsidR="001E169B" w:rsidRPr="00280B72">
        <w:tab/>
      </w:r>
      <w:r w:rsidR="001E169B" w:rsidRPr="00280B72">
        <w:tab/>
      </w:r>
      <w:r w:rsidR="001E169B" w:rsidRPr="00280B72">
        <w:tab/>
      </w:r>
      <w:r w:rsidR="001E169B" w:rsidRPr="00280B72">
        <w:tab/>
      </w:r>
      <w:r w:rsidR="001E169B">
        <w:t>Eq. (3.2.4.27</w:t>
      </w:r>
      <w:r w:rsidR="001E169B" w:rsidRPr="00280B72">
        <w:t xml:space="preserve">) </w:t>
      </w:r>
    </w:p>
    <w:p w:rsidR="001E169B" w:rsidRPr="00280B72" w:rsidRDefault="00C851DF" w:rsidP="001E169B">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36,2</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37,2</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38,2</m:t>
            </m:r>
          </m:sub>
        </m:sSub>
        <m:r>
          <m:rPr>
            <m:sty m:val="p"/>
          </m:rPr>
          <w:rPr>
            <w:rFonts w:ascii="Cambria Math" w:hAnsi="Cambria Math"/>
          </w:rPr>
          <m:t>=0</m:t>
        </m:r>
      </m:oMath>
      <w:r w:rsidR="001E169B" w:rsidRPr="00280B72">
        <w:t xml:space="preserve"> </w:t>
      </w:r>
      <w:r w:rsidR="001E169B" w:rsidRPr="00280B72">
        <w:tab/>
      </w:r>
      <w:r w:rsidR="001E169B" w:rsidRPr="00280B72">
        <w:tab/>
      </w:r>
      <w:r w:rsidR="001E169B" w:rsidRPr="00280B72">
        <w:tab/>
      </w:r>
      <w:r w:rsidR="001E169B">
        <w:t>Eq. (3.2.4.28</w:t>
      </w:r>
      <w:r w:rsidR="001E169B" w:rsidRPr="00280B72">
        <w:t xml:space="preserve">) </w:t>
      </w:r>
    </w:p>
    <w:p w:rsidR="001E169B" w:rsidRPr="00280B72" w:rsidRDefault="00C851DF" w:rsidP="001E169B">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36,3</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38,3</m:t>
            </m:r>
          </m:sub>
        </m:sSub>
        <m:r>
          <m:rPr>
            <m:sty m:val="p"/>
          </m:rPr>
          <w:rPr>
            <w:rFonts w:ascii="Cambria Math" w:hAnsi="Cambria Math"/>
          </w:rPr>
          <m:t>=0</m:t>
        </m:r>
      </m:oMath>
      <w:r w:rsidR="001E169B" w:rsidRPr="00280B72">
        <w:t xml:space="preserve"> </w:t>
      </w:r>
      <w:r w:rsidR="001E169B" w:rsidRPr="00280B72">
        <w:tab/>
      </w:r>
      <w:r w:rsidR="001E169B" w:rsidRPr="00280B72">
        <w:tab/>
      </w:r>
      <w:r w:rsidR="001E169B" w:rsidRPr="00280B72">
        <w:tab/>
      </w:r>
      <w:r w:rsidR="001E169B" w:rsidRPr="00280B72">
        <w:tab/>
      </w:r>
      <w:r w:rsidR="001E169B">
        <w:t>Eq. (3.2.4.29</w:t>
      </w:r>
      <w:r w:rsidR="001E169B" w:rsidRPr="00280B72">
        <w:t xml:space="preserve">) </w:t>
      </w:r>
    </w:p>
    <w:p w:rsidR="001E169B" w:rsidRPr="00280B72" w:rsidRDefault="00C851DF" w:rsidP="001E169B">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36,5</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38,5</m:t>
            </m:r>
          </m:sub>
        </m:sSub>
        <m:r>
          <m:rPr>
            <m:sty m:val="p"/>
          </m:rPr>
          <w:rPr>
            <w:rFonts w:ascii="Cambria Math" w:hAnsi="Cambria Math"/>
          </w:rPr>
          <m:t>=0</m:t>
        </m:r>
      </m:oMath>
      <w:r w:rsidR="001E169B" w:rsidRPr="00280B72">
        <w:t xml:space="preserve"> </w:t>
      </w:r>
      <w:r w:rsidR="001E169B" w:rsidRPr="00280B72">
        <w:tab/>
      </w:r>
      <w:r w:rsidR="001E169B" w:rsidRPr="00280B72">
        <w:tab/>
      </w:r>
      <w:r w:rsidR="001E169B" w:rsidRPr="00280B72">
        <w:tab/>
      </w:r>
      <w:r w:rsidR="001E169B" w:rsidRPr="00280B72">
        <w:tab/>
      </w:r>
      <w:r w:rsidR="001E169B">
        <w:t>Eq. (3.2.4.30</w:t>
      </w:r>
      <w:r w:rsidR="001E169B" w:rsidRPr="00280B72">
        <w:t xml:space="preserve">) </w:t>
      </w:r>
    </w:p>
    <w:p w:rsidR="001E169B" w:rsidRPr="00280B72" w:rsidRDefault="00C851DF" w:rsidP="001E169B">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36,8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38,8</m:t>
            </m:r>
          </m:sub>
        </m:sSub>
        <m:r>
          <m:rPr>
            <m:sty m:val="p"/>
          </m:rPr>
          <w:rPr>
            <w:rFonts w:ascii="Cambria Math" w:hAnsi="Cambria Math"/>
          </w:rPr>
          <m:t>=0</m:t>
        </m:r>
      </m:oMath>
      <w:r w:rsidR="001E169B" w:rsidRPr="00280B72">
        <w:t xml:space="preserve"> </w:t>
      </w:r>
      <w:r w:rsidR="001E169B" w:rsidRPr="00280B72">
        <w:tab/>
      </w:r>
      <w:r w:rsidR="001E169B" w:rsidRPr="00280B72">
        <w:tab/>
      </w:r>
      <w:r w:rsidR="001E169B" w:rsidRPr="00280B72">
        <w:tab/>
      </w:r>
      <w:r w:rsidR="001E169B" w:rsidRPr="00280B72">
        <w:tab/>
      </w:r>
      <w:r w:rsidR="001E169B">
        <w:t>Eq. (3.2.4.31</w:t>
      </w:r>
      <w:r w:rsidR="001E169B" w:rsidRPr="00280B72">
        <w:t xml:space="preserve">) </w:t>
      </w:r>
    </w:p>
    <w:p w:rsidR="001E169B" w:rsidRPr="00280B72" w:rsidRDefault="001E169B" w:rsidP="00E664E4"/>
    <w:p w:rsidR="00E664E4" w:rsidRPr="00280B72" w:rsidRDefault="00E664E4" w:rsidP="00E664E4">
      <w:pPr>
        <w:jc w:val="center"/>
      </w:pPr>
      <w:r w:rsidRPr="00280B72">
        <w:object w:dxaOrig="5865" w:dyaOrig="3906">
          <v:shape id="_x0000_i1044" type="#_x0000_t75" style="width:292.6pt;height:193.55pt" o:ole="">
            <v:imagedata r:id="rId65" o:title=""/>
          </v:shape>
          <o:OLEObject Type="Embed" ProgID="Visio.Drawing.11" ShapeID="_x0000_i1044" DrawAspect="Content" ObjectID="_1445525569" r:id="rId66"/>
        </w:object>
      </w:r>
    </w:p>
    <w:p w:rsidR="00E664E4" w:rsidRPr="00280B72" w:rsidRDefault="00E664E4" w:rsidP="00E664E4">
      <w:pPr>
        <w:jc w:val="center"/>
        <w:rPr>
          <w:b/>
          <w:sz w:val="20"/>
          <w:szCs w:val="20"/>
        </w:rPr>
      </w:pPr>
      <w:r w:rsidRPr="009D034F">
        <w:rPr>
          <w:b/>
          <w:sz w:val="20"/>
          <w:szCs w:val="20"/>
        </w:rPr>
        <w:t xml:space="preserve">Figure 3.22. Block Diagram of the Module 4C </w:t>
      </w:r>
      <w:r w:rsidR="004045DF">
        <w:rPr>
          <w:b/>
          <w:sz w:val="20"/>
          <w:szCs w:val="20"/>
        </w:rPr>
        <w:t>Showing Input and Output Streams</w:t>
      </w:r>
      <w:r w:rsidRPr="009D034F">
        <w:rPr>
          <w:b/>
          <w:sz w:val="20"/>
          <w:szCs w:val="20"/>
        </w:rPr>
        <w:t>.</w:t>
      </w:r>
    </w:p>
    <w:p w:rsidR="00E664E4" w:rsidRPr="00280B72" w:rsidRDefault="00E664E4" w:rsidP="00E664E4">
      <w:r w:rsidRPr="00280B72">
        <w:lastRenderedPageBreak/>
        <w:t xml:space="preserve">The solid product from the </w:t>
      </w:r>
      <w:proofErr w:type="spellStart"/>
      <w:r w:rsidRPr="00280B72">
        <w:t>calciner</w:t>
      </w:r>
      <w:proofErr w:type="spellEnd"/>
      <w:r w:rsidRPr="00280B72">
        <w:t xml:space="preserve"> passe</w:t>
      </w:r>
      <w:r>
        <w:t>d</w:t>
      </w:r>
      <w:r w:rsidRPr="00280B72">
        <w:t xml:space="preserve"> through the UO</w:t>
      </w:r>
      <w:r w:rsidRPr="00280B72">
        <w:rPr>
          <w:vertAlign w:val="subscript"/>
        </w:rPr>
        <w:t>2</w:t>
      </w:r>
      <w:r w:rsidRPr="00280B72">
        <w:t xml:space="preserve"> vent to the UO</w:t>
      </w:r>
      <w:r w:rsidRPr="00280B72">
        <w:rPr>
          <w:vertAlign w:val="subscript"/>
        </w:rPr>
        <w:t>2</w:t>
      </w:r>
      <w:r w:rsidRPr="00280B72">
        <w:t xml:space="preserve"> blender according to Equations </w:t>
      </w:r>
      <w:r>
        <w:t>3.2.</w:t>
      </w:r>
      <w:r w:rsidR="00B47812">
        <w:t>4.32</w:t>
      </w:r>
      <w:r w:rsidRPr="00280B72">
        <w:t>–</w:t>
      </w:r>
      <w:r>
        <w:t>3.2.</w:t>
      </w:r>
      <w:r w:rsidR="00B47812">
        <w:t>4.34</w:t>
      </w:r>
      <w:r w:rsidRPr="00280B72">
        <w:t>.</w:t>
      </w:r>
    </w:p>
    <w:p w:rsidR="00E664E4" w:rsidRPr="00280B72"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35,17</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39,17</m:t>
            </m:r>
          </m:sub>
        </m:sSub>
        <m:r>
          <m:rPr>
            <m:sty m:val="p"/>
          </m:rPr>
          <w:rPr>
            <w:rFonts w:ascii="Cambria Math" w:hAnsi="Cambria Math"/>
          </w:rPr>
          <m:t>=0</m:t>
        </m:r>
      </m:oMath>
      <w:r w:rsidR="00E664E4" w:rsidRPr="00280B72">
        <w:t xml:space="preserve"> </w:t>
      </w:r>
      <w:r w:rsidR="00E664E4" w:rsidRPr="00280B72">
        <w:tab/>
      </w:r>
      <w:r w:rsidR="00E664E4" w:rsidRPr="00280B72">
        <w:tab/>
      </w:r>
      <w:r w:rsidR="00E664E4" w:rsidRPr="00280B72">
        <w:tab/>
      </w:r>
      <w:r w:rsidR="00E664E4" w:rsidRPr="00280B72">
        <w:tab/>
      </w:r>
      <w:r w:rsidR="00E664E4">
        <w:t>Eq. (3.2.</w:t>
      </w:r>
      <w:r w:rsidR="00B47812">
        <w:t>4.32</w:t>
      </w:r>
      <w:r w:rsidR="00E664E4" w:rsidRPr="00280B72">
        <w:t xml:space="preserve">) </w:t>
      </w:r>
    </w:p>
    <w:p w:rsidR="00E664E4" w:rsidRPr="00280B72"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35,18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39,18</m:t>
            </m:r>
          </m:sub>
        </m:sSub>
        <m:r>
          <m:rPr>
            <m:sty m:val="p"/>
          </m:rPr>
          <w:rPr>
            <w:rFonts w:ascii="Cambria Math" w:hAnsi="Cambria Math"/>
          </w:rPr>
          <m:t>=0</m:t>
        </m:r>
      </m:oMath>
      <w:r w:rsidR="00E664E4" w:rsidRPr="00280B72">
        <w:t xml:space="preserve"> </w:t>
      </w:r>
      <w:r w:rsidR="00E664E4" w:rsidRPr="00280B72">
        <w:tab/>
      </w:r>
      <w:r w:rsidR="00E664E4" w:rsidRPr="00280B72">
        <w:tab/>
      </w:r>
      <w:r w:rsidR="00E664E4" w:rsidRPr="00280B72">
        <w:tab/>
      </w:r>
      <w:r w:rsidR="00E664E4" w:rsidRPr="00280B72">
        <w:tab/>
      </w:r>
      <w:r w:rsidR="00E664E4">
        <w:t>Eq. (3.2.</w:t>
      </w:r>
      <w:r w:rsidR="00B47812">
        <w:t>4.33</w:t>
      </w:r>
      <w:r w:rsidR="00E664E4" w:rsidRPr="00280B72">
        <w:t xml:space="preserve">) </w:t>
      </w:r>
    </w:p>
    <w:p w:rsidR="00E664E4" w:rsidRPr="00280B72" w:rsidRDefault="00C851DF" w:rsidP="00E664E4">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35,19</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39,19</m:t>
            </m:r>
          </m:sub>
        </m:sSub>
        <m:r>
          <m:rPr>
            <m:sty m:val="p"/>
          </m:rPr>
          <w:rPr>
            <w:rFonts w:ascii="Cambria Math" w:hAnsi="Cambria Math"/>
          </w:rPr>
          <m:t>=0</m:t>
        </m:r>
      </m:oMath>
      <w:r w:rsidR="00E664E4" w:rsidRPr="00280B72">
        <w:t xml:space="preserve"> </w:t>
      </w:r>
      <w:r w:rsidR="00E664E4" w:rsidRPr="00280B72">
        <w:tab/>
      </w:r>
      <w:r w:rsidR="00E664E4" w:rsidRPr="00280B72">
        <w:tab/>
      </w:r>
      <w:r w:rsidR="00E664E4" w:rsidRPr="00280B72">
        <w:tab/>
      </w:r>
      <w:r w:rsidR="00E664E4" w:rsidRPr="00280B72">
        <w:tab/>
      </w:r>
      <w:r w:rsidR="00E664E4">
        <w:t>Eq. (3.2.</w:t>
      </w:r>
      <w:r w:rsidR="00B47812">
        <w:t>4.34</w:t>
      </w:r>
      <w:r w:rsidR="00E664E4" w:rsidRPr="00280B72">
        <w:t xml:space="preserve">) </w:t>
      </w:r>
    </w:p>
    <w:p w:rsidR="00DC329E" w:rsidRPr="00DC329E" w:rsidRDefault="00DC329E" w:rsidP="00DC329E"/>
    <w:p w:rsidR="00E664E4" w:rsidRDefault="00E664E4" w:rsidP="00E664E4">
      <w:pPr>
        <w:rPr>
          <w:rFonts w:asciiTheme="majorHAnsi" w:hAnsiTheme="majorHAnsi"/>
          <w:b/>
          <w:i/>
        </w:rPr>
      </w:pPr>
      <w:r>
        <w:rPr>
          <w:rFonts w:asciiTheme="majorHAnsi" w:hAnsiTheme="majorHAnsi"/>
          <w:b/>
          <w:i/>
        </w:rPr>
        <w:t>3.2.4</w:t>
      </w:r>
      <w:r w:rsidRPr="00C26992">
        <w:rPr>
          <w:rFonts w:asciiTheme="majorHAnsi" w:hAnsiTheme="majorHAnsi"/>
          <w:b/>
          <w:i/>
        </w:rPr>
        <w:t>.</w:t>
      </w:r>
      <w:r>
        <w:rPr>
          <w:rFonts w:asciiTheme="majorHAnsi" w:hAnsiTheme="majorHAnsi"/>
          <w:b/>
          <w:i/>
        </w:rPr>
        <w:t>4 Module 4D</w:t>
      </w:r>
    </w:p>
    <w:p w:rsidR="00E664E4" w:rsidRDefault="00E664E4" w:rsidP="00E664E4">
      <w:r>
        <w:t>Module 4D wa</w:t>
      </w:r>
      <w:r w:rsidRPr="009D034F">
        <w:t xml:space="preserve">s the HF feeding process for the </w:t>
      </w:r>
      <w:proofErr w:type="spellStart"/>
      <w:r w:rsidRPr="009D034F">
        <w:t>hydrofluorination</w:t>
      </w:r>
      <w:proofErr w:type="spellEnd"/>
      <w:r w:rsidRPr="009D034F">
        <w:t xml:space="preserve"> </w:t>
      </w:r>
      <w:r>
        <w:t>process. The input and output of</w:t>
      </w:r>
      <w:r w:rsidRPr="009D034F">
        <w:t xml:space="preserve"> Module 4D </w:t>
      </w:r>
      <w:r>
        <w:t>were</w:t>
      </w:r>
      <w:r w:rsidRPr="009D034F">
        <w:t xml:space="preserve"> HF and nitrogen. Figure 3.23 shows a block diagram of Module 4D with the input and output streams labeled. </w:t>
      </w:r>
    </w:p>
    <w:p w:rsidR="001E169B" w:rsidRPr="00280B72" w:rsidRDefault="001E169B" w:rsidP="001E169B">
      <w:r>
        <w:t>The HF input stream wa</w:t>
      </w:r>
      <w:r w:rsidRPr="00280B72">
        <w:t>s assumed to be pure. Additionally, the feed of hydrogen fluorine must always be sufficient for the conversion in Module 4E based on parameter</w:t>
      </w:r>
      <w:proofErr w:type="gramStart"/>
      <w:r w:rsidRPr="00280B72">
        <w:t xml:space="preserve">, </w:t>
      </w:r>
      <w:proofErr w:type="gramEnd"/>
      <m:oMath>
        <m:sSub>
          <m:sSubPr>
            <m:ctrlPr>
              <w:rPr>
                <w:rFonts w:ascii="Cambria Math" w:hAnsi="Cambria Math"/>
              </w:rPr>
            </m:ctrlPr>
          </m:sSubPr>
          <m:e>
            <m:r>
              <w:rPr>
                <w:rFonts w:ascii="Cambria Math" w:hAnsi="Cambria Math"/>
              </w:rPr>
              <m:t>α</m:t>
            </m:r>
          </m:e>
          <m:sub>
            <m:r>
              <w:rPr>
                <w:rFonts w:ascii="Cambria Math" w:hAnsi="Cambria Math"/>
              </w:rPr>
              <m:t>Mod</m:t>
            </m:r>
            <m:r>
              <m:rPr>
                <m:sty m:val="p"/>
              </m:rPr>
              <w:rPr>
                <w:rFonts w:ascii="Cambria Math" w:hAnsi="Cambria Math"/>
              </w:rPr>
              <m:t>4</m:t>
            </m:r>
            <m:r>
              <w:rPr>
                <w:rFonts w:ascii="Cambria Math" w:hAnsi="Cambria Math"/>
              </w:rPr>
              <m:t>D</m:t>
            </m:r>
          </m:sub>
        </m:sSub>
      </m:oMath>
      <w:r w:rsidRPr="00280B72">
        <w:t xml:space="preserve">, as shown in Eq. </w:t>
      </w:r>
      <w:r>
        <w:t>3.2.4.35. However, HF was never fed in excess so as there was little to no residual HF after the reaction</w:t>
      </w:r>
      <w:r w:rsidRPr="00280B72">
        <w:t>.</w:t>
      </w:r>
    </w:p>
    <w:p w:rsidR="001E169B" w:rsidRPr="00280B72" w:rsidRDefault="00C851DF" w:rsidP="001E169B">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40,6</m:t>
            </m:r>
          </m:sub>
        </m:sSub>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Mod</m:t>
            </m:r>
            <m:r>
              <m:rPr>
                <m:sty m:val="p"/>
              </m:rPr>
              <w:rPr>
                <w:rFonts w:ascii="Cambria Math" w:hAnsi="Cambria Math"/>
              </w:rPr>
              <m:t>4</m:t>
            </m:r>
            <m:r>
              <w:rPr>
                <w:rFonts w:ascii="Cambria Math" w:hAnsi="Cambria Math"/>
              </w:rPr>
              <m:t>D</m:t>
            </m:r>
          </m:sub>
        </m:sSub>
        <m:r>
          <m:rPr>
            <m:sty m:val="p"/>
          </m:rPr>
          <w:rPr>
            <w:rFonts w:ascii="Cambria Math" w:hAnsi="Cambria Math"/>
          </w:rPr>
          <m:t>*</m:t>
        </m:r>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4</m:t>
                    </m:r>
                    <m:r>
                      <w:rPr>
                        <w:rFonts w:ascii="Cambria Math" w:hAnsi="Cambria Math"/>
                      </w:rPr>
                      <m:t>E</m:t>
                    </m:r>
                    <m:r>
                      <m:rPr>
                        <m:sty m:val="p"/>
                      </m:rPr>
                      <w:rPr>
                        <w:rFonts w:ascii="Cambria Math" w:hAnsi="Cambria Math"/>
                      </w:rPr>
                      <m:t>,6</m:t>
                    </m:r>
                  </m:sub>
                </m:sSub>
              </m:num>
              <m:den>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4</m:t>
                    </m:r>
                    <m:r>
                      <w:rPr>
                        <w:rFonts w:ascii="Cambria Math" w:hAnsi="Cambria Math"/>
                      </w:rPr>
                      <m:t>E</m:t>
                    </m:r>
                    <m:r>
                      <m:rPr>
                        <m:sty m:val="p"/>
                      </m:rPr>
                      <w:rPr>
                        <w:rFonts w:ascii="Cambria Math" w:hAnsi="Cambria Math"/>
                      </w:rPr>
                      <m:t>,17</m:t>
                    </m:r>
                  </m:sub>
                </m:sSub>
              </m:den>
            </m:f>
          </m:e>
        </m:d>
        <m: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39,17</m:t>
            </m:r>
          </m:sub>
        </m:sSub>
        <m:r>
          <m:rPr>
            <m:sty m:val="p"/>
          </m:rPr>
          <w:rPr>
            <w:rFonts w:ascii="Cambria Math" w:hAnsi="Cambria Math"/>
          </w:rPr>
          <m:t>=0</m:t>
        </m:r>
      </m:oMath>
      <w:r w:rsidR="001E169B" w:rsidRPr="00280B72">
        <w:t xml:space="preserve"> </w:t>
      </w:r>
      <w:r w:rsidR="001E169B" w:rsidRPr="00280B72">
        <w:tab/>
      </w:r>
      <w:r w:rsidR="001E169B">
        <w:tab/>
        <w:t>Eq. (3.2.4.35</w:t>
      </w:r>
      <w:r w:rsidR="001E169B" w:rsidRPr="00280B72">
        <w:t>)</w:t>
      </w:r>
    </w:p>
    <w:p w:rsidR="001E169B" w:rsidRPr="00280B72" w:rsidRDefault="001E169B" w:rsidP="001E169B">
      <w:r>
        <w:t>Nitrogen was mixed</w:t>
      </w:r>
      <w:r w:rsidRPr="00280B72">
        <w:t xml:space="preserve"> with the HF </w:t>
      </w:r>
      <w:r>
        <w:t xml:space="preserve">and </w:t>
      </w:r>
      <w:r w:rsidRPr="00280B72">
        <w:t xml:space="preserve">pre-heated prior </w:t>
      </w:r>
      <w:r>
        <w:t xml:space="preserve">being fed </w:t>
      </w:r>
      <w:r w:rsidRPr="00280B72">
        <w:t xml:space="preserve">to the fluidized bed reactor (Equations </w:t>
      </w:r>
      <w:r>
        <w:t>3.2.4.36</w:t>
      </w:r>
      <w:r w:rsidRPr="00280B72">
        <w:t xml:space="preserve"> and </w:t>
      </w:r>
      <w:r>
        <w:t>3.2.4.37</w:t>
      </w:r>
      <w:r w:rsidRPr="00280B72">
        <w:t>).</w:t>
      </w:r>
    </w:p>
    <w:p w:rsidR="001E169B" w:rsidRPr="00280B72" w:rsidRDefault="00C851DF" w:rsidP="001E169B">
      <w:pPr>
        <w:jc w:val="right"/>
      </w:pPr>
      <m:oMath>
        <m:d>
          <m:dPr>
            <m:ctrlPr>
              <w:rPr>
                <w:rFonts w:ascii="Cambria Math" w:hAnsi="Cambria Math"/>
              </w:rPr>
            </m:ctrlPr>
          </m:dPr>
          <m:e>
            <m:sSub>
              <m:sSubPr>
                <m:ctrlPr>
                  <w:rPr>
                    <w:rFonts w:ascii="Cambria Math" w:hAnsi="Cambria Math"/>
                  </w:rPr>
                </m:ctrlPr>
              </m:sSubPr>
              <m:e>
                <m:r>
                  <w:rPr>
                    <w:rFonts w:ascii="Cambria Math" w:hAnsi="Cambria Math"/>
                  </w:rPr>
                  <m:t>F</m:t>
                </m:r>
              </m:e>
              <m:sub>
                <m:r>
                  <m:rPr>
                    <m:sty m:val="p"/>
                  </m:rPr>
                  <w:rPr>
                    <w:rFonts w:ascii="Cambria Math" w:hAnsi="Cambria Math"/>
                  </w:rPr>
                  <m:t>12</m:t>
                </m:r>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m:rPr>
                    <m:sty m:val="p"/>
                  </m:rPr>
                  <w:rPr>
                    <w:rFonts w:ascii="Cambria Math" w:hAnsi="Cambria Math"/>
                  </w:rPr>
                  <m:t>12</m:t>
                </m:r>
                <m:r>
                  <w:rPr>
                    <w:rFonts w:ascii="Cambria Math" w:hAnsi="Cambria Math"/>
                  </w:rPr>
                  <m:t>A</m:t>
                </m:r>
                <m:r>
                  <m:rPr>
                    <m:sty m:val="p"/>
                  </m:rPr>
                  <w:rPr>
                    <w:rFonts w:ascii="Cambria Math" w:hAnsi="Cambria Math"/>
                  </w:rPr>
                  <m:t>,2</m:t>
                </m:r>
              </m:sub>
            </m:sSub>
            <m:r>
              <m:rPr>
                <m:sty m:val="p"/>
              </m:rPr>
              <w:rPr>
                <w:rFonts w:ascii="Cambria Math" w:hAnsi="Cambria Math"/>
              </w:rPr>
              <m:t>*</m:t>
            </m:r>
            <m:f>
              <m:fPr>
                <m:ctrlPr>
                  <w:rPr>
                    <w:rFonts w:ascii="Cambria Math" w:hAnsi="Cambria Math"/>
                  </w:rPr>
                </m:ctrlPr>
              </m:fPr>
              <m:num>
                <m:r>
                  <m:rPr>
                    <m:sty m:val="p"/>
                  </m:rPr>
                  <w:rPr>
                    <w:rFonts w:ascii="Cambria Math" w:hAnsi="Cambria Math"/>
                  </w:rPr>
                  <m:t>1000</m:t>
                </m:r>
              </m:num>
              <m:den>
                <m:sSub>
                  <m:sSubPr>
                    <m:ctrlPr>
                      <w:rPr>
                        <w:rFonts w:ascii="Cambria Math" w:hAnsi="Cambria Math"/>
                      </w:rPr>
                    </m:ctrlPr>
                  </m:sSubPr>
                  <m:e>
                    <m:r>
                      <w:rPr>
                        <w:rFonts w:ascii="Cambria Math" w:hAnsi="Cambria Math"/>
                      </w:rPr>
                      <m:t>MW</m:t>
                    </m:r>
                  </m:e>
                  <m:sub>
                    <m:r>
                      <m:rPr>
                        <m:sty m:val="p"/>
                      </m:rPr>
                      <w:rPr>
                        <w:rFonts w:ascii="Cambria Math" w:hAnsi="Cambria Math"/>
                      </w:rPr>
                      <m:t>2</m:t>
                    </m:r>
                  </m:sub>
                </m:sSub>
              </m:den>
            </m:f>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41,2</m:t>
            </m:r>
          </m:sub>
        </m:sSub>
        <m:r>
          <m:rPr>
            <m:sty m:val="p"/>
          </m:rPr>
          <w:rPr>
            <w:rFonts w:ascii="Cambria Math" w:hAnsi="Cambria Math"/>
          </w:rPr>
          <m:t>=0</m:t>
        </m:r>
      </m:oMath>
      <w:r w:rsidR="001E169B" w:rsidRPr="00280B72">
        <w:t xml:space="preserve"> </w:t>
      </w:r>
      <w:r w:rsidR="001E169B" w:rsidRPr="00280B72">
        <w:tab/>
      </w:r>
      <w:r w:rsidR="005934E2">
        <w:tab/>
      </w:r>
      <w:r w:rsidR="001E169B" w:rsidRPr="00280B72">
        <w:tab/>
      </w:r>
      <w:r w:rsidR="001E169B">
        <w:t>Eq. (3.2.4.36</w:t>
      </w:r>
      <w:r w:rsidR="001E169B" w:rsidRPr="00280B72">
        <w:t>)</w:t>
      </w:r>
    </w:p>
    <w:p w:rsidR="001E169B" w:rsidRDefault="00C851DF" w:rsidP="001E169B">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40,6</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41,6</m:t>
            </m:r>
          </m:sub>
        </m:sSub>
        <m:r>
          <m:rPr>
            <m:sty m:val="p"/>
          </m:rPr>
          <w:rPr>
            <w:rFonts w:ascii="Cambria Math" w:hAnsi="Cambria Math"/>
          </w:rPr>
          <m:t>=0</m:t>
        </m:r>
      </m:oMath>
      <w:r w:rsidR="001E169B" w:rsidRPr="00280B72">
        <w:t xml:space="preserve"> </w:t>
      </w:r>
      <w:r w:rsidR="001E169B" w:rsidRPr="00280B72">
        <w:tab/>
      </w:r>
      <w:r w:rsidR="001E169B" w:rsidRPr="00280B72">
        <w:tab/>
      </w:r>
      <w:r w:rsidR="001E169B" w:rsidRPr="00280B72">
        <w:tab/>
      </w:r>
      <w:r w:rsidR="001E169B" w:rsidRPr="00280B72">
        <w:tab/>
      </w:r>
      <w:r w:rsidR="001E169B">
        <w:t>Eq. (3.2.4.37</w:t>
      </w:r>
      <w:r w:rsidR="001E169B" w:rsidRPr="00280B72">
        <w:t>)</w:t>
      </w:r>
    </w:p>
    <w:p w:rsidR="001E169B" w:rsidRPr="009D034F" w:rsidRDefault="001E169B" w:rsidP="00E664E4"/>
    <w:p w:rsidR="00E664E4" w:rsidRPr="009D034F" w:rsidRDefault="00E664E4" w:rsidP="00E664E4">
      <w:pPr>
        <w:jc w:val="center"/>
      </w:pPr>
      <w:r w:rsidRPr="009D034F">
        <w:object w:dxaOrig="5217" w:dyaOrig="2019">
          <v:shape id="_x0000_i1045" type="#_x0000_t75" style="width:260.9pt;height:100.4pt" o:ole="">
            <v:imagedata r:id="rId67" o:title=""/>
          </v:shape>
          <o:OLEObject Type="Embed" ProgID="Visio.Drawing.11" ShapeID="_x0000_i1045" DrawAspect="Content" ObjectID="_1445525570" r:id="rId68"/>
        </w:object>
      </w:r>
    </w:p>
    <w:p w:rsidR="00E664E4" w:rsidRPr="00280B72" w:rsidRDefault="00E664E4" w:rsidP="00E664E4">
      <w:pPr>
        <w:jc w:val="center"/>
        <w:rPr>
          <w:b/>
          <w:sz w:val="20"/>
          <w:szCs w:val="20"/>
        </w:rPr>
      </w:pPr>
      <w:r w:rsidRPr="009D034F">
        <w:rPr>
          <w:b/>
          <w:sz w:val="20"/>
          <w:szCs w:val="20"/>
        </w:rPr>
        <w:t xml:space="preserve">Figure 3.23. Block Diagram of the Module 4D </w:t>
      </w:r>
      <w:r w:rsidR="004045DF">
        <w:rPr>
          <w:b/>
          <w:sz w:val="20"/>
          <w:szCs w:val="20"/>
        </w:rPr>
        <w:t>Showing Input and Output Streams</w:t>
      </w:r>
      <w:r w:rsidRPr="009D034F">
        <w:rPr>
          <w:b/>
          <w:sz w:val="20"/>
          <w:szCs w:val="20"/>
        </w:rPr>
        <w:t>.</w:t>
      </w:r>
    </w:p>
    <w:p w:rsidR="00E664E4" w:rsidRPr="00280B72" w:rsidRDefault="00E664E4" w:rsidP="00E664E4"/>
    <w:p w:rsidR="00E664E4" w:rsidRDefault="00E664E4" w:rsidP="00E664E4">
      <w:pPr>
        <w:rPr>
          <w:rFonts w:asciiTheme="majorHAnsi" w:hAnsiTheme="majorHAnsi"/>
          <w:b/>
          <w:i/>
        </w:rPr>
      </w:pPr>
      <w:r>
        <w:rPr>
          <w:rFonts w:asciiTheme="majorHAnsi" w:hAnsiTheme="majorHAnsi"/>
          <w:b/>
          <w:i/>
        </w:rPr>
        <w:lastRenderedPageBreak/>
        <w:t>3.2.4</w:t>
      </w:r>
      <w:r w:rsidRPr="00C26992">
        <w:rPr>
          <w:rFonts w:asciiTheme="majorHAnsi" w:hAnsiTheme="majorHAnsi"/>
          <w:b/>
          <w:i/>
        </w:rPr>
        <w:t>.</w:t>
      </w:r>
      <w:r>
        <w:rPr>
          <w:rFonts w:asciiTheme="majorHAnsi" w:hAnsiTheme="majorHAnsi"/>
          <w:b/>
          <w:i/>
        </w:rPr>
        <w:t>5 Module 4E</w:t>
      </w:r>
    </w:p>
    <w:p w:rsidR="00E664E4" w:rsidRPr="00151F3C" w:rsidRDefault="00E664E4" w:rsidP="00E664E4">
      <w:r>
        <w:t>Module 4E wa</w:t>
      </w:r>
      <w:r w:rsidRPr="00151F3C">
        <w:t xml:space="preserve">s the fluidized bed reactor where </w:t>
      </w:r>
      <w:r>
        <w:t>UO</w:t>
      </w:r>
      <w:r w:rsidRPr="00956F70">
        <w:rPr>
          <w:vertAlign w:val="subscript"/>
        </w:rPr>
        <w:t>2</w:t>
      </w:r>
      <w:r>
        <w:t xml:space="preserve"> wa</w:t>
      </w:r>
      <w:r w:rsidRPr="00151F3C">
        <w:t xml:space="preserve">s </w:t>
      </w:r>
      <w:proofErr w:type="spellStart"/>
      <w:r w:rsidRPr="00151F3C">
        <w:t>hydrofluorinated</w:t>
      </w:r>
      <w:proofErr w:type="spellEnd"/>
      <w:r w:rsidRPr="00151F3C">
        <w:t xml:space="preserve"> in HF to produce UF</w:t>
      </w:r>
      <w:r w:rsidRPr="00151F3C">
        <w:rPr>
          <w:vertAlign w:val="subscript"/>
        </w:rPr>
        <w:t>4</w:t>
      </w:r>
      <w:r w:rsidRPr="00151F3C">
        <w:t xml:space="preserve"> </w:t>
      </w:r>
      <w:r>
        <w:t>(Eq. 3.2.4.</w:t>
      </w:r>
      <w:r w:rsidRPr="00151F3C">
        <w:t>5). The input</w:t>
      </w:r>
      <w:r>
        <w:t>s to Module 4E were</w:t>
      </w:r>
      <w:r w:rsidRPr="00151F3C">
        <w:t xml:space="preserve"> the out</w:t>
      </w:r>
      <w:r>
        <w:t>put of Module 4C and 4D. There wa</w:t>
      </w:r>
      <w:r w:rsidRPr="00151F3C">
        <w:t>s o</w:t>
      </w:r>
      <w:r>
        <w:t>ne output from Module 4E which wa</w:t>
      </w:r>
      <w:r w:rsidRPr="00151F3C">
        <w:t>s the solid UF</w:t>
      </w:r>
      <w:r w:rsidRPr="00151F3C">
        <w:rPr>
          <w:vertAlign w:val="subscript"/>
        </w:rPr>
        <w:t>4</w:t>
      </w:r>
      <w:r w:rsidRPr="00151F3C">
        <w:t>. In an actual plant, approximately 117</w:t>
      </w:r>
      <w:r>
        <w:t> </w:t>
      </w:r>
      <w:r w:rsidRPr="00151F3C">
        <w:t>kg AUC/h is processed with 0.2–2.0% uranium lost to waste streams.</w:t>
      </w:r>
    </w:p>
    <w:p w:rsidR="00E664E4" w:rsidRPr="00151F3C" w:rsidRDefault="00C851DF" w:rsidP="00E664E4">
      <w:pPr>
        <w:jc w:val="right"/>
      </w:pPr>
      <m:oMath>
        <m:sSub>
          <m:sSubPr>
            <m:ctrlPr>
              <w:rPr>
                <w:rFonts w:ascii="Cambria Math" w:hAnsi="Cambria Math"/>
              </w:rPr>
            </m:ctrlPr>
          </m:sSubPr>
          <m:e>
            <m:r>
              <w:rPr>
                <w:rFonts w:ascii="Cambria Math" w:hAnsi="Cambria Math"/>
              </w:rPr>
              <m:t>UO</m:t>
            </m:r>
          </m:e>
          <m:sub>
            <m:r>
              <m:rPr>
                <m:sty m:val="p"/>
              </m:rPr>
              <w:rPr>
                <w:rFonts w:ascii="Cambria Math" w:hAnsi="Cambria Math"/>
              </w:rPr>
              <m:t>2</m:t>
            </m:r>
          </m:sub>
        </m:sSub>
        <m:r>
          <m:rPr>
            <m:sty m:val="p"/>
          </m:rPr>
          <w:rPr>
            <w:rFonts w:ascii="Cambria Math" w:hAnsi="Cambria Math"/>
          </w:rPr>
          <m:t>+4</m:t>
        </m:r>
        <m:r>
          <w:rPr>
            <w:rFonts w:ascii="Cambria Math" w:hAnsi="Cambria Math"/>
          </w:rPr>
          <m:t>HF</m:t>
        </m:r>
        <m:r>
          <m:rPr>
            <m:sty m:val="p"/>
          </m:rPr>
          <w:rPr>
            <w:rFonts w:ascii="Cambria Math" w:hAnsi="Cambria Math"/>
          </w:rPr>
          <m:t>↔</m:t>
        </m:r>
        <m:sSub>
          <m:sSubPr>
            <m:ctrlPr>
              <w:rPr>
                <w:rFonts w:ascii="Cambria Math" w:hAnsi="Cambria Math"/>
              </w:rPr>
            </m:ctrlPr>
          </m:sSubPr>
          <m:e>
            <m:r>
              <w:rPr>
                <w:rFonts w:ascii="Cambria Math" w:hAnsi="Cambria Math"/>
              </w:rPr>
              <m:t>UF</m:t>
            </m:r>
          </m:e>
          <m:sub>
            <m:r>
              <m:rPr>
                <m:sty m:val="p"/>
              </m:rPr>
              <w:rPr>
                <w:rFonts w:ascii="Cambria Math" w:hAnsi="Cambria Math"/>
              </w:rPr>
              <m:t>4</m:t>
            </m:r>
          </m:sub>
        </m:sSub>
        <m:r>
          <m:rPr>
            <m:sty m:val="p"/>
          </m:rPr>
          <w:rPr>
            <w:rFonts w:ascii="Cambria Math" w:hAnsi="Cambria Math"/>
          </w:rPr>
          <m:t>+2</m:t>
        </m:r>
        <m:sSub>
          <m:sSubPr>
            <m:ctrlPr>
              <w:rPr>
                <w:rFonts w:ascii="Cambria Math" w:hAnsi="Cambria Math"/>
              </w:rPr>
            </m:ctrlPr>
          </m:sSubPr>
          <m:e>
            <m:r>
              <w:rPr>
                <w:rFonts w:ascii="Cambria Math" w:hAnsi="Cambria Math"/>
              </w:rPr>
              <m:t>H</m:t>
            </m:r>
          </m:e>
          <m:sub>
            <m:r>
              <m:rPr>
                <m:sty m:val="p"/>
              </m:rPr>
              <w:rPr>
                <w:rFonts w:ascii="Cambria Math" w:hAnsi="Cambria Math"/>
              </w:rPr>
              <m:t>2</m:t>
            </m:r>
          </m:sub>
        </m:sSub>
        <m:r>
          <w:rPr>
            <w:rFonts w:ascii="Cambria Math" w:hAnsi="Cambria Math"/>
          </w:rPr>
          <m:t>O</m:t>
        </m:r>
      </m:oMath>
      <w:r w:rsidR="00E664E4" w:rsidRPr="00151F3C">
        <w:t xml:space="preserve"> </w:t>
      </w:r>
      <w:r w:rsidR="00E664E4" w:rsidRPr="00151F3C">
        <w:tab/>
      </w:r>
      <w:r w:rsidR="00E664E4">
        <w:tab/>
      </w:r>
      <w:r w:rsidR="00E664E4">
        <w:tab/>
      </w:r>
      <w:r w:rsidR="00E664E4" w:rsidRPr="00151F3C">
        <w:tab/>
      </w:r>
      <w:r w:rsidR="00E664E4">
        <w:t>Eq. (3.2.4.</w:t>
      </w:r>
      <w:r w:rsidR="00E664E4" w:rsidRPr="00151F3C">
        <w:t>5)</w:t>
      </w:r>
    </w:p>
    <w:p w:rsidR="001E169B" w:rsidRPr="00151F3C" w:rsidRDefault="00E664E4" w:rsidP="001E169B">
      <w:r w:rsidRPr="009D034F">
        <w:t>Figure 3.24 shows a block diagram of Module 4E with the input and output streams labeled.</w:t>
      </w:r>
      <w:r w:rsidR="005934E2">
        <w:t xml:space="preserve"> </w:t>
      </w:r>
      <w:r w:rsidR="001E169B" w:rsidRPr="00151F3C">
        <w:t xml:space="preserve">Equations </w:t>
      </w:r>
      <w:r w:rsidR="001E169B">
        <w:t>3.2.4.38</w:t>
      </w:r>
      <w:r w:rsidR="001E169B" w:rsidRPr="00151F3C">
        <w:t>–</w:t>
      </w:r>
      <w:r w:rsidR="001E169B">
        <w:t>3.2.4.44</w:t>
      </w:r>
      <w:r w:rsidR="001E169B" w:rsidRPr="00151F3C">
        <w:t xml:space="preserve"> describe the conversion of UO</w:t>
      </w:r>
      <w:r w:rsidR="001E169B" w:rsidRPr="00151F3C">
        <w:rPr>
          <w:vertAlign w:val="subscript"/>
        </w:rPr>
        <w:t>2</w:t>
      </w:r>
      <w:r w:rsidR="001E169B" w:rsidRPr="00151F3C">
        <w:t xml:space="preserve"> to UF</w:t>
      </w:r>
      <w:r w:rsidR="001E169B" w:rsidRPr="00151F3C">
        <w:rPr>
          <w:vertAlign w:val="subscript"/>
        </w:rPr>
        <w:t>4</w:t>
      </w:r>
      <w:r w:rsidR="001E169B" w:rsidRPr="00151F3C">
        <w:t xml:space="preserve"> using </w:t>
      </w:r>
      <w:r w:rsidR="001E169B">
        <w:t>HF, w</w:t>
      </w:r>
      <w:r w:rsidR="001E169B" w:rsidRPr="00151F3C">
        <w:t xml:space="preserve">here </w:t>
      </w:r>
      <m:oMath>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4</m:t>
            </m:r>
            <m:r>
              <w:rPr>
                <w:rFonts w:ascii="Cambria Math" w:hAnsi="Cambria Math"/>
              </w:rPr>
              <m:t>E</m:t>
            </m:r>
            <m:r>
              <m:rPr>
                <m:sty m:val="p"/>
              </m:rPr>
              <w:rPr>
                <w:rFonts w:ascii="Cambria Math" w:hAnsi="Cambria Math"/>
              </w:rPr>
              <m:t>,</m:t>
            </m:r>
            <m:r>
              <w:rPr>
                <w:rFonts w:ascii="Cambria Math" w:hAnsi="Cambria Math"/>
              </w:rPr>
              <m:t>i</m:t>
            </m:r>
          </m:sub>
        </m:sSub>
      </m:oMath>
      <w:r w:rsidR="001E169B">
        <w:t xml:space="preserve"> wa</w:t>
      </w:r>
      <w:proofErr w:type="spellStart"/>
      <w:r w:rsidR="001E169B" w:rsidRPr="00151F3C">
        <w:t>s</w:t>
      </w:r>
      <w:proofErr w:type="spellEnd"/>
      <w:r w:rsidR="001E169B" w:rsidRPr="00151F3C">
        <w:t xml:space="preserve"> the stoichiometric coefficient of the </w:t>
      </w:r>
      <m:oMath>
        <m:r>
          <w:rPr>
            <w:rFonts w:ascii="Cambria Math" w:hAnsi="Cambria Math"/>
          </w:rPr>
          <m:t>i</m:t>
        </m:r>
      </m:oMath>
      <w:r w:rsidR="001E169B" w:rsidRPr="00151F3C">
        <w:t>-</w:t>
      </w:r>
      <w:proofErr w:type="gramStart"/>
      <w:r w:rsidR="001E169B" w:rsidRPr="00151F3C">
        <w:t>th</w:t>
      </w:r>
      <w:proofErr w:type="gramEnd"/>
      <w:r w:rsidR="001E169B" w:rsidRPr="00151F3C">
        <w:t xml:space="preserve"> component of the hydrofluorination reaction and </w:t>
      </w:r>
      <m:oMath>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4</m:t>
            </m:r>
            <m:r>
              <w:rPr>
                <w:rFonts w:ascii="Cambria Math" w:hAnsi="Cambria Math"/>
              </w:rPr>
              <m:t>E</m:t>
            </m:r>
          </m:sub>
        </m:sSub>
      </m:oMath>
      <w:r w:rsidR="001E169B">
        <w:t xml:space="preserve"> wa</w:t>
      </w:r>
      <w:proofErr w:type="spellStart"/>
      <w:r w:rsidR="001E169B" w:rsidRPr="00151F3C">
        <w:t>s</w:t>
      </w:r>
      <w:proofErr w:type="spellEnd"/>
      <w:r w:rsidR="001E169B" w:rsidRPr="00151F3C">
        <w:t xml:space="preserve"> the extent of reaction for the </w:t>
      </w:r>
      <w:proofErr w:type="spellStart"/>
      <w:r w:rsidR="001E169B" w:rsidRPr="00151F3C">
        <w:t>hydrofluorination</w:t>
      </w:r>
      <w:proofErr w:type="spellEnd"/>
      <w:r w:rsidR="001E169B" w:rsidRPr="00151F3C">
        <w:t xml:space="preserve"> reaction in terms of hydrogen fluoride. The stoichiometric coefficients are positive for products and negative for reactants. </w:t>
      </w:r>
    </w:p>
    <w:p w:rsidR="001E169B" w:rsidRPr="00151F3C" w:rsidRDefault="00C851DF" w:rsidP="001E169B">
      <w:pPr>
        <w:jc w:val="right"/>
      </w:pPr>
      <m:oMath>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4</m:t>
                </m:r>
                <m:r>
                  <w:rPr>
                    <w:rFonts w:ascii="Cambria Math" w:hAnsi="Cambria Math"/>
                  </w:rPr>
                  <m:t>E</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4</m:t>
                </m:r>
                <m:r>
                  <w:rPr>
                    <w:rFonts w:ascii="Cambria Math" w:hAnsi="Cambria Math"/>
                  </w:rPr>
                  <m:t>E</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41,6</m:t>
                </m:r>
              </m:sub>
            </m:sSub>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42,1</m:t>
            </m:r>
          </m:sub>
        </m:sSub>
        <m:r>
          <m:rPr>
            <m:sty m:val="p"/>
          </m:rPr>
          <w:rPr>
            <w:rFonts w:ascii="Cambria Math" w:hAnsi="Cambria Math"/>
          </w:rPr>
          <m:t>=0</m:t>
        </m:r>
      </m:oMath>
      <w:r w:rsidR="001E169B" w:rsidRPr="00151F3C">
        <w:t xml:space="preserve"> </w:t>
      </w:r>
      <w:r w:rsidR="001E169B" w:rsidRPr="00151F3C">
        <w:tab/>
      </w:r>
      <w:r w:rsidR="001E169B" w:rsidRPr="00151F3C">
        <w:tab/>
      </w:r>
      <w:r w:rsidR="001E169B" w:rsidRPr="00151F3C">
        <w:tab/>
      </w:r>
      <w:r w:rsidR="001E169B">
        <w:t>Eq. (3.2.4.38</w:t>
      </w:r>
      <w:r w:rsidR="001E169B" w:rsidRPr="00151F3C">
        <w:t>)</w:t>
      </w:r>
    </w:p>
    <w:p w:rsidR="001E169B" w:rsidRPr="00151F3C" w:rsidRDefault="00C851DF" w:rsidP="001E169B">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41,2</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4</m:t>
                </m:r>
                <m:r>
                  <w:rPr>
                    <w:rFonts w:ascii="Cambria Math" w:hAnsi="Cambria Math"/>
                  </w:rPr>
                  <m:t>E</m:t>
                </m:r>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4</m:t>
                </m:r>
                <m:r>
                  <w:rPr>
                    <w:rFonts w:ascii="Cambria Math" w:hAnsi="Cambria Math"/>
                  </w:rPr>
                  <m:t>E</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41,6</m:t>
                </m:r>
              </m:sub>
            </m:sSub>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42,2</m:t>
            </m:r>
          </m:sub>
        </m:sSub>
        <m:r>
          <m:rPr>
            <m:sty m:val="p"/>
          </m:rPr>
          <w:rPr>
            <w:rFonts w:ascii="Cambria Math" w:hAnsi="Cambria Math"/>
          </w:rPr>
          <m:t>=0</m:t>
        </m:r>
      </m:oMath>
      <w:r w:rsidR="001E169B" w:rsidRPr="00151F3C">
        <w:t xml:space="preserve"> </w:t>
      </w:r>
      <w:r w:rsidR="001E169B" w:rsidRPr="00151F3C">
        <w:tab/>
      </w:r>
      <w:r w:rsidR="001E169B" w:rsidRPr="00151F3C">
        <w:tab/>
      </w:r>
      <w:r w:rsidR="001E169B">
        <w:t>Eq. (3.2.4.39</w:t>
      </w:r>
      <w:r w:rsidR="001E169B" w:rsidRPr="00151F3C">
        <w:t>)</w:t>
      </w:r>
    </w:p>
    <w:p w:rsidR="001E169B" w:rsidRPr="00151F3C" w:rsidRDefault="00C851DF" w:rsidP="001E169B">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41,6</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4</m:t>
                </m:r>
                <m:r>
                  <w:rPr>
                    <w:rFonts w:ascii="Cambria Math" w:hAnsi="Cambria Math"/>
                  </w:rPr>
                  <m:t>E</m:t>
                </m:r>
                <m:r>
                  <m:rPr>
                    <m:sty m:val="p"/>
                  </m:rPr>
                  <w:rPr>
                    <w:rFonts w:ascii="Cambria Math" w:hAnsi="Cambria Math"/>
                  </w:rPr>
                  <m:t>,6</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4</m:t>
                </m:r>
                <m:r>
                  <w:rPr>
                    <w:rFonts w:ascii="Cambria Math" w:hAnsi="Cambria Math"/>
                  </w:rPr>
                  <m:t>E</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41,6</m:t>
                </m:r>
              </m:sub>
            </m:sSub>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42,6</m:t>
            </m:r>
          </m:sub>
        </m:sSub>
        <m:r>
          <m:rPr>
            <m:sty m:val="p"/>
          </m:rPr>
          <w:rPr>
            <w:rFonts w:ascii="Cambria Math" w:hAnsi="Cambria Math"/>
          </w:rPr>
          <m:t>=0</m:t>
        </m:r>
      </m:oMath>
      <w:r w:rsidR="001E169B" w:rsidRPr="00151F3C">
        <w:t xml:space="preserve"> </w:t>
      </w:r>
      <w:r w:rsidR="001E169B" w:rsidRPr="00151F3C">
        <w:tab/>
      </w:r>
      <w:r w:rsidR="001E169B" w:rsidRPr="00151F3C">
        <w:tab/>
      </w:r>
      <w:r w:rsidR="001E169B">
        <w:t>Eq. (3.2.4.40</w:t>
      </w:r>
      <w:r w:rsidR="001E169B" w:rsidRPr="00151F3C">
        <w:t>)</w:t>
      </w:r>
    </w:p>
    <w:p w:rsidR="001E169B" w:rsidRPr="00151F3C" w:rsidRDefault="00C851DF" w:rsidP="001E169B">
      <w:pPr>
        <w:jc w:val="right"/>
      </w:pPr>
      <m:oMath>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4</m:t>
                </m:r>
                <m:r>
                  <w:rPr>
                    <w:rFonts w:ascii="Cambria Math" w:hAnsi="Cambria Math"/>
                  </w:rPr>
                  <m:t>E</m:t>
                </m:r>
                <m:r>
                  <m:rPr>
                    <m:sty m:val="p"/>
                  </m:rPr>
                  <w:rPr>
                    <w:rFonts w:ascii="Cambria Math" w:hAnsi="Cambria Math"/>
                  </w:rPr>
                  <m:t>,16</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4</m:t>
                </m:r>
                <m:r>
                  <w:rPr>
                    <w:rFonts w:ascii="Cambria Math" w:hAnsi="Cambria Math"/>
                  </w:rPr>
                  <m:t>E</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41,6</m:t>
                </m:r>
              </m:sub>
            </m:sSub>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42,16</m:t>
            </m:r>
          </m:sub>
        </m:sSub>
        <m:r>
          <m:rPr>
            <m:sty m:val="p"/>
          </m:rPr>
          <w:rPr>
            <w:rFonts w:ascii="Cambria Math" w:hAnsi="Cambria Math"/>
          </w:rPr>
          <m:t>=0</m:t>
        </m:r>
      </m:oMath>
      <w:r w:rsidR="001E169B">
        <w:t xml:space="preserve"> </w:t>
      </w:r>
      <w:r w:rsidR="001E169B">
        <w:tab/>
      </w:r>
      <w:r w:rsidR="001E169B">
        <w:tab/>
      </w:r>
      <w:r w:rsidR="001E169B" w:rsidRPr="00151F3C">
        <w:tab/>
      </w:r>
      <w:r w:rsidR="001E169B">
        <w:t>Eq. (3.2.4.41</w:t>
      </w:r>
      <w:r w:rsidR="001E169B" w:rsidRPr="00151F3C">
        <w:t>)</w:t>
      </w:r>
    </w:p>
    <w:p w:rsidR="001E169B" w:rsidRPr="00151F3C" w:rsidRDefault="00C851DF" w:rsidP="001E169B">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39,17</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4</m:t>
                </m:r>
                <m:r>
                  <w:rPr>
                    <w:rFonts w:ascii="Cambria Math" w:hAnsi="Cambria Math"/>
                  </w:rPr>
                  <m:t>E</m:t>
                </m:r>
                <m:r>
                  <m:rPr>
                    <m:sty m:val="p"/>
                  </m:rPr>
                  <w:rPr>
                    <w:rFonts w:ascii="Cambria Math" w:hAnsi="Cambria Math"/>
                  </w:rPr>
                  <m:t>,17</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4</m:t>
                </m:r>
                <m:r>
                  <w:rPr>
                    <w:rFonts w:ascii="Cambria Math" w:hAnsi="Cambria Math"/>
                  </w:rPr>
                  <m:t>E</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41,6</m:t>
                </m:r>
              </m:sub>
            </m:sSub>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42,17</m:t>
            </m:r>
          </m:sub>
        </m:sSub>
        <m:r>
          <m:rPr>
            <m:sty m:val="p"/>
          </m:rPr>
          <w:rPr>
            <w:rFonts w:ascii="Cambria Math" w:hAnsi="Cambria Math"/>
          </w:rPr>
          <m:t>=0</m:t>
        </m:r>
      </m:oMath>
      <w:r w:rsidR="001E169B" w:rsidRPr="00151F3C">
        <w:t xml:space="preserve"> </w:t>
      </w:r>
      <w:r w:rsidR="001E169B" w:rsidRPr="00151F3C">
        <w:tab/>
      </w:r>
      <w:r w:rsidR="001E169B" w:rsidRPr="00151F3C">
        <w:tab/>
      </w:r>
      <w:r w:rsidR="001E169B">
        <w:t>Eq. (3.2.4.42</w:t>
      </w:r>
      <w:r w:rsidR="001E169B" w:rsidRPr="00151F3C">
        <w:t>)</w:t>
      </w:r>
    </w:p>
    <w:p w:rsidR="001E169B" w:rsidRDefault="00C851DF" w:rsidP="001E169B">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39,18</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4</m:t>
                </m:r>
                <m:r>
                  <w:rPr>
                    <w:rFonts w:ascii="Cambria Math" w:hAnsi="Cambria Math"/>
                  </w:rPr>
                  <m:t>E</m:t>
                </m:r>
                <m:r>
                  <m:rPr>
                    <m:sty m:val="p"/>
                  </m:rPr>
                  <w:rPr>
                    <w:rFonts w:ascii="Cambria Math" w:hAnsi="Cambria Math"/>
                  </w:rPr>
                  <m:t>,18</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4</m:t>
                </m:r>
                <m:r>
                  <w:rPr>
                    <w:rFonts w:ascii="Cambria Math" w:hAnsi="Cambria Math"/>
                  </w:rPr>
                  <m:t>E</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41,6</m:t>
                </m:r>
              </m:sub>
            </m:sSub>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42,18</m:t>
            </m:r>
          </m:sub>
        </m:sSub>
        <m:r>
          <m:rPr>
            <m:sty m:val="p"/>
          </m:rPr>
          <w:rPr>
            <w:rFonts w:ascii="Cambria Math" w:hAnsi="Cambria Math"/>
          </w:rPr>
          <m:t>=0</m:t>
        </m:r>
      </m:oMath>
      <w:r w:rsidR="001E169B" w:rsidRPr="00151F3C">
        <w:t xml:space="preserve"> </w:t>
      </w:r>
      <w:r w:rsidR="001E169B" w:rsidRPr="00151F3C">
        <w:tab/>
      </w:r>
      <w:r w:rsidR="001E169B" w:rsidRPr="00151F3C">
        <w:tab/>
      </w:r>
      <w:r w:rsidR="001E169B">
        <w:t>Eq. (3.2.4.43</w:t>
      </w:r>
      <w:r w:rsidR="001E169B" w:rsidRPr="00151F3C">
        <w:t>)</w:t>
      </w:r>
    </w:p>
    <w:p w:rsidR="005934E2" w:rsidRPr="00151F3C" w:rsidRDefault="00C851DF" w:rsidP="005934E2">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39,19</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4</m:t>
                </m:r>
                <m:r>
                  <w:rPr>
                    <w:rFonts w:ascii="Cambria Math" w:hAnsi="Cambria Math"/>
                  </w:rPr>
                  <m:t>E</m:t>
                </m:r>
                <m:r>
                  <m:rPr>
                    <m:sty m:val="p"/>
                  </m:rPr>
                  <w:rPr>
                    <w:rFonts w:ascii="Cambria Math" w:hAnsi="Cambria Math"/>
                  </w:rPr>
                  <m:t>,19</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4</m:t>
                </m:r>
                <m:r>
                  <w:rPr>
                    <w:rFonts w:ascii="Cambria Math" w:hAnsi="Cambria Math"/>
                  </w:rPr>
                  <m:t>E</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41,6</m:t>
                </m:r>
              </m:sub>
            </m:sSub>
          </m:e>
        </m:d>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42,19</m:t>
            </m:r>
          </m:sub>
        </m:sSub>
        <m:r>
          <m:rPr>
            <m:sty m:val="p"/>
          </m:rPr>
          <w:rPr>
            <w:rFonts w:ascii="Cambria Math" w:hAnsi="Cambria Math"/>
          </w:rPr>
          <m:t>=0</m:t>
        </m:r>
      </m:oMath>
      <w:r w:rsidR="005934E2" w:rsidRPr="00151F3C">
        <w:t xml:space="preserve"> </w:t>
      </w:r>
      <w:r w:rsidR="005934E2" w:rsidRPr="00151F3C">
        <w:tab/>
      </w:r>
      <w:r w:rsidR="005934E2" w:rsidRPr="00151F3C">
        <w:tab/>
      </w:r>
      <w:r w:rsidR="005934E2">
        <w:t>Eq. (3.2.4.44</w:t>
      </w:r>
      <w:r w:rsidR="005934E2" w:rsidRPr="00151F3C">
        <w:t>)</w:t>
      </w:r>
    </w:p>
    <w:p w:rsidR="001E169B" w:rsidRPr="00151F3C" w:rsidRDefault="001E169B" w:rsidP="00E664E4"/>
    <w:p w:rsidR="00E664E4" w:rsidRPr="00151F3C" w:rsidRDefault="00E664E4" w:rsidP="00E664E4">
      <w:pPr>
        <w:jc w:val="center"/>
      </w:pPr>
      <w:r w:rsidRPr="00151F3C">
        <w:object w:dxaOrig="3273" w:dyaOrig="3099">
          <v:shape id="_x0000_i1046" type="#_x0000_t75" style="width:165.15pt;height:154.55pt" o:ole="">
            <v:imagedata r:id="rId69" o:title=""/>
          </v:shape>
          <o:OLEObject Type="Embed" ProgID="Visio.Drawing.11" ShapeID="_x0000_i1046" DrawAspect="Content" ObjectID="_1445525571" r:id="rId70"/>
        </w:object>
      </w:r>
    </w:p>
    <w:p w:rsidR="00E664E4" w:rsidRPr="00151F3C" w:rsidRDefault="00E664E4" w:rsidP="00E664E4">
      <w:pPr>
        <w:jc w:val="center"/>
        <w:rPr>
          <w:b/>
          <w:sz w:val="20"/>
          <w:szCs w:val="20"/>
        </w:rPr>
      </w:pPr>
      <w:r w:rsidRPr="009D034F">
        <w:rPr>
          <w:b/>
          <w:sz w:val="20"/>
          <w:szCs w:val="20"/>
        </w:rPr>
        <w:t xml:space="preserve">Figure 3.24. Block Diagram of the Module 4E </w:t>
      </w:r>
      <w:r w:rsidR="004045DF">
        <w:rPr>
          <w:b/>
          <w:sz w:val="20"/>
          <w:szCs w:val="20"/>
        </w:rPr>
        <w:t>Showing Input and Output Streams</w:t>
      </w:r>
      <w:r w:rsidRPr="009D034F">
        <w:rPr>
          <w:b/>
          <w:sz w:val="20"/>
          <w:szCs w:val="20"/>
        </w:rPr>
        <w:t>.</w:t>
      </w:r>
    </w:p>
    <w:p w:rsidR="00E664E4" w:rsidRPr="00151F3C" w:rsidRDefault="00E664E4" w:rsidP="00E664E4">
      <w:r w:rsidRPr="00151F3C">
        <w:lastRenderedPageBreak/>
        <w:t xml:space="preserve">According to Nicole et al. 1996, “the kinetics of the transformation of uranium dioxide to uranium </w:t>
      </w:r>
      <w:proofErr w:type="spellStart"/>
      <w:r w:rsidRPr="00151F3C">
        <w:t>tetrafluoride</w:t>
      </w:r>
      <w:proofErr w:type="spellEnd"/>
      <w:r w:rsidRPr="00151F3C">
        <w:t xml:space="preserve"> by </w:t>
      </w:r>
      <w:proofErr w:type="spellStart"/>
      <w:r w:rsidRPr="00151F3C">
        <w:t>hydrofluorination</w:t>
      </w:r>
      <w:proofErr w:type="spellEnd"/>
      <w:r w:rsidRPr="00151F3C">
        <w:t xml:space="preserve"> have been studied with the aid of </w:t>
      </w:r>
      <w:proofErr w:type="spellStart"/>
      <w:r w:rsidRPr="00151F3C">
        <w:t>thermogravimetric</w:t>
      </w:r>
      <w:proofErr w:type="spellEnd"/>
      <w:r w:rsidRPr="00151F3C">
        <w:t xml:space="preserve"> experiments performed at </w:t>
      </w:r>
      <w:r>
        <w:t>temperatures from 220 to 450°</w:t>
      </w:r>
      <w:r w:rsidRPr="00151F3C">
        <w:t>C in a nitrogen-diluted hydrogen fluoride atmosphere.” The Grainy Pellet Model coupled with an optimization program was used to determine the reaction rate. The reaction rate was determined to be first order with respect to hydrogen fluoride. The reaction rate constant varies with temperature in the range 220–</w:t>
      </w:r>
      <w:r>
        <w:t>450°</w:t>
      </w:r>
      <w:r w:rsidRPr="00151F3C">
        <w:t>C according to an Arrhenius law, with an activation energy of 25</w:t>
      </w:r>
      <w:r>
        <w:t> </w:t>
      </w:r>
      <w:r w:rsidRPr="00151F3C">
        <w:t>kJ/</w:t>
      </w:r>
      <w:proofErr w:type="spellStart"/>
      <w:r w:rsidRPr="00151F3C">
        <w:t>mol</w:t>
      </w:r>
      <w:proofErr w:type="spellEnd"/>
      <w:r w:rsidRPr="00151F3C">
        <w:t>, and a frequency factor of 5.88 x 10</w:t>
      </w:r>
      <w:r w:rsidRPr="00151F3C">
        <w:rPr>
          <w:vertAlign w:val="superscript"/>
        </w:rPr>
        <w:t>-3</w:t>
      </w:r>
      <w:r>
        <w:t> </w:t>
      </w:r>
      <w:r w:rsidRPr="00151F3C">
        <w:t>m/s. Additionally, it follows a chemical or intermediate regime, depending on the pellet diameter. Diffusion in the bulk of the small grains comprising the pellets is not rate-controlling. It was also shown that the ideal pellet size in the industrial process is of the order of 1</w:t>
      </w:r>
      <w:r>
        <w:t> </w:t>
      </w:r>
      <w:r w:rsidRPr="00151F3C">
        <w:t>mm</w:t>
      </w:r>
      <w:r>
        <w:t xml:space="preserve"> in diameter</w:t>
      </w:r>
      <w:r w:rsidRPr="00151F3C">
        <w:t>.</w:t>
      </w:r>
    </w:p>
    <w:p w:rsidR="00E664E4" w:rsidRDefault="00E664E4" w:rsidP="00E664E4">
      <w:r>
        <w:t>The following discussion wa</w:t>
      </w:r>
      <w:r w:rsidRPr="00151F3C">
        <w:t>s taken from Nicole et al. 1996. The Grainy Pellet Model assumes the pellets to be composed of initially non-porous grains of identical shape and size. The shrinking core model is applied locally to each grain within the pellet. As the reaction progresses, a layer of solid product forms around the shrinking core of reactant. Mass transport involves several mechanisms: transfer from the bulk of the gas to the pellet surface, followed by diffusion between the grains composing the pellet (</w:t>
      </w:r>
      <w:proofErr w:type="spellStart"/>
      <w:r w:rsidRPr="00151F3C">
        <w:t>intergranular</w:t>
      </w:r>
      <w:proofErr w:type="spellEnd"/>
      <w:r w:rsidRPr="00151F3C">
        <w:t xml:space="preserve"> diffusion) and diffusion from the grain surface to the reaction front (</w:t>
      </w:r>
      <w:proofErr w:type="spellStart"/>
      <w:r w:rsidRPr="00151F3C">
        <w:t>intragranular</w:t>
      </w:r>
      <w:proofErr w:type="spellEnd"/>
      <w:r w:rsidRPr="00151F3C">
        <w:t xml:space="preserve"> diffusion), and the chemical reaction itself at the interface between the layer of reaction product and the shrinking core of solid reactant. The overall reaction kinetics are determined by the slowest of these steps, known as the rate-controlling mechanism(s). </w:t>
      </w:r>
    </w:p>
    <w:p w:rsidR="00E664E4" w:rsidRPr="00151F3C" w:rsidRDefault="00E664E4" w:rsidP="00E664E4">
      <w:r w:rsidRPr="00151F3C">
        <w:t>Nicole et al. 1996 makes the following simplifying assumptions:</w:t>
      </w:r>
    </w:p>
    <w:p w:rsidR="00E664E4" w:rsidRPr="00151F3C" w:rsidRDefault="00E664E4" w:rsidP="00E664E4">
      <w:pPr>
        <w:pStyle w:val="ListParagraph"/>
        <w:numPr>
          <w:ilvl w:val="0"/>
          <w:numId w:val="10"/>
        </w:numPr>
      </w:pPr>
      <w:r w:rsidRPr="00151F3C">
        <w:t>Pseudo-steady-state approximation is appropriate for describing the concentration of the gaseous species within the pellet. This assumption is valid whenever the ratio C</w:t>
      </w:r>
      <w:r w:rsidRPr="00151F3C">
        <w:rPr>
          <w:vertAlign w:val="subscript"/>
        </w:rPr>
        <w:t>A</w:t>
      </w:r>
      <w:r w:rsidRPr="00151F3C">
        <w:t>/C</w:t>
      </w:r>
      <w:r w:rsidRPr="00151F3C">
        <w:rPr>
          <w:vertAlign w:val="subscript"/>
        </w:rPr>
        <w:t>B</w:t>
      </w:r>
      <w:r w:rsidRPr="00151F3C">
        <w:t xml:space="preserve"> between the concentrations of the gaseous reactant C</w:t>
      </w:r>
      <w:r w:rsidRPr="00151F3C">
        <w:rPr>
          <w:vertAlign w:val="subscript"/>
        </w:rPr>
        <w:t>A</w:t>
      </w:r>
      <w:r w:rsidRPr="00151F3C">
        <w:t xml:space="preserve"> and the solid reactant C</w:t>
      </w:r>
      <w:r w:rsidRPr="00151F3C">
        <w:rPr>
          <w:vertAlign w:val="subscript"/>
        </w:rPr>
        <w:t>B</w:t>
      </w:r>
      <w:r w:rsidRPr="00151F3C">
        <w:t xml:space="preserve"> remains small, which is verified in most gas-solid systems.</w:t>
      </w:r>
    </w:p>
    <w:p w:rsidR="00E664E4" w:rsidRPr="00151F3C" w:rsidRDefault="00E664E4" w:rsidP="00E664E4">
      <w:pPr>
        <w:pStyle w:val="ListParagraph"/>
        <w:numPr>
          <w:ilvl w:val="0"/>
          <w:numId w:val="10"/>
        </w:numPr>
      </w:pPr>
      <w:r w:rsidRPr="00151F3C">
        <w:t>The resistance to external transfer is negligible.</w:t>
      </w:r>
    </w:p>
    <w:p w:rsidR="00E664E4" w:rsidRPr="00151F3C" w:rsidRDefault="00E664E4" w:rsidP="00E664E4">
      <w:pPr>
        <w:pStyle w:val="ListParagraph"/>
        <w:numPr>
          <w:ilvl w:val="0"/>
          <w:numId w:val="10"/>
        </w:numPr>
      </w:pPr>
      <w:r w:rsidRPr="00151F3C">
        <w:t xml:space="preserve">The system is isothermal. In spite of the exothermic nature of the reaction, this assumption is justified by the experimental conditions, which involved a small mass of pellets, dilution of the gaseous reactant and a high total gas </w:t>
      </w:r>
      <w:proofErr w:type="spellStart"/>
      <w:r w:rsidRPr="00151F3C">
        <w:t>flowrate</w:t>
      </w:r>
      <w:proofErr w:type="spellEnd"/>
      <w:r w:rsidRPr="00151F3C">
        <w:t xml:space="preserve">. </w:t>
      </w:r>
    </w:p>
    <w:p w:rsidR="00E664E4" w:rsidRPr="00151F3C" w:rsidRDefault="00E664E4" w:rsidP="00E664E4">
      <w:pPr>
        <w:pStyle w:val="ListParagraph"/>
        <w:numPr>
          <w:ilvl w:val="0"/>
          <w:numId w:val="10"/>
        </w:numPr>
      </w:pPr>
      <w:r w:rsidRPr="00151F3C">
        <w:t>The convective flux resulting from non-</w:t>
      </w:r>
      <w:proofErr w:type="spellStart"/>
      <w:r w:rsidRPr="00151F3C">
        <w:t>equimolar</w:t>
      </w:r>
      <w:proofErr w:type="spellEnd"/>
      <w:r w:rsidRPr="00151F3C">
        <w:t xml:space="preserve"> reaction is negligible since reactant and product gases were strongly diluted.</w:t>
      </w:r>
    </w:p>
    <w:p w:rsidR="00E664E4" w:rsidRPr="00151F3C" w:rsidRDefault="00E664E4" w:rsidP="00E664E4">
      <w:pPr>
        <w:pStyle w:val="ListParagraph"/>
        <w:numPr>
          <w:ilvl w:val="0"/>
          <w:numId w:val="10"/>
        </w:numPr>
      </w:pPr>
      <w:r w:rsidRPr="00151F3C">
        <w:t>The reaction is irreversible. Although the reaction is normally reversible, under the conditions employed, involving a</w:t>
      </w:r>
      <w:r>
        <w:t xml:space="preserve"> reaction temperature below 500°</w:t>
      </w:r>
      <w:r w:rsidRPr="00151F3C">
        <w:t xml:space="preserve">C and a gaseous reactant concentration small but well above the equilibrium level, the reverse reaction was negligible. </w:t>
      </w:r>
    </w:p>
    <w:p w:rsidR="00E664E4" w:rsidRPr="00151F3C" w:rsidRDefault="00E664E4" w:rsidP="00E664E4">
      <w:pPr>
        <w:pStyle w:val="ListParagraph"/>
        <w:numPr>
          <w:ilvl w:val="0"/>
          <w:numId w:val="10"/>
        </w:numPr>
      </w:pPr>
      <w:r w:rsidRPr="00151F3C">
        <w:t xml:space="preserve">The chemical reaction has first-order kinetics with respect to gaseous reactant. </w:t>
      </w:r>
    </w:p>
    <w:p w:rsidR="00E664E4" w:rsidRPr="00151F3C" w:rsidRDefault="00E664E4" w:rsidP="00E664E4">
      <w:pPr>
        <w:pStyle w:val="ListParagraph"/>
        <w:numPr>
          <w:ilvl w:val="0"/>
          <w:numId w:val="10"/>
        </w:numPr>
      </w:pPr>
      <w:r w:rsidRPr="00151F3C">
        <w:t>Pellet and grains are spherical.</w:t>
      </w:r>
    </w:p>
    <w:p w:rsidR="00E664E4" w:rsidRPr="00A40240" w:rsidRDefault="00E664E4" w:rsidP="00E664E4">
      <w:r>
        <w:t>The information wa</w:t>
      </w:r>
      <w:r w:rsidRPr="00A40240">
        <w:t>s provided for completeness but was not used in the model.</w:t>
      </w:r>
    </w:p>
    <w:p w:rsidR="00E664E4" w:rsidRDefault="00E664E4" w:rsidP="00E664E4">
      <w:pPr>
        <w:rPr>
          <w:rFonts w:asciiTheme="majorHAnsi" w:hAnsiTheme="majorHAnsi"/>
          <w:b/>
          <w:i/>
        </w:rPr>
      </w:pPr>
      <w:r>
        <w:rPr>
          <w:rFonts w:asciiTheme="majorHAnsi" w:hAnsiTheme="majorHAnsi"/>
          <w:b/>
          <w:i/>
        </w:rPr>
        <w:lastRenderedPageBreak/>
        <w:t>3.2.4</w:t>
      </w:r>
      <w:r w:rsidRPr="00C26992">
        <w:rPr>
          <w:rFonts w:asciiTheme="majorHAnsi" w:hAnsiTheme="majorHAnsi"/>
          <w:b/>
          <w:i/>
        </w:rPr>
        <w:t>.</w:t>
      </w:r>
      <w:r>
        <w:rPr>
          <w:rFonts w:asciiTheme="majorHAnsi" w:hAnsiTheme="majorHAnsi"/>
          <w:b/>
          <w:i/>
        </w:rPr>
        <w:t>6 Module 4F</w:t>
      </w:r>
    </w:p>
    <w:p w:rsidR="00E664E4" w:rsidRDefault="00E664E4" w:rsidP="00E664E4">
      <w:r w:rsidRPr="00AD1F45">
        <w:t>Module 4F include</w:t>
      </w:r>
      <w:r>
        <w:t>d</w:t>
      </w:r>
      <w:r w:rsidRPr="00AD1F45">
        <w:t xml:space="preserve"> the UF</w:t>
      </w:r>
      <w:r w:rsidRPr="00AD1F45">
        <w:rPr>
          <w:vertAlign w:val="subscript"/>
        </w:rPr>
        <w:t>4</w:t>
      </w:r>
      <w:r w:rsidRPr="00AD1F45">
        <w:t xml:space="preserve"> p</w:t>
      </w:r>
      <w:r>
        <w:t>ost-processing equipment which wa</w:t>
      </w:r>
      <w:r w:rsidRPr="00AD1F45">
        <w:t>s a filter, two coolers, and a UF</w:t>
      </w:r>
      <w:r w:rsidRPr="00AD1F45">
        <w:rPr>
          <w:vertAlign w:val="subscript"/>
        </w:rPr>
        <w:t>4</w:t>
      </w:r>
      <w:r w:rsidRPr="00AD1F45">
        <w:t xml:space="preserve"> blender. The input to Module 4F </w:t>
      </w:r>
      <w:r>
        <w:t>wa</w:t>
      </w:r>
      <w:r w:rsidRPr="00AD1F45">
        <w:t xml:space="preserve">s </w:t>
      </w:r>
      <w:r>
        <w:t>the output of Module 4E. There we</w:t>
      </w:r>
      <w:r w:rsidRPr="00AD1F45">
        <w:t xml:space="preserve">re two outputs from Module 4F, one from a </w:t>
      </w:r>
      <w:r w:rsidRPr="009D034F">
        <w:t>cooler and one from the UF</w:t>
      </w:r>
      <w:r w:rsidRPr="009D034F">
        <w:rPr>
          <w:vertAlign w:val="subscript"/>
        </w:rPr>
        <w:t>4</w:t>
      </w:r>
      <w:r w:rsidRPr="009D034F">
        <w:t xml:space="preserve"> blender. Figure 3.25 shows a block diagram of Module 4F with the input</w:t>
      </w:r>
      <w:r w:rsidRPr="00AD1F45">
        <w:t xml:space="preserve"> and output streams labeled. </w:t>
      </w:r>
    </w:p>
    <w:p w:rsidR="001E169B" w:rsidRPr="00AD1F45" w:rsidRDefault="001E169B" w:rsidP="001E169B">
      <w:r w:rsidRPr="00AD1F45">
        <w:t xml:space="preserve">The </w:t>
      </w:r>
      <w:r>
        <w:t>filter separates S</w:t>
      </w:r>
      <w:r w:rsidRPr="00AD1F45">
        <w:t xml:space="preserve">tream 42 into </w:t>
      </w:r>
      <w:r>
        <w:t>two streams. The separation wa</w:t>
      </w:r>
      <w:r w:rsidRPr="00AD1F45">
        <w:t xml:space="preserve">s defined as the fraction that </w:t>
      </w:r>
      <w:r>
        <w:t xml:space="preserve">was sent </w:t>
      </w:r>
      <w:r w:rsidRPr="00AD1F45">
        <w:t xml:space="preserve">to the </w:t>
      </w:r>
      <w:r>
        <w:t>waste stream (S</w:t>
      </w:r>
      <w:r w:rsidRPr="00AD1F45">
        <w:t xml:space="preserve">tream 43) by </w:t>
      </w:r>
      <w:r>
        <w:t>parameter</w:t>
      </w:r>
      <w:proofErr w:type="gramStart"/>
      <w:r w:rsidRPr="00AD1F45">
        <w:t xml:space="preserve">, </w:t>
      </w:r>
      <w:proofErr w:type="gramEnd"/>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4</m:t>
            </m:r>
            <m:r>
              <w:rPr>
                <w:rFonts w:ascii="Cambria Math" w:hAnsi="Cambria Math"/>
              </w:rPr>
              <m:t>F</m:t>
            </m:r>
            <m:r>
              <m:rPr>
                <m:sty m:val="p"/>
              </m:rPr>
              <w:rPr>
                <w:rFonts w:ascii="Cambria Math" w:hAnsi="Cambria Math"/>
              </w:rPr>
              <m:t>,</m:t>
            </m:r>
            <m:r>
              <w:rPr>
                <w:rFonts w:ascii="Cambria Math" w:hAnsi="Cambria Math"/>
              </w:rPr>
              <m:t>i</m:t>
            </m:r>
          </m:sub>
        </m:sSub>
      </m:oMath>
      <w:r w:rsidRPr="00AD1F45">
        <w:t xml:space="preserve">, where each component, </w:t>
      </w:r>
      <m:oMath>
        <m:r>
          <w:rPr>
            <w:rFonts w:ascii="Cambria Math" w:hAnsi="Cambria Math"/>
          </w:rPr>
          <m:t>i</m:t>
        </m:r>
      </m:oMath>
      <w:r>
        <w:t>, had</w:t>
      </w:r>
      <w:r w:rsidRPr="00AD1F45">
        <w:t xml:space="preserve"> a different fractionation. Equations </w:t>
      </w:r>
      <w:r>
        <w:t>3.2.4.45</w:t>
      </w:r>
      <w:r w:rsidRPr="00AD1F45">
        <w:t>–</w:t>
      </w:r>
      <w:r>
        <w:t>3.2.4.51</w:t>
      </w:r>
      <w:r w:rsidRPr="00AD1F45">
        <w:t xml:space="preserve"> </w:t>
      </w:r>
      <w:proofErr w:type="gramStart"/>
      <w:r w:rsidRPr="00AD1F45">
        <w:t>de</w:t>
      </w:r>
      <w:r>
        <w:t>fine</w:t>
      </w:r>
      <w:proofErr w:type="gramEnd"/>
      <w:r>
        <w:t xml:space="preserve"> the separation of St</w:t>
      </w:r>
      <w:r w:rsidRPr="00AD1F45">
        <w:t xml:space="preserve">ream 42 into </w:t>
      </w:r>
      <w:r>
        <w:t>S</w:t>
      </w:r>
      <w:r w:rsidRPr="00AD1F45">
        <w:t>tream 43.</w:t>
      </w:r>
    </w:p>
    <w:p w:rsidR="001E169B" w:rsidRPr="00AD1F45" w:rsidRDefault="00C851DF" w:rsidP="001E169B">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4</m:t>
            </m:r>
            <m:r>
              <w:rPr>
                <w:rFonts w:ascii="Cambria Math" w:hAnsi="Cambria Math"/>
              </w:rPr>
              <m:t>F</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42,1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43,1</m:t>
            </m:r>
          </m:sub>
        </m:sSub>
        <m:r>
          <m:rPr>
            <m:sty m:val="p"/>
          </m:rPr>
          <w:rPr>
            <w:rFonts w:ascii="Cambria Math" w:hAnsi="Cambria Math"/>
          </w:rPr>
          <m:t>=0</m:t>
        </m:r>
      </m:oMath>
      <w:r w:rsidR="001E169B" w:rsidRPr="00AD1F45">
        <w:t xml:space="preserve"> </w:t>
      </w:r>
      <w:r w:rsidR="001E169B" w:rsidRPr="00AD1F45">
        <w:tab/>
      </w:r>
      <w:r w:rsidR="001E169B" w:rsidRPr="00AD1F45">
        <w:tab/>
      </w:r>
      <w:r w:rsidR="001E169B" w:rsidRPr="00AD1F45">
        <w:tab/>
      </w:r>
      <w:r w:rsidR="001E169B" w:rsidRPr="00AD1F45">
        <w:tab/>
      </w:r>
      <w:r w:rsidR="001E169B">
        <w:t>Eq. (3.2.4.45</w:t>
      </w:r>
      <w:r w:rsidR="001E169B" w:rsidRPr="00AD1F45">
        <w:t>)</w:t>
      </w:r>
    </w:p>
    <w:p w:rsidR="001E169B" w:rsidRPr="00AD1F45" w:rsidRDefault="00C851DF" w:rsidP="001E169B">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4</m:t>
            </m:r>
            <m:r>
              <w:rPr>
                <w:rFonts w:ascii="Cambria Math" w:hAnsi="Cambria Math"/>
              </w:rPr>
              <m:t>F</m:t>
            </m:r>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42,2</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43,2</m:t>
            </m:r>
          </m:sub>
        </m:sSub>
        <m:r>
          <m:rPr>
            <m:sty m:val="p"/>
          </m:rPr>
          <w:rPr>
            <w:rFonts w:ascii="Cambria Math" w:hAnsi="Cambria Math"/>
          </w:rPr>
          <m:t>=0</m:t>
        </m:r>
      </m:oMath>
      <w:r w:rsidR="001E169B" w:rsidRPr="00AD1F45">
        <w:t xml:space="preserve"> </w:t>
      </w:r>
      <w:r w:rsidR="001E169B" w:rsidRPr="00AD1F45">
        <w:tab/>
      </w:r>
      <w:r w:rsidR="001E169B" w:rsidRPr="00AD1F45">
        <w:tab/>
      </w:r>
      <w:r w:rsidR="001E169B" w:rsidRPr="00AD1F45">
        <w:tab/>
      </w:r>
      <w:r w:rsidR="001E169B" w:rsidRPr="00AD1F45">
        <w:tab/>
      </w:r>
      <w:r w:rsidR="001E169B">
        <w:t>Eq. (3.2.4.46</w:t>
      </w:r>
      <w:r w:rsidR="001E169B" w:rsidRPr="00AD1F45">
        <w:t>)</w:t>
      </w:r>
    </w:p>
    <w:p w:rsidR="001E169B" w:rsidRPr="00AD1F45" w:rsidRDefault="00C851DF" w:rsidP="001E169B">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4</m:t>
            </m:r>
            <m:r>
              <w:rPr>
                <w:rFonts w:ascii="Cambria Math" w:hAnsi="Cambria Math"/>
              </w:rPr>
              <m:t>F</m:t>
            </m:r>
            <m:r>
              <m:rPr>
                <m:sty m:val="p"/>
              </m:rPr>
              <w:rPr>
                <w:rFonts w:ascii="Cambria Math" w:hAnsi="Cambria Math"/>
              </w:rPr>
              <m:t>,6</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42,6</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43,6</m:t>
            </m:r>
          </m:sub>
        </m:sSub>
        <m:r>
          <m:rPr>
            <m:sty m:val="p"/>
          </m:rPr>
          <w:rPr>
            <w:rFonts w:ascii="Cambria Math" w:hAnsi="Cambria Math"/>
          </w:rPr>
          <m:t>=0</m:t>
        </m:r>
      </m:oMath>
      <w:r w:rsidR="001E169B" w:rsidRPr="00AD1F45">
        <w:t xml:space="preserve"> </w:t>
      </w:r>
      <w:r w:rsidR="001E169B" w:rsidRPr="00AD1F45">
        <w:tab/>
      </w:r>
      <w:r w:rsidR="001E169B" w:rsidRPr="00AD1F45">
        <w:tab/>
      </w:r>
      <w:r w:rsidR="001E169B" w:rsidRPr="00AD1F45">
        <w:tab/>
      </w:r>
      <w:r w:rsidR="001E169B" w:rsidRPr="00AD1F45">
        <w:tab/>
      </w:r>
      <w:r w:rsidR="001E169B">
        <w:t>Eq. (3.2.4.47</w:t>
      </w:r>
      <w:r w:rsidR="001E169B" w:rsidRPr="00AD1F45">
        <w:t>)</w:t>
      </w:r>
    </w:p>
    <w:p w:rsidR="001E169B" w:rsidRPr="00AD1F45" w:rsidRDefault="00C851DF" w:rsidP="001E169B">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4</m:t>
            </m:r>
            <m:r>
              <w:rPr>
                <w:rFonts w:ascii="Cambria Math" w:hAnsi="Cambria Math"/>
              </w:rPr>
              <m:t>F</m:t>
            </m:r>
            <m:r>
              <m:rPr>
                <m:sty m:val="p"/>
              </m:rPr>
              <w:rPr>
                <w:rFonts w:ascii="Cambria Math" w:hAnsi="Cambria Math"/>
              </w:rPr>
              <m:t>,16</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42,16</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43,16</m:t>
            </m:r>
          </m:sub>
        </m:sSub>
        <m:r>
          <m:rPr>
            <m:sty m:val="p"/>
          </m:rPr>
          <w:rPr>
            <w:rFonts w:ascii="Cambria Math" w:hAnsi="Cambria Math"/>
          </w:rPr>
          <m:t>=0</m:t>
        </m:r>
      </m:oMath>
      <w:r w:rsidR="001E169B" w:rsidRPr="00AD1F45">
        <w:t xml:space="preserve"> </w:t>
      </w:r>
      <w:r w:rsidR="001E169B" w:rsidRPr="00AD1F45">
        <w:tab/>
      </w:r>
      <w:r w:rsidR="005934E2">
        <w:tab/>
      </w:r>
      <w:r w:rsidR="001E169B" w:rsidRPr="00AD1F45">
        <w:tab/>
      </w:r>
      <w:r w:rsidR="001E169B" w:rsidRPr="00AD1F45">
        <w:tab/>
      </w:r>
      <w:r w:rsidR="001E169B">
        <w:t>Eq. (3.2.4.48</w:t>
      </w:r>
      <w:r w:rsidR="001E169B" w:rsidRPr="00AD1F45">
        <w:t>)</w:t>
      </w:r>
    </w:p>
    <w:p w:rsidR="001E169B" w:rsidRPr="00AD1F45" w:rsidRDefault="00C851DF" w:rsidP="001E169B">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4</m:t>
            </m:r>
            <m:r>
              <w:rPr>
                <w:rFonts w:ascii="Cambria Math" w:hAnsi="Cambria Math"/>
              </w:rPr>
              <m:t>F</m:t>
            </m:r>
            <m:r>
              <m:rPr>
                <m:sty m:val="p"/>
              </m:rPr>
              <w:rPr>
                <w:rFonts w:ascii="Cambria Math" w:hAnsi="Cambria Math"/>
              </w:rPr>
              <m:t>,17</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42,17</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43,17</m:t>
            </m:r>
          </m:sub>
        </m:sSub>
        <m:r>
          <m:rPr>
            <m:sty m:val="p"/>
          </m:rPr>
          <w:rPr>
            <w:rFonts w:ascii="Cambria Math" w:hAnsi="Cambria Math"/>
          </w:rPr>
          <m:t>=0</m:t>
        </m:r>
      </m:oMath>
      <w:r w:rsidR="001E169B" w:rsidRPr="00AD1F45">
        <w:t xml:space="preserve"> </w:t>
      </w:r>
      <w:r w:rsidR="001E169B" w:rsidRPr="00AD1F45">
        <w:tab/>
      </w:r>
      <w:r w:rsidR="005934E2">
        <w:tab/>
      </w:r>
      <w:r w:rsidR="001E169B" w:rsidRPr="00AD1F45">
        <w:tab/>
      </w:r>
      <w:r w:rsidR="001E169B" w:rsidRPr="00AD1F45">
        <w:tab/>
      </w:r>
      <w:r w:rsidR="00EC3E46">
        <w:t>Eq. (3.2.4.4</w:t>
      </w:r>
      <w:r w:rsidR="001E169B">
        <w:t>9</w:t>
      </w:r>
      <w:r w:rsidR="001E169B" w:rsidRPr="00AD1F45">
        <w:t>)</w:t>
      </w:r>
    </w:p>
    <w:p w:rsidR="001E169B" w:rsidRPr="00AD1F45" w:rsidRDefault="00C851DF" w:rsidP="001E169B">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4</m:t>
            </m:r>
            <m:r>
              <w:rPr>
                <w:rFonts w:ascii="Cambria Math" w:hAnsi="Cambria Math"/>
              </w:rPr>
              <m:t>F</m:t>
            </m:r>
            <m:r>
              <m:rPr>
                <m:sty m:val="p"/>
              </m:rPr>
              <w:rPr>
                <w:rFonts w:ascii="Cambria Math" w:hAnsi="Cambria Math"/>
              </w:rPr>
              <m:t>,18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42,18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43,18</m:t>
            </m:r>
          </m:sub>
        </m:sSub>
        <m:r>
          <m:rPr>
            <m:sty m:val="p"/>
          </m:rPr>
          <w:rPr>
            <w:rFonts w:ascii="Cambria Math" w:hAnsi="Cambria Math"/>
          </w:rPr>
          <m:t>=0</m:t>
        </m:r>
      </m:oMath>
      <w:r w:rsidR="001E169B" w:rsidRPr="00AD1F45">
        <w:t xml:space="preserve"> </w:t>
      </w:r>
      <w:r w:rsidR="001E169B" w:rsidRPr="00AD1F45">
        <w:tab/>
      </w:r>
      <w:r w:rsidR="005934E2">
        <w:tab/>
      </w:r>
      <w:r w:rsidR="001E169B" w:rsidRPr="00AD1F45">
        <w:tab/>
      </w:r>
      <w:r w:rsidR="001E169B" w:rsidRPr="00AD1F45">
        <w:tab/>
      </w:r>
      <w:r w:rsidR="001E169B">
        <w:t>Eq. (3.2.4.50</w:t>
      </w:r>
      <w:r w:rsidR="001E169B" w:rsidRPr="00AD1F45">
        <w:t>)</w:t>
      </w:r>
    </w:p>
    <w:p w:rsidR="001E169B" w:rsidRDefault="00C851DF" w:rsidP="001E169B">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4</m:t>
            </m:r>
            <m:r>
              <w:rPr>
                <w:rFonts w:ascii="Cambria Math" w:hAnsi="Cambria Math"/>
              </w:rPr>
              <m:t>F</m:t>
            </m:r>
            <m:r>
              <m:rPr>
                <m:sty m:val="p"/>
              </m:rPr>
              <w:rPr>
                <w:rFonts w:ascii="Cambria Math" w:hAnsi="Cambria Math"/>
              </w:rPr>
              <m:t>,19</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42,19</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43,19</m:t>
            </m:r>
          </m:sub>
        </m:sSub>
        <m:r>
          <m:rPr>
            <m:sty m:val="p"/>
          </m:rPr>
          <w:rPr>
            <w:rFonts w:ascii="Cambria Math" w:hAnsi="Cambria Math"/>
          </w:rPr>
          <m:t>=0</m:t>
        </m:r>
      </m:oMath>
      <w:r w:rsidR="001E169B" w:rsidRPr="00AD1F45">
        <w:t xml:space="preserve"> </w:t>
      </w:r>
      <w:r w:rsidR="001E169B" w:rsidRPr="00AD1F45">
        <w:tab/>
      </w:r>
      <w:r w:rsidR="001E169B" w:rsidRPr="00AD1F45">
        <w:tab/>
      </w:r>
      <w:r w:rsidR="005934E2">
        <w:tab/>
      </w:r>
      <w:r w:rsidR="001E169B" w:rsidRPr="00AD1F45">
        <w:tab/>
      </w:r>
      <w:r w:rsidR="001E169B">
        <w:t>Eq. (3.2.4.51</w:t>
      </w:r>
      <w:r w:rsidR="001E169B" w:rsidRPr="00AD1F45">
        <w:t>)</w:t>
      </w:r>
    </w:p>
    <w:p w:rsidR="001E169B" w:rsidRPr="00AD1F45" w:rsidRDefault="001E169B" w:rsidP="00E664E4"/>
    <w:p w:rsidR="00E664E4" w:rsidRPr="00AD1F45" w:rsidRDefault="00E664E4" w:rsidP="00E664E4">
      <w:pPr>
        <w:jc w:val="center"/>
      </w:pPr>
      <w:r w:rsidRPr="00AD1F45">
        <w:object w:dxaOrig="6405" w:dyaOrig="2789">
          <v:shape id="_x0000_i1047" type="#_x0000_t75" style="width:321.05pt;height:139.4pt" o:ole="">
            <v:imagedata r:id="rId71" o:title=""/>
          </v:shape>
          <o:OLEObject Type="Embed" ProgID="Visio.Drawing.11" ShapeID="_x0000_i1047" DrawAspect="Content" ObjectID="_1445525572" r:id="rId72"/>
        </w:object>
      </w:r>
    </w:p>
    <w:p w:rsidR="00E664E4" w:rsidRPr="00AD1F45" w:rsidRDefault="00E664E4" w:rsidP="00E664E4">
      <w:pPr>
        <w:jc w:val="center"/>
        <w:rPr>
          <w:b/>
          <w:sz w:val="20"/>
          <w:szCs w:val="20"/>
        </w:rPr>
      </w:pPr>
      <w:r w:rsidRPr="009D034F">
        <w:rPr>
          <w:b/>
          <w:sz w:val="20"/>
          <w:szCs w:val="20"/>
        </w:rPr>
        <w:t xml:space="preserve">Figure 3.25. Block Diagram of the Module 4F </w:t>
      </w:r>
      <w:r w:rsidR="004045DF">
        <w:rPr>
          <w:b/>
          <w:sz w:val="20"/>
          <w:szCs w:val="20"/>
        </w:rPr>
        <w:t>Showing Input and Output Streams</w:t>
      </w:r>
      <w:r w:rsidRPr="009D034F">
        <w:rPr>
          <w:b/>
          <w:sz w:val="20"/>
          <w:szCs w:val="20"/>
        </w:rPr>
        <w:t>.</w:t>
      </w:r>
    </w:p>
    <w:p w:rsidR="001E169B" w:rsidRDefault="001E169B" w:rsidP="00E664E4"/>
    <w:p w:rsidR="005934E2" w:rsidRDefault="005934E2" w:rsidP="00E664E4"/>
    <w:p w:rsidR="00E664E4" w:rsidRDefault="00E664E4" w:rsidP="00E664E4"/>
    <w:p w:rsidR="00B7594C" w:rsidRPr="00AD1F45" w:rsidRDefault="00B7594C" w:rsidP="00B7594C">
      <w:r w:rsidRPr="00AD1F45">
        <w:lastRenderedPageBreak/>
        <w:t xml:space="preserve">Equations </w:t>
      </w:r>
      <w:r>
        <w:t>3.2.4.52</w:t>
      </w:r>
      <w:r w:rsidRPr="00AD1F45">
        <w:t>–</w:t>
      </w:r>
      <w:r>
        <w:t>3.2.4.54</w:t>
      </w:r>
      <w:r w:rsidRPr="00AD1F45">
        <w:t xml:space="preserve"> </w:t>
      </w:r>
      <w:proofErr w:type="gramStart"/>
      <w:r w:rsidRPr="00AD1F45">
        <w:t>calculate</w:t>
      </w:r>
      <w:proofErr w:type="gramEnd"/>
      <w:r w:rsidRPr="00AD1F45">
        <w:t xml:space="preserve"> the component mole balances for </w:t>
      </w:r>
      <w:r>
        <w:t>S</w:t>
      </w:r>
      <w:r w:rsidRPr="00AD1F45">
        <w:t>tream 44.</w:t>
      </w:r>
    </w:p>
    <w:p w:rsidR="00B7594C" w:rsidRPr="00AD1F45" w:rsidRDefault="00C851DF" w:rsidP="00B7594C">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42,16</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43,16</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44,16</m:t>
            </m:r>
          </m:sub>
        </m:sSub>
        <m:r>
          <m:rPr>
            <m:sty m:val="p"/>
          </m:rPr>
          <w:rPr>
            <w:rFonts w:ascii="Cambria Math" w:hAnsi="Cambria Math"/>
          </w:rPr>
          <m:t>=0</m:t>
        </m:r>
      </m:oMath>
      <w:r w:rsidR="00B7594C" w:rsidRPr="00AD1F45">
        <w:t xml:space="preserve"> </w:t>
      </w:r>
      <w:r w:rsidR="00B7594C" w:rsidRPr="00AD1F45">
        <w:tab/>
      </w:r>
      <w:r w:rsidR="00B7594C" w:rsidRPr="00AD1F45">
        <w:tab/>
      </w:r>
      <w:r w:rsidR="00B7594C" w:rsidRPr="00AD1F45">
        <w:tab/>
      </w:r>
      <w:r w:rsidR="00B7594C" w:rsidRPr="00AD1F45">
        <w:tab/>
      </w:r>
      <w:r w:rsidR="00B7594C">
        <w:t>Eq. (3.2.4.52</w:t>
      </w:r>
      <w:r w:rsidR="00B7594C" w:rsidRPr="00AD1F45">
        <w:t>)</w:t>
      </w:r>
    </w:p>
    <w:p w:rsidR="00B7594C" w:rsidRDefault="00C851DF" w:rsidP="00B7594C">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42,17</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43,17</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44,17</m:t>
            </m:r>
          </m:sub>
        </m:sSub>
        <m:r>
          <m:rPr>
            <m:sty m:val="p"/>
          </m:rPr>
          <w:rPr>
            <w:rFonts w:ascii="Cambria Math" w:hAnsi="Cambria Math"/>
          </w:rPr>
          <m:t>=0</m:t>
        </m:r>
      </m:oMath>
      <w:r w:rsidR="00B7594C" w:rsidRPr="00AD1F45">
        <w:t xml:space="preserve"> </w:t>
      </w:r>
      <w:r w:rsidR="00B7594C" w:rsidRPr="00AD1F45">
        <w:tab/>
      </w:r>
      <w:r w:rsidR="00B7594C" w:rsidRPr="00AD1F45">
        <w:tab/>
      </w:r>
      <w:r w:rsidR="00B7594C" w:rsidRPr="00AD1F45">
        <w:tab/>
      </w:r>
      <w:r w:rsidR="00B7594C" w:rsidRPr="00AD1F45">
        <w:tab/>
      </w:r>
      <w:r w:rsidR="00B7594C">
        <w:t>Eq. (3.2.4.53</w:t>
      </w:r>
      <w:r w:rsidR="00B7594C" w:rsidRPr="00AD1F45">
        <w:t>)</w:t>
      </w:r>
    </w:p>
    <w:p w:rsidR="00B7594C" w:rsidRDefault="00C851DF" w:rsidP="00B7594C">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42,18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43,18</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44,18</m:t>
            </m:r>
          </m:sub>
        </m:sSub>
        <m:r>
          <m:rPr>
            <m:sty m:val="p"/>
          </m:rPr>
          <w:rPr>
            <w:rFonts w:ascii="Cambria Math" w:hAnsi="Cambria Math"/>
          </w:rPr>
          <m:t>=0</m:t>
        </m:r>
      </m:oMath>
      <w:r w:rsidR="00B7594C" w:rsidRPr="00AD1F45">
        <w:t xml:space="preserve"> </w:t>
      </w:r>
      <w:r w:rsidR="00B7594C" w:rsidRPr="00AD1F45">
        <w:tab/>
      </w:r>
      <w:r w:rsidR="00B7594C" w:rsidRPr="00AD1F45">
        <w:tab/>
      </w:r>
      <w:r w:rsidR="00B7594C" w:rsidRPr="00AD1F45">
        <w:tab/>
      </w:r>
      <w:r w:rsidR="00B7594C" w:rsidRPr="00AD1F45">
        <w:tab/>
      </w:r>
      <w:r w:rsidR="00B7594C">
        <w:t>Eq. (3.2.4.54</w:t>
      </w:r>
      <w:r w:rsidR="00B7594C" w:rsidRPr="00AD1F45">
        <w:t>)</w:t>
      </w:r>
    </w:p>
    <w:p w:rsidR="00B7594C" w:rsidRPr="00B7594C" w:rsidRDefault="00B7594C" w:rsidP="00B7594C"/>
    <w:p w:rsidR="00E664E4" w:rsidRDefault="00E664E4" w:rsidP="00E664E4">
      <w:pPr>
        <w:rPr>
          <w:rFonts w:asciiTheme="majorHAnsi" w:hAnsiTheme="majorHAnsi"/>
          <w:b/>
          <w:i/>
        </w:rPr>
      </w:pPr>
      <w:r>
        <w:rPr>
          <w:rFonts w:asciiTheme="majorHAnsi" w:hAnsiTheme="majorHAnsi"/>
          <w:b/>
          <w:i/>
        </w:rPr>
        <w:t>3.2.4.7 Module 4: Overall Material Balance</w:t>
      </w:r>
    </w:p>
    <w:p w:rsidR="00E664E4" w:rsidRPr="00950B1A" w:rsidRDefault="00E664E4" w:rsidP="00E664E4">
      <w:r w:rsidRPr="00950B1A">
        <w:t>The streams used for</w:t>
      </w:r>
      <w:r>
        <w:t xml:space="preserve"> the overall material balances we</w:t>
      </w:r>
      <w:r w:rsidRPr="00950B1A">
        <w:t>re those that cross the dark dashed boundary that enclose</w:t>
      </w:r>
      <w:r>
        <w:t>d all of Module 4. There we</w:t>
      </w:r>
      <w:r w:rsidRPr="00950B1A">
        <w:t xml:space="preserve">re </w:t>
      </w:r>
      <w:r>
        <w:t>five</w:t>
      </w:r>
      <w:r w:rsidRPr="00950B1A">
        <w:t xml:space="preserve"> input streams and </w:t>
      </w:r>
      <w:r>
        <w:t>three</w:t>
      </w:r>
      <w:r w:rsidRPr="00950B1A">
        <w:t xml:space="preserve"> output stream</w:t>
      </w:r>
      <w:r>
        <w:t>s</w:t>
      </w:r>
      <w:r w:rsidRPr="00950B1A">
        <w:t xml:space="preserve"> for Modu</w:t>
      </w:r>
      <w:r>
        <w:t>le 4. One of the input streams wa</w:t>
      </w:r>
      <w:r w:rsidRPr="00950B1A">
        <w:t xml:space="preserve">s the output of Module 3 and </w:t>
      </w:r>
      <w:r>
        <w:t>two</w:t>
      </w:r>
      <w:r w:rsidRPr="00950B1A">
        <w:t xml:space="preserve"> of the input</w:t>
      </w:r>
      <w:r>
        <w:t xml:space="preserve"> streams we</w:t>
      </w:r>
      <w:r w:rsidRPr="00950B1A">
        <w:t>re d</w:t>
      </w:r>
      <w:r>
        <w:t>ependent. Additionally, there we</w:t>
      </w:r>
      <w:r w:rsidRPr="00950B1A">
        <w:t>re three reactio</w:t>
      </w:r>
      <w:r>
        <w:t xml:space="preserve">ns in Module 4. The first occurred in the </w:t>
      </w:r>
      <w:proofErr w:type="spellStart"/>
      <w:r>
        <w:t>dissociator</w:t>
      </w:r>
      <w:proofErr w:type="spellEnd"/>
      <w:r>
        <w:t xml:space="preserve"> and wa</w:t>
      </w:r>
      <w:r w:rsidRPr="00950B1A">
        <w:t xml:space="preserve">s described by Eq. </w:t>
      </w:r>
      <w:r>
        <w:t>3.2.4.6</w:t>
      </w:r>
      <w:r w:rsidRPr="00950B1A">
        <w:t>. The second occur</w:t>
      </w:r>
      <w:r>
        <w:t>red</w:t>
      </w:r>
      <w:r w:rsidRPr="00950B1A">
        <w:t xml:space="preserve"> in the </w:t>
      </w:r>
      <w:proofErr w:type="spellStart"/>
      <w:r w:rsidRPr="00950B1A">
        <w:t>calciner</w:t>
      </w:r>
      <w:proofErr w:type="spellEnd"/>
      <w:r w:rsidRPr="00950B1A">
        <w:t xml:space="preserve"> and </w:t>
      </w:r>
      <w:r>
        <w:t>wa</w:t>
      </w:r>
      <w:r w:rsidRPr="00950B1A">
        <w:t xml:space="preserve">s described by Eq. </w:t>
      </w:r>
      <w:r>
        <w:t xml:space="preserve">3.2.4.2. The third occurred </w:t>
      </w:r>
      <w:r w:rsidRPr="00950B1A">
        <w:t xml:space="preserve">in the fluidized bed reactor and </w:t>
      </w:r>
      <w:r>
        <w:t>was described by Eq. 3.2.4.5</w:t>
      </w:r>
      <w:r w:rsidRPr="00950B1A">
        <w:t>.</w:t>
      </w:r>
    </w:p>
    <w:p w:rsidR="00E664E4" w:rsidRDefault="00C851DF" w:rsidP="00E664E4">
      <w:pPr>
        <w:jc w:val="right"/>
      </w:pPr>
      <m:oMath>
        <m:sSub>
          <m:sSubPr>
            <m:ctrlPr>
              <w:rPr>
                <w:rFonts w:ascii="Cambria Math" w:hAnsi="Cambria Math"/>
              </w:rPr>
            </m:ctrlPr>
          </m:sSubPr>
          <m:e>
            <m:r>
              <m:rPr>
                <m:sty m:val="p"/>
              </m:rPr>
              <w:rPr>
                <w:rFonts w:ascii="Cambria Math" w:hAnsi="Cambria Math"/>
              </w:rPr>
              <m:t>2</m:t>
            </m:r>
            <m:r>
              <w:rPr>
                <w:rFonts w:ascii="Cambria Math" w:hAnsi="Cambria Math"/>
              </w:rPr>
              <m:t>NH</m:t>
            </m:r>
          </m:e>
          <m:sub>
            <m:r>
              <m:rPr>
                <m:sty m:val="p"/>
              </m:rP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3</m:t>
            </m:r>
            <m:r>
              <w:rPr>
                <w:rFonts w:ascii="Cambria Math" w:hAnsi="Cambria Math"/>
              </w:rPr>
              <m:t>H</m:t>
            </m:r>
          </m:e>
          <m:sub>
            <m:r>
              <m:rPr>
                <m:sty m:val="p"/>
              </m:rPr>
              <w:rPr>
                <w:rFonts w:ascii="Cambria Math" w:hAnsi="Cambria Math"/>
              </w:rPr>
              <m:t>2</m:t>
            </m:r>
          </m:sub>
        </m:sSub>
      </m:oMath>
      <w:r w:rsidR="00E664E4" w:rsidRPr="00F61D8C">
        <w:t xml:space="preserve">  </w:t>
      </w:r>
      <w:r w:rsidR="00E664E4" w:rsidRPr="00F61D8C">
        <w:tab/>
      </w:r>
      <w:r w:rsidR="00E551A6">
        <w:tab/>
      </w:r>
      <w:r w:rsidR="00E664E4">
        <w:tab/>
      </w:r>
      <w:r w:rsidR="00E664E4" w:rsidRPr="00F61D8C">
        <w:tab/>
      </w:r>
      <w:r w:rsidR="00E664E4">
        <w:t>Eq. (3.2.4.</w:t>
      </w:r>
      <w:r w:rsidR="00E664E4" w:rsidRPr="00F61D8C">
        <w:t>6)</w:t>
      </w:r>
    </w:p>
    <w:p w:rsidR="00E664E4" w:rsidRDefault="00C851DF" w:rsidP="00E664E4">
      <w:pPr>
        <w:jc w:val="right"/>
      </w:pPr>
      <m:oMath>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NH</m:t>
                    </m:r>
                  </m:e>
                  <m:sub>
                    <m:r>
                      <m:rPr>
                        <m:sty m:val="p"/>
                      </m:rPr>
                      <w:rPr>
                        <w:rFonts w:ascii="Cambria Math" w:hAnsi="Cambria Math"/>
                      </w:rPr>
                      <m:t>4</m:t>
                    </m:r>
                  </m:sub>
                </m:sSub>
              </m:e>
            </m:d>
          </m:e>
          <m:sub>
            <m:r>
              <m:rPr>
                <m:sty m:val="p"/>
              </m:rPr>
              <w:rPr>
                <w:rFonts w:ascii="Cambria Math" w:hAnsi="Cambria Math"/>
              </w:rPr>
              <m:t>4</m:t>
            </m:r>
          </m:sub>
        </m:sSub>
        <m:sSub>
          <m:sSubPr>
            <m:ctrlPr>
              <w:rPr>
                <w:rFonts w:ascii="Cambria Math" w:hAnsi="Cambria Math"/>
              </w:rPr>
            </m:ctrlPr>
          </m:sSubPr>
          <m:e>
            <m:r>
              <w:rPr>
                <w:rFonts w:ascii="Cambria Math" w:hAnsi="Cambria Math"/>
              </w:rPr>
              <m:t>UO</m:t>
            </m:r>
          </m:e>
          <m:sub>
            <m:r>
              <m:rPr>
                <m:sty m:val="p"/>
              </m:rPr>
              <w:rPr>
                <w:rFonts w:ascii="Cambria Math" w:hAnsi="Cambria Math"/>
              </w:rPr>
              <m:t>2</m:t>
            </m:r>
          </m:sub>
        </m:sSub>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CO</m:t>
                    </m:r>
                  </m:e>
                  <m:sub>
                    <m:r>
                      <m:rPr>
                        <m:sty m:val="p"/>
                      </m:rPr>
                      <w:rPr>
                        <w:rFonts w:ascii="Cambria Math" w:hAnsi="Cambria Math"/>
                      </w:rPr>
                      <m:t>3</m:t>
                    </m:r>
                  </m:sub>
                </m:sSub>
              </m:e>
            </m:d>
          </m:e>
          <m:sub>
            <m:r>
              <m:rPr>
                <m:sty m:val="p"/>
              </m:rP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H</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UO</m:t>
            </m:r>
          </m:e>
          <m:sub>
            <m:r>
              <m:rPr>
                <m:sty m:val="p"/>
              </m:rPr>
              <w:rPr>
                <w:rFonts w:ascii="Cambria Math" w:hAnsi="Cambria Math"/>
              </w:rPr>
              <m:t>2</m:t>
            </m:r>
          </m:sub>
        </m:sSub>
        <m:r>
          <m:rPr>
            <m:sty m:val="p"/>
          </m:rPr>
          <w:rPr>
            <w:rFonts w:ascii="Cambria Math" w:hAnsi="Cambria Math"/>
          </w:rPr>
          <m:t>+3</m:t>
        </m:r>
        <m:sSub>
          <m:sSubPr>
            <m:ctrlPr>
              <w:rPr>
                <w:rFonts w:ascii="Cambria Math" w:hAnsi="Cambria Math"/>
              </w:rPr>
            </m:ctrlPr>
          </m:sSubPr>
          <m:e>
            <m:r>
              <w:rPr>
                <w:rFonts w:ascii="Cambria Math" w:hAnsi="Cambria Math"/>
              </w:rPr>
              <m:t>H</m:t>
            </m:r>
          </m:e>
          <m:sub>
            <m:r>
              <m:rPr>
                <m:sty m:val="p"/>
              </m:rPr>
              <w:rPr>
                <w:rFonts w:ascii="Cambria Math" w:hAnsi="Cambria Math"/>
              </w:rPr>
              <m:t>2</m:t>
            </m:r>
          </m:sub>
        </m:sSub>
        <m:r>
          <w:rPr>
            <w:rFonts w:ascii="Cambria Math" w:hAnsi="Cambria Math"/>
          </w:rPr>
          <m:t>O</m:t>
        </m:r>
        <m:r>
          <m:rPr>
            <m:sty m:val="p"/>
          </m:rPr>
          <w:rPr>
            <w:rFonts w:ascii="Cambria Math" w:hAnsi="Cambria Math"/>
          </w:rPr>
          <m:t>+4</m:t>
        </m:r>
        <m:sSub>
          <m:sSubPr>
            <m:ctrlPr>
              <w:rPr>
                <w:rFonts w:ascii="Cambria Math" w:hAnsi="Cambria Math"/>
              </w:rPr>
            </m:ctrlPr>
          </m:sSubPr>
          <m:e>
            <m:r>
              <w:rPr>
                <w:rFonts w:ascii="Cambria Math" w:hAnsi="Cambria Math"/>
              </w:rPr>
              <m:t>NH</m:t>
            </m:r>
          </m:e>
          <m:sub>
            <m:r>
              <m:rPr>
                <m:sty m:val="p"/>
              </m:rPr>
              <w:rPr>
                <w:rFonts w:ascii="Cambria Math" w:hAnsi="Cambria Math"/>
              </w:rPr>
              <m:t>3</m:t>
            </m:r>
          </m:sub>
        </m:sSub>
        <m:r>
          <m:rPr>
            <m:sty m:val="p"/>
          </m:rPr>
          <w:rPr>
            <w:rFonts w:ascii="Cambria Math" w:hAnsi="Cambria Math"/>
          </w:rPr>
          <m:t>+3</m:t>
        </m:r>
        <m:sSub>
          <m:sSubPr>
            <m:ctrlPr>
              <w:rPr>
                <w:rFonts w:ascii="Cambria Math" w:hAnsi="Cambria Math"/>
              </w:rPr>
            </m:ctrlPr>
          </m:sSubPr>
          <m:e>
            <m:r>
              <w:rPr>
                <w:rFonts w:ascii="Cambria Math" w:hAnsi="Cambria Math"/>
              </w:rPr>
              <m:t>CO</m:t>
            </m:r>
          </m:e>
          <m:sub>
            <m:r>
              <m:rPr>
                <m:sty m:val="p"/>
              </m:rPr>
              <w:rPr>
                <w:rFonts w:ascii="Cambria Math" w:hAnsi="Cambria Math"/>
              </w:rPr>
              <m:t>2</m:t>
            </m:r>
          </m:sub>
        </m:sSub>
      </m:oMath>
      <w:r w:rsidR="00E664E4" w:rsidRPr="00FF4EC3">
        <w:t xml:space="preserve"> </w:t>
      </w:r>
      <w:r w:rsidR="00E664E4" w:rsidRPr="00FF4EC3">
        <w:tab/>
      </w:r>
      <w:r w:rsidR="00E664E4" w:rsidRPr="00FF4EC3">
        <w:tab/>
      </w:r>
      <w:r w:rsidR="00E664E4">
        <w:t>Eq. (3.2.4.</w:t>
      </w:r>
      <w:r w:rsidR="00E664E4" w:rsidRPr="00FF4EC3">
        <w:t>2)</w:t>
      </w:r>
    </w:p>
    <w:p w:rsidR="00E664E4" w:rsidRPr="00151F3C" w:rsidRDefault="00C851DF" w:rsidP="00E664E4">
      <w:pPr>
        <w:jc w:val="right"/>
      </w:pPr>
      <m:oMath>
        <m:sSub>
          <m:sSubPr>
            <m:ctrlPr>
              <w:rPr>
                <w:rFonts w:ascii="Cambria Math" w:hAnsi="Cambria Math"/>
              </w:rPr>
            </m:ctrlPr>
          </m:sSubPr>
          <m:e>
            <m:r>
              <w:rPr>
                <w:rFonts w:ascii="Cambria Math" w:hAnsi="Cambria Math"/>
              </w:rPr>
              <m:t>UO</m:t>
            </m:r>
          </m:e>
          <m:sub>
            <m:r>
              <m:rPr>
                <m:sty m:val="p"/>
              </m:rPr>
              <w:rPr>
                <w:rFonts w:ascii="Cambria Math" w:hAnsi="Cambria Math"/>
              </w:rPr>
              <m:t>2</m:t>
            </m:r>
          </m:sub>
        </m:sSub>
        <m:r>
          <m:rPr>
            <m:sty m:val="p"/>
          </m:rPr>
          <w:rPr>
            <w:rFonts w:ascii="Cambria Math" w:hAnsi="Cambria Math"/>
          </w:rPr>
          <m:t>+4</m:t>
        </m:r>
        <m:r>
          <w:rPr>
            <w:rFonts w:ascii="Cambria Math" w:hAnsi="Cambria Math"/>
          </w:rPr>
          <m:t>HF</m:t>
        </m:r>
        <m:r>
          <m:rPr>
            <m:sty m:val="p"/>
          </m:rPr>
          <w:rPr>
            <w:rFonts w:ascii="Cambria Math" w:hAnsi="Cambria Math"/>
          </w:rPr>
          <m:t>↔</m:t>
        </m:r>
        <m:sSub>
          <m:sSubPr>
            <m:ctrlPr>
              <w:rPr>
                <w:rFonts w:ascii="Cambria Math" w:hAnsi="Cambria Math"/>
              </w:rPr>
            </m:ctrlPr>
          </m:sSubPr>
          <m:e>
            <m:r>
              <w:rPr>
                <w:rFonts w:ascii="Cambria Math" w:hAnsi="Cambria Math"/>
              </w:rPr>
              <m:t>UF</m:t>
            </m:r>
          </m:e>
          <m:sub>
            <m:r>
              <m:rPr>
                <m:sty m:val="p"/>
              </m:rPr>
              <w:rPr>
                <w:rFonts w:ascii="Cambria Math" w:hAnsi="Cambria Math"/>
              </w:rPr>
              <m:t>4</m:t>
            </m:r>
          </m:sub>
        </m:sSub>
        <m:r>
          <m:rPr>
            <m:sty m:val="p"/>
          </m:rPr>
          <w:rPr>
            <w:rFonts w:ascii="Cambria Math" w:hAnsi="Cambria Math"/>
          </w:rPr>
          <m:t>+2</m:t>
        </m:r>
        <m:sSub>
          <m:sSubPr>
            <m:ctrlPr>
              <w:rPr>
                <w:rFonts w:ascii="Cambria Math" w:hAnsi="Cambria Math"/>
              </w:rPr>
            </m:ctrlPr>
          </m:sSubPr>
          <m:e>
            <m:r>
              <w:rPr>
                <w:rFonts w:ascii="Cambria Math" w:hAnsi="Cambria Math"/>
              </w:rPr>
              <m:t>H</m:t>
            </m:r>
          </m:e>
          <m:sub>
            <m:r>
              <m:rPr>
                <m:sty m:val="p"/>
              </m:rPr>
              <w:rPr>
                <w:rFonts w:ascii="Cambria Math" w:hAnsi="Cambria Math"/>
              </w:rPr>
              <m:t>2</m:t>
            </m:r>
          </m:sub>
        </m:sSub>
        <m:r>
          <w:rPr>
            <w:rFonts w:ascii="Cambria Math" w:hAnsi="Cambria Math"/>
          </w:rPr>
          <m:t>O</m:t>
        </m:r>
      </m:oMath>
      <w:r w:rsidR="00E664E4" w:rsidRPr="00151F3C">
        <w:t xml:space="preserve"> </w:t>
      </w:r>
      <w:r w:rsidR="00E664E4" w:rsidRPr="00151F3C">
        <w:tab/>
      </w:r>
      <w:r w:rsidR="00E664E4">
        <w:tab/>
      </w:r>
      <w:r w:rsidR="00E664E4">
        <w:tab/>
      </w:r>
      <w:r w:rsidR="00E664E4" w:rsidRPr="00151F3C">
        <w:tab/>
      </w:r>
      <w:r w:rsidR="00E664E4">
        <w:t>Eq. (3.2.4.</w:t>
      </w:r>
      <w:r w:rsidR="00E664E4" w:rsidRPr="00151F3C">
        <w:t>5)</w:t>
      </w:r>
    </w:p>
    <w:p w:rsidR="00E664E4" w:rsidRDefault="00E664E4" w:rsidP="00E664E4">
      <w:r w:rsidRPr="00561EF0">
        <w:t xml:space="preserve">The overall component material balances </w:t>
      </w:r>
      <w:r>
        <w:t>for</w:t>
      </w:r>
      <w:r w:rsidRPr="00561EF0">
        <w:t xml:space="preserve"> Module 4 are shown in Equations </w:t>
      </w:r>
      <w:r>
        <w:t>3.2.</w:t>
      </w:r>
      <w:r w:rsidR="00B47812">
        <w:t>4.55</w:t>
      </w:r>
      <w:r w:rsidRPr="00561EF0">
        <w:t>–</w:t>
      </w:r>
      <w:r>
        <w:t>3.2.</w:t>
      </w:r>
      <w:r w:rsidR="00B47812">
        <w:t>4.64</w:t>
      </w:r>
      <w:r>
        <w:t>.</w:t>
      </w:r>
    </w:p>
    <w:p w:rsidR="00E664E4" w:rsidRPr="00561EF0"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30,1</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Mod4B,1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Mod4B</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30,19</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Mod4E,1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Mod4E</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41,6</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38,1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43,1</m:t>
            </m:r>
          </m:sub>
        </m:sSub>
        <m:r>
          <w:rPr>
            <w:rFonts w:ascii="Cambria Math" w:hAnsi="Cambria Math"/>
          </w:rPr>
          <m:t>=0</m:t>
        </m:r>
      </m:oMath>
      <w:r w:rsidR="00E664E4">
        <w:t xml:space="preserve">    Eq. (3.2.</w:t>
      </w:r>
      <w:r w:rsidR="00B47812">
        <w:t>4.55</w:t>
      </w:r>
      <w:r w:rsidR="00E664E4" w:rsidRPr="00561EF0">
        <w:t>)</w:t>
      </w:r>
    </w:p>
    <w:p w:rsidR="00E664E4" w:rsidRPr="00561EF0"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11A,2</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12A,2</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Mod4A,2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Mod4A</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32,3</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38,2</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43,2</m:t>
            </m:r>
          </m:sub>
        </m:sSub>
        <m:r>
          <w:rPr>
            <w:rFonts w:ascii="Cambria Math" w:hAnsi="Cambria Math"/>
          </w:rPr>
          <m:t>=0</m:t>
        </m:r>
      </m:oMath>
      <w:r w:rsidR="00E664E4">
        <w:t xml:space="preserve"> </w:t>
      </w:r>
      <w:r w:rsidR="00E664E4">
        <w:tab/>
        <w:t>Eq. (3.2.</w:t>
      </w:r>
      <w:r w:rsidR="00B47812">
        <w:t>4.56</w:t>
      </w:r>
      <w:r w:rsidR="00E664E4" w:rsidRPr="00561EF0">
        <w:t>)</w:t>
      </w:r>
    </w:p>
    <w:p w:rsidR="00E664E4" w:rsidRPr="00561EF0"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32,3</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Mod4A,3</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Mod4A</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32,3</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Mod4B,3</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Mod4B</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30,19</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38,3</m:t>
            </m:r>
          </m:sub>
        </m:sSub>
        <m:r>
          <w:rPr>
            <w:rFonts w:ascii="Cambria Math" w:hAnsi="Cambria Math"/>
          </w:rPr>
          <m:t>=0</m:t>
        </m:r>
      </m:oMath>
      <w:r w:rsidR="00E664E4">
        <w:t xml:space="preserve"> </w:t>
      </w:r>
      <w:r w:rsidR="00E664E4">
        <w:tab/>
        <w:t>Eq. (3.2.</w:t>
      </w:r>
      <w:r w:rsidR="00B47812">
        <w:t>4.57</w:t>
      </w:r>
      <w:r w:rsidR="00E664E4" w:rsidRPr="00561EF0">
        <w:t>)</w:t>
      </w:r>
    </w:p>
    <w:p w:rsidR="00E664E4" w:rsidRPr="00561EF0" w:rsidRDefault="00C851DF" w:rsidP="00E664E4">
      <w:pPr>
        <w:jc w:val="right"/>
      </w:pPr>
      <m:oMath>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Mod4A,5</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Mod4A</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32,3</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Mod4B,5</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Mod4B</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30,19</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38,5</m:t>
            </m:r>
          </m:sub>
        </m:sSub>
        <m:r>
          <w:rPr>
            <w:rFonts w:ascii="Cambria Math" w:hAnsi="Cambria Math"/>
          </w:rPr>
          <m:t>=0</m:t>
        </m:r>
      </m:oMath>
      <w:r w:rsidR="00E664E4">
        <w:t xml:space="preserve"> </w:t>
      </w:r>
      <w:r w:rsidR="00E664E4">
        <w:tab/>
        <w:t>Eq. (3.2.</w:t>
      </w:r>
      <w:r w:rsidR="00B47812">
        <w:t>4.58</w:t>
      </w:r>
      <w:r w:rsidR="00E664E4" w:rsidRPr="00561EF0">
        <w:t>)</w:t>
      </w:r>
    </w:p>
    <w:p w:rsidR="00E664E4" w:rsidRPr="00561EF0"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40,6</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Mod4E,6</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Mod4E</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41,6</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43,6</m:t>
            </m:r>
          </m:sub>
        </m:sSub>
        <m:r>
          <w:rPr>
            <w:rFonts w:ascii="Cambria Math" w:hAnsi="Cambria Math"/>
          </w:rPr>
          <m:t>=0</m:t>
        </m:r>
      </m:oMath>
      <w:r w:rsidR="00E664E4">
        <w:t xml:space="preserve"> </w:t>
      </w:r>
      <w:r w:rsidR="00E664E4">
        <w:tab/>
      </w:r>
      <w:r w:rsidR="00E664E4">
        <w:tab/>
        <w:t>Eq. (3.2.</w:t>
      </w:r>
      <w:r w:rsidR="00B47812">
        <w:t>4.59</w:t>
      </w:r>
      <w:r w:rsidR="00E664E4" w:rsidRPr="00561EF0">
        <w:t>)</w:t>
      </w:r>
    </w:p>
    <w:p w:rsidR="00E664E4" w:rsidRPr="00561EF0" w:rsidRDefault="00C851DF" w:rsidP="00E664E4">
      <w:pPr>
        <w:jc w:val="right"/>
      </w:pPr>
      <m:oMath>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Mod4B,8</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Mod4B</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30,19</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38,8</m:t>
            </m:r>
          </m:sub>
        </m:sSub>
        <m:r>
          <w:rPr>
            <w:rFonts w:ascii="Cambria Math" w:hAnsi="Cambria Math"/>
          </w:rPr>
          <m:t>=0</m:t>
        </m:r>
      </m:oMath>
      <w:r w:rsidR="00E664E4" w:rsidRPr="00561EF0">
        <w:t xml:space="preserve"> </w:t>
      </w:r>
      <w:r w:rsidR="00E664E4" w:rsidRPr="00561EF0">
        <w:tab/>
      </w:r>
      <w:r w:rsidR="00E664E4" w:rsidRPr="00561EF0">
        <w:tab/>
      </w:r>
      <w:r w:rsidR="00E664E4">
        <w:tab/>
        <w:t>Eq. (3.2.</w:t>
      </w:r>
      <w:r w:rsidR="00BE36F0">
        <w:t>4.6</w:t>
      </w:r>
      <w:r w:rsidR="00B47812">
        <w:t>0</w:t>
      </w:r>
      <w:r w:rsidR="00E664E4" w:rsidRPr="00561EF0">
        <w:t>)</w:t>
      </w:r>
    </w:p>
    <w:p w:rsidR="00E664E4" w:rsidRPr="00561EF0" w:rsidRDefault="00C851DF" w:rsidP="00E664E4">
      <w:pPr>
        <w:jc w:val="right"/>
      </w:pPr>
      <m:oMath>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Mod4E,16</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Mod4E</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41,6</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43,16</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44,16</m:t>
            </m:r>
          </m:sub>
        </m:sSub>
        <m:r>
          <w:rPr>
            <w:rFonts w:ascii="Cambria Math" w:hAnsi="Cambria Math"/>
          </w:rPr>
          <m:t>=0</m:t>
        </m:r>
      </m:oMath>
      <w:r w:rsidR="00E664E4">
        <w:t xml:space="preserve"> </w:t>
      </w:r>
      <w:r w:rsidR="00E664E4">
        <w:tab/>
      </w:r>
      <w:r w:rsidR="00E664E4">
        <w:tab/>
      </w:r>
      <w:r w:rsidR="00E664E4">
        <w:tab/>
        <w:t>Eq. (3.2.</w:t>
      </w:r>
      <w:r w:rsidR="00B47812">
        <w:t>4.61</w:t>
      </w:r>
      <w:r w:rsidR="00E664E4" w:rsidRPr="00561EF0">
        <w:t>)</w:t>
      </w:r>
    </w:p>
    <w:p w:rsidR="00E664E4" w:rsidRPr="00561EF0" w:rsidRDefault="00C851DF" w:rsidP="00E664E4">
      <w:pPr>
        <w:jc w:val="right"/>
      </w:pPr>
      <m:oMath>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Mod4B,17</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Mod4B</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30,19</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Mod4E,17</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Mod4E</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41,6</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43,17</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44,16</m:t>
            </m:r>
          </m:sub>
        </m:sSub>
        <m:r>
          <w:rPr>
            <w:rFonts w:ascii="Cambria Math" w:hAnsi="Cambria Math"/>
          </w:rPr>
          <m:t>=0</m:t>
        </m:r>
      </m:oMath>
      <w:r w:rsidR="00E664E4" w:rsidRPr="00561EF0">
        <w:t xml:space="preserve"> </w:t>
      </w:r>
      <w:r w:rsidR="00E664E4">
        <w:tab/>
        <w:t>Eq. (3.2.</w:t>
      </w:r>
      <w:r w:rsidR="00B47812">
        <w:t>4.62</w:t>
      </w:r>
      <w:r w:rsidR="00E664E4" w:rsidRPr="00561EF0">
        <w:t>)</w:t>
      </w:r>
    </w:p>
    <w:p w:rsidR="00E664E4" w:rsidRPr="00561EF0"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30,18</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Mod4B,18</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Mod4B</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30,19</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43,18</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44,18</m:t>
            </m:r>
          </m:sub>
        </m:sSub>
        <m:r>
          <w:rPr>
            <w:rFonts w:ascii="Cambria Math" w:hAnsi="Cambria Math"/>
          </w:rPr>
          <m:t>=0</m:t>
        </m:r>
      </m:oMath>
      <w:r w:rsidR="00E664E4">
        <w:t xml:space="preserve"> </w:t>
      </w:r>
      <w:r w:rsidR="00E664E4">
        <w:tab/>
      </w:r>
      <w:r w:rsidR="00E664E4">
        <w:tab/>
        <w:t>Eq. (3.2.</w:t>
      </w:r>
      <w:r w:rsidR="00B47812">
        <w:t>4.63</w:t>
      </w:r>
      <w:r w:rsidR="00E664E4" w:rsidRPr="00561EF0">
        <w:t>)</w:t>
      </w:r>
    </w:p>
    <w:p w:rsidR="00E664E4" w:rsidRPr="00561EF0"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30,19</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Mod4B,19</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Mod4B</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30,19</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43,19</m:t>
            </m:r>
          </m:sub>
        </m:sSub>
        <m:r>
          <w:rPr>
            <w:rFonts w:ascii="Cambria Math" w:hAnsi="Cambria Math"/>
          </w:rPr>
          <m:t>=0</m:t>
        </m:r>
      </m:oMath>
      <w:r w:rsidR="00E664E4">
        <w:t xml:space="preserve"> </w:t>
      </w:r>
      <w:r w:rsidR="00E664E4">
        <w:tab/>
      </w:r>
      <w:r w:rsidR="00E664E4">
        <w:tab/>
      </w:r>
      <w:r w:rsidR="00E664E4">
        <w:tab/>
        <w:t>Eq. (3.2.</w:t>
      </w:r>
      <w:r w:rsidR="00B47812">
        <w:t>4.64</w:t>
      </w:r>
      <w:r w:rsidR="00E664E4" w:rsidRPr="00561EF0">
        <w:t>)</w:t>
      </w:r>
    </w:p>
    <w:p w:rsidR="00E664E4" w:rsidRPr="00A40240" w:rsidRDefault="00E664E4" w:rsidP="00E664E4"/>
    <w:p w:rsidR="00E664E4" w:rsidRDefault="00E664E4" w:rsidP="00E664E4">
      <w:pPr>
        <w:rPr>
          <w:rFonts w:asciiTheme="majorHAnsi" w:hAnsiTheme="majorHAnsi"/>
          <w:b/>
        </w:rPr>
      </w:pPr>
      <w:r w:rsidRPr="00C26992">
        <w:rPr>
          <w:rFonts w:asciiTheme="majorHAnsi" w:hAnsiTheme="majorHAnsi"/>
          <w:b/>
        </w:rPr>
        <w:t xml:space="preserve">3.2.5 Module 5: Conversion of </w:t>
      </w:r>
      <w:r>
        <w:rPr>
          <w:rFonts w:asciiTheme="majorHAnsi" w:hAnsiTheme="majorHAnsi"/>
          <w:b/>
        </w:rPr>
        <w:t xml:space="preserve">Uranium </w:t>
      </w:r>
      <w:proofErr w:type="spellStart"/>
      <w:r w:rsidRPr="00C26992">
        <w:rPr>
          <w:rFonts w:asciiTheme="majorHAnsi" w:hAnsiTheme="majorHAnsi"/>
          <w:b/>
        </w:rPr>
        <w:t>Tetrafluoride</w:t>
      </w:r>
      <w:proofErr w:type="spellEnd"/>
      <w:r w:rsidRPr="00C26992">
        <w:rPr>
          <w:rFonts w:asciiTheme="majorHAnsi" w:hAnsiTheme="majorHAnsi"/>
          <w:b/>
        </w:rPr>
        <w:t xml:space="preserve"> to Uranium Hexafluoride</w:t>
      </w:r>
    </w:p>
    <w:p w:rsidR="00E664E4" w:rsidRPr="00840F9C" w:rsidRDefault="00E664E4" w:rsidP="00E664E4">
      <w:r w:rsidRPr="00840F9C">
        <w:t>Uranium hexafluoride is one of the main products of an NUCP. The process that is primarily utilized throughout the world in the production of UF</w:t>
      </w:r>
      <w:r w:rsidRPr="00840F9C">
        <w:rPr>
          <w:vertAlign w:val="subscript"/>
        </w:rPr>
        <w:t>6</w:t>
      </w:r>
      <w:r w:rsidRPr="00840F9C">
        <w:t xml:space="preserve"> is the reaction of UF</w:t>
      </w:r>
      <w:r w:rsidRPr="00840F9C">
        <w:rPr>
          <w:vertAlign w:val="subscript"/>
        </w:rPr>
        <w:t>4</w:t>
      </w:r>
      <w:r w:rsidRPr="00840F9C">
        <w:t xml:space="preserve"> with fluorine gas. </w:t>
      </w:r>
      <w:r>
        <w:t xml:space="preserve">Uranium </w:t>
      </w:r>
      <w:proofErr w:type="spellStart"/>
      <w:r>
        <w:t>tetrafluoride</w:t>
      </w:r>
      <w:proofErr w:type="spellEnd"/>
      <w:r>
        <w:t xml:space="preserve"> </w:t>
      </w:r>
      <w:r w:rsidRPr="00840F9C">
        <w:t>reacts rapidly with fluorine in a highly exothermic reaction to form UF</w:t>
      </w:r>
      <w:r w:rsidRPr="00840F9C">
        <w:rPr>
          <w:vertAlign w:val="subscript"/>
        </w:rPr>
        <w:t>6</w:t>
      </w:r>
      <w:r w:rsidRPr="00840F9C">
        <w:t xml:space="preserve"> according to Eq. </w:t>
      </w:r>
      <w:r>
        <w:t>3.2.5.</w:t>
      </w:r>
      <w:r w:rsidRPr="00840F9C">
        <w:t>1.</w:t>
      </w:r>
    </w:p>
    <w:p w:rsidR="00E664E4" w:rsidRPr="00840F9C" w:rsidRDefault="00C851DF" w:rsidP="00E664E4">
      <w:pPr>
        <w:jc w:val="right"/>
      </w:pPr>
      <m:oMath>
        <m:sSub>
          <m:sSubPr>
            <m:ctrlPr>
              <w:rPr>
                <w:rFonts w:ascii="Cambria Math" w:hAnsi="Cambria Math"/>
                <w:i/>
              </w:rPr>
            </m:ctrlPr>
          </m:sSubPr>
          <m:e>
            <m:r>
              <w:rPr>
                <w:rFonts w:ascii="Cambria Math" w:hAnsi="Cambria Math"/>
              </w:rPr>
              <m:t>UF</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UF</m:t>
            </m:r>
          </m:e>
          <m:sub>
            <m:r>
              <w:rPr>
                <w:rFonts w:ascii="Cambria Math" w:hAnsi="Cambria Math"/>
              </w:rPr>
              <m:t>6</m:t>
            </m:r>
          </m:sub>
        </m:sSub>
        <m:r>
          <w:rPr>
            <w:rFonts w:ascii="Cambria Math" w:hAnsi="Cambria Math"/>
          </w:rPr>
          <m:t>+heat</m:t>
        </m:r>
      </m:oMath>
      <w:r w:rsidR="00E664E4" w:rsidRPr="00840F9C">
        <w:t xml:space="preserve"> </w:t>
      </w:r>
      <w:r w:rsidR="00E664E4" w:rsidRPr="00840F9C">
        <w:tab/>
      </w:r>
      <w:r w:rsidR="00E664E4" w:rsidRPr="00840F9C">
        <w:tab/>
      </w:r>
      <w:r w:rsidR="00E664E4">
        <w:tab/>
      </w:r>
      <w:r w:rsidR="00E664E4">
        <w:tab/>
        <w:t>Eq. (3.2.5.</w:t>
      </w:r>
      <w:r w:rsidR="00E664E4" w:rsidRPr="00840F9C">
        <w:t>1)</w:t>
      </w:r>
    </w:p>
    <w:p w:rsidR="00E664E4" w:rsidRPr="00840F9C" w:rsidRDefault="00E664E4" w:rsidP="00E664E4">
      <w:r w:rsidRPr="00840F9C">
        <w:t>Different types of vessels, such as a tube furnace, a vertical open-pipe reactor (known as a flame tower), or a fluidized bed can be used in th</w:t>
      </w:r>
      <w:r>
        <w:t>e</w:t>
      </w:r>
      <w:r w:rsidRPr="00840F9C">
        <w:t xml:space="preserve"> conversion of UF</w:t>
      </w:r>
      <w:r w:rsidRPr="00840F9C">
        <w:rPr>
          <w:vertAlign w:val="subscript"/>
        </w:rPr>
        <w:t>4</w:t>
      </w:r>
      <w:r w:rsidRPr="00840F9C">
        <w:t xml:space="preserve"> to UF</w:t>
      </w:r>
      <w:r w:rsidRPr="00840F9C">
        <w:rPr>
          <w:vertAlign w:val="subscript"/>
        </w:rPr>
        <w:t>6</w:t>
      </w:r>
      <w:r w:rsidRPr="00840F9C">
        <w:t xml:space="preserve">. Fluorine is an extremely corrosive gas, thus the equipment utilized </w:t>
      </w:r>
      <w:r>
        <w:t xml:space="preserve">must </w:t>
      </w:r>
      <w:r w:rsidRPr="00840F9C">
        <w:t>be fabricated from materials resistant to F</w:t>
      </w:r>
      <w:r w:rsidRPr="00840F9C">
        <w:rPr>
          <w:vertAlign w:val="subscript"/>
        </w:rPr>
        <w:t>2</w:t>
      </w:r>
      <w:r w:rsidRPr="00840F9C">
        <w:t xml:space="preserve"> (e.g., </w:t>
      </w:r>
      <w:proofErr w:type="spellStart"/>
      <w:r w:rsidRPr="00840F9C">
        <w:t>Monel</w:t>
      </w:r>
      <w:proofErr w:type="spellEnd"/>
      <w:r>
        <w:t>®</w:t>
      </w:r>
      <w:r w:rsidRPr="00840F9C">
        <w:t xml:space="preserve">, </w:t>
      </w:r>
      <w:proofErr w:type="spellStart"/>
      <w:r w:rsidRPr="00840F9C">
        <w:t>Hastelloy</w:t>
      </w:r>
      <w:proofErr w:type="spellEnd"/>
      <w:r>
        <w:t>®</w:t>
      </w:r>
      <w:r w:rsidRPr="00840F9C">
        <w:t>, and Inconel</w:t>
      </w:r>
      <w:r>
        <w:t>®</w:t>
      </w:r>
      <w:r w:rsidRPr="00840F9C">
        <w:t xml:space="preserve">). </w:t>
      </w:r>
    </w:p>
    <w:p w:rsidR="00E664E4" w:rsidRPr="00840F9C" w:rsidRDefault="00E664E4" w:rsidP="00E664E4">
      <w:r w:rsidRPr="00840F9C">
        <w:t>If fairly pure U</w:t>
      </w:r>
      <w:r w:rsidRPr="00840F9C">
        <w:rPr>
          <w:vertAlign w:val="subscript"/>
        </w:rPr>
        <w:t>3</w:t>
      </w:r>
      <w:r w:rsidRPr="00840F9C">
        <w:t>O</w:t>
      </w:r>
      <w:r w:rsidRPr="00840F9C">
        <w:rPr>
          <w:vertAlign w:val="subscript"/>
        </w:rPr>
        <w:t>8</w:t>
      </w:r>
      <w:r w:rsidRPr="00840F9C">
        <w:t xml:space="preserve"> and UO</w:t>
      </w:r>
      <w:r w:rsidRPr="00840F9C">
        <w:rPr>
          <w:vertAlign w:val="subscript"/>
        </w:rPr>
        <w:t>3</w:t>
      </w:r>
      <w:r w:rsidRPr="00840F9C">
        <w:t xml:space="preserve"> are available, then one may choose direct fluorination of the oxides for the production of UF</w:t>
      </w:r>
      <w:r w:rsidRPr="00840F9C">
        <w:rPr>
          <w:vertAlign w:val="subscript"/>
        </w:rPr>
        <w:t>6</w:t>
      </w:r>
      <w:r w:rsidRPr="00840F9C">
        <w:t>. Note that direct fluorination of oxides requires significantly more fluorine for conversion than does that required for UF</w:t>
      </w:r>
      <w:r w:rsidRPr="00840F9C">
        <w:rPr>
          <w:vertAlign w:val="subscript"/>
        </w:rPr>
        <w:t>4</w:t>
      </w:r>
      <w:r w:rsidRPr="00840F9C">
        <w:t xml:space="preserve">. The oxide fluorination reactions are shown in Equations </w:t>
      </w:r>
      <w:r>
        <w:t>3.2.5.</w:t>
      </w:r>
      <w:r w:rsidRPr="00840F9C">
        <w:t xml:space="preserve">2 and </w:t>
      </w:r>
      <w:r>
        <w:t>3.2.5.</w:t>
      </w:r>
      <w:r w:rsidRPr="00840F9C">
        <w:t>3.</w:t>
      </w:r>
    </w:p>
    <w:p w:rsidR="00E664E4" w:rsidRPr="00840F9C" w:rsidRDefault="00C851DF" w:rsidP="00E664E4">
      <w:pPr>
        <w:jc w:val="right"/>
      </w:pPr>
      <m:oMath>
        <m:sSub>
          <m:sSubPr>
            <m:ctrlPr>
              <w:rPr>
                <w:rFonts w:ascii="Cambria Math" w:hAnsi="Cambria Math"/>
                <w:i/>
              </w:rPr>
            </m:ctrlPr>
          </m:sSubPr>
          <m:e>
            <m:r>
              <w:rPr>
                <w:rFonts w:ascii="Cambria Math" w:hAnsi="Cambria Math"/>
              </w:rPr>
              <m:t>UO</m:t>
            </m:r>
          </m:e>
          <m:sub>
            <m:r>
              <w:rPr>
                <w:rFonts w:ascii="Cambria Math" w:hAnsi="Cambria Math"/>
              </w:rPr>
              <m:t>3</m:t>
            </m:r>
          </m:sub>
        </m:sSub>
        <m:r>
          <w:rPr>
            <w:rFonts w:ascii="Cambria Math" w:hAnsi="Cambria Math"/>
          </w:rPr>
          <m:t>+3</m:t>
        </m:r>
        <m:sSub>
          <m:sSubPr>
            <m:ctrlPr>
              <w:rPr>
                <w:rFonts w:ascii="Cambria Math" w:hAnsi="Cambria Math"/>
                <w:i/>
              </w:rPr>
            </m:ctrlPr>
          </m:sSubPr>
          <m:e>
            <m:r>
              <w:rPr>
                <w:rFonts w:ascii="Cambria Math" w:hAnsi="Cambria Math"/>
              </w:rPr>
              <m:t>F</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UF</m:t>
            </m:r>
          </m:e>
          <m:sub>
            <m:r>
              <w:rPr>
                <w:rFonts w:ascii="Cambria Math" w:hAnsi="Cambria Math"/>
              </w:rPr>
              <m:t>6</m:t>
            </m:r>
          </m:sub>
        </m:sSub>
        <m:r>
          <w:rPr>
            <w:rFonts w:ascii="Cambria Math" w:hAnsi="Cambria Math"/>
          </w:rPr>
          <m:t>+</m:t>
        </m:r>
        <m:sSub>
          <m:sSubPr>
            <m:ctrlPr>
              <w:rPr>
                <w:rFonts w:ascii="Cambria Math" w:hAnsi="Cambria Math"/>
                <w:i/>
              </w:rPr>
            </m:ctrlPr>
          </m:sSubPr>
          <m:e>
            <m:r>
              <w:rPr>
                <w:rFonts w:ascii="Cambria Math" w:hAnsi="Cambria Math"/>
              </w:rPr>
              <m:t>1.5O</m:t>
            </m:r>
          </m:e>
          <m:sub>
            <m:r>
              <w:rPr>
                <w:rFonts w:ascii="Cambria Math" w:hAnsi="Cambria Math"/>
              </w:rPr>
              <m:t>2</m:t>
            </m:r>
          </m:sub>
        </m:sSub>
        <m:r>
          <w:rPr>
            <w:rFonts w:ascii="Cambria Math" w:hAnsi="Cambria Math"/>
          </w:rPr>
          <m:t>+heat</m:t>
        </m:r>
      </m:oMath>
      <w:r w:rsidR="00E664E4" w:rsidRPr="00840F9C">
        <w:t xml:space="preserve"> </w:t>
      </w:r>
      <w:r w:rsidR="00E664E4" w:rsidRPr="00840F9C">
        <w:tab/>
      </w:r>
      <w:r w:rsidR="00E664E4" w:rsidRPr="00840F9C">
        <w:tab/>
      </w:r>
      <w:r w:rsidR="00E664E4">
        <w:tab/>
        <w:t>Eq. (3.2.5.</w:t>
      </w:r>
      <w:r w:rsidR="00E664E4" w:rsidRPr="00840F9C">
        <w:t>2)</w:t>
      </w:r>
    </w:p>
    <w:p w:rsidR="00E664E4" w:rsidRPr="00840F9C" w:rsidRDefault="00C851DF" w:rsidP="00E664E4">
      <w:pPr>
        <w:jc w:val="right"/>
      </w:pPr>
      <m:oMath>
        <m:sSub>
          <m:sSubPr>
            <m:ctrlPr>
              <w:rPr>
                <w:rFonts w:ascii="Cambria Math" w:hAnsi="Cambria Math"/>
                <w:i/>
              </w:rPr>
            </m:ctrlPr>
          </m:sSubPr>
          <m:e>
            <m:sSub>
              <m:sSubPr>
                <m:ctrlPr>
                  <w:rPr>
                    <w:rFonts w:ascii="Cambria Math" w:hAnsi="Cambria Math"/>
                    <w:i/>
                  </w:rPr>
                </m:ctrlPr>
              </m:sSubPr>
              <m:e>
                <m:r>
                  <w:rPr>
                    <w:rFonts w:ascii="Cambria Math" w:hAnsi="Cambria Math"/>
                  </w:rPr>
                  <m:t>U</m:t>
                </m:r>
              </m:e>
              <m:sub>
                <m:r>
                  <w:rPr>
                    <w:rFonts w:ascii="Cambria Math" w:hAnsi="Cambria Math"/>
                  </w:rPr>
                  <m:t>3</m:t>
                </m:r>
              </m:sub>
            </m:sSub>
            <m:r>
              <w:rPr>
                <w:rFonts w:ascii="Cambria Math" w:hAnsi="Cambria Math"/>
              </w:rPr>
              <m:t>O</m:t>
            </m:r>
          </m:e>
          <m:sub>
            <m:r>
              <w:rPr>
                <w:rFonts w:ascii="Cambria Math" w:hAnsi="Cambria Math"/>
              </w:rPr>
              <m:t>8</m:t>
            </m:r>
          </m:sub>
        </m:sSub>
        <m:r>
          <w:rPr>
            <w:rFonts w:ascii="Cambria Math" w:hAnsi="Cambria Math"/>
          </w:rPr>
          <m:t>+9</m:t>
        </m:r>
        <m:sSub>
          <m:sSubPr>
            <m:ctrlPr>
              <w:rPr>
                <w:rFonts w:ascii="Cambria Math" w:hAnsi="Cambria Math"/>
                <w:i/>
              </w:rPr>
            </m:ctrlPr>
          </m:sSubPr>
          <m:e>
            <m:r>
              <w:rPr>
                <w:rFonts w:ascii="Cambria Math" w:hAnsi="Cambria Math"/>
              </w:rPr>
              <m:t>F</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3UF</m:t>
            </m:r>
          </m:e>
          <m:sub>
            <m:r>
              <w:rPr>
                <w:rFonts w:ascii="Cambria Math" w:hAnsi="Cambria Math"/>
              </w:rPr>
              <m:t>6</m:t>
            </m:r>
          </m:sub>
        </m:sSub>
        <m:r>
          <w:rPr>
            <w:rFonts w:ascii="Cambria Math" w:hAnsi="Cambria Math"/>
          </w:rPr>
          <m:t>+</m:t>
        </m:r>
        <m:sSub>
          <m:sSubPr>
            <m:ctrlPr>
              <w:rPr>
                <w:rFonts w:ascii="Cambria Math" w:hAnsi="Cambria Math"/>
                <w:i/>
              </w:rPr>
            </m:ctrlPr>
          </m:sSubPr>
          <m:e>
            <m:r>
              <w:rPr>
                <w:rFonts w:ascii="Cambria Math" w:hAnsi="Cambria Math"/>
              </w:rPr>
              <m:t>4O</m:t>
            </m:r>
          </m:e>
          <m:sub>
            <m:r>
              <w:rPr>
                <w:rFonts w:ascii="Cambria Math" w:hAnsi="Cambria Math"/>
              </w:rPr>
              <m:t>2</m:t>
            </m:r>
          </m:sub>
        </m:sSub>
        <m:r>
          <w:rPr>
            <w:rFonts w:ascii="Cambria Math" w:hAnsi="Cambria Math"/>
          </w:rPr>
          <m:t>+heat</m:t>
        </m:r>
      </m:oMath>
      <w:r w:rsidR="00E664E4" w:rsidRPr="00840F9C">
        <w:t xml:space="preserve"> </w:t>
      </w:r>
      <w:r w:rsidR="00E664E4" w:rsidRPr="00840F9C">
        <w:tab/>
      </w:r>
      <w:r w:rsidR="00E664E4">
        <w:tab/>
      </w:r>
      <w:r w:rsidR="00E664E4" w:rsidRPr="00840F9C">
        <w:tab/>
      </w:r>
      <w:r w:rsidR="00E664E4">
        <w:t>Eq. (3.2.5.</w:t>
      </w:r>
      <w:r w:rsidR="00E664E4" w:rsidRPr="00840F9C">
        <w:t>3)</w:t>
      </w:r>
    </w:p>
    <w:p w:rsidR="00E664E4" w:rsidRPr="00840F9C" w:rsidRDefault="00E664E4" w:rsidP="00E664E4">
      <w:r w:rsidRPr="00840F9C">
        <w:t>Different types of vessels such as a fixed bed reactor or a fluidized bed containing inert materials (such as calcium fluoride) are used in the conversion of uranium oxides to UF</w:t>
      </w:r>
      <w:r w:rsidRPr="00840F9C">
        <w:rPr>
          <w:vertAlign w:val="subscript"/>
        </w:rPr>
        <w:t>6</w:t>
      </w:r>
      <w:r w:rsidRPr="00840F9C">
        <w:t>. As with UF</w:t>
      </w:r>
      <w:r w:rsidRPr="00840F9C">
        <w:rPr>
          <w:vertAlign w:val="subscript"/>
        </w:rPr>
        <w:t>4</w:t>
      </w:r>
      <w:r w:rsidRPr="00840F9C">
        <w:t xml:space="preserve"> fluorination, the equipment utilized </w:t>
      </w:r>
      <w:r>
        <w:t xml:space="preserve">must </w:t>
      </w:r>
      <w:r w:rsidRPr="00840F9C">
        <w:t>be fabricated from materials resistant to F</w:t>
      </w:r>
      <w:r w:rsidRPr="00840F9C">
        <w:rPr>
          <w:vertAlign w:val="subscript"/>
        </w:rPr>
        <w:t>2</w:t>
      </w:r>
      <w:r w:rsidRPr="00840F9C">
        <w:t xml:space="preserve"> (e.g., </w:t>
      </w:r>
      <w:proofErr w:type="spellStart"/>
      <w:r w:rsidRPr="00840F9C">
        <w:t>Monel</w:t>
      </w:r>
      <w:proofErr w:type="spellEnd"/>
      <w:r>
        <w:t>®</w:t>
      </w:r>
      <w:r w:rsidRPr="00840F9C">
        <w:t xml:space="preserve">, </w:t>
      </w:r>
      <w:proofErr w:type="spellStart"/>
      <w:r w:rsidRPr="00840F9C">
        <w:t>Hastelloy</w:t>
      </w:r>
      <w:proofErr w:type="spellEnd"/>
      <w:r>
        <w:t>®</w:t>
      </w:r>
      <w:r w:rsidRPr="00840F9C">
        <w:t>, and Inconel</w:t>
      </w:r>
      <w:r>
        <w:t>®). This work wa</w:t>
      </w:r>
      <w:r w:rsidRPr="00840F9C">
        <w:t>s limited to the fluorination of UF</w:t>
      </w:r>
      <w:r w:rsidRPr="00840F9C">
        <w:rPr>
          <w:vertAlign w:val="subscript"/>
        </w:rPr>
        <w:t>4</w:t>
      </w:r>
      <w:r w:rsidRPr="00840F9C">
        <w:t xml:space="preserve"> and </w:t>
      </w:r>
      <w:r>
        <w:t>did</w:t>
      </w:r>
      <w:r w:rsidRPr="00840F9C">
        <w:t xml:space="preserve"> not cover oxides.</w:t>
      </w:r>
    </w:p>
    <w:p w:rsidR="00E664E4" w:rsidRDefault="00E664E4" w:rsidP="00E664E4">
      <w:r w:rsidRPr="00840F9C">
        <w:t>Module 5, Conversion of UF</w:t>
      </w:r>
      <w:r w:rsidRPr="00840F9C">
        <w:rPr>
          <w:vertAlign w:val="subscript"/>
        </w:rPr>
        <w:t>4</w:t>
      </w:r>
      <w:r w:rsidRPr="00840F9C">
        <w:t xml:space="preserve"> to UF</w:t>
      </w:r>
      <w:r w:rsidRPr="00840F9C">
        <w:rPr>
          <w:vertAlign w:val="subscript"/>
        </w:rPr>
        <w:t>6</w:t>
      </w:r>
      <w:r w:rsidRPr="00840F9C">
        <w:t>, encompasse</w:t>
      </w:r>
      <w:r>
        <w:t>d</w:t>
      </w:r>
      <w:r w:rsidRPr="00840F9C">
        <w:t xml:space="preserve"> the processes necessary to convert the solid uranium </w:t>
      </w:r>
      <w:proofErr w:type="spellStart"/>
      <w:r w:rsidRPr="00840F9C">
        <w:t>tetrafluoride</w:t>
      </w:r>
      <w:proofErr w:type="spellEnd"/>
      <w:r w:rsidRPr="00840F9C">
        <w:t xml:space="preserve"> to gaseous uranium hexafluoride. Module 5 </w:t>
      </w:r>
      <w:r>
        <w:t>was fur</w:t>
      </w:r>
      <w:r w:rsidRPr="00840F9C">
        <w:t>ther subdivided into six sub-</w:t>
      </w:r>
      <w:r w:rsidRPr="009D034F">
        <w:t xml:space="preserve">modules. The </w:t>
      </w:r>
      <w:proofErr w:type="spellStart"/>
      <w:r w:rsidRPr="009D034F">
        <w:t>flowsheet</w:t>
      </w:r>
      <w:proofErr w:type="spellEnd"/>
      <w:r w:rsidRPr="009D034F">
        <w:t xml:space="preserve"> for Module 5 is shown in Figure 3.26. </w:t>
      </w:r>
    </w:p>
    <w:p w:rsidR="001E169B" w:rsidRPr="00840F9C" w:rsidRDefault="001E169B" w:rsidP="001E169B">
      <w:r w:rsidRPr="009D034F">
        <w:t>Figure 3.26 illustrates the process of fluorination of UF</w:t>
      </w:r>
      <w:r w:rsidRPr="009D034F">
        <w:rPr>
          <w:vertAlign w:val="subscript"/>
        </w:rPr>
        <w:t>4</w:t>
      </w:r>
      <w:r w:rsidRPr="009D034F">
        <w:t xml:space="preserve"> utilizing a flame tower. From the UF</w:t>
      </w:r>
      <w:r w:rsidRPr="009D034F">
        <w:rPr>
          <w:vertAlign w:val="subscript"/>
        </w:rPr>
        <w:t>4</w:t>
      </w:r>
      <w:r w:rsidRPr="009D034F">
        <w:t xml:space="preserve"> feed</w:t>
      </w:r>
      <w:r w:rsidRPr="00840F9C">
        <w:t xml:space="preserve"> hopper (not modeled), UF</w:t>
      </w:r>
      <w:r w:rsidRPr="00840F9C">
        <w:rPr>
          <w:vertAlign w:val="subscript"/>
        </w:rPr>
        <w:t>4</w:t>
      </w:r>
      <w:r>
        <w:t xml:space="preserve"> wa</w:t>
      </w:r>
      <w:r w:rsidRPr="00840F9C">
        <w:t xml:space="preserve">s fed into the flame tower reactor where </w:t>
      </w:r>
      <w:r>
        <w:t xml:space="preserve">it </w:t>
      </w:r>
      <w:r w:rsidRPr="00840F9C">
        <w:t>react</w:t>
      </w:r>
      <w:r>
        <w:t>ed</w:t>
      </w:r>
      <w:r w:rsidRPr="00840F9C">
        <w:t xml:space="preserve"> with the F</w:t>
      </w:r>
      <w:r w:rsidRPr="00840F9C">
        <w:rPr>
          <w:vertAlign w:val="subscript"/>
        </w:rPr>
        <w:t>2</w:t>
      </w:r>
      <w:r w:rsidRPr="00840F9C">
        <w:t xml:space="preserve"> </w:t>
      </w:r>
      <w:r>
        <w:t xml:space="preserve">that was </w:t>
      </w:r>
      <w:r w:rsidRPr="00840F9C">
        <w:t>produced from local electrolytic cells or supplied from F</w:t>
      </w:r>
      <w:r w:rsidRPr="00F973DC">
        <w:rPr>
          <w:vertAlign w:val="subscript"/>
        </w:rPr>
        <w:t>2</w:t>
      </w:r>
      <w:r w:rsidRPr="00840F9C">
        <w:t xml:space="preserve"> bottle storage. The </w:t>
      </w:r>
      <w:r>
        <w:t>fluorine gas was</w:t>
      </w:r>
      <w:r w:rsidRPr="00840F9C">
        <w:t xml:space="preserve"> preheated in the presence of </w:t>
      </w:r>
      <w:r>
        <w:t>nitrogen</w:t>
      </w:r>
      <w:r w:rsidRPr="00840F9C">
        <w:t xml:space="preserve"> to a </w:t>
      </w:r>
      <w:r>
        <w:t>temperature between 300 and 400°</w:t>
      </w:r>
      <w:r w:rsidRPr="00840F9C">
        <w:t>C. Gaseous UF</w:t>
      </w:r>
      <w:r w:rsidRPr="00F973DC">
        <w:rPr>
          <w:vertAlign w:val="subscript"/>
        </w:rPr>
        <w:t>6</w:t>
      </w:r>
      <w:r>
        <w:t xml:space="preserve"> wa</w:t>
      </w:r>
      <w:r w:rsidRPr="00840F9C">
        <w:t>s condensed to a solid in a cold trap. U</w:t>
      </w:r>
      <w:r>
        <w:t>nreacted solids, known as ash, we</w:t>
      </w:r>
      <w:r w:rsidRPr="00840F9C">
        <w:t>re collected at the bottom of the flame tower reactor. The vent stream from the flame reactor c</w:t>
      </w:r>
      <w:r>
        <w:t>ould</w:t>
      </w:r>
      <w:r w:rsidRPr="00840F9C">
        <w:t xml:space="preserve"> contain </w:t>
      </w:r>
      <w:r>
        <w:t>some uranium material. There wa</w:t>
      </w:r>
      <w:r w:rsidRPr="00840F9C">
        <w:t xml:space="preserve">s a </w:t>
      </w:r>
    </w:p>
    <w:p w:rsidR="00E664E4" w:rsidRPr="009D034F" w:rsidRDefault="00E664E4" w:rsidP="00E664E4">
      <w:pPr>
        <w:jc w:val="center"/>
      </w:pPr>
      <w:r w:rsidRPr="009D034F">
        <w:object w:dxaOrig="12600" w:dyaOrig="8012">
          <v:shape id="_x0000_i1048" type="#_x0000_t75" style="width:468.35pt;height:296.6pt" o:ole="">
            <v:imagedata r:id="rId73" o:title=""/>
          </v:shape>
          <o:OLEObject Type="Embed" ProgID="Visio.Drawing.11" ShapeID="_x0000_i1048" DrawAspect="Content" ObjectID="_1445525573" r:id="rId74"/>
        </w:object>
      </w:r>
    </w:p>
    <w:p w:rsidR="00E664E4" w:rsidRPr="009D034F" w:rsidRDefault="00E664E4" w:rsidP="00E664E4">
      <w:pPr>
        <w:jc w:val="center"/>
        <w:rPr>
          <w:b/>
          <w:sz w:val="20"/>
          <w:szCs w:val="20"/>
        </w:rPr>
      </w:pPr>
      <w:r w:rsidRPr="009D034F">
        <w:rPr>
          <w:b/>
          <w:sz w:val="20"/>
          <w:szCs w:val="20"/>
        </w:rPr>
        <w:t>Figure 3.26. Module 5: The Fluorination Process of a Natural Uranium Conversion Plant.</w:t>
      </w:r>
    </w:p>
    <w:p w:rsidR="001E169B" w:rsidRPr="001E169B" w:rsidRDefault="001E169B" w:rsidP="001E169B"/>
    <w:p w:rsidR="001E169B" w:rsidRPr="00840F9C" w:rsidRDefault="001E169B" w:rsidP="001E169B">
      <w:proofErr w:type="gramStart"/>
      <w:r w:rsidRPr="00840F9C">
        <w:t>secondary</w:t>
      </w:r>
      <w:proofErr w:type="gramEnd"/>
      <w:r w:rsidRPr="00840F9C">
        <w:t xml:space="preserve"> flame reactor that</w:t>
      </w:r>
      <w:r>
        <w:t xml:space="preserve"> wa</w:t>
      </w:r>
      <w:r w:rsidRPr="00840F9C">
        <w:t>s used to re</w:t>
      </w:r>
      <w:r>
        <w:t>move</w:t>
      </w:r>
      <w:r w:rsidRPr="00840F9C">
        <w:t xml:space="preserve"> the excess fluorine contained in the primary flame reactor’s off-gas stream</w:t>
      </w:r>
      <w:r>
        <w:t xml:space="preserve"> via reaction with UF</w:t>
      </w:r>
      <w:r w:rsidRPr="00F973DC">
        <w:rPr>
          <w:vertAlign w:val="subscript"/>
        </w:rPr>
        <w:t>4</w:t>
      </w:r>
      <w:r w:rsidRPr="00840F9C">
        <w:t xml:space="preserve">. </w:t>
      </w:r>
    </w:p>
    <w:p w:rsidR="00E664E4" w:rsidRPr="00840F9C" w:rsidRDefault="00E664E4" w:rsidP="00E664E4">
      <w:r>
        <w:t>Uranium hexafluoride collected in the cold traps wa</w:t>
      </w:r>
      <w:r w:rsidRPr="00840F9C">
        <w:t>s heated to increase the UF</w:t>
      </w:r>
      <w:r w:rsidRPr="00F973DC">
        <w:rPr>
          <w:vertAlign w:val="subscript"/>
        </w:rPr>
        <w:t>6</w:t>
      </w:r>
      <w:r w:rsidRPr="00840F9C">
        <w:t xml:space="preserve"> temperature above the triple point, and the liquid UF</w:t>
      </w:r>
      <w:r w:rsidRPr="00F973DC">
        <w:rPr>
          <w:vertAlign w:val="subscript"/>
        </w:rPr>
        <w:t>6</w:t>
      </w:r>
      <w:r>
        <w:t xml:space="preserve"> wa</w:t>
      </w:r>
      <w:r w:rsidRPr="00840F9C">
        <w:t>s gravity drained into UF</w:t>
      </w:r>
      <w:r w:rsidRPr="00F973DC">
        <w:rPr>
          <w:vertAlign w:val="subscript"/>
        </w:rPr>
        <w:t>6</w:t>
      </w:r>
      <w:r w:rsidRPr="00840F9C">
        <w:t xml:space="preserve"> </w:t>
      </w:r>
      <w:r>
        <w:t>cylinders. After the cylinders we</w:t>
      </w:r>
      <w:r w:rsidRPr="00840F9C">
        <w:t>re filled to the appropriate level, the</w:t>
      </w:r>
      <w:r>
        <w:t xml:space="preserve"> cylinders we</w:t>
      </w:r>
      <w:r w:rsidRPr="00840F9C">
        <w:t>re disconnected from the process and moved to a storage pad for the liquid UF</w:t>
      </w:r>
      <w:r w:rsidRPr="00F973DC">
        <w:rPr>
          <w:vertAlign w:val="subscript"/>
        </w:rPr>
        <w:t>6</w:t>
      </w:r>
      <w:r w:rsidRPr="00840F9C">
        <w:t xml:space="preserve"> to cool to a solid before ship</w:t>
      </w:r>
      <w:r>
        <w:t>ment</w:t>
      </w:r>
      <w:r w:rsidRPr="00840F9C">
        <w:t xml:space="preserve">. The waste streams </w:t>
      </w:r>
      <w:r>
        <w:t>we</w:t>
      </w:r>
      <w:r w:rsidRPr="00840F9C">
        <w:t>re relatively low, 0.1% to 0.2%.</w:t>
      </w:r>
    </w:p>
    <w:p w:rsidR="00DC329E" w:rsidRPr="001E169B" w:rsidRDefault="00DC329E" w:rsidP="001E169B"/>
    <w:p w:rsidR="00E664E4" w:rsidRDefault="00E664E4" w:rsidP="00E664E4">
      <w:pPr>
        <w:rPr>
          <w:rFonts w:asciiTheme="majorHAnsi" w:hAnsiTheme="majorHAnsi"/>
          <w:b/>
          <w:i/>
        </w:rPr>
      </w:pPr>
      <w:r>
        <w:rPr>
          <w:rFonts w:asciiTheme="majorHAnsi" w:hAnsiTheme="majorHAnsi"/>
          <w:b/>
          <w:i/>
        </w:rPr>
        <w:t>3.2.5</w:t>
      </w:r>
      <w:r w:rsidRPr="00C26992">
        <w:rPr>
          <w:rFonts w:asciiTheme="majorHAnsi" w:hAnsiTheme="majorHAnsi"/>
          <w:b/>
          <w:i/>
        </w:rPr>
        <w:t>.</w:t>
      </w:r>
      <w:r>
        <w:rPr>
          <w:rFonts w:asciiTheme="majorHAnsi" w:hAnsiTheme="majorHAnsi"/>
          <w:b/>
          <w:i/>
        </w:rPr>
        <w:t>1 Module 5A</w:t>
      </w:r>
    </w:p>
    <w:p w:rsidR="00E664E4" w:rsidRDefault="00E664E4" w:rsidP="00E664E4">
      <w:r w:rsidRPr="00F973DC">
        <w:t>Module 5A include</w:t>
      </w:r>
      <w:r>
        <w:t>d</w:t>
      </w:r>
      <w:r w:rsidRPr="00F973DC">
        <w:t xml:space="preserve"> the stream splitter, a mixer, and the gas pre-heater. The stream splitter </w:t>
      </w:r>
      <w:r>
        <w:t xml:space="preserve">was used to </w:t>
      </w:r>
      <w:r w:rsidRPr="00F973DC">
        <w:t>send a fraction of the incoming UF</w:t>
      </w:r>
      <w:r w:rsidRPr="00F973DC">
        <w:rPr>
          <w:vertAlign w:val="subscript"/>
        </w:rPr>
        <w:t>4</w:t>
      </w:r>
      <w:r w:rsidRPr="00F973DC">
        <w:t xml:space="preserve"> further down the process for secondary reaction that remove</w:t>
      </w:r>
      <w:r>
        <w:t>d</w:t>
      </w:r>
      <w:r w:rsidRPr="00F973DC">
        <w:t xml:space="preserve"> excess </w:t>
      </w:r>
      <w:r w:rsidRPr="009D034F">
        <w:t>fluorine from the process. The input</w:t>
      </w:r>
      <w:r>
        <w:t>s</w:t>
      </w:r>
      <w:r w:rsidRPr="009D034F">
        <w:t xml:space="preserve"> to Module 5A </w:t>
      </w:r>
      <w:r>
        <w:t>were</w:t>
      </w:r>
      <w:r w:rsidRPr="009D034F">
        <w:t xml:space="preserve"> the UF</w:t>
      </w:r>
      <w:r w:rsidRPr="009D034F">
        <w:rPr>
          <w:vertAlign w:val="subscript"/>
        </w:rPr>
        <w:t>4</w:t>
      </w:r>
      <w:r w:rsidRPr="009D034F">
        <w:t xml:space="preserve"> product stream from Module 4, </w:t>
      </w:r>
      <w:r w:rsidRPr="009D034F">
        <w:lastRenderedPageBreak/>
        <w:t xml:space="preserve">fluorine, and nitrogen. There </w:t>
      </w:r>
      <w:r>
        <w:t>we</w:t>
      </w:r>
      <w:r w:rsidRPr="009D034F">
        <w:t xml:space="preserve">re two output streams from Module 5A. Figure 3.27 shows a block diagram of Module 5A with the input and output streams labeled. </w:t>
      </w:r>
    </w:p>
    <w:p w:rsidR="00002CAE" w:rsidRPr="00F973DC" w:rsidRDefault="00002CAE" w:rsidP="00002CAE">
      <w:r w:rsidRPr="009D034F">
        <w:t xml:space="preserve">The splitter separation </w:t>
      </w:r>
      <w:r>
        <w:t>wa</w:t>
      </w:r>
      <w:r w:rsidRPr="009D034F">
        <w:t xml:space="preserve">s defined as the fraction that </w:t>
      </w:r>
      <w:r>
        <w:t xml:space="preserve">was sent </w:t>
      </w:r>
      <w:r w:rsidRPr="009D034F">
        <w:t xml:space="preserve">to the secondary reactor from the input stream by </w:t>
      </w:r>
      <w:r>
        <w:t>parameter</w:t>
      </w:r>
      <w:proofErr w:type="gramStart"/>
      <w:r w:rsidRPr="009D034F">
        <w:t xml:space="preserve">, </w:t>
      </w:r>
      <w:proofErr w:type="gramEnd"/>
      <m:oMath>
        <m:sSub>
          <m:sSubPr>
            <m:ctrlPr>
              <w:rPr>
                <w:rFonts w:ascii="Cambria Math" w:hAnsi="Cambria Math"/>
                <w:i/>
              </w:rPr>
            </m:ctrlPr>
          </m:sSubPr>
          <m:e>
            <m:r>
              <w:rPr>
                <w:rFonts w:ascii="Cambria Math" w:hAnsi="Cambria Math"/>
              </w:rPr>
              <m:t>S</m:t>
            </m:r>
          </m:e>
          <m:sub>
            <m:r>
              <w:rPr>
                <w:rFonts w:ascii="Cambria Math" w:hAnsi="Cambria Math"/>
              </w:rPr>
              <m:t>Mod5A</m:t>
            </m:r>
          </m:sub>
        </m:sSub>
      </m:oMath>
      <w:r w:rsidRPr="009D034F">
        <w:t xml:space="preserve">. Equations 3.2.5.4–3.2.5.6 </w:t>
      </w:r>
      <w:proofErr w:type="gramStart"/>
      <w:r w:rsidRPr="009D034F">
        <w:t>define</w:t>
      </w:r>
      <w:proofErr w:type="gramEnd"/>
      <w:r w:rsidRPr="009D034F">
        <w:t xml:space="preserve"> the separation of Stream 44 into</w:t>
      </w:r>
      <w:r w:rsidRPr="00F973DC">
        <w:t xml:space="preserve"> </w:t>
      </w:r>
      <w:r>
        <w:t>S</w:t>
      </w:r>
      <w:r w:rsidRPr="00F973DC">
        <w:t>tream 45</w:t>
      </w:r>
      <w:r>
        <w:t>.</w:t>
      </w:r>
    </w:p>
    <w:p w:rsidR="00002CAE" w:rsidRPr="00F973DC" w:rsidRDefault="00002CAE" w:rsidP="00002CAE">
      <w:pPr>
        <w:jc w:val="right"/>
      </w:pPr>
      <m:oMath>
        <m:sSub>
          <m:sSubPr>
            <m:ctrlPr>
              <w:rPr>
                <w:rFonts w:ascii="Cambria Math" w:hAnsi="Cambria Math"/>
                <w:i/>
              </w:rPr>
            </m:ctrlPr>
          </m:sSubPr>
          <m:e>
            <m:r>
              <w:rPr>
                <w:rFonts w:ascii="Cambria Math" w:hAnsi="Cambria Math"/>
              </w:rPr>
              <m:t>S</m:t>
            </m:r>
          </m:e>
          <m:sub>
            <m:r>
              <w:rPr>
                <w:rFonts w:ascii="Cambria Math" w:hAnsi="Cambria Math"/>
              </w:rPr>
              <m:t>Mod5A</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44,16</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45,16</m:t>
            </m:r>
          </m:sub>
        </m:sSub>
        <m:r>
          <w:rPr>
            <w:rFonts w:ascii="Cambria Math" w:hAnsi="Cambria Math"/>
          </w:rPr>
          <m:t>=0</m:t>
        </m:r>
      </m:oMath>
      <w:r w:rsidRPr="00F973DC">
        <w:t xml:space="preserve">   </w:t>
      </w:r>
      <w:r w:rsidRPr="00F973DC">
        <w:tab/>
      </w:r>
      <w:r w:rsidRPr="00F973DC">
        <w:tab/>
      </w:r>
      <w:r w:rsidRPr="00F973DC">
        <w:tab/>
      </w:r>
      <w:r w:rsidRPr="00F973DC">
        <w:tab/>
      </w:r>
      <w:r>
        <w:t>Eq. (3.2.5.</w:t>
      </w:r>
      <w:r w:rsidRPr="00F973DC">
        <w:t>4)</w:t>
      </w:r>
    </w:p>
    <w:p w:rsidR="00002CAE" w:rsidRPr="00F973DC" w:rsidRDefault="00002CAE" w:rsidP="00002CAE">
      <w:pPr>
        <w:jc w:val="right"/>
      </w:pPr>
      <m:oMath>
        <m:sSub>
          <m:sSubPr>
            <m:ctrlPr>
              <w:rPr>
                <w:rFonts w:ascii="Cambria Math" w:hAnsi="Cambria Math"/>
                <w:i/>
              </w:rPr>
            </m:ctrlPr>
          </m:sSubPr>
          <m:e>
            <m:r>
              <w:rPr>
                <w:rFonts w:ascii="Cambria Math" w:hAnsi="Cambria Math"/>
              </w:rPr>
              <m:t>S</m:t>
            </m:r>
          </m:e>
          <m:sub>
            <m:r>
              <w:rPr>
                <w:rFonts w:ascii="Cambria Math" w:hAnsi="Cambria Math"/>
              </w:rPr>
              <m:t>Mod5A</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44,17</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45,17</m:t>
            </m:r>
          </m:sub>
        </m:sSub>
        <m:r>
          <w:rPr>
            <w:rFonts w:ascii="Cambria Math" w:hAnsi="Cambria Math"/>
          </w:rPr>
          <m:t>=0</m:t>
        </m:r>
      </m:oMath>
      <w:r w:rsidRPr="00F973DC">
        <w:t xml:space="preserve">   </w:t>
      </w:r>
      <w:r w:rsidRPr="00F973DC">
        <w:tab/>
      </w:r>
      <w:r w:rsidRPr="00F973DC">
        <w:tab/>
      </w:r>
      <w:r w:rsidRPr="00F973DC">
        <w:tab/>
      </w:r>
      <w:r w:rsidRPr="00F973DC">
        <w:tab/>
      </w:r>
      <w:r>
        <w:t>Eq. (3.2.5.</w:t>
      </w:r>
      <w:r w:rsidRPr="00F973DC">
        <w:t>5)</w:t>
      </w:r>
    </w:p>
    <w:p w:rsidR="00002CAE" w:rsidRPr="00F973DC" w:rsidRDefault="00002CAE" w:rsidP="00002CAE">
      <w:pPr>
        <w:jc w:val="right"/>
      </w:pPr>
      <m:oMath>
        <m:sSub>
          <m:sSubPr>
            <m:ctrlPr>
              <w:rPr>
                <w:rFonts w:ascii="Cambria Math" w:hAnsi="Cambria Math"/>
                <w:i/>
              </w:rPr>
            </m:ctrlPr>
          </m:sSubPr>
          <m:e>
            <m:r>
              <w:rPr>
                <w:rFonts w:ascii="Cambria Math" w:hAnsi="Cambria Math"/>
              </w:rPr>
              <m:t>S</m:t>
            </m:r>
          </m:e>
          <m:sub>
            <m:r>
              <w:rPr>
                <w:rFonts w:ascii="Cambria Math" w:hAnsi="Cambria Math"/>
              </w:rPr>
              <m:t>Mod5A</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44,18</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45,18</m:t>
            </m:r>
          </m:sub>
        </m:sSub>
        <m:r>
          <w:rPr>
            <w:rFonts w:ascii="Cambria Math" w:hAnsi="Cambria Math"/>
          </w:rPr>
          <m:t>=0</m:t>
        </m:r>
      </m:oMath>
      <w:r w:rsidRPr="00F973DC">
        <w:t xml:space="preserve">   </w:t>
      </w:r>
      <w:r w:rsidRPr="00F973DC">
        <w:tab/>
      </w:r>
      <w:r w:rsidRPr="00F973DC">
        <w:tab/>
      </w:r>
      <w:r w:rsidRPr="00F973DC">
        <w:tab/>
      </w:r>
      <w:r w:rsidRPr="00F973DC">
        <w:tab/>
      </w:r>
      <w:r>
        <w:t>Eq. (3.2.5.</w:t>
      </w:r>
      <w:r w:rsidRPr="00F973DC">
        <w:t>6)</w:t>
      </w:r>
    </w:p>
    <w:p w:rsidR="00002CAE" w:rsidRPr="00F973DC" w:rsidRDefault="00002CAE" w:rsidP="00002CAE">
      <w:r w:rsidRPr="00F973DC">
        <w:t xml:space="preserve">Equations </w:t>
      </w:r>
      <w:r>
        <w:t>3.2.5.</w:t>
      </w:r>
      <w:r w:rsidRPr="00F973DC">
        <w:t>7–</w:t>
      </w:r>
      <w:r>
        <w:t>3.2.5.</w:t>
      </w:r>
      <w:r w:rsidRPr="00F973DC">
        <w:t xml:space="preserve">9 </w:t>
      </w:r>
      <w:proofErr w:type="gramStart"/>
      <w:r w:rsidRPr="00F973DC">
        <w:t>calculate</w:t>
      </w:r>
      <w:proofErr w:type="gramEnd"/>
      <w:r w:rsidRPr="00F973DC">
        <w:t xml:space="preserve"> the mole balances for </w:t>
      </w:r>
      <w:r>
        <w:t>S</w:t>
      </w:r>
      <w:r w:rsidRPr="00F973DC">
        <w:t>tream 46.</w:t>
      </w:r>
    </w:p>
    <w:p w:rsidR="00002CAE" w:rsidRPr="00F973DC" w:rsidRDefault="00002CAE" w:rsidP="00002CAE">
      <w:pPr>
        <w:jc w:val="right"/>
      </w:pPr>
      <m:oMath>
        <m:sSub>
          <m:sSubPr>
            <m:ctrlPr>
              <w:rPr>
                <w:rFonts w:ascii="Cambria Math" w:hAnsi="Cambria Math"/>
                <w:i/>
              </w:rPr>
            </m:ctrlPr>
          </m:sSubPr>
          <m:e>
            <m:r>
              <w:rPr>
                <w:rFonts w:ascii="Cambria Math" w:hAnsi="Cambria Math"/>
              </w:rPr>
              <m:t>F</m:t>
            </m:r>
          </m:e>
          <m:sub>
            <m:r>
              <w:rPr>
                <w:rFonts w:ascii="Cambria Math" w:hAnsi="Cambria Math"/>
              </w:rPr>
              <m:t>44,16</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45,16</m:t>
            </m:r>
          </m:sub>
        </m:sSub>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46,16</m:t>
            </m:r>
          </m:sub>
        </m:sSub>
        <m:r>
          <w:rPr>
            <w:rFonts w:ascii="Cambria Math" w:hAnsi="Cambria Math"/>
          </w:rPr>
          <m:t>=0</m:t>
        </m:r>
      </m:oMath>
      <w:r w:rsidRPr="00F973DC">
        <w:t xml:space="preserve">   </w:t>
      </w:r>
      <w:r w:rsidRPr="00F973DC">
        <w:tab/>
      </w:r>
      <w:r w:rsidRPr="00F973DC">
        <w:tab/>
      </w:r>
      <w:r w:rsidRPr="00F973DC">
        <w:tab/>
      </w:r>
      <w:r w:rsidRPr="00F973DC">
        <w:tab/>
      </w:r>
      <w:r>
        <w:t>Eq. (3.2.5.</w:t>
      </w:r>
      <w:r w:rsidRPr="00F973DC">
        <w:t>7)</w:t>
      </w:r>
    </w:p>
    <w:p w:rsidR="00002CAE" w:rsidRPr="00F973DC" w:rsidRDefault="00002CAE" w:rsidP="00002CAE">
      <w:pPr>
        <w:jc w:val="right"/>
      </w:pPr>
      <m:oMath>
        <m:sSub>
          <m:sSubPr>
            <m:ctrlPr>
              <w:rPr>
                <w:rFonts w:ascii="Cambria Math" w:hAnsi="Cambria Math"/>
                <w:i/>
              </w:rPr>
            </m:ctrlPr>
          </m:sSubPr>
          <m:e>
            <m:r>
              <w:rPr>
                <w:rFonts w:ascii="Cambria Math" w:hAnsi="Cambria Math"/>
              </w:rPr>
              <m:t>F</m:t>
            </m:r>
          </m:e>
          <m:sub>
            <m:r>
              <w:rPr>
                <w:rFonts w:ascii="Cambria Math" w:hAnsi="Cambria Math"/>
              </w:rPr>
              <m:t>44,17</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45,17</m:t>
            </m:r>
          </m:sub>
        </m:sSub>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46,17</m:t>
            </m:r>
          </m:sub>
        </m:sSub>
        <m:r>
          <w:rPr>
            <w:rFonts w:ascii="Cambria Math" w:hAnsi="Cambria Math"/>
          </w:rPr>
          <m:t>=0</m:t>
        </m:r>
      </m:oMath>
      <w:r w:rsidRPr="00F973DC">
        <w:t xml:space="preserve">   </w:t>
      </w:r>
      <w:r w:rsidRPr="00F973DC">
        <w:tab/>
      </w:r>
      <w:r w:rsidRPr="00F973DC">
        <w:tab/>
      </w:r>
      <w:r w:rsidRPr="00F973DC">
        <w:tab/>
      </w:r>
      <w:r w:rsidRPr="00F973DC">
        <w:tab/>
      </w:r>
      <w:r>
        <w:t>Eq. (3.2.5.</w:t>
      </w:r>
      <w:r w:rsidRPr="00F973DC">
        <w:t>8)</w:t>
      </w:r>
    </w:p>
    <w:p w:rsidR="00002CAE" w:rsidRPr="00F973DC" w:rsidRDefault="00002CAE" w:rsidP="00002CAE">
      <w:pPr>
        <w:jc w:val="right"/>
      </w:pPr>
      <m:oMath>
        <m:sSub>
          <m:sSubPr>
            <m:ctrlPr>
              <w:rPr>
                <w:rFonts w:ascii="Cambria Math" w:hAnsi="Cambria Math"/>
                <w:i/>
              </w:rPr>
            </m:ctrlPr>
          </m:sSubPr>
          <m:e>
            <m:r>
              <w:rPr>
                <w:rFonts w:ascii="Cambria Math" w:hAnsi="Cambria Math"/>
              </w:rPr>
              <m:t>F</m:t>
            </m:r>
          </m:e>
          <m:sub>
            <m:r>
              <w:rPr>
                <w:rFonts w:ascii="Cambria Math" w:hAnsi="Cambria Math"/>
              </w:rPr>
              <m:t>44,18</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45,18</m:t>
            </m:r>
          </m:sub>
        </m:sSub>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46,18</m:t>
            </m:r>
          </m:sub>
        </m:sSub>
        <m:r>
          <w:rPr>
            <w:rFonts w:ascii="Cambria Math" w:hAnsi="Cambria Math"/>
          </w:rPr>
          <m:t>=0</m:t>
        </m:r>
      </m:oMath>
      <w:r w:rsidRPr="00F973DC">
        <w:t xml:space="preserve">   </w:t>
      </w:r>
      <w:r w:rsidRPr="00F973DC">
        <w:tab/>
      </w:r>
      <w:r w:rsidRPr="00F973DC">
        <w:tab/>
      </w:r>
      <w:r w:rsidRPr="00F973DC">
        <w:tab/>
      </w:r>
      <w:r w:rsidRPr="00F973DC">
        <w:tab/>
      </w:r>
      <w:r>
        <w:t>Eq. (3.2.5.</w:t>
      </w:r>
      <w:r w:rsidRPr="00F973DC">
        <w:t>9)</w:t>
      </w:r>
    </w:p>
    <w:p w:rsidR="00002CAE" w:rsidRPr="00F973DC" w:rsidRDefault="00002CAE" w:rsidP="00002CAE">
      <w:r w:rsidRPr="00F973DC">
        <w:t>Pure fluorine (</w:t>
      </w:r>
      <w:r>
        <w:t>Stream 47) wa</w:t>
      </w:r>
      <w:r w:rsidRPr="00F973DC">
        <w:t>s fed into the process in excess based the amount of UF</w:t>
      </w:r>
      <w:r w:rsidRPr="00F973DC">
        <w:rPr>
          <w:vertAlign w:val="subscript"/>
        </w:rPr>
        <w:t>4</w:t>
      </w:r>
      <w:r>
        <w:t xml:space="preserve"> in S</w:t>
      </w:r>
      <w:r w:rsidRPr="00F973DC">
        <w:t xml:space="preserve">tream 44 </w:t>
      </w:r>
      <w:r>
        <w:t xml:space="preserve">that was </w:t>
      </w:r>
      <w:r w:rsidRPr="00F973DC">
        <w:t>fed to the reactor according to parameter</w:t>
      </w:r>
      <w:proofErr w:type="gramStart"/>
      <w:r w:rsidRPr="00F973DC">
        <w:t xml:space="preserve">, </w:t>
      </w:r>
      <w:proofErr w:type="gramEnd"/>
      <m:oMath>
        <m:sSub>
          <m:sSubPr>
            <m:ctrlPr>
              <w:rPr>
                <w:rFonts w:ascii="Cambria Math" w:hAnsi="Cambria Math"/>
                <w:i/>
              </w:rPr>
            </m:ctrlPr>
          </m:sSubPr>
          <m:e>
            <m:r>
              <w:rPr>
                <w:rFonts w:ascii="Cambria Math" w:hAnsi="Cambria Math"/>
              </w:rPr>
              <m:t>α</m:t>
            </m:r>
          </m:e>
          <m:sub>
            <m:r>
              <w:rPr>
                <w:rFonts w:ascii="Cambria Math" w:hAnsi="Cambria Math"/>
              </w:rPr>
              <m:t>Mod5A</m:t>
            </m:r>
          </m:sub>
        </m:sSub>
      </m:oMath>
      <w:r w:rsidRPr="00F973DC">
        <w:t xml:space="preserve">, as shown in Eq. </w:t>
      </w:r>
      <w:r>
        <w:t>3.2.5.</w:t>
      </w:r>
      <w:r w:rsidRPr="00F973DC">
        <w:t xml:space="preserve">10, where </w:t>
      </w:r>
      <m:oMath>
        <m:sSub>
          <m:sSubPr>
            <m:ctrlPr>
              <w:rPr>
                <w:rFonts w:ascii="Cambria Math" w:hAnsi="Cambria Math"/>
                <w:i/>
              </w:rPr>
            </m:ctrlPr>
          </m:sSubPr>
          <m:e>
            <m:r>
              <w:rPr>
                <w:rFonts w:ascii="Cambria Math" w:hAnsi="Cambria Math"/>
              </w:rPr>
              <m:t>n</m:t>
            </m:r>
          </m:e>
          <m:sub>
            <m:r>
              <w:rPr>
                <w:rFonts w:ascii="Cambria Math" w:hAnsi="Cambria Math"/>
              </w:rPr>
              <m:t>Mod5B,i</m:t>
            </m:r>
          </m:sub>
        </m:sSub>
      </m:oMath>
      <w:r>
        <w:t xml:space="preserve"> wa</w:t>
      </w:r>
      <w:proofErr w:type="spellStart"/>
      <w:r w:rsidRPr="00F973DC">
        <w:t>s</w:t>
      </w:r>
      <w:proofErr w:type="spellEnd"/>
      <w:r w:rsidRPr="00F973DC">
        <w:t xml:space="preserve"> the stoichiometric coefficient of the </w:t>
      </w:r>
      <m:oMath>
        <m:r>
          <w:rPr>
            <w:rFonts w:ascii="Cambria Math" w:hAnsi="Cambria Math"/>
          </w:rPr>
          <m:t>i</m:t>
        </m:r>
      </m:oMath>
      <w:r w:rsidRPr="00F973DC">
        <w:t>-th component of the fluorination reaction.</w:t>
      </w:r>
      <w:r>
        <w:t xml:space="preserve"> </w:t>
      </w:r>
      <w:r w:rsidRPr="00F973DC">
        <w:t>The stoichiometric coefficients are positive for products and negative for reactants.</w:t>
      </w:r>
    </w:p>
    <w:p w:rsidR="00002CAE" w:rsidRPr="009D034F" w:rsidRDefault="00002CAE" w:rsidP="00E664E4"/>
    <w:p w:rsidR="00E664E4" w:rsidRPr="009D034F" w:rsidRDefault="00E664E4" w:rsidP="00E664E4">
      <w:pPr>
        <w:jc w:val="center"/>
      </w:pPr>
      <w:r w:rsidRPr="009D034F">
        <w:object w:dxaOrig="5758" w:dyaOrig="3618">
          <v:shape id="_x0000_i1049" type="#_x0000_t75" style="width:4in;height:181.65pt" o:ole="">
            <v:imagedata r:id="rId75" o:title=""/>
          </v:shape>
          <o:OLEObject Type="Embed" ProgID="Visio.Drawing.11" ShapeID="_x0000_i1049" DrawAspect="Content" ObjectID="_1445525574" r:id="rId76"/>
        </w:object>
      </w:r>
    </w:p>
    <w:p w:rsidR="00E664E4" w:rsidRDefault="00E664E4" w:rsidP="00E664E4">
      <w:pPr>
        <w:jc w:val="center"/>
        <w:rPr>
          <w:b/>
          <w:sz w:val="20"/>
          <w:szCs w:val="20"/>
        </w:rPr>
      </w:pPr>
      <w:r w:rsidRPr="009D034F">
        <w:rPr>
          <w:b/>
          <w:sz w:val="20"/>
          <w:szCs w:val="20"/>
        </w:rPr>
        <w:t xml:space="preserve">Figure 3.27. Block Diagram of the Module 5A </w:t>
      </w:r>
      <w:r w:rsidR="004045DF">
        <w:rPr>
          <w:b/>
          <w:sz w:val="20"/>
          <w:szCs w:val="20"/>
        </w:rPr>
        <w:t>Showing Input and Output Streams</w:t>
      </w:r>
      <w:r w:rsidRPr="009D034F">
        <w:rPr>
          <w:b/>
          <w:sz w:val="20"/>
          <w:szCs w:val="20"/>
        </w:rPr>
        <w:t>.</w:t>
      </w:r>
    </w:p>
    <w:p w:rsidR="001E169B" w:rsidRPr="001E169B" w:rsidRDefault="001E169B" w:rsidP="001E169B"/>
    <w:p w:rsidR="00E664E4" w:rsidRPr="00F973DC"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47,7</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Mod5A</m:t>
            </m:r>
          </m:sub>
        </m:sSub>
        <m:r>
          <w:rPr>
            <w:rFonts w:ascii="Cambria Math" w:hAnsi="Cambria Math"/>
          </w:rPr>
          <m:t>*</m:t>
        </m:r>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Mod5B,7</m:t>
                    </m:r>
                  </m:sub>
                </m:sSub>
              </m:num>
              <m:den>
                <m:sSub>
                  <m:sSubPr>
                    <m:ctrlPr>
                      <w:rPr>
                        <w:rFonts w:ascii="Cambria Math" w:hAnsi="Cambria Math"/>
                        <w:i/>
                      </w:rPr>
                    </m:ctrlPr>
                  </m:sSubPr>
                  <m:e>
                    <m:r>
                      <w:rPr>
                        <w:rFonts w:ascii="Cambria Math" w:hAnsi="Cambria Math"/>
                      </w:rPr>
                      <m:t>n</m:t>
                    </m:r>
                  </m:e>
                  <m:sub>
                    <m:r>
                      <w:rPr>
                        <w:rFonts w:ascii="Cambria Math" w:hAnsi="Cambria Math"/>
                      </w:rPr>
                      <m:t>Mod5B,16</m:t>
                    </m:r>
                  </m:sub>
                </m:sSub>
              </m:den>
            </m:f>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44,16</m:t>
            </m:r>
          </m:sub>
        </m:sSub>
        <m:r>
          <w:rPr>
            <w:rFonts w:ascii="Cambria Math" w:hAnsi="Cambria Math"/>
          </w:rPr>
          <m:t>=0</m:t>
        </m:r>
      </m:oMath>
      <w:r w:rsidR="00E664E4" w:rsidRPr="00F973DC">
        <w:t xml:space="preserve"> </w:t>
      </w:r>
      <w:r w:rsidR="00E664E4" w:rsidRPr="00F973DC">
        <w:tab/>
      </w:r>
      <w:r w:rsidR="00E664E4">
        <w:tab/>
      </w:r>
      <w:r w:rsidR="00E664E4" w:rsidRPr="00F973DC">
        <w:tab/>
      </w:r>
      <w:r w:rsidR="00E664E4">
        <w:t>Eq. (3.2.5.</w:t>
      </w:r>
      <w:r w:rsidR="00E664E4" w:rsidRPr="00F973DC">
        <w:t>10)</w:t>
      </w:r>
    </w:p>
    <w:p w:rsidR="00E664E4" w:rsidRPr="00F973DC" w:rsidRDefault="00E664E4" w:rsidP="00E664E4">
      <w:r w:rsidRPr="00F973DC">
        <w:t xml:space="preserve">Equations </w:t>
      </w:r>
      <w:r>
        <w:t>3.2.5.</w:t>
      </w:r>
      <w:r w:rsidRPr="00F973DC">
        <w:t>11–</w:t>
      </w:r>
      <w:r>
        <w:t>3.2.5.</w:t>
      </w:r>
      <w:r w:rsidRPr="00F973DC">
        <w:t xml:space="preserve">15 </w:t>
      </w:r>
      <w:proofErr w:type="gramStart"/>
      <w:r w:rsidRPr="00F973DC">
        <w:t>define</w:t>
      </w:r>
      <w:proofErr w:type="gramEnd"/>
      <w:r w:rsidRPr="00F973DC">
        <w:t xml:space="preserve"> </w:t>
      </w:r>
      <w:r>
        <w:t>S</w:t>
      </w:r>
      <w:r w:rsidRPr="00F973DC">
        <w:t>tream 48</w:t>
      </w:r>
      <w:r>
        <w:t>.</w:t>
      </w:r>
    </w:p>
    <w:p w:rsidR="00E664E4" w:rsidRPr="00F973DC" w:rsidRDefault="00C851DF" w:rsidP="00E664E4">
      <w:pPr>
        <w:jc w:val="right"/>
      </w:pPr>
      <m:oMath>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13A</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13A,2</m:t>
                </m:r>
              </m:sub>
            </m:sSub>
            <m:r>
              <w:rPr>
                <w:rFonts w:ascii="Cambria Math" w:hAnsi="Cambria Math"/>
              </w:rPr>
              <m:t>*</m:t>
            </m:r>
            <m:f>
              <m:fPr>
                <m:ctrlPr>
                  <w:rPr>
                    <w:rFonts w:ascii="Cambria Math" w:hAnsi="Cambria Math"/>
                    <w:i/>
                  </w:rPr>
                </m:ctrlPr>
              </m:fPr>
              <m:num>
                <m:r>
                  <w:rPr>
                    <w:rFonts w:ascii="Cambria Math" w:hAnsi="Cambria Math"/>
                  </w:rPr>
                  <m:t>1000</m:t>
                </m:r>
              </m:num>
              <m:den>
                <m:sSub>
                  <m:sSubPr>
                    <m:ctrlPr>
                      <w:rPr>
                        <w:rFonts w:ascii="Cambria Math" w:hAnsi="Cambria Math"/>
                        <w:i/>
                      </w:rPr>
                    </m:ctrlPr>
                  </m:sSubPr>
                  <m:e>
                    <m:r>
                      <w:rPr>
                        <w:rFonts w:ascii="Cambria Math" w:hAnsi="Cambria Math"/>
                      </w:rPr>
                      <m:t>MW</m:t>
                    </m:r>
                  </m:e>
                  <m:sub>
                    <m:r>
                      <w:rPr>
                        <w:rFonts w:ascii="Cambria Math" w:hAnsi="Cambria Math"/>
                      </w:rPr>
                      <m:t>2</m:t>
                    </m:r>
                  </m:sub>
                </m:sSub>
              </m:den>
            </m:f>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48,2</m:t>
            </m:r>
          </m:sub>
        </m:sSub>
        <m:r>
          <w:rPr>
            <w:rFonts w:ascii="Cambria Math" w:hAnsi="Cambria Math"/>
          </w:rPr>
          <m:t>=0</m:t>
        </m:r>
      </m:oMath>
      <w:r w:rsidR="00E664E4" w:rsidRPr="00F973DC">
        <w:t xml:space="preserve"> </w:t>
      </w:r>
      <w:r w:rsidR="00E664E4" w:rsidRPr="00F973DC">
        <w:tab/>
      </w:r>
      <w:r w:rsidR="00E664E4">
        <w:tab/>
      </w:r>
      <w:r w:rsidR="00E664E4" w:rsidRPr="00F973DC">
        <w:tab/>
      </w:r>
      <w:r w:rsidR="00E664E4">
        <w:t>Eq. (3.2.5.</w:t>
      </w:r>
      <w:r w:rsidR="00E664E4" w:rsidRPr="00F973DC">
        <w:t>11)</w:t>
      </w:r>
    </w:p>
    <w:p w:rsidR="00E664E4" w:rsidRPr="00F973DC"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47,7</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48,7</m:t>
            </m:r>
          </m:sub>
        </m:sSub>
        <m:r>
          <w:rPr>
            <w:rFonts w:ascii="Cambria Math" w:hAnsi="Cambria Math"/>
          </w:rPr>
          <m:t>=0</m:t>
        </m:r>
      </m:oMath>
      <w:r w:rsidR="00E664E4" w:rsidRPr="00F973DC">
        <w:t xml:space="preserve">   </w:t>
      </w:r>
      <w:r w:rsidR="00E664E4" w:rsidRPr="00F973DC">
        <w:tab/>
      </w:r>
      <w:r w:rsidR="00E664E4" w:rsidRPr="00F973DC">
        <w:tab/>
      </w:r>
      <w:r w:rsidR="00E664E4" w:rsidRPr="00F973DC">
        <w:tab/>
      </w:r>
      <w:r w:rsidR="00E664E4" w:rsidRPr="00F973DC">
        <w:tab/>
      </w:r>
      <w:r w:rsidR="00E664E4">
        <w:t>Eq. (3.2.5.</w:t>
      </w:r>
      <w:r w:rsidR="00E664E4" w:rsidRPr="00F973DC">
        <w:t>12)</w:t>
      </w:r>
    </w:p>
    <w:p w:rsidR="00E664E4" w:rsidRPr="00F973DC"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46,16</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48,16</m:t>
            </m:r>
          </m:sub>
        </m:sSub>
        <m:r>
          <w:rPr>
            <w:rFonts w:ascii="Cambria Math" w:hAnsi="Cambria Math"/>
          </w:rPr>
          <m:t>=0</m:t>
        </m:r>
      </m:oMath>
      <w:r w:rsidR="00E664E4" w:rsidRPr="00F973DC">
        <w:t xml:space="preserve">   </w:t>
      </w:r>
      <w:r w:rsidR="00E664E4" w:rsidRPr="00F973DC">
        <w:tab/>
      </w:r>
      <w:r w:rsidR="00E664E4" w:rsidRPr="00F973DC">
        <w:tab/>
      </w:r>
      <w:r w:rsidR="00E664E4" w:rsidRPr="00F973DC">
        <w:tab/>
      </w:r>
      <w:r w:rsidR="00E664E4">
        <w:tab/>
        <w:t>Eq. (3.2.5.</w:t>
      </w:r>
      <w:r w:rsidR="00E664E4" w:rsidRPr="00F973DC">
        <w:t>13)</w:t>
      </w:r>
    </w:p>
    <w:p w:rsidR="00E664E4" w:rsidRPr="00F973DC"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46,17</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48,17</m:t>
            </m:r>
          </m:sub>
        </m:sSub>
        <m:r>
          <w:rPr>
            <w:rFonts w:ascii="Cambria Math" w:hAnsi="Cambria Math"/>
          </w:rPr>
          <m:t>=0</m:t>
        </m:r>
      </m:oMath>
      <w:r w:rsidR="00E664E4" w:rsidRPr="00F973DC">
        <w:t xml:space="preserve">   </w:t>
      </w:r>
      <w:r w:rsidR="00E664E4" w:rsidRPr="00F973DC">
        <w:tab/>
      </w:r>
      <w:r w:rsidR="00E664E4" w:rsidRPr="00F973DC">
        <w:tab/>
      </w:r>
      <w:r w:rsidR="00E664E4" w:rsidRPr="00F973DC">
        <w:tab/>
      </w:r>
      <w:r w:rsidR="00E664E4">
        <w:tab/>
        <w:t>Eq. (3.2.5.</w:t>
      </w:r>
      <w:r w:rsidR="00E664E4" w:rsidRPr="00F973DC">
        <w:t>14)</w:t>
      </w:r>
    </w:p>
    <w:p w:rsidR="00E664E4" w:rsidRPr="00F973DC"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46,18</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48,18</m:t>
            </m:r>
          </m:sub>
        </m:sSub>
        <m:r>
          <w:rPr>
            <w:rFonts w:ascii="Cambria Math" w:hAnsi="Cambria Math"/>
          </w:rPr>
          <m:t>=0</m:t>
        </m:r>
      </m:oMath>
      <w:r w:rsidR="00E664E4" w:rsidRPr="00F973DC">
        <w:t xml:space="preserve">   </w:t>
      </w:r>
      <w:r w:rsidR="00E664E4" w:rsidRPr="00F973DC">
        <w:tab/>
      </w:r>
      <w:r w:rsidR="00E664E4" w:rsidRPr="00F973DC">
        <w:tab/>
      </w:r>
      <w:r w:rsidR="00E664E4" w:rsidRPr="00F973DC">
        <w:tab/>
      </w:r>
      <w:r w:rsidR="00E664E4" w:rsidRPr="00F973DC">
        <w:tab/>
      </w:r>
      <w:r w:rsidR="00E664E4">
        <w:t>Eq. (3.2.5.</w:t>
      </w:r>
      <w:r w:rsidR="00E664E4" w:rsidRPr="00F973DC">
        <w:t>15)</w:t>
      </w:r>
    </w:p>
    <w:p w:rsidR="00E664E4" w:rsidRPr="00F973DC" w:rsidRDefault="00E664E4" w:rsidP="00E664E4"/>
    <w:p w:rsidR="00E664E4" w:rsidRPr="009D034F" w:rsidRDefault="00E664E4" w:rsidP="00E664E4">
      <w:pPr>
        <w:rPr>
          <w:rFonts w:asciiTheme="majorHAnsi" w:hAnsiTheme="majorHAnsi"/>
          <w:b/>
          <w:i/>
        </w:rPr>
      </w:pPr>
      <w:r w:rsidRPr="009D034F">
        <w:rPr>
          <w:rFonts w:asciiTheme="majorHAnsi" w:hAnsiTheme="majorHAnsi"/>
          <w:b/>
          <w:i/>
        </w:rPr>
        <w:t>3.2.5.2 Module 5B</w:t>
      </w:r>
    </w:p>
    <w:p w:rsidR="00E664E4" w:rsidRDefault="00E664E4" w:rsidP="00E664E4">
      <w:r>
        <w:t>Module 5B wa</w:t>
      </w:r>
      <w:r w:rsidRPr="009D034F">
        <w:t>s the flame react</w:t>
      </w:r>
      <w:r>
        <w:t>or where UF</w:t>
      </w:r>
      <w:r w:rsidRPr="002A0B5C">
        <w:rPr>
          <w:vertAlign w:val="subscript"/>
        </w:rPr>
        <w:t>4</w:t>
      </w:r>
      <w:r>
        <w:t xml:space="preserve"> wa</w:t>
      </w:r>
      <w:r w:rsidRPr="009D034F">
        <w:t xml:space="preserve">s converted to </w:t>
      </w:r>
      <w:r>
        <w:t>UF</w:t>
      </w:r>
      <w:r w:rsidRPr="002A0B5C">
        <w:rPr>
          <w:vertAlign w:val="subscript"/>
        </w:rPr>
        <w:t>6</w:t>
      </w:r>
      <w:r w:rsidRPr="009D034F">
        <w:t xml:space="preserve"> using fluorine gas </w:t>
      </w:r>
      <w:r>
        <w:t>Eq. (</w:t>
      </w:r>
      <w:r w:rsidRPr="009D034F">
        <w:t xml:space="preserve">3.2.5.1). The input to Module 5B </w:t>
      </w:r>
      <w:r>
        <w:t>wa</w:t>
      </w:r>
      <w:r w:rsidRPr="009D034F">
        <w:t>s the output of Module 5A. Th</w:t>
      </w:r>
      <w:r>
        <w:t>ere wa</w:t>
      </w:r>
      <w:r w:rsidRPr="009D034F">
        <w:t>s only o</w:t>
      </w:r>
      <w:r>
        <w:t>ne output from Module 5B which wa</w:t>
      </w:r>
      <w:r w:rsidRPr="009D034F">
        <w:t xml:space="preserve">s </w:t>
      </w:r>
      <w:r>
        <w:t xml:space="preserve">predominately </w:t>
      </w:r>
      <w:r w:rsidRPr="009D034F">
        <w:t>gaseous UF</w:t>
      </w:r>
      <w:r w:rsidRPr="009D034F">
        <w:rPr>
          <w:vertAlign w:val="subscript"/>
        </w:rPr>
        <w:t>6</w:t>
      </w:r>
      <w:r w:rsidRPr="009D034F">
        <w:t xml:space="preserve"> product</w:t>
      </w:r>
      <w:r>
        <w:t xml:space="preserve"> with the remainder being N</w:t>
      </w:r>
      <w:r w:rsidRPr="002D3ACD">
        <w:rPr>
          <w:vertAlign w:val="subscript"/>
        </w:rPr>
        <w:t>2</w:t>
      </w:r>
      <w:r>
        <w:t>, F</w:t>
      </w:r>
      <w:r w:rsidRPr="002D3ACD">
        <w:rPr>
          <w:vertAlign w:val="subscript"/>
        </w:rPr>
        <w:t>2</w:t>
      </w:r>
      <w:r>
        <w:t>, UF</w:t>
      </w:r>
      <w:r w:rsidRPr="002D3ACD">
        <w:rPr>
          <w:vertAlign w:val="subscript"/>
        </w:rPr>
        <w:t>4</w:t>
      </w:r>
      <w:r>
        <w:t>, UO</w:t>
      </w:r>
      <w:r w:rsidRPr="002D3ACD">
        <w:rPr>
          <w:vertAlign w:val="subscript"/>
        </w:rPr>
        <w:t>2</w:t>
      </w:r>
      <w:r>
        <w:t>, and U</w:t>
      </w:r>
      <w:r w:rsidRPr="002D3ACD">
        <w:rPr>
          <w:vertAlign w:val="subscript"/>
        </w:rPr>
        <w:t>3</w:t>
      </w:r>
      <w:r>
        <w:t>O</w:t>
      </w:r>
      <w:r w:rsidRPr="002D3ACD">
        <w:rPr>
          <w:vertAlign w:val="subscript"/>
        </w:rPr>
        <w:t>8</w:t>
      </w:r>
      <w:r w:rsidRPr="009D034F">
        <w:t>. Figure</w:t>
      </w:r>
      <w:r w:rsidR="0037012F">
        <w:t> </w:t>
      </w:r>
      <w:r w:rsidRPr="009D034F">
        <w:t xml:space="preserve">3.28 shows a block diagram of Module 5B with the input and output streams labeled. </w:t>
      </w:r>
    </w:p>
    <w:p w:rsidR="001E169B" w:rsidRPr="008650A7" w:rsidRDefault="001E169B" w:rsidP="001E169B">
      <w:r w:rsidRPr="008650A7">
        <w:t xml:space="preserve">Equations </w:t>
      </w:r>
      <w:r>
        <w:t>3.2.5.</w:t>
      </w:r>
      <w:r w:rsidRPr="008650A7">
        <w:t>16–</w:t>
      </w:r>
      <w:r>
        <w:t>3.2.5.</w:t>
      </w:r>
      <w:r w:rsidRPr="008650A7">
        <w:t>21 describe to the fluorination of UF</w:t>
      </w:r>
      <w:r w:rsidRPr="008650A7">
        <w:rPr>
          <w:vertAlign w:val="subscript"/>
        </w:rPr>
        <w:t>4</w:t>
      </w:r>
      <w:r w:rsidRPr="008650A7">
        <w:t xml:space="preserve"> to UF</w:t>
      </w:r>
      <w:r w:rsidRPr="008650A7">
        <w:rPr>
          <w:vertAlign w:val="subscript"/>
        </w:rPr>
        <w:t>6</w:t>
      </w:r>
      <w:r w:rsidRPr="008650A7">
        <w:t xml:space="preserve">, where </w:t>
      </w:r>
      <m:oMath>
        <m:sSub>
          <m:sSubPr>
            <m:ctrlPr>
              <w:rPr>
                <w:rFonts w:ascii="Cambria Math" w:hAnsi="Cambria Math"/>
                <w:i/>
              </w:rPr>
            </m:ctrlPr>
          </m:sSubPr>
          <m:e>
            <m:r>
              <w:rPr>
                <w:rFonts w:ascii="Cambria Math" w:hAnsi="Cambria Math"/>
              </w:rPr>
              <m:t>X</m:t>
            </m:r>
          </m:e>
          <m:sub>
            <m:r>
              <w:rPr>
                <w:rFonts w:ascii="Cambria Math" w:hAnsi="Cambria Math"/>
              </w:rPr>
              <m:t>Mod5B</m:t>
            </m:r>
          </m:sub>
        </m:sSub>
      </m:oMath>
      <w:r>
        <w:t xml:space="preserve"> wa</w:t>
      </w:r>
      <w:proofErr w:type="spellStart"/>
      <w:r w:rsidRPr="008650A7">
        <w:t>s</w:t>
      </w:r>
      <w:proofErr w:type="spellEnd"/>
      <w:r w:rsidRPr="008650A7">
        <w:t xml:space="preserve"> the extent of reaction in terms of UF</w:t>
      </w:r>
      <w:r w:rsidRPr="008650A7">
        <w:rPr>
          <w:vertAlign w:val="subscript"/>
        </w:rPr>
        <w:t>4</w:t>
      </w:r>
      <w:r w:rsidRPr="008650A7">
        <w:t>.</w:t>
      </w:r>
    </w:p>
    <w:p w:rsidR="001E169B" w:rsidRPr="008650A7" w:rsidRDefault="00C851DF" w:rsidP="001E169B">
      <w:pPr>
        <w:jc w:val="right"/>
      </w:pPr>
      <m:oMath>
        <m:sSub>
          <m:sSubPr>
            <m:ctrlPr>
              <w:rPr>
                <w:rFonts w:ascii="Cambria Math" w:hAnsi="Cambria Math"/>
                <w:i/>
              </w:rPr>
            </m:ctrlPr>
          </m:sSubPr>
          <m:e>
            <m:r>
              <w:rPr>
                <w:rFonts w:ascii="Cambria Math" w:hAnsi="Cambria Math"/>
              </w:rPr>
              <m:t>F</m:t>
            </m:r>
          </m:e>
          <m:sub>
            <m:r>
              <w:rPr>
                <w:rFonts w:ascii="Cambria Math" w:hAnsi="Cambria Math"/>
              </w:rPr>
              <m:t>48,2</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Mod5B,2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Mod5B</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48,16</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49,2</m:t>
            </m:r>
          </m:sub>
        </m:sSub>
        <m:r>
          <w:rPr>
            <w:rFonts w:ascii="Cambria Math" w:hAnsi="Cambria Math"/>
          </w:rPr>
          <m:t>=0</m:t>
        </m:r>
      </m:oMath>
      <w:r w:rsidR="001E169B" w:rsidRPr="008650A7">
        <w:t xml:space="preserve"> </w:t>
      </w:r>
      <w:r w:rsidR="001E169B">
        <w:tab/>
      </w:r>
      <w:r w:rsidR="001E169B" w:rsidRPr="008650A7">
        <w:tab/>
      </w:r>
      <w:r w:rsidR="001E169B" w:rsidRPr="008650A7">
        <w:tab/>
      </w:r>
      <w:r w:rsidR="001E169B">
        <w:t>Eq. (3.2.5.</w:t>
      </w:r>
      <w:r w:rsidR="001E169B" w:rsidRPr="008650A7">
        <w:t>16)</w:t>
      </w:r>
    </w:p>
    <w:p w:rsidR="001E169B" w:rsidRPr="008650A7" w:rsidRDefault="00C851DF" w:rsidP="001E169B">
      <w:pPr>
        <w:jc w:val="right"/>
      </w:pPr>
      <m:oMath>
        <m:sSub>
          <m:sSubPr>
            <m:ctrlPr>
              <w:rPr>
                <w:rFonts w:ascii="Cambria Math" w:hAnsi="Cambria Math"/>
                <w:i/>
              </w:rPr>
            </m:ctrlPr>
          </m:sSubPr>
          <m:e>
            <m:r>
              <w:rPr>
                <w:rFonts w:ascii="Cambria Math" w:hAnsi="Cambria Math"/>
              </w:rPr>
              <m:t>F</m:t>
            </m:r>
          </m:e>
          <m:sub>
            <m:r>
              <w:rPr>
                <w:rFonts w:ascii="Cambria Math" w:hAnsi="Cambria Math"/>
              </w:rPr>
              <m:t>48,7</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Mod5B,7</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Mod5B</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48,16</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49,7</m:t>
            </m:r>
          </m:sub>
        </m:sSub>
        <m:r>
          <w:rPr>
            <w:rFonts w:ascii="Cambria Math" w:hAnsi="Cambria Math"/>
          </w:rPr>
          <m:t>=0</m:t>
        </m:r>
      </m:oMath>
      <w:r w:rsidR="001E169B" w:rsidRPr="008650A7">
        <w:t xml:space="preserve"> </w:t>
      </w:r>
      <w:r w:rsidR="001E169B" w:rsidRPr="008650A7">
        <w:tab/>
      </w:r>
      <w:r w:rsidR="001E169B">
        <w:tab/>
      </w:r>
      <w:r w:rsidR="001E169B" w:rsidRPr="008650A7">
        <w:tab/>
      </w:r>
      <w:r w:rsidR="001E169B">
        <w:t>Eq. (3.2.5.</w:t>
      </w:r>
      <w:r w:rsidR="001E169B" w:rsidRPr="008650A7">
        <w:t>17)</w:t>
      </w:r>
    </w:p>
    <w:p w:rsidR="001E169B" w:rsidRPr="008650A7" w:rsidRDefault="00C851DF" w:rsidP="001E169B">
      <w:pPr>
        <w:jc w:val="right"/>
      </w:pPr>
      <m:oMath>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Mod5B,15</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m:t>
                </m:r>
                <m:r>
                  <w:rPr>
                    <w:rFonts w:ascii="Cambria Math" w:hAnsi="Cambria Math"/>
                  </w:rPr>
                  <m:t>d5B</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48,16</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49,15</m:t>
            </m:r>
          </m:sub>
        </m:sSub>
        <m:r>
          <w:rPr>
            <w:rFonts w:ascii="Cambria Math" w:hAnsi="Cambria Math"/>
          </w:rPr>
          <m:t>=0</m:t>
        </m:r>
      </m:oMath>
      <w:r w:rsidR="001E169B" w:rsidRPr="008650A7">
        <w:t xml:space="preserve"> </w:t>
      </w:r>
      <w:r w:rsidR="001E169B">
        <w:tab/>
      </w:r>
      <w:r w:rsidR="001E169B" w:rsidRPr="008650A7">
        <w:tab/>
      </w:r>
      <w:r w:rsidR="001E169B" w:rsidRPr="008650A7">
        <w:tab/>
      </w:r>
      <w:r w:rsidR="001E169B" w:rsidRPr="008650A7">
        <w:tab/>
      </w:r>
      <w:r w:rsidR="001E169B">
        <w:t>Eq. (3.2.5.</w:t>
      </w:r>
      <w:r w:rsidR="001E169B" w:rsidRPr="008650A7">
        <w:t>18)</w:t>
      </w:r>
    </w:p>
    <w:p w:rsidR="001E169B" w:rsidRPr="008650A7" w:rsidRDefault="00C851DF" w:rsidP="001E169B">
      <w:pPr>
        <w:jc w:val="right"/>
      </w:pPr>
      <m:oMath>
        <m:sSub>
          <m:sSubPr>
            <m:ctrlPr>
              <w:rPr>
                <w:rFonts w:ascii="Cambria Math" w:hAnsi="Cambria Math"/>
                <w:i/>
              </w:rPr>
            </m:ctrlPr>
          </m:sSubPr>
          <m:e>
            <m:r>
              <w:rPr>
                <w:rFonts w:ascii="Cambria Math" w:hAnsi="Cambria Math"/>
              </w:rPr>
              <m:t>F</m:t>
            </m:r>
          </m:e>
          <m:sub>
            <m:r>
              <w:rPr>
                <w:rFonts w:ascii="Cambria Math" w:hAnsi="Cambria Math"/>
              </w:rPr>
              <m:t>48,16</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Mod5B,16</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Mod5B</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48,16</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49,16</m:t>
            </m:r>
          </m:sub>
        </m:sSub>
        <m:r>
          <w:rPr>
            <w:rFonts w:ascii="Cambria Math" w:hAnsi="Cambria Math"/>
          </w:rPr>
          <m:t>=0</m:t>
        </m:r>
      </m:oMath>
      <w:r w:rsidR="001E169B" w:rsidRPr="008650A7">
        <w:t xml:space="preserve"> </w:t>
      </w:r>
      <w:r w:rsidR="001E169B" w:rsidRPr="008650A7">
        <w:tab/>
      </w:r>
      <w:r w:rsidR="001E169B">
        <w:tab/>
      </w:r>
      <w:r w:rsidR="001E169B" w:rsidRPr="008650A7">
        <w:tab/>
      </w:r>
      <w:r w:rsidR="001E169B">
        <w:t>Eq. (3.2.5.</w:t>
      </w:r>
      <w:r w:rsidR="001E169B" w:rsidRPr="008650A7">
        <w:t>19)</w:t>
      </w:r>
    </w:p>
    <w:p w:rsidR="001E169B" w:rsidRPr="008650A7" w:rsidRDefault="00C851DF" w:rsidP="001E169B">
      <w:pPr>
        <w:jc w:val="right"/>
      </w:pPr>
      <m:oMath>
        <m:sSub>
          <m:sSubPr>
            <m:ctrlPr>
              <w:rPr>
                <w:rFonts w:ascii="Cambria Math" w:hAnsi="Cambria Math"/>
                <w:i/>
              </w:rPr>
            </m:ctrlPr>
          </m:sSubPr>
          <m:e>
            <m:r>
              <w:rPr>
                <w:rFonts w:ascii="Cambria Math" w:hAnsi="Cambria Math"/>
              </w:rPr>
              <m:t>F</m:t>
            </m:r>
          </m:e>
          <m:sub>
            <m:r>
              <w:rPr>
                <w:rFonts w:ascii="Cambria Math" w:hAnsi="Cambria Math"/>
              </w:rPr>
              <m:t>48,17</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Mod5B,17</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Mod5B</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48,16</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49,17</m:t>
            </m:r>
          </m:sub>
        </m:sSub>
        <m:r>
          <w:rPr>
            <w:rFonts w:ascii="Cambria Math" w:hAnsi="Cambria Math"/>
          </w:rPr>
          <m:t>=0</m:t>
        </m:r>
      </m:oMath>
      <w:r w:rsidR="001E169B" w:rsidRPr="008650A7">
        <w:t xml:space="preserve"> </w:t>
      </w:r>
      <w:r w:rsidR="001E169B">
        <w:tab/>
      </w:r>
      <w:r w:rsidR="001E169B" w:rsidRPr="008650A7">
        <w:tab/>
      </w:r>
      <w:r w:rsidR="001E169B" w:rsidRPr="008650A7">
        <w:tab/>
      </w:r>
      <w:r w:rsidR="001E169B">
        <w:t>Eq. (3.2.5.</w:t>
      </w:r>
      <w:r w:rsidR="001E169B" w:rsidRPr="008650A7">
        <w:t>20)</w:t>
      </w:r>
    </w:p>
    <w:p w:rsidR="00002CAE" w:rsidRPr="008650A7" w:rsidRDefault="00002CAE" w:rsidP="00002CAE">
      <w:pPr>
        <w:jc w:val="right"/>
      </w:pPr>
      <m:oMath>
        <m:sSub>
          <m:sSubPr>
            <m:ctrlPr>
              <w:rPr>
                <w:rFonts w:ascii="Cambria Math" w:hAnsi="Cambria Math"/>
                <w:i/>
              </w:rPr>
            </m:ctrlPr>
          </m:sSubPr>
          <m:e>
            <m:r>
              <w:rPr>
                <w:rFonts w:ascii="Cambria Math" w:hAnsi="Cambria Math"/>
              </w:rPr>
              <m:t>F</m:t>
            </m:r>
          </m:e>
          <m:sub>
            <m:r>
              <w:rPr>
                <w:rFonts w:ascii="Cambria Math" w:hAnsi="Cambria Math"/>
              </w:rPr>
              <m:t>48,18</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Mod5B,18</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Mod5B</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48,16</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49,18</m:t>
            </m:r>
          </m:sub>
        </m:sSub>
        <m:r>
          <w:rPr>
            <w:rFonts w:ascii="Cambria Math" w:hAnsi="Cambria Math"/>
          </w:rPr>
          <m:t>=0</m:t>
        </m:r>
      </m:oMath>
      <w:r w:rsidRPr="008650A7">
        <w:t xml:space="preserve"> </w:t>
      </w:r>
      <w:r w:rsidRPr="008650A7">
        <w:tab/>
      </w:r>
      <w:r>
        <w:tab/>
      </w:r>
      <w:r w:rsidRPr="008650A7">
        <w:tab/>
      </w:r>
      <w:r>
        <w:t>Eq. (3.2.5.</w:t>
      </w:r>
      <w:r w:rsidRPr="008650A7">
        <w:t>21)</w:t>
      </w:r>
    </w:p>
    <w:p w:rsidR="001E169B" w:rsidRPr="009D034F" w:rsidRDefault="00002CAE" w:rsidP="00E664E4">
      <w:r w:rsidRPr="008650A7">
        <w:t>The following discussion of the kinetics of the fluorination of UF</w:t>
      </w:r>
      <w:r w:rsidRPr="006D003C">
        <w:rPr>
          <w:vertAlign w:val="subscript"/>
        </w:rPr>
        <w:t>4</w:t>
      </w:r>
      <w:r w:rsidRPr="008650A7">
        <w:t xml:space="preserve"> to form UF</w:t>
      </w:r>
      <w:r w:rsidRPr="006D003C">
        <w:rPr>
          <w:vertAlign w:val="subscript"/>
        </w:rPr>
        <w:t>6</w:t>
      </w:r>
      <w:r>
        <w:t xml:space="preserve"> wa</w:t>
      </w:r>
      <w:r w:rsidRPr="008650A7">
        <w:t xml:space="preserve">s adapted from </w:t>
      </w:r>
      <w:proofErr w:type="spellStart"/>
      <w:r w:rsidRPr="008650A7">
        <w:t>Labaton</w:t>
      </w:r>
      <w:proofErr w:type="spellEnd"/>
      <w:r w:rsidRPr="008650A7">
        <w:t xml:space="preserve"> and Johnson 1959. It was deduced from the reaction studied that the reaction is first order with respect to fluorine pressure. The UF</w:t>
      </w:r>
      <w:r w:rsidRPr="006D003C">
        <w:rPr>
          <w:vertAlign w:val="subscript"/>
        </w:rPr>
        <w:t>6</w:t>
      </w:r>
      <w:r w:rsidRPr="008650A7">
        <w:t xml:space="preserve"> production rate is in agreement with the kinetics expected for reaction between a gas and a solid at a spherical interface which is continuously diminishing due to reaction with </w:t>
      </w:r>
    </w:p>
    <w:p w:rsidR="00E664E4" w:rsidRPr="009D034F" w:rsidRDefault="00E664E4" w:rsidP="00E664E4">
      <w:pPr>
        <w:jc w:val="center"/>
      </w:pPr>
      <w:r w:rsidRPr="009D034F">
        <w:object w:dxaOrig="3137" w:dyaOrig="2234">
          <v:shape id="_x0000_i1050" type="#_x0000_t75" style="width:155.9pt;height:110.95pt" o:ole="">
            <v:imagedata r:id="rId77" o:title=""/>
          </v:shape>
          <o:OLEObject Type="Embed" ProgID="Visio.Drawing.11" ShapeID="_x0000_i1050" DrawAspect="Content" ObjectID="_1445525575" r:id="rId78"/>
        </w:object>
      </w:r>
    </w:p>
    <w:p w:rsidR="00E664E4" w:rsidRDefault="00E664E4" w:rsidP="00E664E4">
      <w:pPr>
        <w:jc w:val="center"/>
        <w:rPr>
          <w:b/>
          <w:sz w:val="20"/>
          <w:szCs w:val="20"/>
        </w:rPr>
      </w:pPr>
      <w:r w:rsidRPr="009D034F">
        <w:rPr>
          <w:b/>
          <w:sz w:val="20"/>
          <w:szCs w:val="20"/>
        </w:rPr>
        <w:t xml:space="preserve">Figure 3.28. Block Diagram of the Module 5B </w:t>
      </w:r>
      <w:r w:rsidR="004045DF">
        <w:rPr>
          <w:b/>
          <w:sz w:val="20"/>
          <w:szCs w:val="20"/>
        </w:rPr>
        <w:t>Showing Input and Output Streams</w:t>
      </w:r>
      <w:r w:rsidRPr="009D034F">
        <w:rPr>
          <w:b/>
          <w:sz w:val="20"/>
          <w:szCs w:val="20"/>
        </w:rPr>
        <w:t>.</w:t>
      </w:r>
    </w:p>
    <w:p w:rsidR="00002CAE" w:rsidRPr="00002CAE" w:rsidRDefault="00002CAE" w:rsidP="00002CAE"/>
    <w:p w:rsidR="00E664E4" w:rsidRPr="008650A7" w:rsidRDefault="00002CAE" w:rsidP="00E664E4">
      <w:proofErr w:type="gramStart"/>
      <w:r w:rsidRPr="008650A7">
        <w:t>the</w:t>
      </w:r>
      <w:proofErr w:type="gramEnd"/>
      <w:r w:rsidRPr="008650A7">
        <w:t xml:space="preserve"> gas. The rate of reaction depends on the temperature, and no reaction is detectable below 220</w:t>
      </w:r>
      <w:r>
        <w:t>°</w:t>
      </w:r>
      <w:r w:rsidRPr="008650A7">
        <w:t>C. The activation energy for UF</w:t>
      </w:r>
      <w:r w:rsidRPr="006D003C">
        <w:rPr>
          <w:vertAlign w:val="subscript"/>
        </w:rPr>
        <w:t>4</w:t>
      </w:r>
      <w:r w:rsidRPr="008650A7">
        <w:t xml:space="preserve"> that was produced by </w:t>
      </w:r>
      <w:proofErr w:type="spellStart"/>
      <w:r w:rsidRPr="008650A7">
        <w:t>hydrofluorination</w:t>
      </w:r>
      <w:proofErr w:type="spellEnd"/>
      <w:r w:rsidRPr="008650A7">
        <w:t xml:space="preserve"> was determined to be</w:t>
      </w:r>
      <w:r>
        <w:t xml:space="preserve"> </w:t>
      </w:r>
      <w:proofErr w:type="gramStart"/>
      <w:r w:rsidR="00E664E4" w:rsidRPr="008650A7">
        <w:t>19.1 kcal/mol</w:t>
      </w:r>
      <w:proofErr w:type="gramEnd"/>
      <w:r w:rsidR="00E664E4" w:rsidRPr="008650A7">
        <w:t>. A linear relationship is shown to exist between the reaction rate and partial pressure of fluorine, but within the range examined the reaction rate is not affected by the velocity of gaseous reactant past the solid. The rate of UF</w:t>
      </w:r>
      <w:r w:rsidR="00E664E4" w:rsidRPr="006D003C">
        <w:rPr>
          <w:vertAlign w:val="subscript"/>
        </w:rPr>
        <w:t>6</w:t>
      </w:r>
      <w:r w:rsidR="00E664E4" w:rsidRPr="008650A7">
        <w:t xml:space="preserve"> production is dependent on an "effective" surface area of UF</w:t>
      </w:r>
      <w:r w:rsidR="00E664E4" w:rsidRPr="006D003C">
        <w:rPr>
          <w:vertAlign w:val="subscript"/>
        </w:rPr>
        <w:t>4</w:t>
      </w:r>
      <w:r w:rsidR="00E664E4" w:rsidRPr="008650A7">
        <w:t>, rather than the surface area determined by gaseou</w:t>
      </w:r>
      <w:r w:rsidR="00E664E4">
        <w:t>s adsorption. The information was</w:t>
      </w:r>
      <w:r w:rsidR="00E664E4" w:rsidRPr="008650A7">
        <w:t xml:space="preserve"> provided for completeness</w:t>
      </w:r>
      <w:r w:rsidR="00E664E4">
        <w:t>, but was not used in the final model</w:t>
      </w:r>
      <w:r w:rsidR="00E664E4" w:rsidRPr="008650A7">
        <w:t xml:space="preserve">. </w:t>
      </w:r>
    </w:p>
    <w:p w:rsidR="00E664E4" w:rsidRPr="00F973DC" w:rsidRDefault="00E664E4" w:rsidP="00E664E4"/>
    <w:p w:rsidR="00E664E4" w:rsidRDefault="00E664E4" w:rsidP="00E664E4">
      <w:pPr>
        <w:rPr>
          <w:rFonts w:asciiTheme="majorHAnsi" w:hAnsiTheme="majorHAnsi"/>
          <w:b/>
          <w:i/>
        </w:rPr>
      </w:pPr>
      <w:r>
        <w:rPr>
          <w:rFonts w:asciiTheme="majorHAnsi" w:hAnsiTheme="majorHAnsi"/>
          <w:b/>
          <w:i/>
        </w:rPr>
        <w:t>3.2.5</w:t>
      </w:r>
      <w:r w:rsidRPr="00C26992">
        <w:rPr>
          <w:rFonts w:asciiTheme="majorHAnsi" w:hAnsiTheme="majorHAnsi"/>
          <w:b/>
          <w:i/>
        </w:rPr>
        <w:t>.</w:t>
      </w:r>
      <w:r>
        <w:rPr>
          <w:rFonts w:asciiTheme="majorHAnsi" w:hAnsiTheme="majorHAnsi"/>
          <w:b/>
          <w:i/>
        </w:rPr>
        <w:t>3 Module 5C</w:t>
      </w:r>
    </w:p>
    <w:p w:rsidR="00D8777F" w:rsidRDefault="00E664E4" w:rsidP="001E169B">
      <w:r w:rsidRPr="007C02E6">
        <w:t>Module 5C encompasse</w:t>
      </w:r>
      <w:r>
        <w:t>d</w:t>
      </w:r>
      <w:r w:rsidRPr="007C02E6">
        <w:t xml:space="preserve"> the separations following the primary flame reactor which include</w:t>
      </w:r>
      <w:r>
        <w:t>d</w:t>
      </w:r>
      <w:r w:rsidRPr="007C02E6">
        <w:t xml:space="preserve"> two separators and a cooling vessel. The output from Module 5B </w:t>
      </w:r>
      <w:r>
        <w:t>was the input to Module 5C. There we</w:t>
      </w:r>
      <w:r w:rsidRPr="007C02E6">
        <w:t xml:space="preserve">re three outputs </w:t>
      </w:r>
      <w:r w:rsidRPr="009D034F">
        <w:t>from Module 5C, one from the first separator to the waste and two from the second separator. Figure 3.29 shows a block diagram of Module 5C with the input and output streams labeled.</w:t>
      </w:r>
    </w:p>
    <w:p w:rsidR="00E664E4" w:rsidRPr="009D034F" w:rsidRDefault="00E664E4" w:rsidP="00E664E4">
      <w:pPr>
        <w:jc w:val="center"/>
      </w:pPr>
      <w:r w:rsidRPr="009D034F">
        <w:object w:dxaOrig="5685" w:dyaOrig="2954">
          <v:shape id="_x0000_i1051" type="#_x0000_t75" style="width:283.4pt;height:148.6pt" o:ole="">
            <v:imagedata r:id="rId79" o:title=""/>
          </v:shape>
          <o:OLEObject Type="Embed" ProgID="Visio.Drawing.11" ShapeID="_x0000_i1051" DrawAspect="Content" ObjectID="_1445525576" r:id="rId80"/>
        </w:object>
      </w:r>
    </w:p>
    <w:p w:rsidR="00E664E4" w:rsidRPr="007C02E6" w:rsidRDefault="00E664E4" w:rsidP="00E664E4">
      <w:pPr>
        <w:jc w:val="center"/>
        <w:rPr>
          <w:b/>
          <w:sz w:val="20"/>
          <w:szCs w:val="20"/>
        </w:rPr>
      </w:pPr>
      <w:r w:rsidRPr="009D034F">
        <w:rPr>
          <w:b/>
          <w:sz w:val="20"/>
          <w:szCs w:val="20"/>
        </w:rPr>
        <w:t xml:space="preserve">Figure 3.29. Block Diagram of the Module 5C </w:t>
      </w:r>
      <w:r w:rsidR="004045DF">
        <w:rPr>
          <w:b/>
          <w:sz w:val="20"/>
          <w:szCs w:val="20"/>
        </w:rPr>
        <w:t>Showing Input and Output Streams</w:t>
      </w:r>
      <w:r w:rsidRPr="009D034F">
        <w:rPr>
          <w:b/>
          <w:sz w:val="20"/>
          <w:szCs w:val="20"/>
        </w:rPr>
        <w:t>.</w:t>
      </w:r>
    </w:p>
    <w:p w:rsidR="00D8777F" w:rsidRDefault="00D8777F" w:rsidP="00D8777F">
      <w:r>
        <w:lastRenderedPageBreak/>
        <w:t>The first separator removed</w:t>
      </w:r>
      <w:r w:rsidRPr="007C02E6">
        <w:t xml:space="preserve"> any unreacted uraniu</w:t>
      </w:r>
      <w:r>
        <w:t>m to the waste. The separation wa</w:t>
      </w:r>
      <w:r w:rsidRPr="007C02E6">
        <w:t xml:space="preserve">s defined as the fraction that </w:t>
      </w:r>
      <w:r>
        <w:t xml:space="preserve">was sent </w:t>
      </w:r>
      <w:r w:rsidRPr="007C02E6">
        <w:t xml:space="preserve">to the waste by </w:t>
      </w:r>
      <w:r>
        <w:t>parameter</w:t>
      </w:r>
      <w:proofErr w:type="gramStart"/>
      <w:r w:rsidRPr="007C02E6">
        <w:t xml:space="preserve">, </w:t>
      </w:r>
      <w:proofErr w:type="gramEnd"/>
      <m:oMath>
        <m:sSub>
          <m:sSubPr>
            <m:ctrlPr>
              <w:rPr>
                <w:rFonts w:ascii="Cambria Math" w:hAnsi="Cambria Math"/>
                <w:i/>
              </w:rPr>
            </m:ctrlPr>
          </m:sSubPr>
          <m:e>
            <m:r>
              <w:rPr>
                <w:rFonts w:ascii="Cambria Math" w:hAnsi="Cambria Math"/>
              </w:rPr>
              <m:t>K1</m:t>
            </m:r>
          </m:e>
          <m:sub>
            <m:r>
              <w:rPr>
                <w:rFonts w:ascii="Cambria Math" w:hAnsi="Cambria Math"/>
              </w:rPr>
              <m:t>Mod5C,i</m:t>
            </m:r>
          </m:sub>
        </m:sSub>
      </m:oMath>
      <w:r w:rsidRPr="007C02E6">
        <w:t xml:space="preserve">, where each component, </w:t>
      </w:r>
      <m:oMath>
        <m:r>
          <w:rPr>
            <w:rFonts w:ascii="Cambria Math" w:hAnsi="Cambria Math"/>
          </w:rPr>
          <m:t>i</m:t>
        </m:r>
      </m:oMath>
      <w:r>
        <w:t>, had</w:t>
      </w:r>
      <w:r w:rsidRPr="007C02E6">
        <w:t xml:space="preserve"> a different fractionation. Equations </w:t>
      </w:r>
      <w:r>
        <w:t>3.2.5.</w:t>
      </w:r>
      <w:r w:rsidRPr="007C02E6">
        <w:t>22–</w:t>
      </w:r>
      <w:r>
        <w:t>3.2.5.</w:t>
      </w:r>
      <w:r w:rsidRPr="007C02E6">
        <w:t>24</w:t>
      </w:r>
      <w:r>
        <w:t xml:space="preserve"> </w:t>
      </w:r>
      <w:proofErr w:type="gramStart"/>
      <w:r>
        <w:t>define</w:t>
      </w:r>
      <w:proofErr w:type="gramEnd"/>
      <w:r>
        <w:t xml:space="preserve"> the separation of S</w:t>
      </w:r>
      <w:r w:rsidRPr="007C02E6">
        <w:t xml:space="preserve">tream 49 into </w:t>
      </w:r>
      <w:r>
        <w:t>S</w:t>
      </w:r>
      <w:r w:rsidRPr="007C02E6">
        <w:t>tream 50. It is assumed at any residual UO</w:t>
      </w:r>
      <w:r w:rsidRPr="007C02E6">
        <w:rPr>
          <w:vertAlign w:val="subscript"/>
        </w:rPr>
        <w:t>2</w:t>
      </w:r>
      <w:r w:rsidRPr="007C02E6">
        <w:t xml:space="preserve"> and U</w:t>
      </w:r>
      <w:r w:rsidRPr="007C02E6">
        <w:rPr>
          <w:vertAlign w:val="subscript"/>
        </w:rPr>
        <w:t>3</w:t>
      </w:r>
      <w:r w:rsidRPr="007C02E6">
        <w:t>O</w:t>
      </w:r>
      <w:r w:rsidRPr="007C02E6">
        <w:rPr>
          <w:vertAlign w:val="subscript"/>
        </w:rPr>
        <w:t>8</w:t>
      </w:r>
      <w:r w:rsidRPr="007C02E6">
        <w:t xml:space="preserve"> </w:t>
      </w:r>
      <w:r>
        <w:t xml:space="preserve">exited </w:t>
      </w:r>
      <w:r w:rsidRPr="007C02E6">
        <w:t>in this waste stream.</w:t>
      </w:r>
    </w:p>
    <w:p w:rsidR="00D8777F" w:rsidRPr="007C02E6" w:rsidRDefault="00D8777F" w:rsidP="00D8777F">
      <w:pPr>
        <w:jc w:val="right"/>
      </w:pPr>
      <m:oMath>
        <m:sSub>
          <m:sSubPr>
            <m:ctrlPr>
              <w:rPr>
                <w:rFonts w:ascii="Cambria Math" w:hAnsi="Cambria Math"/>
                <w:i/>
              </w:rPr>
            </m:ctrlPr>
          </m:sSubPr>
          <m:e>
            <m:r>
              <w:rPr>
                <w:rFonts w:ascii="Cambria Math" w:hAnsi="Cambria Math"/>
              </w:rPr>
              <m:t>K1</m:t>
            </m:r>
          </m:e>
          <m:sub>
            <m:r>
              <w:rPr>
                <w:rFonts w:ascii="Cambria Math" w:hAnsi="Cambria Math"/>
              </w:rPr>
              <m:t>Mod5C,16</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49,16</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50,16</m:t>
            </m:r>
          </m:sub>
        </m:sSub>
        <m:r>
          <w:rPr>
            <w:rFonts w:ascii="Cambria Math" w:hAnsi="Cambria Math"/>
          </w:rPr>
          <m:t>=0</m:t>
        </m:r>
      </m:oMath>
      <w:r w:rsidRPr="007C02E6">
        <w:t xml:space="preserve"> </w:t>
      </w:r>
      <w:r>
        <w:tab/>
      </w:r>
      <w:r w:rsidRPr="007C02E6">
        <w:tab/>
      </w:r>
      <w:r w:rsidRPr="007C02E6">
        <w:tab/>
      </w:r>
      <w:r>
        <w:t>Eq. (3.2.5.</w:t>
      </w:r>
      <w:r w:rsidRPr="007C02E6">
        <w:t>22)</w:t>
      </w:r>
    </w:p>
    <w:p w:rsidR="00D8777F" w:rsidRPr="007C02E6" w:rsidRDefault="00D8777F" w:rsidP="00D8777F">
      <w:pPr>
        <w:jc w:val="right"/>
      </w:pPr>
      <m:oMath>
        <m:sSub>
          <m:sSubPr>
            <m:ctrlPr>
              <w:rPr>
                <w:rFonts w:ascii="Cambria Math" w:hAnsi="Cambria Math"/>
                <w:i/>
              </w:rPr>
            </m:ctrlPr>
          </m:sSubPr>
          <m:e>
            <m:r>
              <w:rPr>
                <w:rFonts w:ascii="Cambria Math" w:hAnsi="Cambria Math"/>
              </w:rPr>
              <m:t>K1</m:t>
            </m:r>
          </m:e>
          <m:sub>
            <m:r>
              <w:rPr>
                <w:rFonts w:ascii="Cambria Math" w:hAnsi="Cambria Math"/>
              </w:rPr>
              <m:t>Mod5C,17</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49,17</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50,17</m:t>
            </m:r>
          </m:sub>
        </m:sSub>
        <m:r>
          <w:rPr>
            <w:rFonts w:ascii="Cambria Math" w:hAnsi="Cambria Math"/>
          </w:rPr>
          <m:t>=0</m:t>
        </m:r>
      </m:oMath>
      <w:r w:rsidRPr="007C02E6">
        <w:t xml:space="preserve"> </w:t>
      </w:r>
      <w:r>
        <w:tab/>
      </w:r>
      <w:r w:rsidRPr="007C02E6">
        <w:tab/>
      </w:r>
      <w:r w:rsidRPr="007C02E6">
        <w:tab/>
      </w:r>
      <w:r>
        <w:t>Eq. (3.2.5.</w:t>
      </w:r>
      <w:r w:rsidRPr="007C02E6">
        <w:t>23)</w:t>
      </w:r>
    </w:p>
    <w:p w:rsidR="00D8777F" w:rsidRPr="007C02E6" w:rsidRDefault="00D8777F" w:rsidP="00D8777F">
      <w:pPr>
        <w:jc w:val="right"/>
      </w:pPr>
      <m:oMath>
        <m:sSub>
          <m:sSubPr>
            <m:ctrlPr>
              <w:rPr>
                <w:rFonts w:ascii="Cambria Math" w:hAnsi="Cambria Math"/>
                <w:i/>
              </w:rPr>
            </m:ctrlPr>
          </m:sSubPr>
          <m:e>
            <m:r>
              <w:rPr>
                <w:rFonts w:ascii="Cambria Math" w:hAnsi="Cambria Math"/>
              </w:rPr>
              <m:t>K1</m:t>
            </m:r>
          </m:e>
          <m:sub>
            <m:r>
              <w:rPr>
                <w:rFonts w:ascii="Cambria Math" w:hAnsi="Cambria Math"/>
              </w:rPr>
              <m:t>Mod5C,18</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49,18</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50,18</m:t>
            </m:r>
          </m:sub>
        </m:sSub>
        <m:r>
          <w:rPr>
            <w:rFonts w:ascii="Cambria Math" w:hAnsi="Cambria Math"/>
          </w:rPr>
          <m:t>=0</m:t>
        </m:r>
      </m:oMath>
      <w:r w:rsidRPr="007C02E6">
        <w:t xml:space="preserve"> </w:t>
      </w:r>
      <w:r w:rsidRPr="007C02E6">
        <w:tab/>
      </w:r>
      <w:r>
        <w:tab/>
      </w:r>
      <w:r w:rsidRPr="007C02E6">
        <w:tab/>
      </w:r>
      <w:r>
        <w:t>Eq. (3.2.5.</w:t>
      </w:r>
      <w:r w:rsidRPr="007C02E6">
        <w:t>24)</w:t>
      </w:r>
    </w:p>
    <w:p w:rsidR="00002CAE" w:rsidRPr="007C02E6" w:rsidRDefault="00002CAE" w:rsidP="00002CAE">
      <w:r w:rsidRPr="007C02E6">
        <w:t xml:space="preserve">Equations </w:t>
      </w:r>
      <w:r>
        <w:t>3.2.5.</w:t>
      </w:r>
      <w:r w:rsidRPr="007C02E6">
        <w:t>25–</w:t>
      </w:r>
      <w:r>
        <w:t xml:space="preserve">3.2.5.28 </w:t>
      </w:r>
      <w:proofErr w:type="gramStart"/>
      <w:r>
        <w:t>define</w:t>
      </w:r>
      <w:proofErr w:type="gramEnd"/>
      <w:r>
        <w:t xml:space="preserve"> S</w:t>
      </w:r>
      <w:r w:rsidRPr="007C02E6">
        <w:t>tream 51.</w:t>
      </w:r>
    </w:p>
    <w:p w:rsidR="00002CAE" w:rsidRPr="007C02E6" w:rsidRDefault="00002CAE" w:rsidP="00002CAE">
      <w:pPr>
        <w:jc w:val="right"/>
      </w:pPr>
      <m:oMath>
        <m:sSub>
          <m:sSubPr>
            <m:ctrlPr>
              <w:rPr>
                <w:rFonts w:ascii="Cambria Math" w:hAnsi="Cambria Math"/>
                <w:i/>
              </w:rPr>
            </m:ctrlPr>
          </m:sSubPr>
          <m:e>
            <m:r>
              <w:rPr>
                <w:rFonts w:ascii="Cambria Math" w:hAnsi="Cambria Math"/>
              </w:rPr>
              <m:t>F</m:t>
            </m:r>
          </m:e>
          <m:sub>
            <m:r>
              <w:rPr>
                <w:rFonts w:ascii="Cambria Math" w:hAnsi="Cambria Math"/>
              </w:rPr>
              <m:t>49,2</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51,2</m:t>
            </m:r>
          </m:sub>
        </m:sSub>
        <m:r>
          <w:rPr>
            <w:rFonts w:ascii="Cambria Math" w:hAnsi="Cambria Math"/>
          </w:rPr>
          <m:t>=0</m:t>
        </m:r>
      </m:oMath>
      <w:r w:rsidRPr="007C02E6">
        <w:t xml:space="preserve"> </w:t>
      </w:r>
      <w:r w:rsidRPr="007C02E6">
        <w:tab/>
      </w:r>
      <w:r>
        <w:tab/>
      </w:r>
      <w:r w:rsidRPr="007C02E6">
        <w:tab/>
      </w:r>
      <w:r w:rsidRPr="007C02E6">
        <w:tab/>
      </w:r>
      <w:r>
        <w:t>Eq. (3.2.5.</w:t>
      </w:r>
      <w:r w:rsidRPr="007C02E6">
        <w:t>25)</w:t>
      </w:r>
    </w:p>
    <w:p w:rsidR="00002CAE" w:rsidRPr="007C02E6" w:rsidRDefault="00002CAE" w:rsidP="00002CAE">
      <w:pPr>
        <w:jc w:val="right"/>
      </w:pPr>
      <m:oMath>
        <m:sSub>
          <m:sSubPr>
            <m:ctrlPr>
              <w:rPr>
                <w:rFonts w:ascii="Cambria Math" w:hAnsi="Cambria Math"/>
                <w:i/>
              </w:rPr>
            </m:ctrlPr>
          </m:sSubPr>
          <m:e>
            <m:r>
              <w:rPr>
                <w:rFonts w:ascii="Cambria Math" w:hAnsi="Cambria Math"/>
              </w:rPr>
              <m:t>F</m:t>
            </m:r>
          </m:e>
          <m:sub>
            <m:r>
              <w:rPr>
                <w:rFonts w:ascii="Cambria Math" w:hAnsi="Cambria Math"/>
              </w:rPr>
              <m:t>49,7</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51,7</m:t>
            </m:r>
          </m:sub>
        </m:sSub>
        <m:r>
          <w:rPr>
            <w:rFonts w:ascii="Cambria Math" w:hAnsi="Cambria Math"/>
          </w:rPr>
          <m:t>=0</m:t>
        </m:r>
      </m:oMath>
      <w:r w:rsidRPr="007C02E6">
        <w:t xml:space="preserve"> </w:t>
      </w:r>
      <w:r w:rsidRPr="007C02E6">
        <w:tab/>
      </w:r>
      <w:r>
        <w:tab/>
      </w:r>
      <w:r w:rsidRPr="007C02E6">
        <w:tab/>
      </w:r>
      <w:r w:rsidRPr="007C02E6">
        <w:tab/>
      </w:r>
      <w:r>
        <w:t>Eq. (3.2.5.</w:t>
      </w:r>
      <w:r w:rsidRPr="007C02E6">
        <w:t>26)</w:t>
      </w:r>
    </w:p>
    <w:p w:rsidR="00002CAE" w:rsidRPr="007C02E6" w:rsidRDefault="00002CAE" w:rsidP="00002CAE">
      <w:pPr>
        <w:jc w:val="right"/>
      </w:pPr>
      <m:oMath>
        <m:sSub>
          <m:sSubPr>
            <m:ctrlPr>
              <w:rPr>
                <w:rFonts w:ascii="Cambria Math" w:hAnsi="Cambria Math"/>
                <w:i/>
              </w:rPr>
            </m:ctrlPr>
          </m:sSubPr>
          <m:e>
            <m:r>
              <w:rPr>
                <w:rFonts w:ascii="Cambria Math" w:hAnsi="Cambria Math"/>
              </w:rPr>
              <m:t>F</m:t>
            </m:r>
          </m:e>
          <m:sub>
            <m:r>
              <w:rPr>
                <w:rFonts w:ascii="Cambria Math" w:hAnsi="Cambria Math"/>
              </w:rPr>
              <m:t>49,15</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51,15</m:t>
            </m:r>
          </m:sub>
        </m:sSub>
        <m:r>
          <w:rPr>
            <w:rFonts w:ascii="Cambria Math" w:hAnsi="Cambria Math"/>
          </w:rPr>
          <m:t>=0</m:t>
        </m:r>
      </m:oMath>
      <w:r w:rsidRPr="007C02E6">
        <w:t xml:space="preserve"> </w:t>
      </w:r>
      <w:r w:rsidRPr="007C02E6">
        <w:tab/>
      </w:r>
      <w:r>
        <w:tab/>
      </w:r>
      <w:r w:rsidRPr="007C02E6">
        <w:tab/>
      </w:r>
      <w:r w:rsidRPr="007C02E6">
        <w:tab/>
      </w:r>
      <w:r>
        <w:t>Eq. (3.2.5.</w:t>
      </w:r>
      <w:r w:rsidRPr="007C02E6">
        <w:t>27)</w:t>
      </w:r>
    </w:p>
    <w:p w:rsidR="00002CAE" w:rsidRPr="007C02E6" w:rsidRDefault="00002CAE" w:rsidP="00002CAE">
      <w:pPr>
        <w:jc w:val="right"/>
      </w:pPr>
      <m:oMath>
        <m:sSub>
          <m:sSubPr>
            <m:ctrlPr>
              <w:rPr>
                <w:rFonts w:ascii="Cambria Math" w:hAnsi="Cambria Math"/>
                <w:i/>
              </w:rPr>
            </m:ctrlPr>
          </m:sSubPr>
          <m:e>
            <m:r>
              <w:rPr>
                <w:rFonts w:ascii="Cambria Math" w:hAnsi="Cambria Math"/>
              </w:rPr>
              <m:t>F</m:t>
            </m:r>
          </m:e>
          <m:sub>
            <m:r>
              <w:rPr>
                <w:rFonts w:ascii="Cambria Math" w:hAnsi="Cambria Math"/>
              </w:rPr>
              <m:t>49,16</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50,16</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51,16</m:t>
            </m:r>
          </m:sub>
        </m:sSub>
        <m:r>
          <w:rPr>
            <w:rFonts w:ascii="Cambria Math" w:hAnsi="Cambria Math"/>
          </w:rPr>
          <m:t>=0</m:t>
        </m:r>
      </m:oMath>
      <w:r w:rsidRPr="007C02E6">
        <w:t xml:space="preserve"> </w:t>
      </w:r>
      <w:r w:rsidRPr="007C02E6">
        <w:tab/>
      </w:r>
      <w:r>
        <w:tab/>
      </w:r>
      <w:r>
        <w:tab/>
      </w:r>
      <w:r w:rsidRPr="007C02E6">
        <w:tab/>
      </w:r>
      <w:r>
        <w:t>Eq. (3.2.5.</w:t>
      </w:r>
      <w:r w:rsidRPr="007C02E6">
        <w:t>28)</w:t>
      </w:r>
    </w:p>
    <w:p w:rsidR="00E664E4" w:rsidRPr="007C02E6" w:rsidRDefault="00E664E4" w:rsidP="00E664E4">
      <w:r>
        <w:t>The second separator separated</w:t>
      </w:r>
      <w:r w:rsidRPr="007C02E6">
        <w:t xml:space="preserve"> most of the UF</w:t>
      </w:r>
      <w:r w:rsidRPr="007C02E6">
        <w:rPr>
          <w:vertAlign w:val="subscript"/>
        </w:rPr>
        <w:t>6</w:t>
      </w:r>
      <w:r w:rsidRPr="007C02E6">
        <w:t xml:space="preserve"> product from any remaining UF</w:t>
      </w:r>
      <w:r w:rsidRPr="007C02E6">
        <w:rPr>
          <w:vertAlign w:val="subscript"/>
        </w:rPr>
        <w:t>4</w:t>
      </w:r>
      <w:r w:rsidRPr="007C02E6">
        <w:t xml:space="preserve"> and all of the F</w:t>
      </w:r>
      <w:r w:rsidRPr="007C02E6">
        <w:rPr>
          <w:vertAlign w:val="subscript"/>
        </w:rPr>
        <w:t>2</w:t>
      </w:r>
      <w:r>
        <w:t>. Stream 52 wa</w:t>
      </w:r>
      <w:r w:rsidRPr="007C02E6">
        <w:t>s assumed to be pure UF</w:t>
      </w:r>
      <w:r w:rsidRPr="007C02E6">
        <w:rPr>
          <w:vertAlign w:val="subscript"/>
        </w:rPr>
        <w:t>6</w:t>
      </w:r>
      <w:r>
        <w:t xml:space="preserve"> at this point and wa</w:t>
      </w:r>
      <w:r w:rsidRPr="007C02E6">
        <w:t xml:space="preserve">s sent to Module 5F where </w:t>
      </w:r>
      <w:r>
        <w:t>it was</w:t>
      </w:r>
      <w:r w:rsidRPr="007C02E6">
        <w:t xml:space="preserve"> blended with the product from the secondary reactor. Stream 53 contain</w:t>
      </w:r>
      <w:r>
        <w:t>ed</w:t>
      </w:r>
      <w:r w:rsidRPr="007C02E6">
        <w:t xml:space="preserve"> any unreacted UF</w:t>
      </w:r>
      <w:r w:rsidRPr="007C02E6">
        <w:rPr>
          <w:vertAlign w:val="subscript"/>
        </w:rPr>
        <w:t>4</w:t>
      </w:r>
      <w:r w:rsidRPr="007C02E6">
        <w:t xml:space="preserve"> and the excess unreacted F</w:t>
      </w:r>
      <w:r w:rsidRPr="007C02E6">
        <w:rPr>
          <w:vertAlign w:val="subscript"/>
        </w:rPr>
        <w:t>2</w:t>
      </w:r>
      <w:r w:rsidRPr="007C02E6">
        <w:t xml:space="preserve"> that </w:t>
      </w:r>
      <w:r>
        <w:t xml:space="preserve">was </w:t>
      </w:r>
      <w:r w:rsidRPr="007C02E6">
        <w:t>consumed in the sec</w:t>
      </w:r>
      <w:r>
        <w:t>ondary reactor. The separation wa</w:t>
      </w:r>
      <w:r w:rsidRPr="007C02E6">
        <w:t xml:space="preserve">s defined as the fraction that </w:t>
      </w:r>
      <w:r>
        <w:t xml:space="preserve">was sent </w:t>
      </w:r>
      <w:r w:rsidRPr="007C02E6">
        <w:t>to the UF</w:t>
      </w:r>
      <w:r w:rsidRPr="007C02E6">
        <w:rPr>
          <w:vertAlign w:val="subscript"/>
        </w:rPr>
        <w:t>6</w:t>
      </w:r>
      <w:r w:rsidRPr="007C02E6">
        <w:t xml:space="preserve"> product by </w:t>
      </w:r>
      <w:r>
        <w:t>parameter</w:t>
      </w:r>
      <w:r w:rsidRPr="007C02E6">
        <w:t xml:space="preserve">, </w:t>
      </w:r>
      <m:oMath>
        <m:sSub>
          <m:sSubPr>
            <m:ctrlPr>
              <w:rPr>
                <w:rFonts w:ascii="Cambria Math" w:hAnsi="Cambria Math"/>
                <w:i/>
              </w:rPr>
            </m:ctrlPr>
          </m:sSubPr>
          <m:e>
            <m:r>
              <w:rPr>
                <w:rFonts w:ascii="Cambria Math" w:hAnsi="Cambria Math"/>
              </w:rPr>
              <m:t>K2</m:t>
            </m:r>
          </m:e>
          <m:sub>
            <m:r>
              <w:rPr>
                <w:rFonts w:ascii="Cambria Math" w:hAnsi="Cambria Math"/>
              </w:rPr>
              <m:t>Mod5C</m:t>
            </m:r>
          </m:sub>
        </m:sSub>
      </m:oMath>
      <w:r w:rsidRPr="007C02E6">
        <w:t xml:space="preserve">. Equation </w:t>
      </w:r>
      <w:r>
        <w:t>3.2.5.</w:t>
      </w:r>
      <w:r w:rsidRPr="007C02E6">
        <w:t>29 defines</w:t>
      </w:r>
      <w:r>
        <w:t xml:space="preserve"> the separation of S</w:t>
      </w:r>
      <w:r w:rsidRPr="007C02E6">
        <w:t>tream 51</w:t>
      </w:r>
      <w:r>
        <w:t xml:space="preserve"> into S</w:t>
      </w:r>
      <w:r w:rsidRPr="007C02E6">
        <w:t>tream</w:t>
      </w:r>
      <w:r>
        <w:t> </w:t>
      </w:r>
      <w:r w:rsidRPr="007C02E6">
        <w:t xml:space="preserve">52. </w:t>
      </w:r>
    </w:p>
    <w:p w:rsidR="00E664E4" w:rsidRPr="007C02E6" w:rsidRDefault="00C851DF" w:rsidP="00E664E4">
      <w:pPr>
        <w:jc w:val="right"/>
      </w:pPr>
      <m:oMath>
        <m:sSub>
          <m:sSubPr>
            <m:ctrlPr>
              <w:rPr>
                <w:rFonts w:ascii="Cambria Math" w:hAnsi="Cambria Math"/>
                <w:i/>
              </w:rPr>
            </m:ctrlPr>
          </m:sSubPr>
          <m:e>
            <m:r>
              <w:rPr>
                <w:rFonts w:ascii="Cambria Math" w:hAnsi="Cambria Math"/>
              </w:rPr>
              <m:t>K2</m:t>
            </m:r>
          </m:e>
          <m:sub>
            <m:r>
              <w:rPr>
                <w:rFonts w:ascii="Cambria Math" w:hAnsi="Cambria Math"/>
              </w:rPr>
              <m:t>Mod5C</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51,15</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52,15</m:t>
            </m:r>
          </m:sub>
        </m:sSub>
        <m:r>
          <w:rPr>
            <w:rFonts w:ascii="Cambria Math" w:hAnsi="Cambria Math"/>
          </w:rPr>
          <m:t>=0</m:t>
        </m:r>
      </m:oMath>
      <w:r w:rsidR="00E664E4" w:rsidRPr="007C02E6">
        <w:t xml:space="preserve"> </w:t>
      </w:r>
      <w:r w:rsidR="00E664E4" w:rsidRPr="007C02E6">
        <w:tab/>
      </w:r>
      <w:r w:rsidR="00E664E4">
        <w:tab/>
      </w:r>
      <w:r w:rsidR="00E664E4">
        <w:tab/>
      </w:r>
      <w:r w:rsidR="00E664E4" w:rsidRPr="007C02E6">
        <w:tab/>
      </w:r>
      <w:r w:rsidR="00E664E4">
        <w:t>Eq. (3.2.5.</w:t>
      </w:r>
      <w:r w:rsidR="00E664E4" w:rsidRPr="007C02E6">
        <w:t>29)</w:t>
      </w:r>
    </w:p>
    <w:p w:rsidR="00E664E4" w:rsidRPr="007C02E6" w:rsidRDefault="00E664E4" w:rsidP="00E664E4">
      <w:r w:rsidRPr="007C02E6">
        <w:t xml:space="preserve">Equations </w:t>
      </w:r>
      <w:r>
        <w:t>3.2.5.</w:t>
      </w:r>
      <w:r w:rsidRPr="007C02E6">
        <w:t>30–</w:t>
      </w:r>
      <w:r>
        <w:t>3.2.5.</w:t>
      </w:r>
      <w:r w:rsidRPr="007C02E6">
        <w:t xml:space="preserve">33 define </w:t>
      </w:r>
      <w:r>
        <w:t>S</w:t>
      </w:r>
      <w:r w:rsidRPr="007C02E6">
        <w:t>tream 53.</w:t>
      </w:r>
    </w:p>
    <w:p w:rsidR="00E664E4" w:rsidRPr="007C02E6"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51,2</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53,2</m:t>
            </m:r>
          </m:sub>
        </m:sSub>
        <m:r>
          <w:rPr>
            <w:rFonts w:ascii="Cambria Math" w:hAnsi="Cambria Math"/>
          </w:rPr>
          <m:t>=0</m:t>
        </m:r>
      </m:oMath>
      <w:r w:rsidR="00E664E4" w:rsidRPr="007C02E6">
        <w:t xml:space="preserve"> </w:t>
      </w:r>
      <w:r w:rsidR="00E664E4" w:rsidRPr="007C02E6">
        <w:tab/>
      </w:r>
      <w:r w:rsidR="00E664E4" w:rsidRPr="007C02E6">
        <w:tab/>
      </w:r>
      <w:r w:rsidR="00E664E4">
        <w:tab/>
      </w:r>
      <w:r w:rsidR="00E664E4" w:rsidRPr="007C02E6">
        <w:tab/>
      </w:r>
      <w:r w:rsidR="00E664E4">
        <w:t>Eq. (3.2.5.</w:t>
      </w:r>
      <w:r w:rsidR="00E664E4" w:rsidRPr="007C02E6">
        <w:t>30)</w:t>
      </w:r>
    </w:p>
    <w:p w:rsidR="00E664E4" w:rsidRPr="007C02E6"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51,7</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53,7</m:t>
            </m:r>
          </m:sub>
        </m:sSub>
        <m:r>
          <w:rPr>
            <w:rFonts w:ascii="Cambria Math" w:hAnsi="Cambria Math"/>
          </w:rPr>
          <m:t>=0</m:t>
        </m:r>
      </m:oMath>
      <w:r w:rsidR="00E664E4" w:rsidRPr="007C02E6">
        <w:t xml:space="preserve"> </w:t>
      </w:r>
      <w:r w:rsidR="00E664E4" w:rsidRPr="007C02E6">
        <w:tab/>
      </w:r>
      <w:r w:rsidR="00E664E4" w:rsidRPr="007C02E6">
        <w:tab/>
      </w:r>
      <w:r w:rsidR="00E664E4">
        <w:tab/>
      </w:r>
      <w:r w:rsidR="00E664E4" w:rsidRPr="007C02E6">
        <w:tab/>
      </w:r>
      <w:r w:rsidR="00E664E4">
        <w:t>Eq. (3.2.5.</w:t>
      </w:r>
      <w:r w:rsidR="00E664E4" w:rsidRPr="007C02E6">
        <w:t>31)</w:t>
      </w:r>
    </w:p>
    <w:p w:rsidR="00E664E4" w:rsidRPr="007C02E6"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51,15</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52,15</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53,15</m:t>
            </m:r>
          </m:sub>
        </m:sSub>
        <m:r>
          <w:rPr>
            <w:rFonts w:ascii="Cambria Math" w:hAnsi="Cambria Math"/>
          </w:rPr>
          <m:t>=0</m:t>
        </m:r>
      </m:oMath>
      <w:r w:rsidR="00E664E4" w:rsidRPr="007C02E6">
        <w:t xml:space="preserve"> </w:t>
      </w:r>
      <w:r w:rsidR="00E664E4" w:rsidRPr="007C02E6">
        <w:tab/>
      </w:r>
      <w:r w:rsidR="00E664E4">
        <w:tab/>
      </w:r>
      <w:r w:rsidR="00E664E4">
        <w:tab/>
      </w:r>
      <w:r w:rsidR="00E664E4" w:rsidRPr="007C02E6">
        <w:tab/>
      </w:r>
      <w:r w:rsidR="00E664E4">
        <w:t>Eq. (3.2.5.</w:t>
      </w:r>
      <w:r w:rsidR="00E664E4" w:rsidRPr="007C02E6">
        <w:t>32)</w:t>
      </w:r>
    </w:p>
    <w:p w:rsidR="00E664E4" w:rsidRPr="007C02E6"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51,16</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53,16</m:t>
            </m:r>
          </m:sub>
        </m:sSub>
        <m:r>
          <w:rPr>
            <w:rFonts w:ascii="Cambria Math" w:hAnsi="Cambria Math"/>
          </w:rPr>
          <m:t>=0</m:t>
        </m:r>
      </m:oMath>
      <w:r w:rsidR="00E664E4" w:rsidRPr="007C02E6">
        <w:t xml:space="preserve"> </w:t>
      </w:r>
      <w:r w:rsidR="00E664E4" w:rsidRPr="007C02E6">
        <w:tab/>
      </w:r>
      <w:r w:rsidR="00E664E4" w:rsidRPr="007C02E6">
        <w:tab/>
      </w:r>
      <w:r w:rsidR="00E664E4">
        <w:tab/>
      </w:r>
      <w:r w:rsidR="00E664E4" w:rsidRPr="007C02E6">
        <w:tab/>
      </w:r>
      <w:r w:rsidR="00E664E4">
        <w:t>Eq. (3.2.5.</w:t>
      </w:r>
      <w:r w:rsidR="00E664E4" w:rsidRPr="007C02E6">
        <w:t>33)</w:t>
      </w:r>
    </w:p>
    <w:p w:rsidR="00DC329E" w:rsidRPr="001E169B" w:rsidRDefault="00DC329E" w:rsidP="001E169B"/>
    <w:p w:rsidR="00D8777F" w:rsidRDefault="00D8777F" w:rsidP="00E664E4">
      <w:pPr>
        <w:rPr>
          <w:rFonts w:asciiTheme="majorHAnsi" w:hAnsiTheme="majorHAnsi"/>
          <w:b/>
          <w:i/>
        </w:rPr>
      </w:pPr>
    </w:p>
    <w:p w:rsidR="00D8777F" w:rsidRDefault="00D8777F" w:rsidP="00E664E4">
      <w:pPr>
        <w:rPr>
          <w:rFonts w:asciiTheme="majorHAnsi" w:hAnsiTheme="majorHAnsi"/>
          <w:b/>
          <w:i/>
        </w:rPr>
      </w:pPr>
    </w:p>
    <w:p w:rsidR="00E664E4" w:rsidRDefault="00E664E4" w:rsidP="00E664E4">
      <w:pPr>
        <w:rPr>
          <w:rFonts w:asciiTheme="majorHAnsi" w:hAnsiTheme="majorHAnsi"/>
          <w:b/>
          <w:i/>
        </w:rPr>
      </w:pPr>
      <w:r>
        <w:rPr>
          <w:rFonts w:asciiTheme="majorHAnsi" w:hAnsiTheme="majorHAnsi"/>
          <w:b/>
          <w:i/>
        </w:rPr>
        <w:lastRenderedPageBreak/>
        <w:t>3.2.5</w:t>
      </w:r>
      <w:r w:rsidRPr="00C26992">
        <w:rPr>
          <w:rFonts w:asciiTheme="majorHAnsi" w:hAnsiTheme="majorHAnsi"/>
          <w:b/>
          <w:i/>
        </w:rPr>
        <w:t>.</w:t>
      </w:r>
      <w:r>
        <w:rPr>
          <w:rFonts w:asciiTheme="majorHAnsi" w:hAnsiTheme="majorHAnsi"/>
          <w:b/>
          <w:i/>
        </w:rPr>
        <w:t>4 Module 5D</w:t>
      </w:r>
    </w:p>
    <w:p w:rsidR="00E664E4" w:rsidRDefault="00E664E4" w:rsidP="00E664E4">
      <w:r w:rsidRPr="00A37902">
        <w:t>Module 5D include</w:t>
      </w:r>
      <w:r>
        <w:t>d</w:t>
      </w:r>
      <w:r w:rsidRPr="00A37902">
        <w:t xml:space="preserve"> the mixer and heater for the secondary reactor. The inputs to Module 5D include</w:t>
      </w:r>
      <w:r>
        <w:t>d the</w:t>
      </w:r>
      <w:r w:rsidRPr="00A37902">
        <w:t xml:space="preserve"> UF</w:t>
      </w:r>
      <w:r w:rsidRPr="00A37902">
        <w:rPr>
          <w:vertAlign w:val="subscript"/>
        </w:rPr>
        <w:t>4</w:t>
      </w:r>
      <w:r w:rsidRPr="00A37902">
        <w:t xml:space="preserve"> from the splitter in Module 5A and </w:t>
      </w:r>
      <w:r>
        <w:t xml:space="preserve">the </w:t>
      </w:r>
      <w:r w:rsidRPr="00A37902">
        <w:t xml:space="preserve">unreacted compounds from the second separator in Module 5C. </w:t>
      </w:r>
      <w:r>
        <w:t>There wa</w:t>
      </w:r>
      <w:r w:rsidRPr="009D034F">
        <w:t xml:space="preserve">s one output from Module 5D. Figure 3.30 shows a block diagram of Module 5D with the input and output streams labeled. </w:t>
      </w:r>
    </w:p>
    <w:p w:rsidR="00623712" w:rsidRPr="00A37902" w:rsidRDefault="00623712" w:rsidP="00623712">
      <w:r w:rsidRPr="00A37902">
        <w:t xml:space="preserve">The component mole balances for </w:t>
      </w:r>
      <w:r>
        <w:t>S</w:t>
      </w:r>
      <w:r w:rsidRPr="00A37902">
        <w:t xml:space="preserve">tream 54 are shown in Equations </w:t>
      </w:r>
      <w:r>
        <w:t>3.2.5.</w:t>
      </w:r>
      <w:r w:rsidRPr="00A37902">
        <w:t>34–</w:t>
      </w:r>
      <w:r>
        <w:t>3.2.5.</w:t>
      </w:r>
      <w:r w:rsidRPr="00A37902">
        <w:t>39.</w:t>
      </w:r>
    </w:p>
    <w:p w:rsidR="00623712" w:rsidRPr="00A37902" w:rsidRDefault="00623712" w:rsidP="00623712">
      <w:pPr>
        <w:jc w:val="right"/>
      </w:pPr>
      <m:oMath>
        <m:sSub>
          <m:sSubPr>
            <m:ctrlPr>
              <w:rPr>
                <w:rFonts w:ascii="Cambria Math" w:hAnsi="Cambria Math"/>
                <w:i/>
              </w:rPr>
            </m:ctrlPr>
          </m:sSubPr>
          <m:e>
            <m:r>
              <w:rPr>
                <w:rFonts w:ascii="Cambria Math" w:hAnsi="Cambria Math"/>
              </w:rPr>
              <m:t>F</m:t>
            </m:r>
          </m:e>
          <m:sub>
            <m:r>
              <w:rPr>
                <w:rFonts w:ascii="Cambria Math" w:hAnsi="Cambria Math"/>
              </w:rPr>
              <m:t>53,2</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54,2</m:t>
            </m:r>
          </m:sub>
        </m:sSub>
        <m:r>
          <w:rPr>
            <w:rFonts w:ascii="Cambria Math" w:hAnsi="Cambria Math"/>
          </w:rPr>
          <m:t>=0</m:t>
        </m:r>
      </m:oMath>
      <w:r w:rsidRPr="00A37902">
        <w:t xml:space="preserve"> </w:t>
      </w:r>
      <w:r w:rsidRPr="00A37902">
        <w:tab/>
      </w:r>
      <w:r w:rsidRPr="00A37902">
        <w:tab/>
      </w:r>
      <w:r>
        <w:tab/>
      </w:r>
      <w:r w:rsidRPr="00A37902">
        <w:tab/>
      </w:r>
      <w:r>
        <w:t>Eq. (3.2.5.</w:t>
      </w:r>
      <w:r w:rsidRPr="00A37902">
        <w:t>34)</w:t>
      </w:r>
    </w:p>
    <w:p w:rsidR="00623712" w:rsidRPr="00A37902" w:rsidRDefault="00623712" w:rsidP="00623712">
      <w:pPr>
        <w:jc w:val="right"/>
      </w:pPr>
      <m:oMath>
        <m:sSub>
          <m:sSubPr>
            <m:ctrlPr>
              <w:rPr>
                <w:rFonts w:ascii="Cambria Math" w:hAnsi="Cambria Math"/>
                <w:i/>
              </w:rPr>
            </m:ctrlPr>
          </m:sSubPr>
          <m:e>
            <m:r>
              <w:rPr>
                <w:rFonts w:ascii="Cambria Math" w:hAnsi="Cambria Math"/>
              </w:rPr>
              <m:t>F</m:t>
            </m:r>
          </m:e>
          <m:sub>
            <m:r>
              <w:rPr>
                <w:rFonts w:ascii="Cambria Math" w:hAnsi="Cambria Math"/>
              </w:rPr>
              <m:t>53,7</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54,7</m:t>
            </m:r>
          </m:sub>
        </m:sSub>
        <m:r>
          <w:rPr>
            <w:rFonts w:ascii="Cambria Math" w:hAnsi="Cambria Math"/>
          </w:rPr>
          <m:t>=0</m:t>
        </m:r>
      </m:oMath>
      <w:r w:rsidRPr="00A37902">
        <w:t xml:space="preserve"> </w:t>
      </w:r>
      <w:r w:rsidRPr="00A37902">
        <w:tab/>
      </w:r>
      <w:r w:rsidRPr="00A37902">
        <w:tab/>
      </w:r>
      <w:r>
        <w:tab/>
      </w:r>
      <w:r w:rsidRPr="00A37902">
        <w:tab/>
      </w:r>
      <w:r>
        <w:t>Eq. (3.2.5.</w:t>
      </w:r>
      <w:r w:rsidRPr="00A37902">
        <w:t>35)</w:t>
      </w:r>
    </w:p>
    <w:p w:rsidR="00623712" w:rsidRPr="00A37902" w:rsidRDefault="00623712" w:rsidP="00623712">
      <w:pPr>
        <w:jc w:val="right"/>
      </w:pPr>
      <m:oMath>
        <m:sSub>
          <m:sSubPr>
            <m:ctrlPr>
              <w:rPr>
                <w:rFonts w:ascii="Cambria Math" w:hAnsi="Cambria Math"/>
                <w:i/>
              </w:rPr>
            </m:ctrlPr>
          </m:sSubPr>
          <m:e>
            <m:r>
              <w:rPr>
                <w:rFonts w:ascii="Cambria Math" w:hAnsi="Cambria Math"/>
              </w:rPr>
              <m:t>F</m:t>
            </m:r>
          </m:e>
          <m:sub>
            <m:r>
              <w:rPr>
                <w:rFonts w:ascii="Cambria Math" w:hAnsi="Cambria Math"/>
              </w:rPr>
              <m:t>53,15</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54,15</m:t>
            </m:r>
          </m:sub>
        </m:sSub>
        <m:r>
          <w:rPr>
            <w:rFonts w:ascii="Cambria Math" w:hAnsi="Cambria Math"/>
          </w:rPr>
          <m:t>=0</m:t>
        </m:r>
      </m:oMath>
      <w:r w:rsidRPr="00A37902">
        <w:t xml:space="preserve"> </w:t>
      </w:r>
      <w:r w:rsidRPr="00A37902">
        <w:tab/>
      </w:r>
      <w:r w:rsidRPr="00A37902">
        <w:tab/>
      </w:r>
      <w:r>
        <w:tab/>
      </w:r>
      <w:r w:rsidRPr="00A37902">
        <w:tab/>
      </w:r>
      <w:r>
        <w:t>Eq. (3.2.5.</w:t>
      </w:r>
      <w:r w:rsidRPr="00A37902">
        <w:t>36)</w:t>
      </w:r>
    </w:p>
    <w:p w:rsidR="00623712" w:rsidRPr="00A37902" w:rsidRDefault="00623712" w:rsidP="00623712">
      <w:pPr>
        <w:jc w:val="right"/>
      </w:pPr>
      <m:oMath>
        <m:sSub>
          <m:sSubPr>
            <m:ctrlPr>
              <w:rPr>
                <w:rFonts w:ascii="Cambria Math" w:hAnsi="Cambria Math"/>
                <w:i/>
              </w:rPr>
            </m:ctrlPr>
          </m:sSubPr>
          <m:e>
            <m:r>
              <w:rPr>
                <w:rFonts w:ascii="Cambria Math" w:hAnsi="Cambria Math"/>
              </w:rPr>
              <m:t>F</m:t>
            </m:r>
          </m:e>
          <m:sub>
            <m:r>
              <w:rPr>
                <w:rFonts w:ascii="Cambria Math" w:hAnsi="Cambria Math"/>
              </w:rPr>
              <m:t>45,16</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53,16</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54,16</m:t>
            </m:r>
          </m:sub>
        </m:sSub>
        <m:r>
          <w:rPr>
            <w:rFonts w:ascii="Cambria Math" w:hAnsi="Cambria Math"/>
          </w:rPr>
          <m:t>=0</m:t>
        </m:r>
      </m:oMath>
      <w:r w:rsidRPr="00A37902">
        <w:t xml:space="preserve"> </w:t>
      </w:r>
      <w:r w:rsidRPr="00A37902">
        <w:tab/>
      </w:r>
      <w:r>
        <w:tab/>
      </w:r>
      <w:r>
        <w:tab/>
      </w:r>
      <w:r w:rsidRPr="00A37902">
        <w:tab/>
      </w:r>
      <w:r>
        <w:t>Eq. (3.2.5.</w:t>
      </w:r>
      <w:r w:rsidRPr="00A37902">
        <w:t>37)</w:t>
      </w:r>
    </w:p>
    <w:p w:rsidR="00623712" w:rsidRPr="00A37902" w:rsidRDefault="00623712" w:rsidP="00623712">
      <w:pPr>
        <w:jc w:val="right"/>
      </w:pPr>
      <m:oMath>
        <m:sSub>
          <m:sSubPr>
            <m:ctrlPr>
              <w:rPr>
                <w:rFonts w:ascii="Cambria Math" w:hAnsi="Cambria Math"/>
                <w:i/>
              </w:rPr>
            </m:ctrlPr>
          </m:sSubPr>
          <m:e>
            <m:r>
              <w:rPr>
                <w:rFonts w:ascii="Cambria Math" w:hAnsi="Cambria Math"/>
              </w:rPr>
              <m:t>F</m:t>
            </m:r>
          </m:e>
          <m:sub>
            <m:r>
              <w:rPr>
                <w:rFonts w:ascii="Cambria Math" w:hAnsi="Cambria Math"/>
              </w:rPr>
              <m:t>53,17</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54,17</m:t>
            </m:r>
          </m:sub>
        </m:sSub>
        <m:r>
          <w:rPr>
            <w:rFonts w:ascii="Cambria Math" w:hAnsi="Cambria Math"/>
          </w:rPr>
          <m:t>=0</m:t>
        </m:r>
      </m:oMath>
      <w:r w:rsidRPr="00A37902">
        <w:t xml:space="preserve"> </w:t>
      </w:r>
      <w:r w:rsidRPr="00A37902">
        <w:tab/>
      </w:r>
      <w:r w:rsidRPr="00A37902">
        <w:tab/>
      </w:r>
      <w:r>
        <w:tab/>
      </w:r>
      <w:r w:rsidRPr="00A37902">
        <w:tab/>
      </w:r>
      <w:r>
        <w:t>Eq. (3.2.5.</w:t>
      </w:r>
      <w:r w:rsidRPr="00A37902">
        <w:t>38)</w:t>
      </w:r>
    </w:p>
    <w:p w:rsidR="00623712" w:rsidRPr="00A37902" w:rsidRDefault="00623712" w:rsidP="00623712">
      <w:pPr>
        <w:jc w:val="right"/>
      </w:pPr>
      <m:oMath>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53,18</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54,18</m:t>
            </m:r>
          </m:sub>
        </m:sSub>
        <m:r>
          <w:rPr>
            <w:rFonts w:ascii="Cambria Math" w:hAnsi="Cambria Math"/>
          </w:rPr>
          <m:t>=0</m:t>
        </m:r>
      </m:oMath>
      <w:r w:rsidRPr="00A37902">
        <w:t xml:space="preserve"> </w:t>
      </w:r>
      <w:r w:rsidRPr="00A37902">
        <w:tab/>
      </w:r>
      <w:r w:rsidRPr="00A37902">
        <w:tab/>
      </w:r>
      <w:r>
        <w:tab/>
      </w:r>
      <w:r w:rsidRPr="00A37902">
        <w:tab/>
      </w:r>
      <w:r>
        <w:t>Eq. (3.2.5.</w:t>
      </w:r>
      <w:r w:rsidRPr="00A37902">
        <w:t>39)</w:t>
      </w:r>
    </w:p>
    <w:p w:rsidR="00623712" w:rsidRPr="007C02E6" w:rsidRDefault="00623712" w:rsidP="00623712"/>
    <w:p w:rsidR="00623712" w:rsidRDefault="00623712" w:rsidP="00623712">
      <w:pPr>
        <w:rPr>
          <w:rFonts w:asciiTheme="majorHAnsi" w:hAnsiTheme="majorHAnsi"/>
          <w:b/>
          <w:i/>
        </w:rPr>
      </w:pPr>
      <w:r>
        <w:rPr>
          <w:rFonts w:asciiTheme="majorHAnsi" w:hAnsiTheme="majorHAnsi"/>
          <w:b/>
          <w:i/>
        </w:rPr>
        <w:t>3.2.5</w:t>
      </w:r>
      <w:r w:rsidRPr="00C26992">
        <w:rPr>
          <w:rFonts w:asciiTheme="majorHAnsi" w:hAnsiTheme="majorHAnsi"/>
          <w:b/>
          <w:i/>
        </w:rPr>
        <w:t>.</w:t>
      </w:r>
      <w:r>
        <w:rPr>
          <w:rFonts w:asciiTheme="majorHAnsi" w:hAnsiTheme="majorHAnsi"/>
          <w:b/>
          <w:i/>
        </w:rPr>
        <w:t>5 Module 5E</w:t>
      </w:r>
    </w:p>
    <w:p w:rsidR="00623712" w:rsidRDefault="00623712" w:rsidP="00623712">
      <w:r>
        <w:t>Module 5E wa</w:t>
      </w:r>
      <w:r w:rsidRPr="008D25AA">
        <w:t>s the secondary flame reacto</w:t>
      </w:r>
      <w:r>
        <w:t>r. The secondary flame reactor wa</w:t>
      </w:r>
      <w:r w:rsidRPr="008D25AA">
        <w:t xml:space="preserve">s used to remove excess fluorine from the system for safety and equipment preservation based on Eq. </w:t>
      </w:r>
      <w:r>
        <w:t>3.2.5.</w:t>
      </w:r>
      <w:r w:rsidRPr="008D25AA">
        <w:t>1. There</w:t>
      </w:r>
      <w:r>
        <w:t xml:space="preserve"> wa</w:t>
      </w:r>
      <w:r w:rsidRPr="008D25AA">
        <w:t xml:space="preserve">s a small </w:t>
      </w:r>
      <w:r w:rsidRPr="009D034F">
        <w:t>fraction of UF</w:t>
      </w:r>
      <w:r w:rsidRPr="009D034F">
        <w:rPr>
          <w:vertAlign w:val="subscript"/>
        </w:rPr>
        <w:t>4</w:t>
      </w:r>
      <w:r w:rsidRPr="009D034F">
        <w:t xml:space="preserve"> split off in Module 5A to provide</w:t>
      </w:r>
      <w:r>
        <w:t xml:space="preserve"> sufficient</w:t>
      </w:r>
      <w:r w:rsidRPr="009D034F">
        <w:t xml:space="preserve"> UF</w:t>
      </w:r>
      <w:r w:rsidRPr="009D034F">
        <w:rPr>
          <w:vertAlign w:val="subscript"/>
        </w:rPr>
        <w:t>4</w:t>
      </w:r>
      <w:r w:rsidRPr="009D034F">
        <w:t xml:space="preserve"> to react the excess fluorine</w:t>
      </w:r>
      <w:r>
        <w:t>. The other input to Module 5E wa</w:t>
      </w:r>
      <w:r w:rsidRPr="009D034F">
        <w:t xml:space="preserve">s </w:t>
      </w:r>
      <w:r>
        <w:t>the output of Module 5D. There wa</w:t>
      </w:r>
      <w:r w:rsidRPr="009D034F">
        <w:t xml:space="preserve">s one output from Module 5D. Figure 3.31 shows a block diagram of Module 5E with the input and output streams labeled. </w:t>
      </w:r>
    </w:p>
    <w:p w:rsidR="00623712" w:rsidRPr="009D034F" w:rsidRDefault="00623712" w:rsidP="00E664E4"/>
    <w:p w:rsidR="00E664E4" w:rsidRPr="009D034F" w:rsidRDefault="00E664E4" w:rsidP="00E664E4">
      <w:pPr>
        <w:jc w:val="center"/>
      </w:pPr>
      <w:r w:rsidRPr="009D034F">
        <w:object w:dxaOrig="4476" w:dyaOrig="2530">
          <v:shape id="_x0000_i1052" type="#_x0000_t75" style="width:223.25pt;height:126.15pt" o:ole="">
            <v:imagedata r:id="rId81" o:title=""/>
          </v:shape>
          <o:OLEObject Type="Embed" ProgID="Visio.Drawing.11" ShapeID="_x0000_i1052" DrawAspect="Content" ObjectID="_1445525577" r:id="rId82"/>
        </w:object>
      </w:r>
    </w:p>
    <w:p w:rsidR="00E664E4" w:rsidRDefault="00E664E4" w:rsidP="00E664E4">
      <w:pPr>
        <w:jc w:val="center"/>
        <w:rPr>
          <w:b/>
          <w:sz w:val="20"/>
          <w:szCs w:val="20"/>
        </w:rPr>
      </w:pPr>
      <w:r w:rsidRPr="009D034F">
        <w:rPr>
          <w:b/>
          <w:sz w:val="20"/>
          <w:szCs w:val="20"/>
        </w:rPr>
        <w:t xml:space="preserve">Figure 3.30. Block Diagram of the Module 5D </w:t>
      </w:r>
      <w:r w:rsidR="004045DF">
        <w:rPr>
          <w:b/>
          <w:sz w:val="20"/>
          <w:szCs w:val="20"/>
        </w:rPr>
        <w:t>Showing Input and Output Streams</w:t>
      </w:r>
      <w:r w:rsidRPr="009D034F">
        <w:rPr>
          <w:b/>
          <w:sz w:val="20"/>
          <w:szCs w:val="20"/>
        </w:rPr>
        <w:t>.</w:t>
      </w:r>
    </w:p>
    <w:p w:rsidR="00F116B2" w:rsidRPr="00F116B2" w:rsidRDefault="00F116B2" w:rsidP="00F116B2"/>
    <w:p w:rsidR="00E664E4" w:rsidRPr="009D034F" w:rsidRDefault="00E664E4" w:rsidP="00E664E4">
      <w:pPr>
        <w:jc w:val="center"/>
      </w:pPr>
      <w:r w:rsidRPr="009D034F">
        <w:object w:dxaOrig="3137" w:dyaOrig="2054">
          <v:shape id="_x0000_i1053" type="#_x0000_t75" style="width:155.9pt;height:101.7pt" o:ole="">
            <v:imagedata r:id="rId83" o:title=""/>
          </v:shape>
          <o:OLEObject Type="Embed" ProgID="Visio.Drawing.11" ShapeID="_x0000_i1053" DrawAspect="Content" ObjectID="_1445525578" r:id="rId84"/>
        </w:object>
      </w:r>
    </w:p>
    <w:p w:rsidR="00E664E4" w:rsidRDefault="00E664E4" w:rsidP="00E664E4">
      <w:pPr>
        <w:jc w:val="center"/>
        <w:rPr>
          <w:b/>
          <w:sz w:val="20"/>
          <w:szCs w:val="20"/>
        </w:rPr>
      </w:pPr>
      <w:r w:rsidRPr="009D034F">
        <w:rPr>
          <w:b/>
          <w:sz w:val="20"/>
          <w:szCs w:val="20"/>
        </w:rPr>
        <w:t xml:space="preserve">Figure 3.31. Block Diagram of the Module 5E </w:t>
      </w:r>
      <w:r w:rsidR="004045DF">
        <w:rPr>
          <w:b/>
          <w:sz w:val="20"/>
          <w:szCs w:val="20"/>
        </w:rPr>
        <w:t>Showing Input and Output Streams</w:t>
      </w:r>
      <w:r w:rsidRPr="009D034F">
        <w:rPr>
          <w:b/>
          <w:sz w:val="20"/>
          <w:szCs w:val="20"/>
        </w:rPr>
        <w:t>.</w:t>
      </w:r>
    </w:p>
    <w:p w:rsidR="00F116B2" w:rsidRDefault="00F116B2" w:rsidP="00F116B2"/>
    <w:p w:rsidR="00D8777F" w:rsidRPr="008D25AA" w:rsidRDefault="00D8777F" w:rsidP="00D8777F">
      <w:r w:rsidRPr="008D25AA">
        <w:t xml:space="preserve">Equations </w:t>
      </w:r>
      <w:r>
        <w:t>3.2.5.</w:t>
      </w:r>
      <w:r w:rsidRPr="008D25AA">
        <w:t>40–</w:t>
      </w:r>
      <w:r>
        <w:t>3.2.5.</w:t>
      </w:r>
      <w:r w:rsidRPr="008D25AA">
        <w:t>45 describe to the fluorination of UF</w:t>
      </w:r>
      <w:r w:rsidRPr="00096EBE">
        <w:rPr>
          <w:vertAlign w:val="subscript"/>
        </w:rPr>
        <w:t>4</w:t>
      </w:r>
      <w:r w:rsidRPr="008D25AA">
        <w:t xml:space="preserve"> to UF</w:t>
      </w:r>
      <w:r w:rsidRPr="00096EBE">
        <w:rPr>
          <w:vertAlign w:val="subscript"/>
        </w:rPr>
        <w:t>6</w:t>
      </w:r>
      <w:r w:rsidRPr="008D25AA">
        <w:t xml:space="preserve"> in the secondary flame reactor, where </w:t>
      </w:r>
      <m:oMath>
        <m:sSub>
          <m:sSubPr>
            <m:ctrlPr>
              <w:rPr>
                <w:rFonts w:ascii="Cambria Math" w:hAnsi="Cambria Math"/>
                <w:i/>
              </w:rPr>
            </m:ctrlPr>
          </m:sSubPr>
          <m:e>
            <m:r>
              <w:rPr>
                <w:rFonts w:ascii="Cambria Math" w:hAnsi="Cambria Math"/>
              </w:rPr>
              <m:t>X</m:t>
            </m:r>
          </m:e>
          <m:sub>
            <m:r>
              <w:rPr>
                <w:rFonts w:ascii="Cambria Math" w:hAnsi="Cambria Math"/>
              </w:rPr>
              <m:t>Mod5E</m:t>
            </m:r>
          </m:sub>
        </m:sSub>
      </m:oMath>
      <w:r>
        <w:t xml:space="preserve"> wa</w:t>
      </w:r>
      <w:proofErr w:type="spellStart"/>
      <w:r w:rsidRPr="008D25AA">
        <w:t>s</w:t>
      </w:r>
      <w:proofErr w:type="spellEnd"/>
      <w:r w:rsidRPr="008D25AA">
        <w:t xml:space="preserve"> the extent of reaction in terms of UF</w:t>
      </w:r>
      <w:r w:rsidRPr="00096EBE">
        <w:rPr>
          <w:vertAlign w:val="subscript"/>
        </w:rPr>
        <w:t>4</w:t>
      </w:r>
      <w:r w:rsidRPr="008D25AA">
        <w:t>.</w:t>
      </w:r>
    </w:p>
    <w:p w:rsidR="00D8777F" w:rsidRPr="008D25AA" w:rsidRDefault="00D8777F" w:rsidP="00D8777F">
      <w:pPr>
        <w:jc w:val="right"/>
      </w:pPr>
      <m:oMath>
        <m:sSub>
          <m:sSubPr>
            <m:ctrlPr>
              <w:rPr>
                <w:rFonts w:ascii="Cambria Math" w:hAnsi="Cambria Math"/>
                <w:i/>
              </w:rPr>
            </m:ctrlPr>
          </m:sSubPr>
          <m:e>
            <m:r>
              <w:rPr>
                <w:rFonts w:ascii="Cambria Math" w:hAnsi="Cambria Math"/>
              </w:rPr>
              <m:t>F</m:t>
            </m:r>
          </m:e>
          <m:sub>
            <m:r>
              <w:rPr>
                <w:rFonts w:ascii="Cambria Math" w:hAnsi="Cambria Math"/>
              </w:rPr>
              <m:t>54,2</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Mod5E,2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Mod5E</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54,16</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55,2</m:t>
            </m:r>
          </m:sub>
        </m:sSub>
        <m:r>
          <w:rPr>
            <w:rFonts w:ascii="Cambria Math" w:hAnsi="Cambria Math"/>
          </w:rPr>
          <m:t>=0</m:t>
        </m:r>
      </m:oMath>
      <w:r w:rsidRPr="008D25AA">
        <w:t xml:space="preserve"> </w:t>
      </w:r>
      <w:r>
        <w:tab/>
      </w:r>
      <w:r w:rsidRPr="008D25AA">
        <w:tab/>
      </w:r>
      <w:r w:rsidRPr="008D25AA">
        <w:tab/>
      </w:r>
      <w:r>
        <w:t>Eq. (3.2.5.</w:t>
      </w:r>
      <w:r w:rsidRPr="008D25AA">
        <w:t>40)</w:t>
      </w:r>
    </w:p>
    <w:p w:rsidR="00D8777F" w:rsidRPr="00F116B2" w:rsidRDefault="00D8777F" w:rsidP="00D8777F">
      <w:pPr>
        <w:jc w:val="right"/>
      </w:pPr>
      <m:oMath>
        <m:sSub>
          <m:sSubPr>
            <m:ctrlPr>
              <w:rPr>
                <w:rFonts w:ascii="Cambria Math" w:hAnsi="Cambria Math"/>
                <w:i/>
              </w:rPr>
            </m:ctrlPr>
          </m:sSubPr>
          <m:e>
            <m:r>
              <w:rPr>
                <w:rFonts w:ascii="Cambria Math" w:hAnsi="Cambria Math"/>
              </w:rPr>
              <m:t>F</m:t>
            </m:r>
          </m:e>
          <m:sub>
            <m:r>
              <w:rPr>
                <w:rFonts w:ascii="Cambria Math" w:hAnsi="Cambria Math"/>
              </w:rPr>
              <m:t>54,7</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Mod5E,7</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Mod5E</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54,16</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55,7</m:t>
            </m:r>
          </m:sub>
        </m:sSub>
        <m:r>
          <w:rPr>
            <w:rFonts w:ascii="Cambria Math" w:hAnsi="Cambria Math"/>
          </w:rPr>
          <m:t>=0</m:t>
        </m:r>
      </m:oMath>
      <w:r w:rsidRPr="008D25AA">
        <w:t xml:space="preserve"> </w:t>
      </w:r>
      <w:r>
        <w:tab/>
      </w:r>
      <w:r w:rsidRPr="008D25AA">
        <w:tab/>
      </w:r>
      <w:r w:rsidRPr="008D25AA">
        <w:tab/>
      </w:r>
      <w:r>
        <w:t>Eq. (3.2.5.</w:t>
      </w:r>
      <w:r w:rsidRPr="008D25AA">
        <w:t>41)</w:t>
      </w:r>
    </w:p>
    <w:p w:rsidR="00F116B2"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54,15</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Mod5E,15</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Mod5E</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54,16</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55,15</m:t>
            </m:r>
          </m:sub>
        </m:sSub>
        <m:r>
          <w:rPr>
            <w:rFonts w:ascii="Cambria Math" w:hAnsi="Cambria Math"/>
          </w:rPr>
          <m:t>=0</m:t>
        </m:r>
      </m:oMath>
      <w:r w:rsidR="00F116B2" w:rsidRPr="008D25AA">
        <w:t xml:space="preserve"> </w:t>
      </w:r>
      <w:r w:rsidR="00F116B2" w:rsidRPr="008D25AA">
        <w:tab/>
      </w:r>
      <w:r w:rsidR="00F116B2">
        <w:tab/>
      </w:r>
      <w:r w:rsidR="00F116B2" w:rsidRPr="008D25AA">
        <w:tab/>
      </w:r>
      <w:r w:rsidR="00F116B2">
        <w:t>Eq. (3.2.5.</w:t>
      </w:r>
      <w:r w:rsidR="00F116B2" w:rsidRPr="008D25AA">
        <w:t>42)</w:t>
      </w:r>
    </w:p>
    <w:p w:rsidR="00E664E4" w:rsidRPr="008D25AA"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54,16</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Mod5E,16</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Mod5E</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54,16</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55,16</m:t>
            </m:r>
          </m:sub>
        </m:sSub>
        <m:r>
          <w:rPr>
            <w:rFonts w:ascii="Cambria Math" w:hAnsi="Cambria Math"/>
          </w:rPr>
          <m:t>=0</m:t>
        </m:r>
      </m:oMath>
      <w:r w:rsidR="00E664E4" w:rsidRPr="008D25AA">
        <w:t xml:space="preserve"> </w:t>
      </w:r>
      <w:r w:rsidR="00E664E4" w:rsidRPr="008D25AA">
        <w:tab/>
      </w:r>
      <w:r w:rsidR="00E664E4">
        <w:tab/>
      </w:r>
      <w:r w:rsidR="00E664E4" w:rsidRPr="008D25AA">
        <w:tab/>
      </w:r>
      <w:r w:rsidR="00E664E4">
        <w:t>Eq. (3.2.5.</w:t>
      </w:r>
      <w:r w:rsidR="00E664E4" w:rsidRPr="008D25AA">
        <w:t>43)</w:t>
      </w:r>
    </w:p>
    <w:p w:rsidR="00E664E4" w:rsidRPr="008D25AA"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54,17</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Mod5E,17</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Mod5E</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54,16</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55,17</m:t>
            </m:r>
          </m:sub>
        </m:sSub>
        <m:r>
          <w:rPr>
            <w:rFonts w:ascii="Cambria Math" w:hAnsi="Cambria Math"/>
          </w:rPr>
          <m:t>=0</m:t>
        </m:r>
      </m:oMath>
      <w:r w:rsidR="00E664E4" w:rsidRPr="008D25AA">
        <w:t xml:space="preserve"> </w:t>
      </w:r>
      <w:r w:rsidR="00E664E4" w:rsidRPr="008D25AA">
        <w:tab/>
      </w:r>
      <w:r w:rsidR="00E664E4">
        <w:tab/>
      </w:r>
      <w:r w:rsidR="00E664E4" w:rsidRPr="008D25AA">
        <w:tab/>
      </w:r>
      <w:r w:rsidR="00E664E4">
        <w:t>Eq. (3.2.5.</w:t>
      </w:r>
      <w:r w:rsidR="00E664E4" w:rsidRPr="008D25AA">
        <w:t>44)</w:t>
      </w:r>
    </w:p>
    <w:p w:rsidR="00E664E4" w:rsidRPr="008D25AA"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54,18</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Mod5E,18</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Mod5E</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54,16</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55,18</m:t>
            </m:r>
          </m:sub>
        </m:sSub>
        <m:r>
          <w:rPr>
            <w:rFonts w:ascii="Cambria Math" w:hAnsi="Cambria Math"/>
          </w:rPr>
          <m:t>=0</m:t>
        </m:r>
      </m:oMath>
      <w:r w:rsidR="00E664E4" w:rsidRPr="008D25AA">
        <w:t xml:space="preserve"> </w:t>
      </w:r>
      <w:r w:rsidR="00E664E4" w:rsidRPr="008D25AA">
        <w:tab/>
      </w:r>
      <w:r w:rsidR="00E664E4">
        <w:tab/>
      </w:r>
      <w:r w:rsidR="00E664E4" w:rsidRPr="008D25AA">
        <w:tab/>
      </w:r>
      <w:r w:rsidR="00E664E4">
        <w:t>Eq. (3.2.5.</w:t>
      </w:r>
      <w:r w:rsidR="00E664E4" w:rsidRPr="008D25AA">
        <w:t>45)</w:t>
      </w:r>
    </w:p>
    <w:p w:rsidR="00E664E4" w:rsidRPr="00A37902" w:rsidRDefault="00E664E4" w:rsidP="00E664E4"/>
    <w:p w:rsidR="00E664E4" w:rsidRDefault="00E664E4" w:rsidP="00E664E4">
      <w:pPr>
        <w:rPr>
          <w:rFonts w:asciiTheme="majorHAnsi" w:hAnsiTheme="majorHAnsi"/>
          <w:b/>
          <w:i/>
        </w:rPr>
      </w:pPr>
      <w:r>
        <w:rPr>
          <w:rFonts w:asciiTheme="majorHAnsi" w:hAnsiTheme="majorHAnsi"/>
          <w:b/>
          <w:i/>
        </w:rPr>
        <w:t>3.2.5</w:t>
      </w:r>
      <w:r w:rsidRPr="00C26992">
        <w:rPr>
          <w:rFonts w:asciiTheme="majorHAnsi" w:hAnsiTheme="majorHAnsi"/>
          <w:b/>
          <w:i/>
        </w:rPr>
        <w:t>.</w:t>
      </w:r>
      <w:r>
        <w:rPr>
          <w:rFonts w:asciiTheme="majorHAnsi" w:hAnsiTheme="majorHAnsi"/>
          <w:b/>
          <w:i/>
        </w:rPr>
        <w:t>6 Module 5F</w:t>
      </w:r>
    </w:p>
    <w:p w:rsidR="001E169B" w:rsidRDefault="00E664E4" w:rsidP="00E664E4">
      <w:r w:rsidRPr="00096EBE">
        <w:t>Module 5F encompasse</w:t>
      </w:r>
      <w:r>
        <w:t>d</w:t>
      </w:r>
      <w:r w:rsidRPr="00096EBE">
        <w:t xml:space="preserve"> the final separations of the UF</w:t>
      </w:r>
      <w:r w:rsidRPr="00096EBE">
        <w:rPr>
          <w:vertAlign w:val="subscript"/>
        </w:rPr>
        <w:t>6</w:t>
      </w:r>
      <w:r w:rsidRPr="00096EBE">
        <w:t xml:space="preserve"> product. The e</w:t>
      </w:r>
      <w:r>
        <w:t>quipment included in Module 5F wa</w:t>
      </w:r>
      <w:r w:rsidRPr="00096EBE">
        <w:t xml:space="preserve">s </w:t>
      </w:r>
      <w:r>
        <w:t>a cooler, two</w:t>
      </w:r>
      <w:r w:rsidRPr="00096EBE">
        <w:t xml:space="preserve"> separators, and a mixer. The inputs to Module 5F include</w:t>
      </w:r>
      <w:r>
        <w:t>d</w:t>
      </w:r>
      <w:r w:rsidRPr="00096EBE">
        <w:t xml:space="preserve"> the output of Module 5E and </w:t>
      </w:r>
      <w:r w:rsidRPr="009A3612">
        <w:t>the UF</w:t>
      </w:r>
      <w:r w:rsidRPr="009A3612">
        <w:rPr>
          <w:vertAlign w:val="subscript"/>
        </w:rPr>
        <w:t>6</w:t>
      </w:r>
      <w:r w:rsidRPr="009A3612">
        <w:t xml:space="preserve"> product from the second</w:t>
      </w:r>
      <w:r>
        <w:t xml:space="preserve"> separator in Module 5C. There we</w:t>
      </w:r>
      <w:r w:rsidRPr="009A3612">
        <w:t>re three outputs from Module 5E, a gaseous waste stream, a solid waste stream, and the UF</w:t>
      </w:r>
      <w:r w:rsidRPr="009A3612">
        <w:rPr>
          <w:vertAlign w:val="subscript"/>
        </w:rPr>
        <w:t>6</w:t>
      </w:r>
      <w:r w:rsidRPr="009A3612">
        <w:t xml:space="preserve"> product line. Figure 3.32 shows a block diagram of Module 5F with the input and output streams labeled. </w:t>
      </w:r>
    </w:p>
    <w:p w:rsidR="00E664E4" w:rsidRPr="009A3612" w:rsidRDefault="00E664E4" w:rsidP="00F116B2">
      <w:pPr>
        <w:jc w:val="center"/>
      </w:pPr>
      <w:r w:rsidRPr="009A3612">
        <w:object w:dxaOrig="7020" w:dyaOrig="3549">
          <v:shape id="_x0000_i1054" type="#_x0000_t75" style="width:350.75pt;height:178.35pt" o:ole="">
            <v:imagedata r:id="rId85" o:title=""/>
          </v:shape>
          <o:OLEObject Type="Embed" ProgID="Visio.Drawing.11" ShapeID="_x0000_i1054" DrawAspect="Content" ObjectID="_1445525579" r:id="rId86"/>
        </w:object>
      </w:r>
    </w:p>
    <w:p w:rsidR="00E664E4" w:rsidRDefault="00E664E4" w:rsidP="00E664E4">
      <w:pPr>
        <w:jc w:val="center"/>
        <w:rPr>
          <w:b/>
          <w:sz w:val="20"/>
          <w:szCs w:val="20"/>
        </w:rPr>
      </w:pPr>
      <w:r w:rsidRPr="009A3612">
        <w:rPr>
          <w:b/>
          <w:sz w:val="20"/>
          <w:szCs w:val="20"/>
        </w:rPr>
        <w:t xml:space="preserve">Figure 3.32. Block Diagram of the Module 5F </w:t>
      </w:r>
      <w:r w:rsidR="004045DF">
        <w:rPr>
          <w:b/>
          <w:sz w:val="20"/>
          <w:szCs w:val="20"/>
        </w:rPr>
        <w:t>Showing Input and Output Streams</w:t>
      </w:r>
      <w:r w:rsidRPr="009A3612">
        <w:rPr>
          <w:b/>
          <w:sz w:val="20"/>
          <w:szCs w:val="20"/>
        </w:rPr>
        <w:t>.</w:t>
      </w:r>
    </w:p>
    <w:p w:rsidR="001E169B" w:rsidRPr="00F116B2" w:rsidRDefault="001E169B" w:rsidP="00F116B2"/>
    <w:p w:rsidR="00623712" w:rsidRPr="00096EBE" w:rsidRDefault="00623712" w:rsidP="00623712">
      <w:r>
        <w:t>The first separator removed</w:t>
      </w:r>
      <w:r w:rsidRPr="009A3612">
        <w:t xml:space="preserve"> all of the gaseous components except the UF</w:t>
      </w:r>
      <w:r w:rsidRPr="009A3612">
        <w:rPr>
          <w:vertAlign w:val="subscript"/>
        </w:rPr>
        <w:t>6</w:t>
      </w:r>
      <w:r w:rsidRPr="009A3612">
        <w:t xml:space="preserve"> product, as shown as in</w:t>
      </w:r>
      <w:r w:rsidRPr="00096EBE">
        <w:t xml:space="preserve"> Equations </w:t>
      </w:r>
      <w:r>
        <w:t>3.2.5.</w:t>
      </w:r>
      <w:r w:rsidRPr="00096EBE">
        <w:t xml:space="preserve">46 and </w:t>
      </w:r>
      <w:r>
        <w:t>3.2.5.</w:t>
      </w:r>
      <w:r w:rsidRPr="00096EBE">
        <w:t xml:space="preserve">47. </w:t>
      </w:r>
    </w:p>
    <w:p w:rsidR="00623712" w:rsidRPr="00096EBE" w:rsidRDefault="00623712" w:rsidP="00623712">
      <w:pPr>
        <w:jc w:val="right"/>
      </w:pPr>
      <m:oMath>
        <m:sSub>
          <m:sSubPr>
            <m:ctrlPr>
              <w:rPr>
                <w:rFonts w:ascii="Cambria Math" w:hAnsi="Cambria Math"/>
                <w:i/>
              </w:rPr>
            </m:ctrlPr>
          </m:sSubPr>
          <m:e>
            <m:r>
              <w:rPr>
                <w:rFonts w:ascii="Cambria Math" w:hAnsi="Cambria Math"/>
              </w:rPr>
              <m:t>F</m:t>
            </m:r>
          </m:e>
          <m:sub>
            <m:r>
              <w:rPr>
                <w:rFonts w:ascii="Cambria Math" w:hAnsi="Cambria Math"/>
              </w:rPr>
              <m:t>55,2</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56,2</m:t>
            </m:r>
          </m:sub>
        </m:sSub>
        <m:r>
          <w:rPr>
            <w:rFonts w:ascii="Cambria Math" w:hAnsi="Cambria Math"/>
          </w:rPr>
          <m:t>=0</m:t>
        </m:r>
      </m:oMath>
      <w:r w:rsidRPr="00096EBE">
        <w:t xml:space="preserve"> </w:t>
      </w:r>
      <w:r w:rsidRPr="00096EBE">
        <w:tab/>
      </w:r>
      <w:r>
        <w:tab/>
      </w:r>
      <w:r w:rsidRPr="00096EBE">
        <w:tab/>
      </w:r>
      <w:r w:rsidRPr="00096EBE">
        <w:tab/>
      </w:r>
      <w:r>
        <w:t>Eq. (3.2.5.</w:t>
      </w:r>
      <w:r w:rsidRPr="00096EBE">
        <w:t>46)</w:t>
      </w:r>
    </w:p>
    <w:p w:rsidR="00623712" w:rsidRDefault="00623712" w:rsidP="00623712">
      <w:pPr>
        <w:jc w:val="right"/>
      </w:pPr>
      <m:oMath>
        <m:sSub>
          <m:sSubPr>
            <m:ctrlPr>
              <w:rPr>
                <w:rFonts w:ascii="Cambria Math" w:hAnsi="Cambria Math"/>
                <w:i/>
              </w:rPr>
            </m:ctrlPr>
          </m:sSubPr>
          <m:e>
            <m:r>
              <w:rPr>
                <w:rFonts w:ascii="Cambria Math" w:hAnsi="Cambria Math"/>
              </w:rPr>
              <m:t>F</m:t>
            </m:r>
          </m:e>
          <m:sub>
            <m:r>
              <w:rPr>
                <w:rFonts w:ascii="Cambria Math" w:hAnsi="Cambria Math"/>
              </w:rPr>
              <m:t>55,7</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56,7</m:t>
            </m:r>
          </m:sub>
        </m:sSub>
        <m:r>
          <w:rPr>
            <w:rFonts w:ascii="Cambria Math" w:hAnsi="Cambria Math"/>
          </w:rPr>
          <m:t>=0</m:t>
        </m:r>
      </m:oMath>
      <w:r w:rsidRPr="00096EBE">
        <w:t xml:space="preserve"> </w:t>
      </w:r>
      <w:r w:rsidRPr="00096EBE">
        <w:tab/>
      </w:r>
      <w:r>
        <w:tab/>
      </w:r>
      <w:r w:rsidRPr="00096EBE">
        <w:tab/>
      </w:r>
      <w:r w:rsidRPr="00096EBE">
        <w:tab/>
      </w:r>
      <w:r>
        <w:t>Eq. (3.2.5.</w:t>
      </w:r>
      <w:r w:rsidRPr="00096EBE">
        <w:t>47)</w:t>
      </w:r>
    </w:p>
    <w:p w:rsidR="00D8777F" w:rsidRPr="00096EBE" w:rsidRDefault="00D8777F" w:rsidP="00D8777F">
      <w:r w:rsidRPr="00096EBE">
        <w:t>T</w:t>
      </w:r>
      <w:r>
        <w:t>he component mole balances for S</w:t>
      </w:r>
      <w:r w:rsidRPr="00096EBE">
        <w:t xml:space="preserve">tream 57 are shown in Equations </w:t>
      </w:r>
      <w:r>
        <w:t>3.2.5.</w:t>
      </w:r>
      <w:r w:rsidRPr="00096EBE">
        <w:t>48–</w:t>
      </w:r>
      <w:r>
        <w:t>3.2.5.</w:t>
      </w:r>
      <w:r w:rsidRPr="00096EBE">
        <w:t>51.</w:t>
      </w:r>
    </w:p>
    <w:p w:rsidR="00D8777F" w:rsidRPr="00096EBE" w:rsidRDefault="00D8777F" w:rsidP="00D8777F">
      <w:pPr>
        <w:jc w:val="right"/>
      </w:pPr>
      <m:oMath>
        <m:sSub>
          <m:sSubPr>
            <m:ctrlPr>
              <w:rPr>
                <w:rFonts w:ascii="Cambria Math" w:hAnsi="Cambria Math"/>
                <w:i/>
              </w:rPr>
            </m:ctrlPr>
          </m:sSubPr>
          <m:e>
            <m:r>
              <w:rPr>
                <w:rFonts w:ascii="Cambria Math" w:hAnsi="Cambria Math"/>
              </w:rPr>
              <m:t>F</m:t>
            </m:r>
          </m:e>
          <m:sub>
            <m:r>
              <w:rPr>
                <w:rFonts w:ascii="Cambria Math" w:hAnsi="Cambria Math"/>
              </w:rPr>
              <m:t>55,15</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57,15</m:t>
            </m:r>
          </m:sub>
        </m:sSub>
        <m:r>
          <w:rPr>
            <w:rFonts w:ascii="Cambria Math" w:hAnsi="Cambria Math"/>
          </w:rPr>
          <m:t>=0</m:t>
        </m:r>
      </m:oMath>
      <w:r w:rsidRPr="00096EBE">
        <w:t xml:space="preserve"> </w:t>
      </w:r>
      <w:r w:rsidRPr="00096EBE">
        <w:tab/>
      </w:r>
      <w:r>
        <w:tab/>
      </w:r>
      <w:r w:rsidRPr="00096EBE">
        <w:tab/>
      </w:r>
      <w:r w:rsidRPr="00096EBE">
        <w:tab/>
      </w:r>
      <w:r>
        <w:t>Eq. (3.2.5.</w:t>
      </w:r>
      <w:r w:rsidRPr="00096EBE">
        <w:t>48)</w:t>
      </w:r>
    </w:p>
    <w:p w:rsidR="00D8777F" w:rsidRPr="00096EBE" w:rsidRDefault="00D8777F" w:rsidP="00D8777F">
      <w:pPr>
        <w:jc w:val="right"/>
      </w:pPr>
      <m:oMath>
        <m:sSub>
          <m:sSubPr>
            <m:ctrlPr>
              <w:rPr>
                <w:rFonts w:ascii="Cambria Math" w:hAnsi="Cambria Math"/>
                <w:i/>
              </w:rPr>
            </m:ctrlPr>
          </m:sSubPr>
          <m:e>
            <m:r>
              <w:rPr>
                <w:rFonts w:ascii="Cambria Math" w:hAnsi="Cambria Math"/>
              </w:rPr>
              <m:t>F</m:t>
            </m:r>
          </m:e>
          <m:sub>
            <m:r>
              <w:rPr>
                <w:rFonts w:ascii="Cambria Math" w:hAnsi="Cambria Math"/>
              </w:rPr>
              <m:t>55,16</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57,16</m:t>
            </m:r>
          </m:sub>
        </m:sSub>
        <m:r>
          <w:rPr>
            <w:rFonts w:ascii="Cambria Math" w:hAnsi="Cambria Math"/>
          </w:rPr>
          <m:t>=0</m:t>
        </m:r>
      </m:oMath>
      <w:r w:rsidRPr="00096EBE">
        <w:t xml:space="preserve"> </w:t>
      </w:r>
      <w:r>
        <w:tab/>
      </w:r>
      <w:r w:rsidRPr="00096EBE">
        <w:tab/>
      </w:r>
      <w:r w:rsidRPr="00096EBE">
        <w:tab/>
      </w:r>
      <w:r w:rsidRPr="00096EBE">
        <w:tab/>
      </w:r>
      <w:r>
        <w:t>Eq. (3.2.5.</w:t>
      </w:r>
      <w:r w:rsidRPr="00096EBE">
        <w:t>49)</w:t>
      </w:r>
    </w:p>
    <w:p w:rsidR="00D8777F" w:rsidRPr="00096EBE" w:rsidRDefault="00D8777F" w:rsidP="00D8777F">
      <w:pPr>
        <w:jc w:val="right"/>
      </w:pPr>
      <m:oMath>
        <m:sSub>
          <m:sSubPr>
            <m:ctrlPr>
              <w:rPr>
                <w:rFonts w:ascii="Cambria Math" w:hAnsi="Cambria Math"/>
                <w:i/>
              </w:rPr>
            </m:ctrlPr>
          </m:sSubPr>
          <m:e>
            <m:r>
              <w:rPr>
                <w:rFonts w:ascii="Cambria Math" w:hAnsi="Cambria Math"/>
              </w:rPr>
              <m:t>F</m:t>
            </m:r>
          </m:e>
          <m:sub>
            <m:r>
              <w:rPr>
                <w:rFonts w:ascii="Cambria Math" w:hAnsi="Cambria Math"/>
              </w:rPr>
              <m:t>55,17</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57,17</m:t>
            </m:r>
          </m:sub>
        </m:sSub>
        <m:r>
          <w:rPr>
            <w:rFonts w:ascii="Cambria Math" w:hAnsi="Cambria Math"/>
          </w:rPr>
          <m:t>=0</m:t>
        </m:r>
      </m:oMath>
      <w:r w:rsidRPr="00096EBE">
        <w:t xml:space="preserve"> </w:t>
      </w:r>
      <w:r w:rsidRPr="00096EBE">
        <w:tab/>
      </w:r>
      <w:r>
        <w:tab/>
      </w:r>
      <w:r w:rsidRPr="00096EBE">
        <w:tab/>
      </w:r>
      <w:r w:rsidRPr="00096EBE">
        <w:tab/>
      </w:r>
      <w:r>
        <w:t>Eq. (3.2.5.</w:t>
      </w:r>
      <w:r w:rsidRPr="00096EBE">
        <w:t>50)</w:t>
      </w:r>
    </w:p>
    <w:p w:rsidR="00F116B2" w:rsidRPr="001E169B" w:rsidRDefault="00C851DF" w:rsidP="00F116B2">
      <w:pPr>
        <w:jc w:val="right"/>
      </w:pPr>
      <m:oMath>
        <m:sSub>
          <m:sSubPr>
            <m:ctrlPr>
              <w:rPr>
                <w:rFonts w:ascii="Cambria Math" w:hAnsi="Cambria Math"/>
                <w:i/>
              </w:rPr>
            </m:ctrlPr>
          </m:sSubPr>
          <m:e>
            <m:r>
              <w:rPr>
                <w:rFonts w:ascii="Cambria Math" w:hAnsi="Cambria Math"/>
              </w:rPr>
              <m:t>F</m:t>
            </m:r>
          </m:e>
          <m:sub>
            <m:r>
              <w:rPr>
                <w:rFonts w:ascii="Cambria Math" w:hAnsi="Cambria Math"/>
              </w:rPr>
              <m:t>55,18</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57,18</m:t>
            </m:r>
          </m:sub>
        </m:sSub>
        <m:r>
          <w:rPr>
            <w:rFonts w:ascii="Cambria Math" w:hAnsi="Cambria Math"/>
          </w:rPr>
          <m:t>=0</m:t>
        </m:r>
      </m:oMath>
      <w:r w:rsidR="00F116B2" w:rsidRPr="00096EBE">
        <w:t xml:space="preserve"> </w:t>
      </w:r>
      <w:r w:rsidR="00F116B2">
        <w:tab/>
      </w:r>
      <w:r w:rsidR="00F116B2" w:rsidRPr="00096EBE">
        <w:tab/>
      </w:r>
      <w:r w:rsidR="00F116B2" w:rsidRPr="00096EBE">
        <w:tab/>
      </w:r>
      <w:r w:rsidR="00F116B2" w:rsidRPr="00096EBE">
        <w:tab/>
      </w:r>
      <w:r w:rsidR="00F116B2">
        <w:t>Eq. (3.2.5.</w:t>
      </w:r>
      <w:r w:rsidR="00F116B2" w:rsidRPr="00096EBE">
        <w:t>51)</w:t>
      </w:r>
    </w:p>
    <w:p w:rsidR="00E664E4" w:rsidRPr="00096EBE" w:rsidRDefault="00E664E4" w:rsidP="00E664E4">
      <w:r w:rsidRPr="00096EBE">
        <w:t>The second separator remove</w:t>
      </w:r>
      <w:r>
        <w:t>d</w:t>
      </w:r>
      <w:r w:rsidRPr="00096EBE">
        <w:t xml:space="preserve"> any remaining solid comp</w:t>
      </w:r>
      <w:r>
        <w:t>onents to the waste. Stream 59 wa</w:t>
      </w:r>
      <w:r w:rsidRPr="00096EBE">
        <w:t>s assumed to be pure UF</w:t>
      </w:r>
      <w:r w:rsidRPr="00096EBE">
        <w:rPr>
          <w:vertAlign w:val="subscript"/>
        </w:rPr>
        <w:t>6</w:t>
      </w:r>
      <w:r w:rsidRPr="00096EBE">
        <w:t xml:space="preserve"> and </w:t>
      </w:r>
      <w:r>
        <w:t xml:space="preserve">was </w:t>
      </w:r>
      <w:r w:rsidRPr="00096EBE">
        <w:t>blended with the UF</w:t>
      </w:r>
      <w:r w:rsidRPr="00096EBE">
        <w:rPr>
          <w:vertAlign w:val="subscript"/>
        </w:rPr>
        <w:t>6</w:t>
      </w:r>
      <w:r w:rsidRPr="00096EBE">
        <w:t xml:space="preserve"> from Module 5C. Equations </w:t>
      </w:r>
      <w:r>
        <w:t>3.2.5.</w:t>
      </w:r>
      <w:r w:rsidRPr="00096EBE">
        <w:t>52–</w:t>
      </w:r>
      <w:r>
        <w:t>3.2.5.</w:t>
      </w:r>
      <w:r w:rsidRPr="00096EBE">
        <w:t xml:space="preserve">54 define </w:t>
      </w:r>
      <w:r>
        <w:t>S</w:t>
      </w:r>
      <w:r w:rsidRPr="00096EBE">
        <w:t xml:space="preserve">tream 58 and </w:t>
      </w:r>
      <w:r>
        <w:t>E</w:t>
      </w:r>
      <w:r w:rsidRPr="00096EBE">
        <w:t xml:space="preserve">quation </w:t>
      </w:r>
      <w:r>
        <w:t>3.2.5.</w:t>
      </w:r>
      <w:r w:rsidRPr="00096EBE">
        <w:t xml:space="preserve">55 defines </w:t>
      </w:r>
      <w:r>
        <w:t>S</w:t>
      </w:r>
      <w:r w:rsidRPr="00096EBE">
        <w:t>tream 59.</w:t>
      </w:r>
    </w:p>
    <w:p w:rsidR="00E664E4" w:rsidRPr="00096EBE"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57,16</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58,16</m:t>
            </m:r>
          </m:sub>
        </m:sSub>
        <m:r>
          <w:rPr>
            <w:rFonts w:ascii="Cambria Math" w:hAnsi="Cambria Math"/>
          </w:rPr>
          <m:t>=0</m:t>
        </m:r>
      </m:oMath>
      <w:r w:rsidR="00E664E4" w:rsidRPr="00096EBE">
        <w:t xml:space="preserve"> </w:t>
      </w:r>
      <w:r w:rsidR="00E664E4">
        <w:tab/>
      </w:r>
      <w:r w:rsidR="00E664E4" w:rsidRPr="00096EBE">
        <w:tab/>
      </w:r>
      <w:r w:rsidR="00E664E4" w:rsidRPr="00096EBE">
        <w:tab/>
      </w:r>
      <w:r w:rsidR="00E664E4" w:rsidRPr="00096EBE">
        <w:tab/>
      </w:r>
      <w:r w:rsidR="00E664E4">
        <w:t>Eq. (3.2.5.</w:t>
      </w:r>
      <w:r w:rsidR="00E664E4" w:rsidRPr="00096EBE">
        <w:t>52)</w:t>
      </w:r>
    </w:p>
    <w:p w:rsidR="00E664E4" w:rsidRPr="00096EBE"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57,17</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58,17</m:t>
            </m:r>
          </m:sub>
        </m:sSub>
        <m:r>
          <w:rPr>
            <w:rFonts w:ascii="Cambria Math" w:hAnsi="Cambria Math"/>
          </w:rPr>
          <m:t>=0</m:t>
        </m:r>
      </m:oMath>
      <w:r w:rsidR="00E664E4" w:rsidRPr="00096EBE">
        <w:t xml:space="preserve"> </w:t>
      </w:r>
      <w:r w:rsidR="00E664E4">
        <w:tab/>
      </w:r>
      <w:r w:rsidR="00E664E4" w:rsidRPr="00096EBE">
        <w:tab/>
      </w:r>
      <w:r w:rsidR="00E664E4" w:rsidRPr="00096EBE">
        <w:tab/>
      </w:r>
      <w:r w:rsidR="00E664E4" w:rsidRPr="00096EBE">
        <w:tab/>
      </w:r>
      <w:r w:rsidR="00E664E4">
        <w:t>Eq. (3.2.5.</w:t>
      </w:r>
      <w:r w:rsidR="00E664E4" w:rsidRPr="00096EBE">
        <w:t>53)</w:t>
      </w:r>
    </w:p>
    <w:p w:rsidR="00E664E4" w:rsidRPr="00096EBE"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57,18</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58,18</m:t>
            </m:r>
          </m:sub>
        </m:sSub>
        <m:r>
          <w:rPr>
            <w:rFonts w:ascii="Cambria Math" w:hAnsi="Cambria Math"/>
          </w:rPr>
          <m:t>=0</m:t>
        </m:r>
      </m:oMath>
      <w:r w:rsidR="00E664E4" w:rsidRPr="00096EBE">
        <w:t xml:space="preserve"> </w:t>
      </w:r>
      <w:r w:rsidR="00E664E4">
        <w:tab/>
      </w:r>
      <w:r w:rsidR="00E664E4" w:rsidRPr="00096EBE">
        <w:tab/>
      </w:r>
      <w:r w:rsidR="00E664E4" w:rsidRPr="00096EBE">
        <w:tab/>
      </w:r>
      <w:r w:rsidR="00E664E4" w:rsidRPr="00096EBE">
        <w:tab/>
      </w:r>
      <w:r w:rsidR="00E664E4">
        <w:t>Eq. (3.2.5.</w:t>
      </w:r>
      <w:r w:rsidR="00E664E4" w:rsidRPr="00096EBE">
        <w:t>54)</w:t>
      </w:r>
    </w:p>
    <w:p w:rsidR="00E664E4" w:rsidRPr="00096EBE"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57,15</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59,15</m:t>
            </m:r>
          </m:sub>
        </m:sSub>
        <m:r>
          <w:rPr>
            <w:rFonts w:ascii="Cambria Math" w:hAnsi="Cambria Math"/>
          </w:rPr>
          <m:t>=0</m:t>
        </m:r>
      </m:oMath>
      <w:r w:rsidR="00E664E4" w:rsidRPr="00096EBE">
        <w:t xml:space="preserve"> </w:t>
      </w:r>
      <w:r w:rsidR="00E664E4" w:rsidRPr="00096EBE">
        <w:tab/>
      </w:r>
      <w:r w:rsidR="00E664E4">
        <w:tab/>
      </w:r>
      <w:r w:rsidR="00E664E4" w:rsidRPr="00096EBE">
        <w:tab/>
      </w:r>
      <w:r w:rsidR="00E664E4" w:rsidRPr="00096EBE">
        <w:tab/>
      </w:r>
      <w:r w:rsidR="00E664E4">
        <w:t>Eq. (3.2.5.</w:t>
      </w:r>
      <w:r w:rsidR="00E664E4" w:rsidRPr="00096EBE">
        <w:t>55)</w:t>
      </w:r>
    </w:p>
    <w:p w:rsidR="00E664E4" w:rsidRPr="00096EBE" w:rsidRDefault="00E664E4" w:rsidP="00E664E4">
      <w:r w:rsidRPr="00096EBE">
        <w:t>The pure UF</w:t>
      </w:r>
      <w:r w:rsidRPr="00096EBE">
        <w:rPr>
          <w:vertAlign w:val="subscript"/>
        </w:rPr>
        <w:t>6</w:t>
      </w:r>
      <w:r>
        <w:t xml:space="preserve"> from both Module 5C and 5F we</w:t>
      </w:r>
      <w:r w:rsidRPr="00096EBE">
        <w:t xml:space="preserve">re blended before exiting the facility as the final product, according to Equation </w:t>
      </w:r>
      <w:r>
        <w:t>3.2.5.</w:t>
      </w:r>
      <w:r w:rsidRPr="00096EBE">
        <w:t>56.</w:t>
      </w:r>
    </w:p>
    <w:p w:rsidR="00E664E4"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52,15</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59,15</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60,15</m:t>
            </m:r>
          </m:sub>
        </m:sSub>
        <m:r>
          <w:rPr>
            <w:rFonts w:ascii="Cambria Math" w:hAnsi="Cambria Math"/>
          </w:rPr>
          <m:t>=0</m:t>
        </m:r>
      </m:oMath>
      <w:r w:rsidR="00E664E4" w:rsidRPr="00096EBE">
        <w:t xml:space="preserve"> </w:t>
      </w:r>
      <w:r w:rsidR="00E664E4" w:rsidRPr="00096EBE">
        <w:tab/>
      </w:r>
      <w:r w:rsidR="00E664E4">
        <w:tab/>
      </w:r>
      <w:r w:rsidR="00E664E4">
        <w:tab/>
      </w:r>
      <w:r w:rsidR="00E664E4" w:rsidRPr="00096EBE">
        <w:tab/>
      </w:r>
      <w:r w:rsidR="00E664E4">
        <w:t>Eq. (3.2.5.</w:t>
      </w:r>
      <w:r w:rsidR="00E664E4" w:rsidRPr="00096EBE">
        <w:t>56)</w:t>
      </w:r>
    </w:p>
    <w:p w:rsidR="00623712" w:rsidRDefault="00623712" w:rsidP="00E664E4">
      <w:pPr>
        <w:jc w:val="right"/>
      </w:pPr>
    </w:p>
    <w:p w:rsidR="00E664E4" w:rsidRDefault="00E664E4" w:rsidP="00E664E4">
      <w:pPr>
        <w:rPr>
          <w:rFonts w:asciiTheme="majorHAnsi" w:hAnsiTheme="majorHAnsi"/>
          <w:b/>
          <w:i/>
        </w:rPr>
      </w:pPr>
      <w:r>
        <w:rPr>
          <w:rFonts w:asciiTheme="majorHAnsi" w:hAnsiTheme="majorHAnsi"/>
          <w:b/>
          <w:i/>
        </w:rPr>
        <w:t>3.2.5.7 Module 5: Overall Material Balance</w:t>
      </w:r>
    </w:p>
    <w:p w:rsidR="00E664E4" w:rsidRDefault="00E664E4" w:rsidP="00E664E4">
      <w:r w:rsidRPr="00A40240">
        <w:t>The streams used for</w:t>
      </w:r>
      <w:r>
        <w:t xml:space="preserve"> the overall material balances we</w:t>
      </w:r>
      <w:r w:rsidRPr="00A40240">
        <w:t>re those that cross the da</w:t>
      </w:r>
      <w:r>
        <w:t>rk dashed boundary that enclosed all of Module 5. There we</w:t>
      </w:r>
      <w:r w:rsidRPr="00A40240">
        <w:t xml:space="preserve">re </w:t>
      </w:r>
      <w:r>
        <w:t>three</w:t>
      </w:r>
      <w:r w:rsidRPr="00A40240">
        <w:t xml:space="preserve"> input streams and </w:t>
      </w:r>
      <w:r>
        <w:t>four</w:t>
      </w:r>
      <w:r w:rsidRPr="00A40240">
        <w:t xml:space="preserve"> output stream</w:t>
      </w:r>
      <w:r>
        <w:t>s</w:t>
      </w:r>
      <w:r w:rsidRPr="00A40240">
        <w:t xml:space="preserve"> for Module 5. One of the input streams </w:t>
      </w:r>
      <w:r>
        <w:t>wa</w:t>
      </w:r>
      <w:r w:rsidRPr="00A40240">
        <w:t xml:space="preserve">s the output of Module 4 and </w:t>
      </w:r>
      <w:r>
        <w:t>one of the input streams wa</w:t>
      </w:r>
      <w:r w:rsidRPr="00A40240">
        <w:t>s dependent</w:t>
      </w:r>
      <w:r>
        <w:t>. Additionally, there wa</w:t>
      </w:r>
      <w:r w:rsidRPr="00A40240">
        <w:t>s one reaction in Module 5 that occur</w:t>
      </w:r>
      <w:r>
        <w:t>red</w:t>
      </w:r>
      <w:r w:rsidRPr="00A40240">
        <w:t xml:space="preserve"> in both of the flame reactors and is described by Eq. </w:t>
      </w:r>
      <w:r>
        <w:t>3.2.5.1</w:t>
      </w:r>
      <w:r w:rsidRPr="00A40240">
        <w:t>.</w:t>
      </w:r>
    </w:p>
    <w:p w:rsidR="00E664E4" w:rsidRPr="00840F9C" w:rsidRDefault="00C851DF" w:rsidP="00E664E4">
      <w:pPr>
        <w:jc w:val="right"/>
      </w:pPr>
      <m:oMath>
        <m:sSub>
          <m:sSubPr>
            <m:ctrlPr>
              <w:rPr>
                <w:rFonts w:ascii="Cambria Math" w:hAnsi="Cambria Math"/>
                <w:i/>
              </w:rPr>
            </m:ctrlPr>
          </m:sSubPr>
          <m:e>
            <m:r>
              <w:rPr>
                <w:rFonts w:ascii="Cambria Math" w:hAnsi="Cambria Math"/>
              </w:rPr>
              <m:t>UF</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UF</m:t>
            </m:r>
          </m:e>
          <m:sub>
            <m:r>
              <w:rPr>
                <w:rFonts w:ascii="Cambria Math" w:hAnsi="Cambria Math"/>
              </w:rPr>
              <m:t>6</m:t>
            </m:r>
          </m:sub>
        </m:sSub>
        <m:r>
          <w:rPr>
            <w:rFonts w:ascii="Cambria Math" w:hAnsi="Cambria Math"/>
          </w:rPr>
          <m:t>+heat</m:t>
        </m:r>
      </m:oMath>
      <w:r w:rsidR="00E664E4" w:rsidRPr="00840F9C">
        <w:t xml:space="preserve"> </w:t>
      </w:r>
      <w:r w:rsidR="00E664E4" w:rsidRPr="00840F9C">
        <w:tab/>
      </w:r>
      <w:r w:rsidR="00E664E4" w:rsidRPr="00840F9C">
        <w:tab/>
      </w:r>
      <w:r w:rsidR="00E664E4">
        <w:tab/>
      </w:r>
      <w:r w:rsidR="00E664E4">
        <w:tab/>
        <w:t>Eq. (3.2.5.</w:t>
      </w:r>
      <w:r w:rsidR="00E664E4" w:rsidRPr="00840F9C">
        <w:t>1)</w:t>
      </w:r>
    </w:p>
    <w:p w:rsidR="00E664E4" w:rsidRDefault="00E664E4" w:rsidP="00E664E4">
      <w:r w:rsidRPr="00A40240">
        <w:t xml:space="preserve">The overall component material balances </w:t>
      </w:r>
      <w:r>
        <w:t>for</w:t>
      </w:r>
      <w:r w:rsidRPr="00A40240">
        <w:t xml:space="preserve"> Module 5 are shown in Equations </w:t>
      </w:r>
      <w:r>
        <w:t>3.2.5.57</w:t>
      </w:r>
      <w:r w:rsidRPr="00A40240">
        <w:t>–</w:t>
      </w:r>
      <w:r>
        <w:t>3.2.5.62.</w:t>
      </w:r>
    </w:p>
    <w:p w:rsidR="00E664E4" w:rsidRPr="00A40240"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13A</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13A,2</m:t>
            </m:r>
          </m:sub>
        </m:sSub>
        <m:r>
          <w:rPr>
            <w:rFonts w:ascii="Cambria Math" w:hAnsi="Cambria Math"/>
          </w:rPr>
          <m:t>*</m:t>
        </m:r>
        <m:f>
          <m:fPr>
            <m:ctrlPr>
              <w:rPr>
                <w:rFonts w:ascii="Cambria Math" w:hAnsi="Cambria Math"/>
                <w:i/>
              </w:rPr>
            </m:ctrlPr>
          </m:fPr>
          <m:num>
            <m:r>
              <w:rPr>
                <w:rFonts w:ascii="Cambria Math" w:hAnsi="Cambria Math"/>
              </w:rPr>
              <m:t>1000</m:t>
            </m:r>
          </m:num>
          <m:den>
            <m:sSub>
              <m:sSubPr>
                <m:ctrlPr>
                  <w:rPr>
                    <w:rFonts w:ascii="Cambria Math" w:hAnsi="Cambria Math"/>
                    <w:i/>
                  </w:rPr>
                </m:ctrlPr>
              </m:sSubPr>
              <m:e>
                <m:r>
                  <w:rPr>
                    <w:rFonts w:ascii="Cambria Math" w:hAnsi="Cambria Math"/>
                  </w:rPr>
                  <m:t>MW</m:t>
                </m:r>
              </m:e>
              <m:sub>
                <m:r>
                  <w:rPr>
                    <w:rFonts w:ascii="Cambria Math" w:hAnsi="Cambria Math"/>
                  </w:rPr>
                  <m:t>2</m:t>
                </m:r>
              </m:sub>
            </m:sSub>
          </m:den>
        </m:f>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56,2</m:t>
            </m:r>
          </m:sub>
        </m:sSub>
        <m:r>
          <w:rPr>
            <w:rFonts w:ascii="Cambria Math" w:hAnsi="Cambria Math"/>
          </w:rPr>
          <m:t>=0</m:t>
        </m:r>
      </m:oMath>
      <w:r w:rsidR="00E664E4" w:rsidRPr="00A40240">
        <w:t xml:space="preserve"> </w:t>
      </w:r>
      <w:r w:rsidR="00E664E4" w:rsidRPr="00A40240">
        <w:tab/>
      </w:r>
      <w:r w:rsidR="00E664E4" w:rsidRPr="00A40240">
        <w:tab/>
      </w:r>
      <w:r w:rsidR="0037012F">
        <w:tab/>
      </w:r>
      <w:r w:rsidR="00E664E4" w:rsidRPr="00A40240">
        <w:tab/>
      </w:r>
      <w:r w:rsidR="00E664E4">
        <w:t>Eq. (3.2.5.57</w:t>
      </w:r>
      <w:r w:rsidR="00E664E4" w:rsidRPr="00A40240">
        <w:t>)</w:t>
      </w:r>
    </w:p>
    <w:p w:rsidR="00E664E4" w:rsidRPr="00A40240"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47,7</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Mod5B,7</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Mod5B</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48,16</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Mod5E,7</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Mod5E</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54,16</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56,7</m:t>
            </m:r>
          </m:sub>
        </m:sSub>
        <m:r>
          <w:rPr>
            <w:rFonts w:ascii="Cambria Math" w:hAnsi="Cambria Math"/>
          </w:rPr>
          <m:t>=0</m:t>
        </m:r>
      </m:oMath>
      <w:r w:rsidR="00E664E4">
        <w:t xml:space="preserve"> </w:t>
      </w:r>
      <w:r w:rsidR="00E664E4">
        <w:tab/>
        <w:t>Eq. (3.2.5.58</w:t>
      </w:r>
      <w:r w:rsidR="00E664E4" w:rsidRPr="00A40240">
        <w:t>)</w:t>
      </w:r>
    </w:p>
    <w:p w:rsidR="00E664E4" w:rsidRPr="00A40240" w:rsidRDefault="00C851DF" w:rsidP="00E664E4">
      <w:pPr>
        <w:jc w:val="right"/>
      </w:pPr>
      <m:oMath>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Mod5B,15</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Mod5B</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48,16</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Mod5E,15</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Mod5E</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54,16</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60,15</m:t>
            </m:r>
          </m:sub>
        </m:sSub>
        <m:r>
          <w:rPr>
            <w:rFonts w:ascii="Cambria Math" w:hAnsi="Cambria Math"/>
          </w:rPr>
          <m:t>=0</m:t>
        </m:r>
      </m:oMath>
      <w:r w:rsidR="00E664E4">
        <w:t xml:space="preserve"> </w:t>
      </w:r>
      <w:r w:rsidR="00E664E4">
        <w:tab/>
      </w:r>
      <w:r w:rsidR="00E664E4">
        <w:tab/>
        <w:t>Eq. (3.2.5.59</w:t>
      </w:r>
      <w:r w:rsidR="00E664E4" w:rsidRPr="00A40240">
        <w:t>)</w:t>
      </w:r>
    </w:p>
    <w:p w:rsidR="00E664E4" w:rsidRPr="00A40240"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44,16</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Mod5B,16</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Mod5B</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48,16</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Mod5E,16</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Mod5E</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54,16</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50,16</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58,16</m:t>
            </m:r>
          </m:sub>
        </m:sSub>
        <m:r>
          <w:rPr>
            <w:rFonts w:ascii="Cambria Math" w:hAnsi="Cambria Math"/>
          </w:rPr>
          <m:t>=0</m:t>
        </m:r>
      </m:oMath>
      <w:r w:rsidR="00E664E4" w:rsidRPr="00A40240">
        <w:t xml:space="preserve"> </w:t>
      </w:r>
      <w:r w:rsidR="00E664E4" w:rsidRPr="00A40240">
        <w:tab/>
      </w:r>
      <w:r w:rsidR="00E664E4">
        <w:tab/>
      </w:r>
      <w:r w:rsidR="00E664E4">
        <w:tab/>
        <w:t>Eq. (3.2.5.60</w:t>
      </w:r>
      <w:r w:rsidR="00E664E4" w:rsidRPr="00A40240">
        <w:t>)</w:t>
      </w:r>
    </w:p>
    <w:p w:rsidR="00E664E4" w:rsidRPr="00A40240"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44,17</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Mod5B,17</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Mod5B</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48,16</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Mod5E,17</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Mod5E</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54,16</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50,17</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58,17</m:t>
            </m:r>
          </m:sub>
        </m:sSub>
        <m:r>
          <w:rPr>
            <w:rFonts w:ascii="Cambria Math" w:hAnsi="Cambria Math"/>
          </w:rPr>
          <m:t>=0</m:t>
        </m:r>
      </m:oMath>
      <w:r w:rsidR="00E664E4">
        <w:t xml:space="preserve"> </w:t>
      </w:r>
      <w:r w:rsidR="00E664E4">
        <w:tab/>
      </w:r>
      <w:r w:rsidR="00E664E4">
        <w:tab/>
      </w:r>
      <w:r w:rsidR="00E664E4">
        <w:tab/>
        <w:t>Eq. (3.2.5.61</w:t>
      </w:r>
      <w:r w:rsidR="00E664E4" w:rsidRPr="00A40240">
        <w:t>)</w:t>
      </w:r>
    </w:p>
    <w:p w:rsidR="00E664E4" w:rsidRPr="00A40240" w:rsidRDefault="00C851DF" w:rsidP="00E664E4">
      <w:pPr>
        <w:jc w:val="right"/>
      </w:pPr>
      <m:oMath>
        <m:sSub>
          <m:sSubPr>
            <m:ctrlPr>
              <w:rPr>
                <w:rFonts w:ascii="Cambria Math" w:hAnsi="Cambria Math"/>
                <w:i/>
              </w:rPr>
            </m:ctrlPr>
          </m:sSubPr>
          <m:e>
            <m:r>
              <w:rPr>
                <w:rFonts w:ascii="Cambria Math" w:hAnsi="Cambria Math"/>
              </w:rPr>
              <m:t>F</m:t>
            </m:r>
          </m:e>
          <m:sub>
            <m:r>
              <w:rPr>
                <w:rFonts w:ascii="Cambria Math" w:hAnsi="Cambria Math"/>
              </w:rPr>
              <m:t>44,18</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Mod5B,18</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Mod5B</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48,16</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Mod5E,18</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Mod5E</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54,16</m:t>
                </m:r>
              </m:sub>
            </m:sSub>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50,18</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58,18</m:t>
            </m:r>
          </m:sub>
        </m:sSub>
        <m:r>
          <w:rPr>
            <w:rFonts w:ascii="Cambria Math" w:hAnsi="Cambria Math"/>
          </w:rPr>
          <m:t>=0</m:t>
        </m:r>
      </m:oMath>
      <w:r w:rsidR="00E664E4">
        <w:t xml:space="preserve"> </w:t>
      </w:r>
      <w:r w:rsidR="00E664E4">
        <w:tab/>
      </w:r>
      <w:r w:rsidR="00E664E4">
        <w:tab/>
      </w:r>
      <w:r w:rsidR="00E664E4">
        <w:tab/>
        <w:t>Eq. (3.2.5.62</w:t>
      </w:r>
      <w:r w:rsidR="00E664E4" w:rsidRPr="00A40240">
        <w:t>)</w:t>
      </w:r>
    </w:p>
    <w:p w:rsidR="00E664E4" w:rsidRPr="00A40240" w:rsidRDefault="00E664E4" w:rsidP="00E664E4"/>
    <w:p w:rsidR="00E664E4" w:rsidRDefault="00E664E4" w:rsidP="00E664E4">
      <w:pPr>
        <w:rPr>
          <w:rFonts w:asciiTheme="majorHAnsi" w:hAnsiTheme="majorHAnsi"/>
          <w:b/>
          <w:caps/>
        </w:rPr>
      </w:pPr>
      <w:r w:rsidRPr="00015B53">
        <w:rPr>
          <w:rFonts w:asciiTheme="majorHAnsi" w:hAnsiTheme="majorHAnsi"/>
          <w:b/>
          <w:caps/>
        </w:rPr>
        <w:t>3.3 Sensitivity Analysis</w:t>
      </w:r>
    </w:p>
    <w:p w:rsidR="00E664E4" w:rsidRDefault="00E664E4" w:rsidP="00E664E4">
      <w:r w:rsidRPr="004778EB">
        <w:t xml:space="preserve">Sensitivity analysis is the </w:t>
      </w:r>
      <w:r w:rsidR="00D20632">
        <w:t>development of the degree of sensitivity of a process state or output variable to a change in a process input variable or process parameter</w:t>
      </w:r>
      <w:r>
        <w:t>. Sensitivity analysis served several purposes in this study, including:</w:t>
      </w:r>
      <w:r w:rsidR="00D20632">
        <w:t xml:space="preserve"> </w:t>
      </w:r>
    </w:p>
    <w:p w:rsidR="00E664E4" w:rsidRDefault="00E664E4" w:rsidP="00E664E4">
      <w:pPr>
        <w:pStyle w:val="ListParagraph"/>
        <w:numPr>
          <w:ilvl w:val="0"/>
          <w:numId w:val="32"/>
        </w:numPr>
      </w:pPr>
      <w:r w:rsidRPr="008703DF">
        <w:lastRenderedPageBreak/>
        <w:t xml:space="preserve">Testing the robustness of the results of </w:t>
      </w:r>
      <w:r>
        <w:t>the</w:t>
      </w:r>
      <w:r w:rsidRPr="008703DF">
        <w:t xml:space="preserve"> model </w:t>
      </w:r>
      <w:r>
        <w:t xml:space="preserve">with regard to </w:t>
      </w:r>
      <w:r w:rsidRPr="008703DF">
        <w:t>uncertainty</w:t>
      </w:r>
      <w:r>
        <w:t>, i.e., which parameters the model wa</w:t>
      </w:r>
      <w:r w:rsidRPr="00247449">
        <w:t>s most sensitive</w:t>
      </w:r>
      <w:r>
        <w:t xml:space="preserve"> to</w:t>
      </w:r>
      <w:r w:rsidRPr="008703DF">
        <w:t>.</w:t>
      </w:r>
    </w:p>
    <w:p w:rsidR="00E664E4" w:rsidRDefault="00E664E4" w:rsidP="00E664E4">
      <w:pPr>
        <w:pStyle w:val="ListParagraph"/>
        <w:numPr>
          <w:ilvl w:val="0"/>
          <w:numId w:val="32"/>
        </w:numPr>
      </w:pPr>
      <w:r>
        <w:t>Increasing</w:t>
      </w:r>
      <w:r w:rsidRPr="008703DF">
        <w:t xml:space="preserve"> understanding of the relationships between </w:t>
      </w:r>
      <w:r>
        <w:t xml:space="preserve">the </w:t>
      </w:r>
      <w:r w:rsidRPr="008703DF">
        <w:t>input and output variables.</w:t>
      </w:r>
    </w:p>
    <w:p w:rsidR="00E664E4" w:rsidRDefault="00E664E4" w:rsidP="00E664E4">
      <w:pPr>
        <w:pStyle w:val="ListParagraph"/>
        <w:numPr>
          <w:ilvl w:val="0"/>
          <w:numId w:val="32"/>
        </w:numPr>
      </w:pPr>
      <w:r>
        <w:t>Model simplification (</w:t>
      </w:r>
      <w:r w:rsidRPr="008703DF">
        <w:t xml:space="preserve">fixing </w:t>
      </w:r>
      <w:r>
        <w:t>parameters such as incoming flow rates</w:t>
      </w:r>
      <w:r w:rsidRPr="008703DF">
        <w:t xml:space="preserve"> that ha</w:t>
      </w:r>
      <w:r>
        <w:t>d</w:t>
      </w:r>
      <w:r w:rsidRPr="008703DF">
        <w:t xml:space="preserve"> no effect on the output</w:t>
      </w:r>
      <w:r>
        <w:t xml:space="preserve"> and ignoring changes in input variables)</w:t>
      </w:r>
      <w:r w:rsidRPr="008703DF">
        <w:t>.</w:t>
      </w:r>
    </w:p>
    <w:p w:rsidR="00E664E4" w:rsidRDefault="00E664E4" w:rsidP="00E664E4">
      <w:pPr>
        <w:pStyle w:val="ListParagraph"/>
        <w:numPr>
          <w:ilvl w:val="0"/>
          <w:numId w:val="32"/>
        </w:numPr>
      </w:pPr>
      <w:r>
        <w:t>Selection of parameters to change for faulty operations testing (testing both highly sensitive and less sensitive parameters without testing parameters that had no effect on the output).</w:t>
      </w:r>
    </w:p>
    <w:p w:rsidR="00891223" w:rsidRDefault="00891223" w:rsidP="00E664E4">
      <w:pPr>
        <w:pStyle w:val="ListParagraph"/>
        <w:numPr>
          <w:ilvl w:val="0"/>
          <w:numId w:val="32"/>
        </w:numPr>
      </w:pPr>
      <w:r>
        <w:t>Identification of optimum sensor placement or locations that require more frequent monitoring.</w:t>
      </w:r>
    </w:p>
    <w:p w:rsidR="00E664E4" w:rsidRDefault="00E664E4" w:rsidP="00E664E4">
      <w:r w:rsidRPr="00854642">
        <w:t>There w</w:t>
      </w:r>
      <w:r>
        <w:t>ere</w:t>
      </w:r>
      <w:r w:rsidRPr="00854642">
        <w:t xml:space="preserve"> </w:t>
      </w:r>
      <w:r>
        <w:t xml:space="preserve">a </w:t>
      </w:r>
      <w:r w:rsidRPr="00854642">
        <w:t>total of 8</w:t>
      </w:r>
      <w:r>
        <w:t>2</w:t>
      </w:r>
      <w:r w:rsidRPr="00854642">
        <w:t xml:space="preserve"> parameters tested for the sensitivity analysis.</w:t>
      </w:r>
      <w:r>
        <w:t xml:space="preserve"> T</w:t>
      </w:r>
      <w:r w:rsidRPr="00854642">
        <w:t xml:space="preserve">hese parameters </w:t>
      </w:r>
      <w:r>
        <w:t>included items</w:t>
      </w:r>
      <w:r w:rsidRPr="00854642">
        <w:t xml:space="preserve"> that may be controlled by an operator in the facility or w</w:t>
      </w:r>
      <w:r>
        <w:t>ould</w:t>
      </w:r>
      <w:r w:rsidRPr="00854642">
        <w:t xml:space="preserve"> vary naturally due to equipment fouling or other equipment modif</w:t>
      </w:r>
      <w:r>
        <w:t>ications. The parameters were</w:t>
      </w:r>
      <w:r w:rsidRPr="00854642">
        <w:t xml:space="preserve"> input flow rates, flow parameters used to control dependent input streams, extent of reactions, and fractionation factors for separators.</w:t>
      </w:r>
      <w:r>
        <w:t xml:space="preserve"> All of the flow rates of the incoming streams (Table 3.9) and all of the module-specific parameters (Table 3.10) were tested.</w:t>
      </w:r>
    </w:p>
    <w:p w:rsidR="001E169B" w:rsidRDefault="001E169B" w:rsidP="001E169B">
      <w:r w:rsidRPr="00854642">
        <w:t xml:space="preserve">For the sensitivity analysis, each of the parameters </w:t>
      </w:r>
      <w:r>
        <w:t xml:space="preserve">was </w:t>
      </w:r>
      <w:r w:rsidRPr="00854642">
        <w:t xml:space="preserve">varied by ±10% </w:t>
      </w:r>
      <w:r>
        <w:t xml:space="preserve">using a one-at-a-time approach to determine </w:t>
      </w:r>
      <w:r w:rsidRPr="00854642">
        <w:t xml:space="preserve">a new steady-state solution </w:t>
      </w:r>
      <w:r>
        <w:t>for all of the state variables</w:t>
      </w:r>
      <w:r w:rsidRPr="00854642">
        <w:t xml:space="preserve">. </w:t>
      </w:r>
      <w:r w:rsidRPr="00A7480E">
        <w:t>The one-at-a-time approach involved changing one parameter while keeping all of the others at their nominal values and determining the output, then returning that parameter to its nominal value and repeating for each of the other parameters in the same way.</w:t>
      </w:r>
      <w:r>
        <w:t xml:space="preserve"> </w:t>
      </w:r>
      <w:r w:rsidRPr="00A7480E">
        <w:t xml:space="preserve">This </w:t>
      </w:r>
      <w:r>
        <w:t xml:space="preserve">approach was </w:t>
      </w:r>
      <w:r w:rsidRPr="00A7480E">
        <w:t xml:space="preserve">logical </w:t>
      </w:r>
      <w:r>
        <w:t xml:space="preserve">since </w:t>
      </w:r>
      <w:r w:rsidRPr="00A7480E">
        <w:t xml:space="preserve">any </w:t>
      </w:r>
      <w:r>
        <w:t>change observed in the output was</w:t>
      </w:r>
      <w:r w:rsidRPr="00A7480E">
        <w:t xml:space="preserve"> unambiguously due to the single variable changed. </w:t>
      </w:r>
      <w:r>
        <w:t>S</w:t>
      </w:r>
      <w:r w:rsidRPr="00A7480E">
        <w:t xml:space="preserve">ince </w:t>
      </w:r>
      <w:r>
        <w:t xml:space="preserve">this approach </w:t>
      </w:r>
      <w:r w:rsidRPr="00A7480E">
        <w:t>does not take into account the simultane</w:t>
      </w:r>
      <w:r>
        <w:t xml:space="preserve">ous variation of parameters, it was incomplete and </w:t>
      </w:r>
      <w:r w:rsidRPr="00A7480E">
        <w:t>cannot detect the presence of interactions between</w:t>
      </w:r>
      <w:r>
        <w:t xml:space="preserve"> parameters or any nonlinear effect of the input variables. </w:t>
      </w:r>
      <w:r w:rsidR="00891223">
        <w:t xml:space="preserve">Additionally, it shows cases were the process is nonlinear when the response is not the same for both ±10%. </w:t>
      </w:r>
      <w:r>
        <w:t xml:space="preserve">However, the sensitivity analysis utilized in this study was an initial effort and additional study would be required to fully understand this detection framework in a facility. </w:t>
      </w:r>
      <w:r w:rsidRPr="00854642">
        <w:t xml:space="preserve">For parameters that could not </w:t>
      </w:r>
      <w:r>
        <w:t xml:space="preserve">vary by +10% such as an extent of reaction with a value of one, the parameter was only varied by -10%. </w:t>
      </w:r>
    </w:p>
    <w:p w:rsidR="001E169B" w:rsidRPr="00247449" w:rsidRDefault="001E169B" w:rsidP="001E169B">
      <w:r>
        <w:t>For</w:t>
      </w:r>
      <w:r w:rsidRPr="00247449">
        <w:t xml:space="preserve"> the sensitivity analysis, the sensitivity factor for each parameter and </w:t>
      </w:r>
      <w:r>
        <w:t xml:space="preserve">each </w:t>
      </w:r>
      <w:r w:rsidRPr="00247449">
        <w:t xml:space="preserve">steady-state </w:t>
      </w:r>
      <w:r>
        <w:t xml:space="preserve">state variable </w:t>
      </w:r>
      <w:r w:rsidRPr="00247449">
        <w:t xml:space="preserve">was determined. The sensitivity factor is unit-less and </w:t>
      </w:r>
      <w:r>
        <w:t xml:space="preserve">defined as shown in </w:t>
      </w:r>
      <w:r w:rsidRPr="00247449">
        <w:t xml:space="preserve">Eq. </w:t>
      </w:r>
      <w:r>
        <w:t>3.3.0.1</w:t>
      </w:r>
      <w:r w:rsidRPr="00247449">
        <w:t xml:space="preserve">, where </w:t>
      </w:r>
      <m:oMath>
        <m:sSub>
          <m:sSubPr>
            <m:ctrlPr>
              <w:rPr>
                <w:rFonts w:ascii="Cambria Math" w:hAnsi="Cambria Math"/>
                <w:i/>
              </w:rPr>
            </m:ctrlPr>
          </m:sSubPr>
          <m:e>
            <m:r>
              <w:rPr>
                <w:rFonts w:ascii="Cambria Math" w:hAnsi="Cambria Math"/>
              </w:rPr>
              <m:t>γ</m:t>
            </m:r>
          </m:e>
          <m:sub>
            <m:r>
              <w:rPr>
                <w:rFonts w:ascii="Cambria Math" w:hAnsi="Cambria Math"/>
              </w:rPr>
              <m:t>i,j</m:t>
            </m:r>
          </m:sub>
        </m:sSub>
      </m:oMath>
      <w:r w:rsidRPr="00247449">
        <w:t xml:space="preserve"> is the sensitivity factor for the</w:t>
      </w:r>
      <w:r w:rsidR="00891223">
        <w:t xml:space="preserve"> percent change of the </w:t>
      </w:r>
      <m:oMath>
        <m:r>
          <w:rPr>
            <w:rFonts w:ascii="Cambria Math" w:hAnsi="Cambria Math"/>
          </w:rPr>
          <m:t>i</m:t>
        </m:r>
      </m:oMath>
      <w:r w:rsidRPr="00247449">
        <w:t>-</w:t>
      </w:r>
      <w:proofErr w:type="gramStart"/>
      <w:r w:rsidRPr="00247449">
        <w:t>th</w:t>
      </w:r>
      <w:proofErr w:type="gramEnd"/>
      <w:r w:rsidRPr="00247449">
        <w:t xml:space="preserve"> </w:t>
      </w:r>
      <w:r>
        <w:t>state variable</w:t>
      </w:r>
      <w:r w:rsidRPr="00247449">
        <w:t xml:space="preserve"> </w:t>
      </w:r>
      <m:oMath>
        <m:r>
          <w:rPr>
            <w:rFonts w:ascii="Cambria Math" w:hAnsi="Cambria Math"/>
          </w:rPr>
          <m:t>(y)</m:t>
        </m:r>
      </m:oMath>
      <w:r>
        <w:t xml:space="preserve"> to the</w:t>
      </w:r>
      <w:r w:rsidR="00891223">
        <w:t xml:space="preserve"> percent change in the </w:t>
      </w:r>
      <m:oMath>
        <m:r>
          <w:rPr>
            <w:rFonts w:ascii="Cambria Math" w:hAnsi="Cambria Math"/>
          </w:rPr>
          <m:t>j</m:t>
        </m:r>
      </m:oMath>
      <w:r w:rsidRPr="00247449">
        <w:t>-th parameter</w:t>
      </w:r>
      <w:r>
        <w:t xml:space="preserve"> </w:t>
      </w:r>
      <m:oMath>
        <m:r>
          <w:rPr>
            <w:rFonts w:ascii="Cambria Math" w:hAnsi="Cambria Math"/>
          </w:rPr>
          <m:t>(u)</m:t>
        </m:r>
      </m:oMath>
      <w:r>
        <w:rPr>
          <w:rFonts w:eastAsiaTheme="minorEastAsia"/>
        </w:rPr>
        <w:t xml:space="preserve"> at steady state.</w:t>
      </w:r>
      <w:r w:rsidR="00F116B2">
        <w:rPr>
          <w:rFonts w:eastAsiaTheme="minorEastAsia"/>
        </w:rPr>
        <w:t xml:space="preserve"> </w:t>
      </w:r>
      <w:proofErr w:type="gramStart"/>
      <w:r w:rsidR="00F116B2">
        <w:t xml:space="preserve">For example, a </w:t>
      </w:r>
      <m:oMath>
        <m:r>
          <w:rPr>
            <w:rFonts w:ascii="Cambria Math" w:hAnsi="Cambria Math"/>
          </w:rPr>
          <m:t>γ</m:t>
        </m:r>
      </m:oMath>
      <w:r w:rsidR="00F116B2">
        <w:rPr>
          <w:rFonts w:eastAsiaTheme="minorEastAsia"/>
        </w:rPr>
        <w:t xml:space="preserve"> value of 1 means that a 10% change in the parameter resulted in a 10% change in the state variable.</w:t>
      </w:r>
      <w:proofErr w:type="gramEnd"/>
    </w:p>
    <w:p w:rsidR="001E169B" w:rsidRDefault="00C851DF" w:rsidP="001E169B">
      <w:pPr>
        <w:jc w:val="right"/>
      </w:pPr>
      <m:oMath>
        <m:sSub>
          <m:sSubPr>
            <m:ctrlPr>
              <w:rPr>
                <w:rFonts w:ascii="Cambria Math" w:hAnsi="Cambria Math"/>
                <w:i/>
              </w:rPr>
            </m:ctrlPr>
          </m:sSubPr>
          <m:e>
            <m:r>
              <w:rPr>
                <w:rFonts w:ascii="Cambria Math" w:hAnsi="Cambria Math"/>
              </w:rPr>
              <m:t>γ</m:t>
            </m:r>
          </m:e>
          <m:sub>
            <m:r>
              <w:rPr>
                <w:rFonts w:ascii="Cambria Math" w:hAnsi="Cambria Math"/>
              </w:rPr>
              <m:t>i,j</m:t>
            </m:r>
          </m:sub>
        </m:sSub>
        <m:r>
          <w:rPr>
            <w:rFonts w:ascii="Cambria Math" w:hAnsi="Cambria Math"/>
          </w:rPr>
          <m:t>≜</m:t>
        </m:r>
        <m:f>
          <m:fPr>
            <m:ctrlPr>
              <w:rPr>
                <w:rFonts w:ascii="Cambria Math" w:hAnsi="Cambria Math"/>
                <w:i/>
              </w:rPr>
            </m:ctrlPr>
          </m:fPr>
          <m:num>
            <m:f>
              <m:fPr>
                <m:type m:val="lin"/>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y</m:t>
                    </m:r>
                  </m:e>
                  <m:sub>
                    <m:r>
                      <w:rPr>
                        <w:rFonts w:ascii="Cambria Math" w:hAnsi="Cambria Math"/>
                      </w:rPr>
                      <m:t>i</m:t>
                    </m:r>
                  </m:sub>
                </m:sSub>
              </m:num>
              <m:den>
                <m:sSub>
                  <m:sSubPr>
                    <m:ctrlPr>
                      <w:rPr>
                        <w:rFonts w:ascii="Cambria Math" w:hAnsi="Cambria Math"/>
                        <w:i/>
                      </w:rPr>
                    </m:ctrlPr>
                  </m:sSubPr>
                  <m:e>
                    <m:r>
                      <w:rPr>
                        <w:rFonts w:ascii="Cambria Math" w:hAnsi="Cambria Math"/>
                      </w:rPr>
                      <m:t>y</m:t>
                    </m:r>
                  </m:e>
                  <m:sub>
                    <m:r>
                      <w:rPr>
                        <w:rFonts w:ascii="Cambria Math" w:hAnsi="Cambria Math"/>
                      </w:rPr>
                      <m:t>i,0</m:t>
                    </m:r>
                  </m:sub>
                </m:sSub>
              </m:den>
            </m:f>
          </m:num>
          <m:den>
            <m:f>
              <m:fPr>
                <m:type m:val="lin"/>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u</m:t>
                    </m:r>
                  </m:e>
                  <m:sub>
                    <m:r>
                      <w:rPr>
                        <w:rFonts w:ascii="Cambria Math" w:hAnsi="Cambria Math"/>
                      </w:rPr>
                      <m:t>j</m:t>
                    </m:r>
                  </m:sub>
                </m:sSub>
              </m:num>
              <m:den>
                <m:sSub>
                  <m:sSubPr>
                    <m:ctrlPr>
                      <w:rPr>
                        <w:rFonts w:ascii="Cambria Math" w:hAnsi="Cambria Math"/>
                        <w:i/>
                      </w:rPr>
                    </m:ctrlPr>
                  </m:sSubPr>
                  <m:e>
                    <m:r>
                      <w:rPr>
                        <w:rFonts w:ascii="Cambria Math" w:hAnsi="Cambria Math"/>
                      </w:rPr>
                      <m:t>u</m:t>
                    </m:r>
                  </m:e>
                  <m:sub>
                    <m:r>
                      <w:rPr>
                        <w:rFonts w:ascii="Cambria Math" w:hAnsi="Cambria Math"/>
                      </w:rPr>
                      <m:t>j,0</m:t>
                    </m:r>
                  </m:sub>
                </m:sSub>
              </m:den>
            </m:f>
          </m:den>
        </m:f>
      </m:oMath>
      <w:r w:rsidR="001E169B">
        <w:tab/>
      </w:r>
      <w:r w:rsidR="001E169B">
        <w:tab/>
      </w:r>
      <w:r w:rsidR="001E169B">
        <w:tab/>
      </w:r>
      <w:r w:rsidR="001E169B">
        <w:tab/>
      </w:r>
      <w:r w:rsidR="001E169B">
        <w:tab/>
        <w:t>Eq. (3.3.0.1</w:t>
      </w:r>
      <w:r w:rsidR="001E169B" w:rsidRPr="00247449">
        <w:t>)</w:t>
      </w:r>
    </w:p>
    <w:p w:rsidR="00D8777F" w:rsidRDefault="00D8777F">
      <w:r>
        <w:br w:type="page"/>
      </w:r>
    </w:p>
    <w:tbl>
      <w:tblPr>
        <w:tblW w:w="7216" w:type="dxa"/>
        <w:jc w:val="center"/>
        <w:tblInd w:w="93" w:type="dxa"/>
        <w:tblLook w:val="04A0" w:firstRow="1" w:lastRow="0" w:firstColumn="1" w:lastColumn="0" w:noHBand="0" w:noVBand="1"/>
      </w:tblPr>
      <w:tblGrid>
        <w:gridCol w:w="222"/>
        <w:gridCol w:w="1652"/>
        <w:gridCol w:w="1294"/>
        <w:gridCol w:w="1040"/>
        <w:gridCol w:w="2786"/>
        <w:gridCol w:w="222"/>
      </w:tblGrid>
      <w:tr w:rsidR="00E664E4" w:rsidRPr="00F31EDE" w:rsidTr="00F116B2">
        <w:trPr>
          <w:trHeight w:val="315"/>
          <w:jc w:val="center"/>
        </w:trPr>
        <w:tc>
          <w:tcPr>
            <w:tcW w:w="7216" w:type="dxa"/>
            <w:gridSpan w:val="6"/>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lastRenderedPageBreak/>
              <w:t>Table 3.9</w:t>
            </w:r>
            <w:r w:rsidRPr="00F31EDE">
              <w:rPr>
                <w:rFonts w:ascii="Calibri" w:eastAsia="Times New Roman" w:hAnsi="Calibri" w:cs="Times New Roman"/>
                <w:b/>
                <w:bCs/>
                <w:color w:val="000000"/>
                <w:sz w:val="20"/>
                <w:szCs w:val="20"/>
              </w:rPr>
              <w:t>. Base Case Flow Rates (kg/h) for Input Streams for Each Module</w:t>
            </w:r>
          </w:p>
        </w:tc>
      </w:tr>
      <w:tr w:rsidR="00E664E4" w:rsidRPr="00F31EDE" w:rsidTr="00F116B2">
        <w:trPr>
          <w:trHeight w:val="510"/>
          <w:jc w:val="center"/>
        </w:trPr>
        <w:tc>
          <w:tcPr>
            <w:tcW w:w="222"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p>
        </w:tc>
        <w:tc>
          <w:tcPr>
            <w:tcW w:w="1652" w:type="dxa"/>
            <w:tcBorders>
              <w:top w:val="single" w:sz="8" w:space="0" w:color="auto"/>
              <w:left w:val="nil"/>
              <w:bottom w:val="single" w:sz="4" w:space="0" w:color="auto"/>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b/>
                <w:bCs/>
                <w:color w:val="000000"/>
                <w:sz w:val="20"/>
                <w:szCs w:val="20"/>
              </w:rPr>
            </w:pPr>
            <w:r w:rsidRPr="00F31EDE">
              <w:rPr>
                <w:rFonts w:ascii="Calibri" w:eastAsia="Times New Roman" w:hAnsi="Calibri" w:cs="Times New Roman"/>
                <w:b/>
                <w:bCs/>
                <w:color w:val="000000"/>
                <w:sz w:val="20"/>
                <w:szCs w:val="20"/>
              </w:rPr>
              <w:t>Identifier</w:t>
            </w:r>
          </w:p>
        </w:tc>
        <w:tc>
          <w:tcPr>
            <w:tcW w:w="1294" w:type="dxa"/>
            <w:tcBorders>
              <w:top w:val="single" w:sz="8" w:space="0" w:color="auto"/>
              <w:left w:val="nil"/>
              <w:bottom w:val="single" w:sz="4" w:space="0" w:color="auto"/>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b/>
                <w:bCs/>
                <w:color w:val="000000"/>
                <w:sz w:val="20"/>
                <w:szCs w:val="20"/>
              </w:rPr>
            </w:pPr>
            <w:r w:rsidRPr="00F31EDE">
              <w:rPr>
                <w:rFonts w:ascii="Calibri" w:eastAsia="Times New Roman" w:hAnsi="Calibri" w:cs="Times New Roman"/>
                <w:b/>
                <w:bCs/>
                <w:color w:val="000000"/>
                <w:sz w:val="20"/>
                <w:szCs w:val="20"/>
              </w:rPr>
              <w:t>Stream</w:t>
            </w:r>
          </w:p>
        </w:tc>
        <w:tc>
          <w:tcPr>
            <w:tcW w:w="1040" w:type="dxa"/>
            <w:tcBorders>
              <w:top w:val="single" w:sz="8" w:space="0" w:color="auto"/>
              <w:left w:val="nil"/>
              <w:bottom w:val="single" w:sz="4" w:space="0" w:color="auto"/>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b/>
                <w:bCs/>
                <w:color w:val="000000"/>
                <w:sz w:val="20"/>
                <w:szCs w:val="20"/>
              </w:rPr>
            </w:pPr>
            <w:r w:rsidRPr="00F31EDE">
              <w:rPr>
                <w:rFonts w:ascii="Calibri" w:eastAsia="Times New Roman" w:hAnsi="Calibri" w:cs="Times New Roman"/>
                <w:b/>
                <w:bCs/>
                <w:color w:val="000000"/>
                <w:sz w:val="20"/>
                <w:szCs w:val="20"/>
              </w:rPr>
              <w:t>Value</w:t>
            </w:r>
          </w:p>
        </w:tc>
        <w:tc>
          <w:tcPr>
            <w:tcW w:w="2786" w:type="dxa"/>
            <w:tcBorders>
              <w:top w:val="single" w:sz="8" w:space="0" w:color="auto"/>
              <w:left w:val="nil"/>
              <w:bottom w:val="single" w:sz="4" w:space="0" w:color="auto"/>
              <w:right w:val="nil"/>
            </w:tcBorders>
            <w:shd w:val="clear" w:color="auto" w:fill="auto"/>
            <w:vAlign w:val="center"/>
            <w:hideMark/>
          </w:tcPr>
          <w:p w:rsidR="00E664E4" w:rsidRPr="00F31EDE" w:rsidRDefault="00E664E4" w:rsidP="003D664B">
            <w:pPr>
              <w:spacing w:after="0" w:line="240" w:lineRule="auto"/>
              <w:jc w:val="center"/>
              <w:rPr>
                <w:rFonts w:ascii="Calibri" w:eastAsia="Times New Roman" w:hAnsi="Calibri" w:cs="Times New Roman"/>
                <w:b/>
                <w:bCs/>
                <w:color w:val="000000"/>
                <w:sz w:val="20"/>
                <w:szCs w:val="20"/>
              </w:rPr>
            </w:pPr>
            <w:r w:rsidRPr="00F31EDE">
              <w:rPr>
                <w:rFonts w:ascii="Calibri" w:eastAsia="Times New Roman" w:hAnsi="Calibri" w:cs="Times New Roman"/>
                <w:b/>
                <w:bCs/>
                <w:color w:val="000000"/>
                <w:sz w:val="20"/>
                <w:szCs w:val="20"/>
              </w:rPr>
              <w:t>Chemical Component</w:t>
            </w:r>
          </w:p>
        </w:tc>
        <w:tc>
          <w:tcPr>
            <w:tcW w:w="222"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p>
        </w:tc>
      </w:tr>
      <w:tr w:rsidR="00E664E4" w:rsidRPr="00F31EDE" w:rsidTr="00F116B2">
        <w:trPr>
          <w:trHeight w:val="285"/>
          <w:jc w:val="center"/>
        </w:trPr>
        <w:tc>
          <w:tcPr>
            <w:tcW w:w="222"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p>
        </w:tc>
        <w:tc>
          <w:tcPr>
            <w:tcW w:w="1652"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F</w:t>
            </w:r>
            <w:r w:rsidRPr="00F31EDE">
              <w:rPr>
                <w:rFonts w:ascii="Calibri" w:eastAsia="Times New Roman" w:hAnsi="Calibri" w:cs="Times New Roman"/>
                <w:color w:val="000000"/>
                <w:sz w:val="20"/>
                <w:szCs w:val="20"/>
                <w:vertAlign w:val="subscript"/>
              </w:rPr>
              <w:t>1A,U</w:t>
            </w:r>
          </w:p>
        </w:tc>
        <w:tc>
          <w:tcPr>
            <w:tcW w:w="1294"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1A</w:t>
            </w:r>
          </w:p>
        </w:tc>
        <w:tc>
          <w:tcPr>
            <w:tcW w:w="1040"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50.00</w:t>
            </w:r>
          </w:p>
        </w:tc>
        <w:tc>
          <w:tcPr>
            <w:tcW w:w="2786" w:type="dxa"/>
            <w:tcBorders>
              <w:top w:val="nil"/>
              <w:left w:val="nil"/>
              <w:bottom w:val="nil"/>
              <w:right w:val="nil"/>
            </w:tcBorders>
            <w:shd w:val="clear" w:color="auto" w:fill="auto"/>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Uranium</w:t>
            </w:r>
          </w:p>
        </w:tc>
        <w:tc>
          <w:tcPr>
            <w:tcW w:w="222"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p>
        </w:tc>
      </w:tr>
      <w:tr w:rsidR="00E664E4" w:rsidRPr="00F31EDE" w:rsidTr="00F116B2">
        <w:trPr>
          <w:trHeight w:val="285"/>
          <w:jc w:val="center"/>
        </w:trPr>
        <w:tc>
          <w:tcPr>
            <w:tcW w:w="222"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p>
        </w:tc>
        <w:tc>
          <w:tcPr>
            <w:tcW w:w="1652"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F</w:t>
            </w:r>
            <w:r w:rsidRPr="00F31EDE">
              <w:rPr>
                <w:rFonts w:ascii="Calibri" w:eastAsia="Times New Roman" w:hAnsi="Calibri" w:cs="Times New Roman"/>
                <w:color w:val="000000"/>
                <w:sz w:val="20"/>
                <w:szCs w:val="20"/>
                <w:vertAlign w:val="subscript"/>
              </w:rPr>
              <w:t>4A</w:t>
            </w:r>
          </w:p>
        </w:tc>
        <w:tc>
          <w:tcPr>
            <w:tcW w:w="1294"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4A</w:t>
            </w:r>
          </w:p>
        </w:tc>
        <w:tc>
          <w:tcPr>
            <w:tcW w:w="1040"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8.00</w:t>
            </w:r>
          </w:p>
        </w:tc>
        <w:tc>
          <w:tcPr>
            <w:tcW w:w="2786"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Water</w:t>
            </w:r>
          </w:p>
        </w:tc>
        <w:tc>
          <w:tcPr>
            <w:tcW w:w="222"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p>
        </w:tc>
      </w:tr>
      <w:tr w:rsidR="00E664E4" w:rsidRPr="00F31EDE" w:rsidTr="00F116B2">
        <w:trPr>
          <w:trHeight w:val="285"/>
          <w:jc w:val="center"/>
        </w:trPr>
        <w:tc>
          <w:tcPr>
            <w:tcW w:w="222"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p>
        </w:tc>
        <w:tc>
          <w:tcPr>
            <w:tcW w:w="1652"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F</w:t>
            </w:r>
            <w:r w:rsidRPr="00F31EDE">
              <w:rPr>
                <w:rFonts w:ascii="Calibri" w:eastAsia="Times New Roman" w:hAnsi="Calibri" w:cs="Times New Roman"/>
                <w:color w:val="000000"/>
                <w:sz w:val="20"/>
                <w:szCs w:val="20"/>
                <w:vertAlign w:val="subscript"/>
              </w:rPr>
              <w:t>5A</w:t>
            </w:r>
          </w:p>
        </w:tc>
        <w:tc>
          <w:tcPr>
            <w:tcW w:w="1294"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5A</w:t>
            </w:r>
          </w:p>
        </w:tc>
        <w:tc>
          <w:tcPr>
            <w:tcW w:w="1040"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4.00</w:t>
            </w:r>
          </w:p>
        </w:tc>
        <w:tc>
          <w:tcPr>
            <w:tcW w:w="2786"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Water</w:t>
            </w:r>
          </w:p>
        </w:tc>
        <w:tc>
          <w:tcPr>
            <w:tcW w:w="222"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p>
        </w:tc>
      </w:tr>
      <w:tr w:rsidR="00E664E4" w:rsidRPr="00F31EDE" w:rsidTr="00F116B2">
        <w:trPr>
          <w:trHeight w:val="285"/>
          <w:jc w:val="center"/>
        </w:trPr>
        <w:tc>
          <w:tcPr>
            <w:tcW w:w="222"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p>
        </w:tc>
        <w:tc>
          <w:tcPr>
            <w:tcW w:w="1652"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F</w:t>
            </w:r>
            <w:r w:rsidRPr="00F31EDE">
              <w:rPr>
                <w:rFonts w:ascii="Calibri" w:eastAsia="Times New Roman" w:hAnsi="Calibri" w:cs="Times New Roman"/>
                <w:color w:val="000000"/>
                <w:sz w:val="20"/>
                <w:szCs w:val="20"/>
                <w:vertAlign w:val="subscript"/>
              </w:rPr>
              <w:t>6A</w:t>
            </w:r>
          </w:p>
        </w:tc>
        <w:tc>
          <w:tcPr>
            <w:tcW w:w="1294"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6A</w:t>
            </w:r>
          </w:p>
        </w:tc>
        <w:tc>
          <w:tcPr>
            <w:tcW w:w="1040"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0.80</w:t>
            </w:r>
          </w:p>
        </w:tc>
        <w:tc>
          <w:tcPr>
            <w:tcW w:w="2786"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Nitric Acid</w:t>
            </w:r>
          </w:p>
        </w:tc>
        <w:tc>
          <w:tcPr>
            <w:tcW w:w="222"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p>
        </w:tc>
      </w:tr>
      <w:tr w:rsidR="00E664E4" w:rsidRPr="00F31EDE" w:rsidTr="00F116B2">
        <w:trPr>
          <w:trHeight w:val="285"/>
          <w:jc w:val="center"/>
        </w:trPr>
        <w:tc>
          <w:tcPr>
            <w:tcW w:w="222"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p>
        </w:tc>
        <w:tc>
          <w:tcPr>
            <w:tcW w:w="1652"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F</w:t>
            </w:r>
            <w:r w:rsidRPr="00F31EDE">
              <w:rPr>
                <w:rFonts w:ascii="Calibri" w:eastAsia="Times New Roman" w:hAnsi="Calibri" w:cs="Times New Roman"/>
                <w:color w:val="000000"/>
                <w:sz w:val="20"/>
                <w:szCs w:val="20"/>
                <w:vertAlign w:val="subscript"/>
              </w:rPr>
              <w:t>7A</w:t>
            </w:r>
          </w:p>
        </w:tc>
        <w:tc>
          <w:tcPr>
            <w:tcW w:w="1294"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7A</w:t>
            </w:r>
          </w:p>
        </w:tc>
        <w:tc>
          <w:tcPr>
            <w:tcW w:w="1040"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60.00</w:t>
            </w:r>
          </w:p>
        </w:tc>
        <w:tc>
          <w:tcPr>
            <w:tcW w:w="2786"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TBP</w:t>
            </w:r>
          </w:p>
        </w:tc>
        <w:tc>
          <w:tcPr>
            <w:tcW w:w="222"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p>
        </w:tc>
      </w:tr>
      <w:tr w:rsidR="00E664E4" w:rsidRPr="00F31EDE" w:rsidTr="00F116B2">
        <w:trPr>
          <w:trHeight w:val="285"/>
          <w:jc w:val="center"/>
        </w:trPr>
        <w:tc>
          <w:tcPr>
            <w:tcW w:w="222"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p>
        </w:tc>
        <w:tc>
          <w:tcPr>
            <w:tcW w:w="1652"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F</w:t>
            </w:r>
            <w:r w:rsidRPr="00F31EDE">
              <w:rPr>
                <w:rFonts w:ascii="Calibri" w:eastAsia="Times New Roman" w:hAnsi="Calibri" w:cs="Times New Roman"/>
                <w:color w:val="000000"/>
                <w:sz w:val="20"/>
                <w:szCs w:val="20"/>
                <w:vertAlign w:val="subscript"/>
              </w:rPr>
              <w:t>8A</w:t>
            </w:r>
          </w:p>
        </w:tc>
        <w:tc>
          <w:tcPr>
            <w:tcW w:w="1294"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8A</w:t>
            </w:r>
          </w:p>
        </w:tc>
        <w:tc>
          <w:tcPr>
            <w:tcW w:w="1040"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42.00</w:t>
            </w:r>
          </w:p>
        </w:tc>
        <w:tc>
          <w:tcPr>
            <w:tcW w:w="2786"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Water</w:t>
            </w:r>
          </w:p>
        </w:tc>
        <w:tc>
          <w:tcPr>
            <w:tcW w:w="222"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p>
        </w:tc>
      </w:tr>
      <w:tr w:rsidR="00E664E4" w:rsidRPr="00F31EDE" w:rsidTr="00F116B2">
        <w:trPr>
          <w:trHeight w:val="285"/>
          <w:jc w:val="center"/>
        </w:trPr>
        <w:tc>
          <w:tcPr>
            <w:tcW w:w="222"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p>
        </w:tc>
        <w:tc>
          <w:tcPr>
            <w:tcW w:w="1652"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F</w:t>
            </w:r>
            <w:r w:rsidRPr="00F31EDE">
              <w:rPr>
                <w:rFonts w:ascii="Calibri" w:eastAsia="Times New Roman" w:hAnsi="Calibri" w:cs="Times New Roman"/>
                <w:color w:val="000000"/>
                <w:sz w:val="20"/>
                <w:szCs w:val="20"/>
                <w:vertAlign w:val="subscript"/>
              </w:rPr>
              <w:t>9A</w:t>
            </w:r>
          </w:p>
        </w:tc>
        <w:tc>
          <w:tcPr>
            <w:tcW w:w="1294"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9A</w:t>
            </w:r>
          </w:p>
        </w:tc>
        <w:tc>
          <w:tcPr>
            <w:tcW w:w="1040"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95.00</w:t>
            </w:r>
          </w:p>
        </w:tc>
        <w:tc>
          <w:tcPr>
            <w:tcW w:w="2786"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Water</w:t>
            </w:r>
          </w:p>
        </w:tc>
        <w:tc>
          <w:tcPr>
            <w:tcW w:w="222"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p>
        </w:tc>
      </w:tr>
      <w:tr w:rsidR="00E664E4" w:rsidRPr="00F31EDE" w:rsidTr="00F116B2">
        <w:trPr>
          <w:trHeight w:val="285"/>
          <w:jc w:val="center"/>
        </w:trPr>
        <w:tc>
          <w:tcPr>
            <w:tcW w:w="222"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p>
        </w:tc>
        <w:tc>
          <w:tcPr>
            <w:tcW w:w="1652"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F</w:t>
            </w:r>
            <w:r w:rsidRPr="00F31EDE">
              <w:rPr>
                <w:rFonts w:ascii="Calibri" w:eastAsia="Times New Roman" w:hAnsi="Calibri" w:cs="Times New Roman"/>
                <w:color w:val="000000"/>
                <w:sz w:val="20"/>
                <w:szCs w:val="20"/>
                <w:vertAlign w:val="subscript"/>
              </w:rPr>
              <w:t>10A</w:t>
            </w:r>
          </w:p>
        </w:tc>
        <w:tc>
          <w:tcPr>
            <w:tcW w:w="1294"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10A</w:t>
            </w:r>
          </w:p>
        </w:tc>
        <w:tc>
          <w:tcPr>
            <w:tcW w:w="1040"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14.00</w:t>
            </w:r>
          </w:p>
        </w:tc>
        <w:tc>
          <w:tcPr>
            <w:tcW w:w="2786"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Wash Solution</w:t>
            </w:r>
          </w:p>
        </w:tc>
        <w:tc>
          <w:tcPr>
            <w:tcW w:w="222"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p>
        </w:tc>
      </w:tr>
      <w:tr w:rsidR="00E664E4" w:rsidRPr="00F31EDE" w:rsidTr="00F116B2">
        <w:trPr>
          <w:trHeight w:val="285"/>
          <w:jc w:val="center"/>
        </w:trPr>
        <w:tc>
          <w:tcPr>
            <w:tcW w:w="222"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p>
        </w:tc>
        <w:tc>
          <w:tcPr>
            <w:tcW w:w="1652"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F</w:t>
            </w:r>
            <w:r w:rsidRPr="00F31EDE">
              <w:rPr>
                <w:rFonts w:ascii="Calibri" w:eastAsia="Times New Roman" w:hAnsi="Calibri" w:cs="Times New Roman"/>
                <w:color w:val="000000"/>
                <w:sz w:val="20"/>
                <w:szCs w:val="20"/>
                <w:vertAlign w:val="subscript"/>
              </w:rPr>
              <w:t>11A</w:t>
            </w:r>
          </w:p>
        </w:tc>
        <w:tc>
          <w:tcPr>
            <w:tcW w:w="1294"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11A</w:t>
            </w:r>
          </w:p>
        </w:tc>
        <w:tc>
          <w:tcPr>
            <w:tcW w:w="1040"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14.00</w:t>
            </w:r>
          </w:p>
        </w:tc>
        <w:tc>
          <w:tcPr>
            <w:tcW w:w="2786"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Nitrogen</w:t>
            </w:r>
          </w:p>
        </w:tc>
        <w:tc>
          <w:tcPr>
            <w:tcW w:w="222"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p>
        </w:tc>
      </w:tr>
      <w:tr w:rsidR="00E664E4" w:rsidRPr="00F31EDE" w:rsidTr="00F116B2">
        <w:trPr>
          <w:trHeight w:val="285"/>
          <w:jc w:val="center"/>
        </w:trPr>
        <w:tc>
          <w:tcPr>
            <w:tcW w:w="222"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p>
        </w:tc>
        <w:tc>
          <w:tcPr>
            <w:tcW w:w="1652"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F</w:t>
            </w:r>
            <w:r w:rsidRPr="00F31EDE">
              <w:rPr>
                <w:rFonts w:ascii="Calibri" w:eastAsia="Times New Roman" w:hAnsi="Calibri" w:cs="Times New Roman"/>
                <w:color w:val="000000"/>
                <w:sz w:val="20"/>
                <w:szCs w:val="20"/>
                <w:vertAlign w:val="subscript"/>
              </w:rPr>
              <w:t>12A</w:t>
            </w:r>
          </w:p>
        </w:tc>
        <w:tc>
          <w:tcPr>
            <w:tcW w:w="1294"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12A</w:t>
            </w:r>
          </w:p>
        </w:tc>
        <w:tc>
          <w:tcPr>
            <w:tcW w:w="1040"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42.00</w:t>
            </w:r>
          </w:p>
        </w:tc>
        <w:tc>
          <w:tcPr>
            <w:tcW w:w="2786"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Nitrogen</w:t>
            </w:r>
          </w:p>
        </w:tc>
        <w:tc>
          <w:tcPr>
            <w:tcW w:w="222"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p>
        </w:tc>
      </w:tr>
      <w:tr w:rsidR="00E664E4" w:rsidRPr="00F31EDE" w:rsidTr="00F116B2">
        <w:trPr>
          <w:trHeight w:val="300"/>
          <w:jc w:val="center"/>
        </w:trPr>
        <w:tc>
          <w:tcPr>
            <w:tcW w:w="222"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p>
        </w:tc>
        <w:tc>
          <w:tcPr>
            <w:tcW w:w="1652" w:type="dxa"/>
            <w:tcBorders>
              <w:top w:val="nil"/>
              <w:left w:val="nil"/>
              <w:bottom w:val="single" w:sz="8" w:space="0" w:color="auto"/>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F</w:t>
            </w:r>
            <w:r w:rsidRPr="00F31EDE">
              <w:rPr>
                <w:rFonts w:ascii="Calibri" w:eastAsia="Times New Roman" w:hAnsi="Calibri" w:cs="Times New Roman"/>
                <w:color w:val="000000"/>
                <w:sz w:val="20"/>
                <w:szCs w:val="20"/>
                <w:vertAlign w:val="subscript"/>
              </w:rPr>
              <w:t>13A</w:t>
            </w:r>
          </w:p>
        </w:tc>
        <w:tc>
          <w:tcPr>
            <w:tcW w:w="1294" w:type="dxa"/>
            <w:tcBorders>
              <w:top w:val="nil"/>
              <w:left w:val="nil"/>
              <w:bottom w:val="single" w:sz="8" w:space="0" w:color="auto"/>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13A</w:t>
            </w:r>
          </w:p>
        </w:tc>
        <w:tc>
          <w:tcPr>
            <w:tcW w:w="1040" w:type="dxa"/>
            <w:tcBorders>
              <w:top w:val="nil"/>
              <w:left w:val="nil"/>
              <w:bottom w:val="single" w:sz="8" w:space="0" w:color="auto"/>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14.00</w:t>
            </w:r>
          </w:p>
        </w:tc>
        <w:tc>
          <w:tcPr>
            <w:tcW w:w="2786" w:type="dxa"/>
            <w:tcBorders>
              <w:top w:val="nil"/>
              <w:left w:val="nil"/>
              <w:bottom w:val="single" w:sz="8" w:space="0" w:color="auto"/>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r w:rsidRPr="00F31EDE">
              <w:rPr>
                <w:rFonts w:ascii="Calibri" w:eastAsia="Times New Roman" w:hAnsi="Calibri" w:cs="Times New Roman"/>
                <w:color w:val="000000"/>
                <w:sz w:val="20"/>
                <w:szCs w:val="20"/>
              </w:rPr>
              <w:t>Nitrogen</w:t>
            </w:r>
          </w:p>
        </w:tc>
        <w:tc>
          <w:tcPr>
            <w:tcW w:w="222" w:type="dxa"/>
            <w:tcBorders>
              <w:top w:val="nil"/>
              <w:left w:val="nil"/>
              <w:bottom w:val="nil"/>
              <w:right w:val="nil"/>
            </w:tcBorders>
            <w:shd w:val="clear" w:color="auto" w:fill="auto"/>
            <w:noWrap/>
            <w:vAlign w:val="center"/>
            <w:hideMark/>
          </w:tcPr>
          <w:p w:rsidR="00E664E4" w:rsidRPr="00F31EDE" w:rsidRDefault="00E664E4" w:rsidP="003D664B">
            <w:pPr>
              <w:spacing w:after="0" w:line="240" w:lineRule="auto"/>
              <w:jc w:val="center"/>
              <w:rPr>
                <w:rFonts w:ascii="Calibri" w:eastAsia="Times New Roman" w:hAnsi="Calibri" w:cs="Times New Roman"/>
                <w:color w:val="000000"/>
                <w:sz w:val="20"/>
                <w:szCs w:val="20"/>
              </w:rPr>
            </w:pPr>
          </w:p>
        </w:tc>
      </w:tr>
    </w:tbl>
    <w:p w:rsidR="00B81072" w:rsidRDefault="00B81072"/>
    <w:p w:rsidR="00D8777F" w:rsidRDefault="00D8777F"/>
    <w:p w:rsidR="00D8777F" w:rsidRDefault="00D8777F">
      <w:r>
        <w:br w:type="page"/>
      </w:r>
    </w:p>
    <w:tbl>
      <w:tblPr>
        <w:tblW w:w="8928" w:type="dxa"/>
        <w:jc w:val="center"/>
        <w:tblLook w:val="04A0" w:firstRow="1" w:lastRow="0" w:firstColumn="1" w:lastColumn="0" w:noHBand="0" w:noVBand="1"/>
      </w:tblPr>
      <w:tblGrid>
        <w:gridCol w:w="999"/>
        <w:gridCol w:w="789"/>
        <w:gridCol w:w="7140"/>
      </w:tblGrid>
      <w:tr w:rsidR="00B81072" w:rsidRPr="00B81072" w:rsidTr="00B81072">
        <w:trPr>
          <w:trHeight w:val="270"/>
          <w:jc w:val="center"/>
        </w:trPr>
        <w:tc>
          <w:tcPr>
            <w:tcW w:w="8928" w:type="dxa"/>
            <w:gridSpan w:val="3"/>
            <w:tcBorders>
              <w:top w:val="nil"/>
              <w:left w:val="nil"/>
              <w:bottom w:val="single" w:sz="8" w:space="0" w:color="auto"/>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b/>
                <w:bCs/>
                <w:color w:val="000000"/>
                <w:sz w:val="20"/>
                <w:szCs w:val="20"/>
              </w:rPr>
            </w:pPr>
            <w:r w:rsidRPr="00B81072">
              <w:rPr>
                <w:rFonts w:ascii="Calibri" w:eastAsia="Times New Roman" w:hAnsi="Calibri" w:cs="Times New Roman"/>
                <w:b/>
                <w:bCs/>
                <w:color w:val="000000"/>
                <w:sz w:val="20"/>
                <w:szCs w:val="20"/>
              </w:rPr>
              <w:lastRenderedPageBreak/>
              <w:t>Table 3.10. Base Case Parameters for Each Module</w:t>
            </w:r>
          </w:p>
        </w:tc>
      </w:tr>
      <w:tr w:rsidR="00B81072" w:rsidRPr="00B81072" w:rsidTr="00B81072">
        <w:trPr>
          <w:trHeight w:val="255"/>
          <w:jc w:val="center"/>
        </w:trPr>
        <w:tc>
          <w:tcPr>
            <w:tcW w:w="999" w:type="dxa"/>
            <w:tcBorders>
              <w:top w:val="nil"/>
              <w:left w:val="nil"/>
              <w:bottom w:val="single" w:sz="4" w:space="0" w:color="auto"/>
              <w:right w:val="nil"/>
            </w:tcBorders>
            <w:shd w:val="clear" w:color="auto" w:fill="auto"/>
            <w:noWrap/>
            <w:vAlign w:val="bottom"/>
            <w:hideMark/>
          </w:tcPr>
          <w:p w:rsidR="00B81072" w:rsidRPr="00B81072" w:rsidRDefault="00B81072" w:rsidP="00B81072">
            <w:pPr>
              <w:spacing w:after="0" w:line="240" w:lineRule="auto"/>
              <w:jc w:val="center"/>
              <w:rPr>
                <w:rFonts w:ascii="Calibri" w:eastAsia="Times New Roman" w:hAnsi="Calibri" w:cs="Times New Roman"/>
                <w:b/>
                <w:bCs/>
                <w:color w:val="000000"/>
                <w:sz w:val="20"/>
                <w:szCs w:val="20"/>
              </w:rPr>
            </w:pPr>
            <w:r w:rsidRPr="00B81072">
              <w:rPr>
                <w:rFonts w:ascii="Calibri" w:eastAsia="Times New Roman" w:hAnsi="Calibri" w:cs="Times New Roman"/>
                <w:b/>
                <w:bCs/>
                <w:color w:val="000000"/>
                <w:sz w:val="20"/>
                <w:szCs w:val="20"/>
              </w:rPr>
              <w:t>Identifier</w:t>
            </w:r>
          </w:p>
        </w:tc>
        <w:tc>
          <w:tcPr>
            <w:tcW w:w="789" w:type="dxa"/>
            <w:tcBorders>
              <w:top w:val="nil"/>
              <w:left w:val="nil"/>
              <w:bottom w:val="single" w:sz="4" w:space="0" w:color="auto"/>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b/>
                <w:bCs/>
                <w:color w:val="000000"/>
                <w:sz w:val="20"/>
                <w:szCs w:val="20"/>
              </w:rPr>
            </w:pPr>
            <w:r w:rsidRPr="00B81072">
              <w:rPr>
                <w:rFonts w:ascii="Calibri" w:eastAsia="Times New Roman" w:hAnsi="Calibri" w:cs="Times New Roman"/>
                <w:b/>
                <w:bCs/>
                <w:color w:val="000000"/>
                <w:sz w:val="20"/>
                <w:szCs w:val="20"/>
              </w:rPr>
              <w:t>Value</w:t>
            </w:r>
          </w:p>
        </w:tc>
        <w:tc>
          <w:tcPr>
            <w:tcW w:w="7140" w:type="dxa"/>
            <w:tcBorders>
              <w:top w:val="nil"/>
              <w:left w:val="nil"/>
              <w:bottom w:val="single" w:sz="4" w:space="0" w:color="auto"/>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b/>
                <w:bCs/>
                <w:color w:val="000000"/>
                <w:sz w:val="20"/>
                <w:szCs w:val="20"/>
              </w:rPr>
            </w:pPr>
            <w:r w:rsidRPr="00B81072">
              <w:rPr>
                <w:rFonts w:ascii="Calibri" w:eastAsia="Times New Roman" w:hAnsi="Calibri" w:cs="Times New Roman"/>
                <w:b/>
                <w:bCs/>
                <w:color w:val="000000"/>
                <w:sz w:val="20"/>
                <w:szCs w:val="20"/>
              </w:rPr>
              <w:t>Description</w:t>
            </w:r>
          </w:p>
        </w:tc>
      </w:tr>
      <w:tr w:rsidR="00B81072" w:rsidRPr="00B81072" w:rsidTr="00B81072">
        <w:trPr>
          <w:trHeight w:val="255"/>
          <w:jc w:val="center"/>
        </w:trPr>
        <w:tc>
          <w:tcPr>
            <w:tcW w:w="8928" w:type="dxa"/>
            <w:gridSpan w:val="3"/>
            <w:tcBorders>
              <w:top w:val="single" w:sz="4" w:space="0" w:color="auto"/>
              <w:left w:val="nil"/>
              <w:bottom w:val="single" w:sz="4" w:space="0" w:color="auto"/>
              <w:right w:val="nil"/>
            </w:tcBorders>
            <w:shd w:val="clear" w:color="auto" w:fill="auto"/>
            <w:noWrap/>
            <w:vAlign w:val="bottom"/>
            <w:hideMark/>
          </w:tcPr>
          <w:p w:rsidR="00B81072" w:rsidRPr="00B81072" w:rsidRDefault="00B81072" w:rsidP="00B81072">
            <w:pPr>
              <w:spacing w:after="0" w:line="240" w:lineRule="auto"/>
              <w:jc w:val="center"/>
              <w:rPr>
                <w:rFonts w:ascii="Calibri" w:eastAsia="Times New Roman" w:hAnsi="Calibri" w:cs="Times New Roman"/>
                <w:b/>
                <w:bCs/>
                <w:color w:val="000000"/>
                <w:sz w:val="20"/>
                <w:szCs w:val="20"/>
              </w:rPr>
            </w:pPr>
            <w:r w:rsidRPr="00B81072">
              <w:rPr>
                <w:rFonts w:ascii="Calibri" w:eastAsia="Times New Roman" w:hAnsi="Calibri" w:cs="Times New Roman"/>
                <w:b/>
                <w:bCs/>
                <w:color w:val="000000"/>
                <w:sz w:val="20"/>
                <w:szCs w:val="20"/>
              </w:rPr>
              <w:t>Module 1</w:t>
            </w:r>
          </w:p>
        </w:tc>
      </w:tr>
      <w:tr w:rsidR="00B81072" w:rsidRPr="00B81072" w:rsidTr="00B81072">
        <w:trPr>
          <w:trHeight w:val="285"/>
          <w:jc w:val="center"/>
        </w:trPr>
        <w:tc>
          <w:tcPr>
            <w:tcW w:w="999" w:type="dxa"/>
            <w:tcBorders>
              <w:top w:val="nil"/>
              <w:left w:val="nil"/>
              <w:bottom w:val="single" w:sz="4" w:space="0" w:color="auto"/>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Symbol" w:eastAsia="Times New Roman" w:hAnsi="Symbol" w:cs="Times New Roman"/>
                <w:color w:val="000000"/>
                <w:sz w:val="20"/>
                <w:szCs w:val="20"/>
              </w:rPr>
              <w:t></w:t>
            </w:r>
            <w:r w:rsidRPr="00B81072">
              <w:rPr>
                <w:rFonts w:ascii="Calibri" w:eastAsia="Times New Roman" w:hAnsi="Calibri" w:cs="Times New Roman"/>
                <w:color w:val="000000"/>
                <w:sz w:val="20"/>
                <w:szCs w:val="20"/>
                <w:vertAlign w:val="subscript"/>
              </w:rPr>
              <w:t>Mod1A</w:t>
            </w:r>
          </w:p>
        </w:tc>
        <w:tc>
          <w:tcPr>
            <w:tcW w:w="789" w:type="dxa"/>
            <w:tcBorders>
              <w:top w:val="nil"/>
              <w:left w:val="nil"/>
              <w:bottom w:val="single" w:sz="4" w:space="0" w:color="auto"/>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1.2</w:t>
            </w:r>
          </w:p>
        </w:tc>
        <w:tc>
          <w:tcPr>
            <w:tcW w:w="7140"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Flow parameter that Insures sufficient HNO</w:t>
            </w:r>
            <w:r w:rsidRPr="00B81072">
              <w:rPr>
                <w:rFonts w:ascii="Calibri" w:eastAsia="Times New Roman" w:hAnsi="Calibri" w:cs="Times New Roman"/>
                <w:color w:val="000000"/>
                <w:sz w:val="20"/>
                <w:szCs w:val="20"/>
                <w:vertAlign w:val="subscript"/>
              </w:rPr>
              <w:t>3</w:t>
            </w:r>
            <w:r w:rsidRPr="00B81072">
              <w:rPr>
                <w:rFonts w:ascii="Calibri" w:eastAsia="Times New Roman" w:hAnsi="Calibri" w:cs="Times New Roman"/>
                <w:color w:val="000000"/>
                <w:sz w:val="20"/>
                <w:szCs w:val="20"/>
              </w:rPr>
              <w:t>, Mod1A</w:t>
            </w:r>
          </w:p>
        </w:tc>
      </w:tr>
      <w:tr w:rsidR="00B81072" w:rsidRPr="00B81072" w:rsidTr="00B81072">
        <w:trPr>
          <w:trHeight w:val="285"/>
          <w:jc w:val="center"/>
        </w:trPr>
        <w:tc>
          <w:tcPr>
            <w:tcW w:w="999" w:type="dxa"/>
            <w:tcBorders>
              <w:top w:val="nil"/>
              <w:left w:val="nil"/>
              <w:bottom w:val="single" w:sz="4" w:space="0" w:color="auto"/>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X</w:t>
            </w:r>
            <w:r w:rsidRPr="00B81072">
              <w:rPr>
                <w:rFonts w:ascii="Calibri" w:eastAsia="Times New Roman" w:hAnsi="Calibri" w:cs="Times New Roman"/>
                <w:color w:val="000000"/>
                <w:sz w:val="20"/>
                <w:szCs w:val="20"/>
                <w:vertAlign w:val="subscript"/>
              </w:rPr>
              <w:t>Mod1A</w:t>
            </w:r>
          </w:p>
        </w:tc>
        <w:tc>
          <w:tcPr>
            <w:tcW w:w="789" w:type="dxa"/>
            <w:tcBorders>
              <w:top w:val="nil"/>
              <w:left w:val="nil"/>
              <w:bottom w:val="single" w:sz="4" w:space="0" w:color="auto"/>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0.9799</w:t>
            </w:r>
          </w:p>
        </w:tc>
        <w:tc>
          <w:tcPr>
            <w:tcW w:w="7140"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Extent of Reaction (moles U</w:t>
            </w:r>
            <w:r w:rsidRPr="00B81072">
              <w:rPr>
                <w:rFonts w:ascii="Calibri" w:eastAsia="Times New Roman" w:hAnsi="Calibri" w:cs="Times New Roman"/>
                <w:color w:val="000000"/>
                <w:sz w:val="20"/>
                <w:szCs w:val="20"/>
                <w:vertAlign w:val="subscript"/>
              </w:rPr>
              <w:t>3</w:t>
            </w:r>
            <w:r w:rsidRPr="00B81072">
              <w:rPr>
                <w:rFonts w:ascii="Calibri" w:eastAsia="Times New Roman" w:hAnsi="Calibri" w:cs="Times New Roman"/>
                <w:color w:val="000000"/>
                <w:sz w:val="20"/>
                <w:szCs w:val="20"/>
              </w:rPr>
              <w:t>O</w:t>
            </w:r>
            <w:r w:rsidRPr="00B81072">
              <w:rPr>
                <w:rFonts w:ascii="Calibri" w:eastAsia="Times New Roman" w:hAnsi="Calibri" w:cs="Times New Roman"/>
                <w:color w:val="000000"/>
                <w:sz w:val="20"/>
                <w:szCs w:val="20"/>
                <w:vertAlign w:val="subscript"/>
              </w:rPr>
              <w:t>8</w:t>
            </w:r>
            <w:r w:rsidRPr="00B81072">
              <w:rPr>
                <w:rFonts w:ascii="Calibri" w:eastAsia="Times New Roman" w:hAnsi="Calibri" w:cs="Times New Roman"/>
                <w:color w:val="000000"/>
                <w:sz w:val="20"/>
                <w:szCs w:val="20"/>
              </w:rPr>
              <w:t xml:space="preserve"> reacted/moles U</w:t>
            </w:r>
            <w:r w:rsidRPr="00B81072">
              <w:rPr>
                <w:rFonts w:ascii="Calibri" w:eastAsia="Times New Roman" w:hAnsi="Calibri" w:cs="Times New Roman"/>
                <w:color w:val="000000"/>
                <w:sz w:val="20"/>
                <w:szCs w:val="20"/>
                <w:vertAlign w:val="subscript"/>
              </w:rPr>
              <w:t>3</w:t>
            </w:r>
            <w:r w:rsidRPr="00B81072">
              <w:rPr>
                <w:rFonts w:ascii="Calibri" w:eastAsia="Times New Roman" w:hAnsi="Calibri" w:cs="Times New Roman"/>
                <w:color w:val="000000"/>
                <w:sz w:val="20"/>
                <w:szCs w:val="20"/>
              </w:rPr>
              <w:t>O</w:t>
            </w:r>
            <w:r w:rsidRPr="00B81072">
              <w:rPr>
                <w:rFonts w:ascii="Calibri" w:eastAsia="Times New Roman" w:hAnsi="Calibri" w:cs="Times New Roman"/>
                <w:color w:val="000000"/>
                <w:sz w:val="20"/>
                <w:szCs w:val="20"/>
                <w:vertAlign w:val="subscript"/>
              </w:rPr>
              <w:t>8</w:t>
            </w:r>
            <w:r w:rsidRPr="00B81072">
              <w:rPr>
                <w:rFonts w:ascii="Calibri" w:eastAsia="Times New Roman" w:hAnsi="Calibri" w:cs="Times New Roman"/>
                <w:color w:val="000000"/>
                <w:sz w:val="20"/>
                <w:szCs w:val="20"/>
              </w:rPr>
              <w:t xml:space="preserve"> fed), Mod1A</w:t>
            </w:r>
          </w:p>
        </w:tc>
      </w:tr>
      <w:tr w:rsidR="00B81072" w:rsidRPr="00B81072" w:rsidTr="00B81072">
        <w:trPr>
          <w:trHeight w:val="285"/>
          <w:jc w:val="center"/>
        </w:trPr>
        <w:tc>
          <w:tcPr>
            <w:tcW w:w="999" w:type="dxa"/>
            <w:tcBorders>
              <w:top w:val="nil"/>
              <w:left w:val="nil"/>
              <w:bottom w:val="nil"/>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Mod1B,1</w:t>
            </w:r>
          </w:p>
        </w:tc>
        <w:tc>
          <w:tcPr>
            <w:tcW w:w="789" w:type="dxa"/>
            <w:tcBorders>
              <w:top w:val="nil"/>
              <w:left w:val="nil"/>
              <w:bottom w:val="nil"/>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0.9</w:t>
            </w:r>
          </w:p>
        </w:tc>
        <w:tc>
          <w:tcPr>
            <w:tcW w:w="7140" w:type="dxa"/>
            <w:vMerge w:val="restart"/>
            <w:tcBorders>
              <w:top w:val="nil"/>
              <w:left w:val="nil"/>
              <w:bottom w:val="single" w:sz="4" w:space="0" w:color="000000"/>
              <w:right w:val="nil"/>
            </w:tcBorders>
            <w:shd w:val="clear" w:color="auto" w:fill="auto"/>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Component Filter Fractionation Factors (</w:t>
            </w:r>
            <w:proofErr w:type="spellStart"/>
            <w:r w:rsidRPr="00B81072">
              <w:rPr>
                <w:rFonts w:ascii="Calibri" w:eastAsia="Times New Roman" w:hAnsi="Calibri" w:cs="Times New Roman"/>
                <w:color w:val="000000"/>
                <w:sz w:val="20"/>
                <w:szCs w:val="20"/>
              </w:rPr>
              <w:t>mol</w:t>
            </w:r>
            <w:proofErr w:type="spellEnd"/>
            <w:r w:rsidRPr="00B81072">
              <w:rPr>
                <w:rFonts w:ascii="Calibri" w:eastAsia="Times New Roman" w:hAnsi="Calibri" w:cs="Times New Roman"/>
                <w:color w:val="000000"/>
                <w:sz w:val="20"/>
                <w:szCs w:val="20"/>
              </w:rPr>
              <w:t>-%), Mod1B</w:t>
            </w:r>
          </w:p>
        </w:tc>
      </w:tr>
      <w:tr w:rsidR="00B81072" w:rsidRPr="00B81072" w:rsidTr="00B81072">
        <w:trPr>
          <w:trHeight w:val="285"/>
          <w:jc w:val="center"/>
        </w:trPr>
        <w:tc>
          <w:tcPr>
            <w:tcW w:w="999" w:type="dxa"/>
            <w:tcBorders>
              <w:top w:val="nil"/>
              <w:left w:val="nil"/>
              <w:bottom w:val="nil"/>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Mod1B,9</w:t>
            </w:r>
          </w:p>
        </w:tc>
        <w:tc>
          <w:tcPr>
            <w:tcW w:w="789" w:type="dxa"/>
            <w:tcBorders>
              <w:top w:val="nil"/>
              <w:left w:val="nil"/>
              <w:bottom w:val="nil"/>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0.97</w:t>
            </w:r>
          </w:p>
        </w:tc>
        <w:tc>
          <w:tcPr>
            <w:tcW w:w="7140" w:type="dxa"/>
            <w:vMerge/>
            <w:tcBorders>
              <w:top w:val="nil"/>
              <w:left w:val="nil"/>
              <w:bottom w:val="single" w:sz="4"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85"/>
          <w:jc w:val="center"/>
        </w:trPr>
        <w:tc>
          <w:tcPr>
            <w:tcW w:w="999" w:type="dxa"/>
            <w:tcBorders>
              <w:top w:val="nil"/>
              <w:left w:val="nil"/>
              <w:bottom w:val="nil"/>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Mod1B,14</w:t>
            </w:r>
          </w:p>
        </w:tc>
        <w:tc>
          <w:tcPr>
            <w:tcW w:w="789" w:type="dxa"/>
            <w:tcBorders>
              <w:top w:val="nil"/>
              <w:left w:val="nil"/>
              <w:bottom w:val="nil"/>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0.98</w:t>
            </w:r>
          </w:p>
        </w:tc>
        <w:tc>
          <w:tcPr>
            <w:tcW w:w="7140" w:type="dxa"/>
            <w:vMerge/>
            <w:tcBorders>
              <w:top w:val="nil"/>
              <w:left w:val="nil"/>
              <w:bottom w:val="single" w:sz="4"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85"/>
          <w:jc w:val="center"/>
        </w:trPr>
        <w:tc>
          <w:tcPr>
            <w:tcW w:w="999" w:type="dxa"/>
            <w:tcBorders>
              <w:top w:val="nil"/>
              <w:left w:val="nil"/>
              <w:bottom w:val="nil"/>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Mod1B,18</w:t>
            </w:r>
          </w:p>
        </w:tc>
        <w:tc>
          <w:tcPr>
            <w:tcW w:w="789" w:type="dxa"/>
            <w:tcBorders>
              <w:top w:val="nil"/>
              <w:left w:val="nil"/>
              <w:bottom w:val="nil"/>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0.02</w:t>
            </w:r>
          </w:p>
        </w:tc>
        <w:tc>
          <w:tcPr>
            <w:tcW w:w="7140" w:type="dxa"/>
            <w:vMerge/>
            <w:tcBorders>
              <w:top w:val="nil"/>
              <w:left w:val="nil"/>
              <w:bottom w:val="single" w:sz="4"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85"/>
          <w:jc w:val="center"/>
        </w:trPr>
        <w:tc>
          <w:tcPr>
            <w:tcW w:w="999" w:type="dxa"/>
            <w:tcBorders>
              <w:top w:val="nil"/>
              <w:left w:val="nil"/>
              <w:bottom w:val="nil"/>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Mod1B,20</w:t>
            </w:r>
          </w:p>
        </w:tc>
        <w:tc>
          <w:tcPr>
            <w:tcW w:w="789" w:type="dxa"/>
            <w:tcBorders>
              <w:top w:val="nil"/>
              <w:left w:val="nil"/>
              <w:bottom w:val="nil"/>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0.01</w:t>
            </w:r>
          </w:p>
        </w:tc>
        <w:tc>
          <w:tcPr>
            <w:tcW w:w="7140" w:type="dxa"/>
            <w:vMerge/>
            <w:tcBorders>
              <w:top w:val="nil"/>
              <w:left w:val="nil"/>
              <w:bottom w:val="single" w:sz="4"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85"/>
          <w:jc w:val="center"/>
        </w:trPr>
        <w:tc>
          <w:tcPr>
            <w:tcW w:w="999"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Mod1B,21</w:t>
            </w:r>
          </w:p>
        </w:tc>
        <w:tc>
          <w:tcPr>
            <w:tcW w:w="789"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0.97</w:t>
            </w:r>
          </w:p>
        </w:tc>
        <w:tc>
          <w:tcPr>
            <w:tcW w:w="7140" w:type="dxa"/>
            <w:vMerge/>
            <w:tcBorders>
              <w:top w:val="nil"/>
              <w:left w:val="nil"/>
              <w:bottom w:val="single" w:sz="4"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85"/>
          <w:jc w:val="center"/>
        </w:trPr>
        <w:tc>
          <w:tcPr>
            <w:tcW w:w="99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Mod1C,1</w:t>
            </w:r>
          </w:p>
        </w:tc>
        <w:tc>
          <w:tcPr>
            <w:tcW w:w="78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0.75</w:t>
            </w:r>
          </w:p>
        </w:tc>
        <w:tc>
          <w:tcPr>
            <w:tcW w:w="7140" w:type="dxa"/>
            <w:vMerge w:val="restart"/>
            <w:tcBorders>
              <w:top w:val="nil"/>
              <w:left w:val="nil"/>
              <w:bottom w:val="single" w:sz="4" w:space="0" w:color="000000"/>
              <w:right w:val="nil"/>
            </w:tcBorders>
            <w:shd w:val="clear" w:color="auto" w:fill="auto"/>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Component Filter Fractionation Factors (</w:t>
            </w:r>
            <w:proofErr w:type="spellStart"/>
            <w:r w:rsidRPr="00B81072">
              <w:rPr>
                <w:rFonts w:ascii="Calibri" w:eastAsia="Times New Roman" w:hAnsi="Calibri" w:cs="Times New Roman"/>
                <w:color w:val="000000"/>
                <w:sz w:val="20"/>
                <w:szCs w:val="20"/>
              </w:rPr>
              <w:t>mol</w:t>
            </w:r>
            <w:proofErr w:type="spellEnd"/>
            <w:r w:rsidRPr="00B81072">
              <w:rPr>
                <w:rFonts w:ascii="Calibri" w:eastAsia="Times New Roman" w:hAnsi="Calibri" w:cs="Times New Roman"/>
                <w:color w:val="000000"/>
                <w:sz w:val="20"/>
                <w:szCs w:val="20"/>
              </w:rPr>
              <w:t>-%), Mod1C</w:t>
            </w:r>
          </w:p>
        </w:tc>
      </w:tr>
      <w:tr w:rsidR="00B81072" w:rsidRPr="00B81072" w:rsidTr="00B81072">
        <w:trPr>
          <w:trHeight w:val="285"/>
          <w:jc w:val="center"/>
        </w:trPr>
        <w:tc>
          <w:tcPr>
            <w:tcW w:w="99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Mod1C,9</w:t>
            </w:r>
          </w:p>
        </w:tc>
        <w:tc>
          <w:tcPr>
            <w:tcW w:w="78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0.9</w:t>
            </w:r>
          </w:p>
        </w:tc>
        <w:tc>
          <w:tcPr>
            <w:tcW w:w="7140" w:type="dxa"/>
            <w:vMerge/>
            <w:tcBorders>
              <w:top w:val="nil"/>
              <w:left w:val="nil"/>
              <w:bottom w:val="single" w:sz="4"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85"/>
          <w:jc w:val="center"/>
        </w:trPr>
        <w:tc>
          <w:tcPr>
            <w:tcW w:w="99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Mod1C,14</w:t>
            </w:r>
          </w:p>
        </w:tc>
        <w:tc>
          <w:tcPr>
            <w:tcW w:w="78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0.8</w:t>
            </w:r>
          </w:p>
        </w:tc>
        <w:tc>
          <w:tcPr>
            <w:tcW w:w="7140" w:type="dxa"/>
            <w:vMerge/>
            <w:tcBorders>
              <w:top w:val="nil"/>
              <w:left w:val="nil"/>
              <w:bottom w:val="single" w:sz="4"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85"/>
          <w:jc w:val="center"/>
        </w:trPr>
        <w:tc>
          <w:tcPr>
            <w:tcW w:w="99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Mod1C,18</w:t>
            </w:r>
          </w:p>
        </w:tc>
        <w:tc>
          <w:tcPr>
            <w:tcW w:w="78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0.7</w:t>
            </w:r>
          </w:p>
        </w:tc>
        <w:tc>
          <w:tcPr>
            <w:tcW w:w="7140" w:type="dxa"/>
            <w:vMerge/>
            <w:tcBorders>
              <w:top w:val="nil"/>
              <w:left w:val="nil"/>
              <w:bottom w:val="single" w:sz="4"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85"/>
          <w:jc w:val="center"/>
        </w:trPr>
        <w:tc>
          <w:tcPr>
            <w:tcW w:w="99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Mod1C,20</w:t>
            </w:r>
          </w:p>
        </w:tc>
        <w:tc>
          <w:tcPr>
            <w:tcW w:w="78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0.01</w:t>
            </w:r>
          </w:p>
        </w:tc>
        <w:tc>
          <w:tcPr>
            <w:tcW w:w="7140" w:type="dxa"/>
            <w:vMerge/>
            <w:tcBorders>
              <w:top w:val="nil"/>
              <w:left w:val="nil"/>
              <w:bottom w:val="single" w:sz="4"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85"/>
          <w:jc w:val="center"/>
        </w:trPr>
        <w:tc>
          <w:tcPr>
            <w:tcW w:w="999" w:type="dxa"/>
            <w:tcBorders>
              <w:top w:val="nil"/>
              <w:left w:val="nil"/>
              <w:bottom w:val="single" w:sz="4" w:space="0" w:color="auto"/>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Mod1C,21</w:t>
            </w:r>
          </w:p>
        </w:tc>
        <w:tc>
          <w:tcPr>
            <w:tcW w:w="789" w:type="dxa"/>
            <w:tcBorders>
              <w:top w:val="nil"/>
              <w:left w:val="nil"/>
              <w:bottom w:val="single" w:sz="4" w:space="0" w:color="auto"/>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0.99</w:t>
            </w:r>
          </w:p>
        </w:tc>
        <w:tc>
          <w:tcPr>
            <w:tcW w:w="7140" w:type="dxa"/>
            <w:vMerge/>
            <w:tcBorders>
              <w:top w:val="nil"/>
              <w:left w:val="nil"/>
              <w:bottom w:val="single" w:sz="4"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85"/>
          <w:jc w:val="center"/>
        </w:trPr>
        <w:tc>
          <w:tcPr>
            <w:tcW w:w="999" w:type="dxa"/>
            <w:tcBorders>
              <w:top w:val="nil"/>
              <w:left w:val="nil"/>
              <w:bottom w:val="single" w:sz="4" w:space="0" w:color="auto"/>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S1</w:t>
            </w:r>
            <w:r w:rsidRPr="00B81072">
              <w:rPr>
                <w:rFonts w:ascii="Calibri" w:eastAsia="Times New Roman" w:hAnsi="Calibri" w:cs="Times New Roman"/>
                <w:color w:val="000000"/>
                <w:sz w:val="20"/>
                <w:szCs w:val="20"/>
                <w:vertAlign w:val="subscript"/>
              </w:rPr>
              <w:t>Mod1D</w:t>
            </w:r>
          </w:p>
        </w:tc>
        <w:tc>
          <w:tcPr>
            <w:tcW w:w="789" w:type="dxa"/>
            <w:tcBorders>
              <w:top w:val="nil"/>
              <w:left w:val="nil"/>
              <w:bottom w:val="single" w:sz="4" w:space="0" w:color="auto"/>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0.333</w:t>
            </w:r>
          </w:p>
        </w:tc>
        <w:tc>
          <w:tcPr>
            <w:tcW w:w="7140"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Splitter, fraction of flow from Stream 7 to Stream 9, Mod1D</w:t>
            </w:r>
          </w:p>
        </w:tc>
      </w:tr>
      <w:tr w:rsidR="00B81072" w:rsidRPr="00B81072" w:rsidTr="00B81072">
        <w:trPr>
          <w:trHeight w:val="285"/>
          <w:jc w:val="center"/>
        </w:trPr>
        <w:tc>
          <w:tcPr>
            <w:tcW w:w="999" w:type="dxa"/>
            <w:tcBorders>
              <w:top w:val="nil"/>
              <w:left w:val="nil"/>
              <w:bottom w:val="single" w:sz="4" w:space="0" w:color="auto"/>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S2</w:t>
            </w:r>
            <w:r w:rsidRPr="00B81072">
              <w:rPr>
                <w:rFonts w:ascii="Calibri" w:eastAsia="Times New Roman" w:hAnsi="Calibri" w:cs="Times New Roman"/>
                <w:color w:val="000000"/>
                <w:sz w:val="20"/>
                <w:szCs w:val="20"/>
                <w:vertAlign w:val="subscript"/>
              </w:rPr>
              <w:t>Mod1D</w:t>
            </w:r>
          </w:p>
        </w:tc>
        <w:tc>
          <w:tcPr>
            <w:tcW w:w="789" w:type="dxa"/>
            <w:tcBorders>
              <w:top w:val="nil"/>
              <w:left w:val="nil"/>
              <w:bottom w:val="single" w:sz="4" w:space="0" w:color="auto"/>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0.333</w:t>
            </w:r>
          </w:p>
        </w:tc>
        <w:tc>
          <w:tcPr>
            <w:tcW w:w="7140"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Splitter, fraction of flow from Stream 7 to Stream 10, Mod1D</w:t>
            </w:r>
          </w:p>
        </w:tc>
      </w:tr>
      <w:tr w:rsidR="00B81072" w:rsidRPr="00B81072" w:rsidTr="00B81072">
        <w:trPr>
          <w:trHeight w:val="285"/>
          <w:jc w:val="center"/>
        </w:trPr>
        <w:tc>
          <w:tcPr>
            <w:tcW w:w="99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Mod1E,1</w:t>
            </w:r>
          </w:p>
        </w:tc>
        <w:tc>
          <w:tcPr>
            <w:tcW w:w="78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0.999</w:t>
            </w:r>
          </w:p>
        </w:tc>
        <w:tc>
          <w:tcPr>
            <w:tcW w:w="7140" w:type="dxa"/>
            <w:vMerge w:val="restart"/>
            <w:tcBorders>
              <w:top w:val="nil"/>
              <w:left w:val="nil"/>
              <w:bottom w:val="single" w:sz="8" w:space="0" w:color="000000"/>
              <w:right w:val="nil"/>
            </w:tcBorders>
            <w:shd w:val="clear" w:color="auto" w:fill="auto"/>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Component Filter Fractionation Factors (</w:t>
            </w:r>
            <w:proofErr w:type="spellStart"/>
            <w:r w:rsidRPr="00B81072">
              <w:rPr>
                <w:rFonts w:ascii="Calibri" w:eastAsia="Times New Roman" w:hAnsi="Calibri" w:cs="Times New Roman"/>
                <w:color w:val="000000"/>
                <w:sz w:val="20"/>
                <w:szCs w:val="20"/>
              </w:rPr>
              <w:t>mol</w:t>
            </w:r>
            <w:proofErr w:type="spellEnd"/>
            <w:r w:rsidRPr="00B81072">
              <w:rPr>
                <w:rFonts w:ascii="Calibri" w:eastAsia="Times New Roman" w:hAnsi="Calibri" w:cs="Times New Roman"/>
                <w:color w:val="000000"/>
                <w:sz w:val="20"/>
                <w:szCs w:val="20"/>
              </w:rPr>
              <w:t>-%), Mod1E</w:t>
            </w:r>
          </w:p>
        </w:tc>
      </w:tr>
      <w:tr w:rsidR="00B81072" w:rsidRPr="00B81072" w:rsidTr="00B81072">
        <w:trPr>
          <w:trHeight w:val="285"/>
          <w:jc w:val="center"/>
        </w:trPr>
        <w:tc>
          <w:tcPr>
            <w:tcW w:w="99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Mod1E,9</w:t>
            </w:r>
          </w:p>
        </w:tc>
        <w:tc>
          <w:tcPr>
            <w:tcW w:w="78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0.9999</w:t>
            </w:r>
          </w:p>
        </w:tc>
        <w:tc>
          <w:tcPr>
            <w:tcW w:w="7140" w:type="dxa"/>
            <w:vMerge/>
            <w:tcBorders>
              <w:top w:val="nil"/>
              <w:left w:val="nil"/>
              <w:bottom w:val="single" w:sz="8"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85"/>
          <w:jc w:val="center"/>
        </w:trPr>
        <w:tc>
          <w:tcPr>
            <w:tcW w:w="99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Mod1E,14</w:t>
            </w:r>
          </w:p>
        </w:tc>
        <w:tc>
          <w:tcPr>
            <w:tcW w:w="78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0.9999</w:t>
            </w:r>
          </w:p>
        </w:tc>
        <w:tc>
          <w:tcPr>
            <w:tcW w:w="7140" w:type="dxa"/>
            <w:vMerge/>
            <w:tcBorders>
              <w:top w:val="nil"/>
              <w:left w:val="nil"/>
              <w:bottom w:val="single" w:sz="8"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85"/>
          <w:jc w:val="center"/>
        </w:trPr>
        <w:tc>
          <w:tcPr>
            <w:tcW w:w="99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Mod1E,18</w:t>
            </w:r>
          </w:p>
        </w:tc>
        <w:tc>
          <w:tcPr>
            <w:tcW w:w="78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0.9999</w:t>
            </w:r>
          </w:p>
        </w:tc>
        <w:tc>
          <w:tcPr>
            <w:tcW w:w="7140" w:type="dxa"/>
            <w:vMerge/>
            <w:tcBorders>
              <w:top w:val="nil"/>
              <w:left w:val="nil"/>
              <w:bottom w:val="single" w:sz="8"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85"/>
          <w:jc w:val="center"/>
        </w:trPr>
        <w:tc>
          <w:tcPr>
            <w:tcW w:w="99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Mod1E,20</w:t>
            </w:r>
          </w:p>
        </w:tc>
        <w:tc>
          <w:tcPr>
            <w:tcW w:w="78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0.2</w:t>
            </w:r>
          </w:p>
        </w:tc>
        <w:tc>
          <w:tcPr>
            <w:tcW w:w="7140" w:type="dxa"/>
            <w:vMerge/>
            <w:tcBorders>
              <w:top w:val="nil"/>
              <w:left w:val="nil"/>
              <w:bottom w:val="single" w:sz="8"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300"/>
          <w:jc w:val="center"/>
        </w:trPr>
        <w:tc>
          <w:tcPr>
            <w:tcW w:w="999" w:type="dxa"/>
            <w:tcBorders>
              <w:top w:val="nil"/>
              <w:left w:val="nil"/>
              <w:bottom w:val="single" w:sz="8" w:space="0" w:color="auto"/>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Mod1E,21</w:t>
            </w:r>
          </w:p>
        </w:tc>
        <w:tc>
          <w:tcPr>
            <w:tcW w:w="789" w:type="dxa"/>
            <w:tcBorders>
              <w:top w:val="nil"/>
              <w:left w:val="nil"/>
              <w:bottom w:val="single" w:sz="8" w:space="0" w:color="auto"/>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0.9999</w:t>
            </w:r>
          </w:p>
        </w:tc>
        <w:tc>
          <w:tcPr>
            <w:tcW w:w="7140" w:type="dxa"/>
            <w:vMerge/>
            <w:tcBorders>
              <w:top w:val="nil"/>
              <w:left w:val="nil"/>
              <w:bottom w:val="single" w:sz="8"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55"/>
          <w:jc w:val="center"/>
        </w:trPr>
        <w:tc>
          <w:tcPr>
            <w:tcW w:w="8928" w:type="dxa"/>
            <w:gridSpan w:val="3"/>
            <w:tcBorders>
              <w:top w:val="single" w:sz="8" w:space="0" w:color="auto"/>
              <w:left w:val="nil"/>
              <w:bottom w:val="single" w:sz="4" w:space="0" w:color="auto"/>
              <w:right w:val="nil"/>
            </w:tcBorders>
            <w:shd w:val="clear" w:color="auto" w:fill="auto"/>
            <w:noWrap/>
            <w:vAlign w:val="bottom"/>
            <w:hideMark/>
          </w:tcPr>
          <w:p w:rsidR="00B81072" w:rsidRPr="00B81072" w:rsidRDefault="00B81072" w:rsidP="00B81072">
            <w:pPr>
              <w:spacing w:after="0" w:line="240" w:lineRule="auto"/>
              <w:jc w:val="center"/>
              <w:rPr>
                <w:rFonts w:ascii="Calibri" w:eastAsia="Times New Roman" w:hAnsi="Calibri" w:cs="Times New Roman"/>
                <w:b/>
                <w:bCs/>
                <w:color w:val="000000"/>
                <w:sz w:val="20"/>
                <w:szCs w:val="20"/>
              </w:rPr>
            </w:pPr>
            <w:r w:rsidRPr="00B81072">
              <w:rPr>
                <w:rFonts w:ascii="Calibri" w:eastAsia="Times New Roman" w:hAnsi="Calibri" w:cs="Times New Roman"/>
                <w:b/>
                <w:bCs/>
                <w:color w:val="000000"/>
                <w:sz w:val="20"/>
                <w:szCs w:val="20"/>
              </w:rPr>
              <w:t>Module 2</w:t>
            </w:r>
          </w:p>
        </w:tc>
      </w:tr>
      <w:tr w:rsidR="00B81072" w:rsidRPr="00B81072" w:rsidTr="00B81072">
        <w:trPr>
          <w:trHeight w:val="285"/>
          <w:jc w:val="center"/>
        </w:trPr>
        <w:tc>
          <w:tcPr>
            <w:tcW w:w="99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Mod2B,1</w:t>
            </w:r>
          </w:p>
        </w:tc>
        <w:tc>
          <w:tcPr>
            <w:tcW w:w="78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0.001</w:t>
            </w:r>
          </w:p>
        </w:tc>
        <w:tc>
          <w:tcPr>
            <w:tcW w:w="7140" w:type="dxa"/>
            <w:vMerge w:val="restart"/>
            <w:tcBorders>
              <w:top w:val="nil"/>
              <w:left w:val="nil"/>
              <w:bottom w:val="single" w:sz="4" w:space="0" w:color="000000"/>
              <w:right w:val="nil"/>
            </w:tcBorders>
            <w:shd w:val="clear" w:color="auto" w:fill="auto"/>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Column component mole fraction fractionation (</w:t>
            </w:r>
            <w:proofErr w:type="spellStart"/>
            <w:r w:rsidRPr="00B81072">
              <w:rPr>
                <w:rFonts w:ascii="Calibri" w:eastAsia="Times New Roman" w:hAnsi="Calibri" w:cs="Times New Roman"/>
                <w:color w:val="000000"/>
                <w:sz w:val="20"/>
                <w:szCs w:val="20"/>
              </w:rPr>
              <w:t>mol</w:t>
            </w:r>
            <w:proofErr w:type="spellEnd"/>
            <w:r w:rsidRPr="00B81072">
              <w:rPr>
                <w:rFonts w:ascii="Calibri" w:eastAsia="Times New Roman" w:hAnsi="Calibri" w:cs="Times New Roman"/>
                <w:color w:val="000000"/>
                <w:sz w:val="20"/>
                <w:szCs w:val="20"/>
              </w:rPr>
              <w:t>-%), Mod2B</w:t>
            </w:r>
          </w:p>
        </w:tc>
      </w:tr>
      <w:tr w:rsidR="00B81072" w:rsidRPr="00B81072" w:rsidTr="00B81072">
        <w:trPr>
          <w:trHeight w:val="285"/>
          <w:jc w:val="center"/>
        </w:trPr>
        <w:tc>
          <w:tcPr>
            <w:tcW w:w="99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Mod2B,9</w:t>
            </w:r>
          </w:p>
        </w:tc>
        <w:tc>
          <w:tcPr>
            <w:tcW w:w="78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0.001</w:t>
            </w:r>
          </w:p>
        </w:tc>
        <w:tc>
          <w:tcPr>
            <w:tcW w:w="7140" w:type="dxa"/>
            <w:vMerge/>
            <w:tcBorders>
              <w:top w:val="nil"/>
              <w:left w:val="nil"/>
              <w:bottom w:val="single" w:sz="4"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85"/>
          <w:jc w:val="center"/>
        </w:trPr>
        <w:tc>
          <w:tcPr>
            <w:tcW w:w="99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Mod2B,11</w:t>
            </w:r>
          </w:p>
        </w:tc>
        <w:tc>
          <w:tcPr>
            <w:tcW w:w="78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0.999</w:t>
            </w:r>
          </w:p>
        </w:tc>
        <w:tc>
          <w:tcPr>
            <w:tcW w:w="7140" w:type="dxa"/>
            <w:vMerge/>
            <w:tcBorders>
              <w:top w:val="nil"/>
              <w:left w:val="nil"/>
              <w:bottom w:val="single" w:sz="4"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85"/>
          <w:jc w:val="center"/>
        </w:trPr>
        <w:tc>
          <w:tcPr>
            <w:tcW w:w="99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Mod2B,14</w:t>
            </w:r>
          </w:p>
        </w:tc>
        <w:tc>
          <w:tcPr>
            <w:tcW w:w="78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0.995</w:t>
            </w:r>
          </w:p>
        </w:tc>
        <w:tc>
          <w:tcPr>
            <w:tcW w:w="7140" w:type="dxa"/>
            <w:vMerge/>
            <w:tcBorders>
              <w:top w:val="nil"/>
              <w:left w:val="nil"/>
              <w:bottom w:val="single" w:sz="4"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85"/>
          <w:jc w:val="center"/>
        </w:trPr>
        <w:tc>
          <w:tcPr>
            <w:tcW w:w="99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Mod2B,18</w:t>
            </w:r>
          </w:p>
        </w:tc>
        <w:tc>
          <w:tcPr>
            <w:tcW w:w="78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0.001</w:t>
            </w:r>
          </w:p>
        </w:tc>
        <w:tc>
          <w:tcPr>
            <w:tcW w:w="7140" w:type="dxa"/>
            <w:vMerge/>
            <w:tcBorders>
              <w:top w:val="nil"/>
              <w:left w:val="nil"/>
              <w:bottom w:val="single" w:sz="4"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85"/>
          <w:jc w:val="center"/>
        </w:trPr>
        <w:tc>
          <w:tcPr>
            <w:tcW w:w="99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Mod2B,20</w:t>
            </w:r>
          </w:p>
        </w:tc>
        <w:tc>
          <w:tcPr>
            <w:tcW w:w="78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0.001</w:t>
            </w:r>
          </w:p>
        </w:tc>
        <w:tc>
          <w:tcPr>
            <w:tcW w:w="7140" w:type="dxa"/>
            <w:vMerge/>
            <w:tcBorders>
              <w:top w:val="nil"/>
              <w:left w:val="nil"/>
              <w:bottom w:val="single" w:sz="4"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85"/>
          <w:jc w:val="center"/>
        </w:trPr>
        <w:tc>
          <w:tcPr>
            <w:tcW w:w="999" w:type="dxa"/>
            <w:tcBorders>
              <w:top w:val="nil"/>
              <w:left w:val="nil"/>
              <w:bottom w:val="single" w:sz="4" w:space="0" w:color="auto"/>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Mod2B,21</w:t>
            </w:r>
          </w:p>
        </w:tc>
        <w:tc>
          <w:tcPr>
            <w:tcW w:w="789" w:type="dxa"/>
            <w:tcBorders>
              <w:top w:val="nil"/>
              <w:left w:val="nil"/>
              <w:bottom w:val="single" w:sz="4" w:space="0" w:color="auto"/>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0.1</w:t>
            </w:r>
          </w:p>
        </w:tc>
        <w:tc>
          <w:tcPr>
            <w:tcW w:w="7140" w:type="dxa"/>
            <w:vMerge/>
            <w:tcBorders>
              <w:top w:val="nil"/>
              <w:left w:val="nil"/>
              <w:bottom w:val="single" w:sz="4"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85"/>
          <w:jc w:val="center"/>
        </w:trPr>
        <w:tc>
          <w:tcPr>
            <w:tcW w:w="99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Mod2C,1</w:t>
            </w:r>
          </w:p>
        </w:tc>
        <w:tc>
          <w:tcPr>
            <w:tcW w:w="78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0.001</w:t>
            </w:r>
          </w:p>
        </w:tc>
        <w:tc>
          <w:tcPr>
            <w:tcW w:w="7140" w:type="dxa"/>
            <w:vMerge w:val="restart"/>
            <w:tcBorders>
              <w:top w:val="nil"/>
              <w:left w:val="nil"/>
              <w:bottom w:val="single" w:sz="8" w:space="0" w:color="000000"/>
              <w:right w:val="nil"/>
            </w:tcBorders>
            <w:shd w:val="clear" w:color="auto" w:fill="auto"/>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Column component mole fraction fractionation (</w:t>
            </w:r>
            <w:proofErr w:type="spellStart"/>
            <w:r w:rsidRPr="00B81072">
              <w:rPr>
                <w:rFonts w:ascii="Calibri" w:eastAsia="Times New Roman" w:hAnsi="Calibri" w:cs="Times New Roman"/>
                <w:color w:val="000000"/>
                <w:sz w:val="20"/>
                <w:szCs w:val="20"/>
              </w:rPr>
              <w:t>mol</w:t>
            </w:r>
            <w:proofErr w:type="spellEnd"/>
            <w:r w:rsidRPr="00B81072">
              <w:rPr>
                <w:rFonts w:ascii="Calibri" w:eastAsia="Times New Roman" w:hAnsi="Calibri" w:cs="Times New Roman"/>
                <w:color w:val="000000"/>
                <w:sz w:val="20"/>
                <w:szCs w:val="20"/>
              </w:rPr>
              <w:t>-%), Mod2C</w:t>
            </w:r>
          </w:p>
        </w:tc>
      </w:tr>
      <w:tr w:rsidR="00B81072" w:rsidRPr="00B81072" w:rsidTr="00B81072">
        <w:trPr>
          <w:trHeight w:val="285"/>
          <w:jc w:val="center"/>
        </w:trPr>
        <w:tc>
          <w:tcPr>
            <w:tcW w:w="99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Mod2C,9</w:t>
            </w:r>
          </w:p>
        </w:tc>
        <w:tc>
          <w:tcPr>
            <w:tcW w:w="78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0.005</w:t>
            </w:r>
          </w:p>
        </w:tc>
        <w:tc>
          <w:tcPr>
            <w:tcW w:w="7140" w:type="dxa"/>
            <w:vMerge/>
            <w:tcBorders>
              <w:top w:val="nil"/>
              <w:left w:val="nil"/>
              <w:bottom w:val="single" w:sz="8"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85"/>
          <w:jc w:val="center"/>
        </w:trPr>
        <w:tc>
          <w:tcPr>
            <w:tcW w:w="99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Mod2C,11</w:t>
            </w:r>
          </w:p>
        </w:tc>
        <w:tc>
          <w:tcPr>
            <w:tcW w:w="78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0.999</w:t>
            </w:r>
          </w:p>
        </w:tc>
        <w:tc>
          <w:tcPr>
            <w:tcW w:w="7140" w:type="dxa"/>
            <w:vMerge/>
            <w:tcBorders>
              <w:top w:val="nil"/>
              <w:left w:val="nil"/>
              <w:bottom w:val="single" w:sz="8"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85"/>
          <w:jc w:val="center"/>
        </w:trPr>
        <w:tc>
          <w:tcPr>
            <w:tcW w:w="99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Mod2C,14</w:t>
            </w:r>
          </w:p>
        </w:tc>
        <w:tc>
          <w:tcPr>
            <w:tcW w:w="78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0.999</w:t>
            </w:r>
          </w:p>
        </w:tc>
        <w:tc>
          <w:tcPr>
            <w:tcW w:w="7140" w:type="dxa"/>
            <w:vMerge/>
            <w:tcBorders>
              <w:top w:val="nil"/>
              <w:left w:val="nil"/>
              <w:bottom w:val="single" w:sz="8"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85"/>
          <w:jc w:val="center"/>
        </w:trPr>
        <w:tc>
          <w:tcPr>
            <w:tcW w:w="99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Mod2C,18</w:t>
            </w:r>
          </w:p>
        </w:tc>
        <w:tc>
          <w:tcPr>
            <w:tcW w:w="78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0.001</w:t>
            </w:r>
          </w:p>
        </w:tc>
        <w:tc>
          <w:tcPr>
            <w:tcW w:w="7140" w:type="dxa"/>
            <w:vMerge/>
            <w:tcBorders>
              <w:top w:val="nil"/>
              <w:left w:val="nil"/>
              <w:bottom w:val="single" w:sz="8"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85"/>
          <w:jc w:val="center"/>
        </w:trPr>
        <w:tc>
          <w:tcPr>
            <w:tcW w:w="99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Mod2C,20</w:t>
            </w:r>
          </w:p>
        </w:tc>
        <w:tc>
          <w:tcPr>
            <w:tcW w:w="789"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0.001</w:t>
            </w:r>
          </w:p>
        </w:tc>
        <w:tc>
          <w:tcPr>
            <w:tcW w:w="7140" w:type="dxa"/>
            <w:vMerge/>
            <w:tcBorders>
              <w:top w:val="nil"/>
              <w:left w:val="nil"/>
              <w:bottom w:val="single" w:sz="8"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300"/>
          <w:jc w:val="center"/>
        </w:trPr>
        <w:tc>
          <w:tcPr>
            <w:tcW w:w="999" w:type="dxa"/>
            <w:tcBorders>
              <w:top w:val="nil"/>
              <w:left w:val="nil"/>
              <w:bottom w:val="single" w:sz="8" w:space="0" w:color="auto"/>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Mod2C,21</w:t>
            </w:r>
          </w:p>
        </w:tc>
        <w:tc>
          <w:tcPr>
            <w:tcW w:w="789" w:type="dxa"/>
            <w:tcBorders>
              <w:top w:val="nil"/>
              <w:left w:val="nil"/>
              <w:bottom w:val="single" w:sz="8" w:space="0" w:color="auto"/>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0.05</w:t>
            </w:r>
          </w:p>
        </w:tc>
        <w:tc>
          <w:tcPr>
            <w:tcW w:w="7140" w:type="dxa"/>
            <w:vMerge/>
            <w:tcBorders>
              <w:top w:val="nil"/>
              <w:left w:val="nil"/>
              <w:bottom w:val="single" w:sz="8"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bl>
    <w:p w:rsidR="00DC329E" w:rsidRDefault="00DC329E"/>
    <w:tbl>
      <w:tblPr>
        <w:tblW w:w="8928" w:type="dxa"/>
        <w:jc w:val="center"/>
        <w:tblLook w:val="04A0" w:firstRow="1" w:lastRow="0" w:firstColumn="1" w:lastColumn="0" w:noHBand="0" w:noVBand="1"/>
      </w:tblPr>
      <w:tblGrid>
        <w:gridCol w:w="999"/>
        <w:gridCol w:w="789"/>
        <w:gridCol w:w="7140"/>
      </w:tblGrid>
      <w:tr w:rsidR="00B81072" w:rsidRPr="00B81072" w:rsidTr="00B81072">
        <w:trPr>
          <w:trHeight w:val="270"/>
          <w:jc w:val="center"/>
        </w:trPr>
        <w:tc>
          <w:tcPr>
            <w:tcW w:w="8760" w:type="dxa"/>
            <w:gridSpan w:val="3"/>
            <w:tcBorders>
              <w:top w:val="nil"/>
              <w:left w:val="nil"/>
              <w:bottom w:val="single" w:sz="8" w:space="0" w:color="auto"/>
              <w:right w:val="nil"/>
            </w:tcBorders>
            <w:shd w:val="clear" w:color="auto" w:fill="auto"/>
            <w:noWrap/>
            <w:vAlign w:val="center"/>
            <w:hideMark/>
          </w:tcPr>
          <w:p w:rsidR="00B81072" w:rsidRPr="00B81072" w:rsidRDefault="00B81072" w:rsidP="002A117F">
            <w:pPr>
              <w:spacing w:after="0" w:line="240" w:lineRule="auto"/>
              <w:jc w:val="center"/>
              <w:rPr>
                <w:rFonts w:ascii="Calibri" w:eastAsia="Times New Roman" w:hAnsi="Calibri" w:cs="Times New Roman"/>
                <w:b/>
                <w:bCs/>
                <w:color w:val="000000"/>
                <w:sz w:val="20"/>
                <w:szCs w:val="20"/>
              </w:rPr>
            </w:pPr>
            <w:r w:rsidRPr="00B81072">
              <w:rPr>
                <w:rFonts w:ascii="Calibri" w:eastAsia="Times New Roman" w:hAnsi="Calibri" w:cs="Times New Roman"/>
                <w:b/>
                <w:bCs/>
                <w:color w:val="000000"/>
                <w:sz w:val="20"/>
                <w:szCs w:val="20"/>
              </w:rPr>
              <w:lastRenderedPageBreak/>
              <w:t>Table 3.10. Base Case Parameters for Each Module (</w:t>
            </w:r>
            <w:r w:rsidR="002A117F">
              <w:rPr>
                <w:rFonts w:ascii="Calibri" w:eastAsia="Times New Roman" w:hAnsi="Calibri" w:cs="Times New Roman"/>
                <w:b/>
                <w:bCs/>
                <w:color w:val="000000"/>
                <w:sz w:val="20"/>
                <w:szCs w:val="20"/>
              </w:rPr>
              <w:t>c</w:t>
            </w:r>
            <w:r w:rsidRPr="00B81072">
              <w:rPr>
                <w:rFonts w:ascii="Calibri" w:eastAsia="Times New Roman" w:hAnsi="Calibri" w:cs="Times New Roman"/>
                <w:b/>
                <w:bCs/>
                <w:color w:val="000000"/>
                <w:sz w:val="20"/>
                <w:szCs w:val="20"/>
              </w:rPr>
              <w:t>ontinued)</w:t>
            </w:r>
          </w:p>
        </w:tc>
      </w:tr>
      <w:tr w:rsidR="00B81072" w:rsidRPr="00B81072" w:rsidTr="00B81072">
        <w:trPr>
          <w:trHeight w:val="270"/>
          <w:jc w:val="center"/>
        </w:trPr>
        <w:tc>
          <w:tcPr>
            <w:tcW w:w="920" w:type="dxa"/>
            <w:tcBorders>
              <w:top w:val="nil"/>
              <w:left w:val="nil"/>
              <w:bottom w:val="single" w:sz="4" w:space="0" w:color="auto"/>
              <w:right w:val="nil"/>
            </w:tcBorders>
            <w:shd w:val="clear" w:color="auto" w:fill="auto"/>
            <w:noWrap/>
            <w:vAlign w:val="bottom"/>
            <w:hideMark/>
          </w:tcPr>
          <w:p w:rsidR="00B81072" w:rsidRPr="00B81072" w:rsidRDefault="00B81072" w:rsidP="00B81072">
            <w:pPr>
              <w:spacing w:after="0" w:line="240" w:lineRule="auto"/>
              <w:jc w:val="center"/>
              <w:rPr>
                <w:rFonts w:ascii="Calibri" w:eastAsia="Times New Roman" w:hAnsi="Calibri" w:cs="Times New Roman"/>
                <w:b/>
                <w:bCs/>
                <w:color w:val="000000"/>
                <w:sz w:val="20"/>
                <w:szCs w:val="20"/>
              </w:rPr>
            </w:pPr>
            <w:r w:rsidRPr="00B81072">
              <w:rPr>
                <w:rFonts w:ascii="Calibri" w:eastAsia="Times New Roman" w:hAnsi="Calibri" w:cs="Times New Roman"/>
                <w:b/>
                <w:bCs/>
                <w:color w:val="000000"/>
                <w:sz w:val="20"/>
                <w:szCs w:val="20"/>
              </w:rPr>
              <w:t>Identifier</w:t>
            </w:r>
          </w:p>
        </w:tc>
        <w:tc>
          <w:tcPr>
            <w:tcW w:w="780" w:type="dxa"/>
            <w:tcBorders>
              <w:top w:val="nil"/>
              <w:left w:val="nil"/>
              <w:bottom w:val="single" w:sz="4" w:space="0" w:color="auto"/>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b/>
                <w:bCs/>
                <w:color w:val="000000"/>
                <w:sz w:val="20"/>
                <w:szCs w:val="20"/>
              </w:rPr>
            </w:pPr>
            <w:r w:rsidRPr="00B81072">
              <w:rPr>
                <w:rFonts w:ascii="Calibri" w:eastAsia="Times New Roman" w:hAnsi="Calibri" w:cs="Times New Roman"/>
                <w:b/>
                <w:bCs/>
                <w:color w:val="000000"/>
                <w:sz w:val="20"/>
                <w:szCs w:val="20"/>
              </w:rPr>
              <w:t>Value</w:t>
            </w:r>
          </w:p>
        </w:tc>
        <w:tc>
          <w:tcPr>
            <w:tcW w:w="7060" w:type="dxa"/>
            <w:tcBorders>
              <w:top w:val="nil"/>
              <w:left w:val="nil"/>
              <w:bottom w:val="single" w:sz="4" w:space="0" w:color="auto"/>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b/>
                <w:bCs/>
                <w:color w:val="000000"/>
                <w:sz w:val="20"/>
                <w:szCs w:val="20"/>
              </w:rPr>
            </w:pPr>
            <w:r w:rsidRPr="00B81072">
              <w:rPr>
                <w:rFonts w:ascii="Calibri" w:eastAsia="Times New Roman" w:hAnsi="Calibri" w:cs="Times New Roman"/>
                <w:b/>
                <w:bCs/>
                <w:color w:val="000000"/>
                <w:sz w:val="20"/>
                <w:szCs w:val="20"/>
              </w:rPr>
              <w:t>Description</w:t>
            </w:r>
          </w:p>
        </w:tc>
      </w:tr>
      <w:tr w:rsidR="00B81072" w:rsidRPr="00B81072" w:rsidTr="00B81072">
        <w:trPr>
          <w:trHeight w:val="255"/>
          <w:jc w:val="center"/>
        </w:trPr>
        <w:tc>
          <w:tcPr>
            <w:tcW w:w="8760" w:type="dxa"/>
            <w:gridSpan w:val="3"/>
            <w:tcBorders>
              <w:top w:val="single" w:sz="8" w:space="0" w:color="auto"/>
              <w:left w:val="nil"/>
              <w:bottom w:val="single" w:sz="4" w:space="0" w:color="auto"/>
              <w:right w:val="nil"/>
            </w:tcBorders>
            <w:shd w:val="clear" w:color="auto" w:fill="auto"/>
            <w:noWrap/>
            <w:vAlign w:val="bottom"/>
            <w:hideMark/>
          </w:tcPr>
          <w:p w:rsidR="00B81072" w:rsidRPr="00B81072" w:rsidRDefault="00B66898" w:rsidP="00B81072">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Module 2 (continued</w:t>
            </w:r>
            <w:r w:rsidR="00B81072" w:rsidRPr="00B81072">
              <w:rPr>
                <w:rFonts w:ascii="Calibri" w:eastAsia="Times New Roman" w:hAnsi="Calibri" w:cs="Times New Roman"/>
                <w:b/>
                <w:bCs/>
                <w:color w:val="000000"/>
                <w:sz w:val="20"/>
                <w:szCs w:val="20"/>
              </w:rPr>
              <w:t>)</w:t>
            </w:r>
          </w:p>
        </w:tc>
      </w:tr>
      <w:tr w:rsidR="00B81072" w:rsidRPr="00B81072" w:rsidTr="00B81072">
        <w:trPr>
          <w:trHeight w:val="285"/>
          <w:jc w:val="center"/>
        </w:trPr>
        <w:tc>
          <w:tcPr>
            <w:tcW w:w="920"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Mod2D,1</w:t>
            </w:r>
          </w:p>
        </w:tc>
        <w:tc>
          <w:tcPr>
            <w:tcW w:w="780"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0.9999</w:t>
            </w:r>
          </w:p>
        </w:tc>
        <w:tc>
          <w:tcPr>
            <w:tcW w:w="7060" w:type="dxa"/>
            <w:vMerge w:val="restart"/>
            <w:tcBorders>
              <w:top w:val="nil"/>
              <w:left w:val="nil"/>
              <w:bottom w:val="single" w:sz="8" w:space="0" w:color="000000"/>
              <w:right w:val="nil"/>
            </w:tcBorders>
            <w:shd w:val="clear" w:color="auto" w:fill="auto"/>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Column component mole fraction fractionation (</w:t>
            </w:r>
            <w:proofErr w:type="spellStart"/>
            <w:r w:rsidRPr="00B81072">
              <w:rPr>
                <w:rFonts w:ascii="Calibri" w:eastAsia="Times New Roman" w:hAnsi="Calibri" w:cs="Times New Roman"/>
                <w:color w:val="000000"/>
                <w:sz w:val="20"/>
                <w:szCs w:val="20"/>
              </w:rPr>
              <w:t>mol</w:t>
            </w:r>
            <w:proofErr w:type="spellEnd"/>
            <w:r w:rsidRPr="00B81072">
              <w:rPr>
                <w:rFonts w:ascii="Calibri" w:eastAsia="Times New Roman" w:hAnsi="Calibri" w:cs="Times New Roman"/>
                <w:color w:val="000000"/>
                <w:sz w:val="20"/>
                <w:szCs w:val="20"/>
              </w:rPr>
              <w:t>-%), Mod2D</w:t>
            </w:r>
          </w:p>
        </w:tc>
      </w:tr>
      <w:tr w:rsidR="00B81072" w:rsidRPr="00B81072" w:rsidTr="00B81072">
        <w:trPr>
          <w:trHeight w:val="285"/>
          <w:jc w:val="center"/>
        </w:trPr>
        <w:tc>
          <w:tcPr>
            <w:tcW w:w="920"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Mod2D,9</w:t>
            </w:r>
          </w:p>
        </w:tc>
        <w:tc>
          <w:tcPr>
            <w:tcW w:w="780"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0.995</w:t>
            </w:r>
          </w:p>
        </w:tc>
        <w:tc>
          <w:tcPr>
            <w:tcW w:w="7060" w:type="dxa"/>
            <w:vMerge/>
            <w:tcBorders>
              <w:top w:val="nil"/>
              <w:left w:val="nil"/>
              <w:bottom w:val="single" w:sz="8"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85"/>
          <w:jc w:val="center"/>
        </w:trPr>
        <w:tc>
          <w:tcPr>
            <w:tcW w:w="920"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Mod2D,14</w:t>
            </w:r>
          </w:p>
        </w:tc>
        <w:tc>
          <w:tcPr>
            <w:tcW w:w="780"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0.999</w:t>
            </w:r>
          </w:p>
        </w:tc>
        <w:tc>
          <w:tcPr>
            <w:tcW w:w="7060" w:type="dxa"/>
            <w:vMerge/>
            <w:tcBorders>
              <w:top w:val="nil"/>
              <w:left w:val="nil"/>
              <w:bottom w:val="single" w:sz="8"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85"/>
          <w:jc w:val="center"/>
        </w:trPr>
        <w:tc>
          <w:tcPr>
            <w:tcW w:w="920"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Mod2D,18</w:t>
            </w:r>
          </w:p>
        </w:tc>
        <w:tc>
          <w:tcPr>
            <w:tcW w:w="780" w:type="dxa"/>
            <w:tcBorders>
              <w:top w:val="nil"/>
              <w:left w:val="nil"/>
              <w:bottom w:val="nil"/>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0.001</w:t>
            </w:r>
          </w:p>
        </w:tc>
        <w:tc>
          <w:tcPr>
            <w:tcW w:w="7060" w:type="dxa"/>
            <w:vMerge/>
            <w:tcBorders>
              <w:top w:val="nil"/>
              <w:left w:val="nil"/>
              <w:bottom w:val="single" w:sz="8"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300"/>
          <w:jc w:val="center"/>
        </w:trPr>
        <w:tc>
          <w:tcPr>
            <w:tcW w:w="920" w:type="dxa"/>
            <w:tcBorders>
              <w:top w:val="nil"/>
              <w:left w:val="nil"/>
              <w:bottom w:val="single" w:sz="8" w:space="0" w:color="auto"/>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Mod2D,21</w:t>
            </w:r>
          </w:p>
        </w:tc>
        <w:tc>
          <w:tcPr>
            <w:tcW w:w="780" w:type="dxa"/>
            <w:tcBorders>
              <w:top w:val="nil"/>
              <w:left w:val="nil"/>
              <w:bottom w:val="single" w:sz="8" w:space="0" w:color="auto"/>
              <w:right w:val="nil"/>
            </w:tcBorders>
            <w:shd w:val="clear" w:color="auto" w:fill="auto"/>
            <w:noWrap/>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0.995</w:t>
            </w:r>
          </w:p>
        </w:tc>
        <w:tc>
          <w:tcPr>
            <w:tcW w:w="7060" w:type="dxa"/>
            <w:vMerge/>
            <w:tcBorders>
              <w:top w:val="nil"/>
              <w:left w:val="nil"/>
              <w:bottom w:val="single" w:sz="8"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55"/>
          <w:jc w:val="center"/>
        </w:trPr>
        <w:tc>
          <w:tcPr>
            <w:tcW w:w="8760" w:type="dxa"/>
            <w:gridSpan w:val="3"/>
            <w:tcBorders>
              <w:top w:val="single" w:sz="8" w:space="0" w:color="auto"/>
              <w:left w:val="nil"/>
              <w:bottom w:val="single" w:sz="4" w:space="0" w:color="auto"/>
              <w:right w:val="nil"/>
            </w:tcBorders>
            <w:shd w:val="clear" w:color="auto" w:fill="auto"/>
            <w:noWrap/>
            <w:vAlign w:val="bottom"/>
            <w:hideMark/>
          </w:tcPr>
          <w:p w:rsidR="00B81072" w:rsidRPr="00B81072" w:rsidRDefault="00B81072" w:rsidP="00B81072">
            <w:pPr>
              <w:spacing w:after="0" w:line="240" w:lineRule="auto"/>
              <w:jc w:val="center"/>
              <w:rPr>
                <w:rFonts w:ascii="Calibri" w:eastAsia="Times New Roman" w:hAnsi="Calibri" w:cs="Times New Roman"/>
                <w:b/>
                <w:bCs/>
                <w:color w:val="000000"/>
                <w:sz w:val="20"/>
                <w:szCs w:val="20"/>
              </w:rPr>
            </w:pPr>
            <w:r w:rsidRPr="00B81072">
              <w:rPr>
                <w:rFonts w:ascii="Calibri" w:eastAsia="Times New Roman" w:hAnsi="Calibri" w:cs="Times New Roman"/>
                <w:b/>
                <w:bCs/>
                <w:color w:val="000000"/>
                <w:sz w:val="20"/>
                <w:szCs w:val="20"/>
              </w:rPr>
              <w:t>Module 3</w:t>
            </w:r>
          </w:p>
        </w:tc>
      </w:tr>
      <w:tr w:rsidR="00B81072" w:rsidRPr="00B81072" w:rsidTr="00B81072">
        <w:trPr>
          <w:trHeight w:val="285"/>
          <w:jc w:val="center"/>
        </w:trPr>
        <w:tc>
          <w:tcPr>
            <w:tcW w:w="920" w:type="dxa"/>
            <w:tcBorders>
              <w:top w:val="nil"/>
              <w:left w:val="nil"/>
              <w:bottom w:val="nil"/>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Mod3A,1</w:t>
            </w:r>
          </w:p>
        </w:tc>
        <w:tc>
          <w:tcPr>
            <w:tcW w:w="780" w:type="dxa"/>
            <w:tcBorders>
              <w:top w:val="nil"/>
              <w:left w:val="nil"/>
              <w:bottom w:val="nil"/>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0.6</w:t>
            </w:r>
          </w:p>
        </w:tc>
        <w:tc>
          <w:tcPr>
            <w:tcW w:w="7060" w:type="dxa"/>
            <w:vMerge w:val="restart"/>
            <w:tcBorders>
              <w:top w:val="nil"/>
              <w:left w:val="nil"/>
              <w:bottom w:val="single" w:sz="4" w:space="0" w:color="000000"/>
              <w:right w:val="nil"/>
            </w:tcBorders>
            <w:shd w:val="clear" w:color="auto" w:fill="auto"/>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Evaporator component mole fraction fractionation (</w:t>
            </w:r>
            <w:proofErr w:type="spellStart"/>
            <w:r w:rsidRPr="00B81072">
              <w:rPr>
                <w:rFonts w:ascii="Calibri" w:eastAsia="Times New Roman" w:hAnsi="Calibri" w:cs="Times New Roman"/>
                <w:color w:val="000000"/>
                <w:sz w:val="20"/>
                <w:szCs w:val="20"/>
              </w:rPr>
              <w:t>mol</w:t>
            </w:r>
            <w:proofErr w:type="spellEnd"/>
            <w:r w:rsidRPr="00B81072">
              <w:rPr>
                <w:rFonts w:ascii="Calibri" w:eastAsia="Times New Roman" w:hAnsi="Calibri" w:cs="Times New Roman"/>
                <w:color w:val="000000"/>
                <w:sz w:val="20"/>
                <w:szCs w:val="20"/>
              </w:rPr>
              <w:t>-%), Mod3A</w:t>
            </w:r>
          </w:p>
        </w:tc>
      </w:tr>
      <w:tr w:rsidR="00B81072" w:rsidRPr="00B81072" w:rsidTr="00B81072">
        <w:trPr>
          <w:trHeight w:val="285"/>
          <w:jc w:val="center"/>
        </w:trPr>
        <w:tc>
          <w:tcPr>
            <w:tcW w:w="920" w:type="dxa"/>
            <w:tcBorders>
              <w:top w:val="nil"/>
              <w:left w:val="nil"/>
              <w:bottom w:val="nil"/>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Mod3A,9</w:t>
            </w:r>
          </w:p>
        </w:tc>
        <w:tc>
          <w:tcPr>
            <w:tcW w:w="780" w:type="dxa"/>
            <w:tcBorders>
              <w:top w:val="nil"/>
              <w:left w:val="nil"/>
              <w:bottom w:val="nil"/>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0.6</w:t>
            </w:r>
          </w:p>
        </w:tc>
        <w:tc>
          <w:tcPr>
            <w:tcW w:w="7060" w:type="dxa"/>
            <w:vMerge/>
            <w:tcBorders>
              <w:top w:val="nil"/>
              <w:left w:val="nil"/>
              <w:bottom w:val="single" w:sz="4"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85"/>
          <w:jc w:val="center"/>
        </w:trPr>
        <w:tc>
          <w:tcPr>
            <w:tcW w:w="920" w:type="dxa"/>
            <w:tcBorders>
              <w:top w:val="nil"/>
              <w:left w:val="nil"/>
              <w:bottom w:val="nil"/>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Mod3A,14</w:t>
            </w:r>
          </w:p>
        </w:tc>
        <w:tc>
          <w:tcPr>
            <w:tcW w:w="780" w:type="dxa"/>
            <w:tcBorders>
              <w:top w:val="nil"/>
              <w:left w:val="nil"/>
              <w:bottom w:val="nil"/>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0.0001</w:t>
            </w:r>
          </w:p>
        </w:tc>
        <w:tc>
          <w:tcPr>
            <w:tcW w:w="7060" w:type="dxa"/>
            <w:vMerge/>
            <w:tcBorders>
              <w:top w:val="nil"/>
              <w:left w:val="nil"/>
              <w:bottom w:val="single" w:sz="4"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85"/>
          <w:jc w:val="center"/>
        </w:trPr>
        <w:tc>
          <w:tcPr>
            <w:tcW w:w="920" w:type="dxa"/>
            <w:tcBorders>
              <w:top w:val="nil"/>
              <w:left w:val="nil"/>
              <w:bottom w:val="nil"/>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Mod3A,18</w:t>
            </w:r>
          </w:p>
        </w:tc>
        <w:tc>
          <w:tcPr>
            <w:tcW w:w="780" w:type="dxa"/>
            <w:tcBorders>
              <w:top w:val="nil"/>
              <w:left w:val="nil"/>
              <w:bottom w:val="nil"/>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0.0001</w:t>
            </w:r>
          </w:p>
        </w:tc>
        <w:tc>
          <w:tcPr>
            <w:tcW w:w="7060" w:type="dxa"/>
            <w:vMerge/>
            <w:tcBorders>
              <w:top w:val="nil"/>
              <w:left w:val="nil"/>
              <w:bottom w:val="single" w:sz="4"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85"/>
          <w:jc w:val="center"/>
        </w:trPr>
        <w:tc>
          <w:tcPr>
            <w:tcW w:w="920"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Mod3A,21</w:t>
            </w:r>
          </w:p>
        </w:tc>
        <w:tc>
          <w:tcPr>
            <w:tcW w:w="780"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0.0001</w:t>
            </w:r>
          </w:p>
        </w:tc>
        <w:tc>
          <w:tcPr>
            <w:tcW w:w="7060" w:type="dxa"/>
            <w:vMerge/>
            <w:tcBorders>
              <w:top w:val="nil"/>
              <w:left w:val="nil"/>
              <w:bottom w:val="single" w:sz="4"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85"/>
          <w:jc w:val="center"/>
        </w:trPr>
        <w:tc>
          <w:tcPr>
            <w:tcW w:w="920"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Symbol" w:eastAsia="Times New Roman" w:hAnsi="Symbol" w:cs="Times New Roman"/>
                <w:color w:val="000000"/>
                <w:sz w:val="20"/>
                <w:szCs w:val="20"/>
              </w:rPr>
              <w:t></w:t>
            </w:r>
            <w:r w:rsidRPr="00B81072">
              <w:rPr>
                <w:rFonts w:ascii="Calibri" w:eastAsia="Times New Roman" w:hAnsi="Calibri" w:cs="Times New Roman"/>
                <w:color w:val="000000"/>
                <w:sz w:val="20"/>
                <w:szCs w:val="20"/>
                <w:vertAlign w:val="subscript"/>
              </w:rPr>
              <w:t>Mod3B</w:t>
            </w:r>
          </w:p>
        </w:tc>
        <w:tc>
          <w:tcPr>
            <w:tcW w:w="780"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1.5</w:t>
            </w:r>
          </w:p>
        </w:tc>
        <w:tc>
          <w:tcPr>
            <w:tcW w:w="7060"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Flow parameter that insures sufficient reactants (H</w:t>
            </w:r>
            <w:r w:rsidRPr="00B81072">
              <w:rPr>
                <w:rFonts w:ascii="Calibri" w:eastAsia="Times New Roman" w:hAnsi="Calibri" w:cs="Times New Roman"/>
                <w:color w:val="000000"/>
                <w:sz w:val="20"/>
                <w:szCs w:val="20"/>
                <w:vertAlign w:val="subscript"/>
              </w:rPr>
              <w:t>2</w:t>
            </w:r>
            <w:r w:rsidRPr="00B81072">
              <w:rPr>
                <w:rFonts w:ascii="Calibri" w:eastAsia="Times New Roman" w:hAnsi="Calibri" w:cs="Times New Roman"/>
                <w:color w:val="000000"/>
                <w:sz w:val="20"/>
                <w:szCs w:val="20"/>
              </w:rPr>
              <w:t>O, NH</w:t>
            </w:r>
            <w:r w:rsidRPr="00B81072">
              <w:rPr>
                <w:rFonts w:ascii="Calibri" w:eastAsia="Times New Roman" w:hAnsi="Calibri" w:cs="Times New Roman"/>
                <w:color w:val="000000"/>
                <w:sz w:val="20"/>
                <w:szCs w:val="20"/>
                <w:vertAlign w:val="subscript"/>
              </w:rPr>
              <w:t>3</w:t>
            </w:r>
            <w:r w:rsidRPr="00B81072">
              <w:rPr>
                <w:rFonts w:ascii="Calibri" w:eastAsia="Times New Roman" w:hAnsi="Calibri" w:cs="Times New Roman"/>
                <w:color w:val="000000"/>
                <w:sz w:val="20"/>
                <w:szCs w:val="20"/>
              </w:rPr>
              <w:t>, and CO</w:t>
            </w:r>
            <w:r w:rsidRPr="00B81072">
              <w:rPr>
                <w:rFonts w:ascii="Calibri" w:eastAsia="Times New Roman" w:hAnsi="Calibri" w:cs="Times New Roman"/>
                <w:color w:val="000000"/>
                <w:sz w:val="20"/>
                <w:szCs w:val="20"/>
                <w:vertAlign w:val="subscript"/>
              </w:rPr>
              <w:t>2</w:t>
            </w:r>
            <w:r w:rsidRPr="00B81072">
              <w:rPr>
                <w:rFonts w:ascii="Calibri" w:eastAsia="Times New Roman" w:hAnsi="Calibri" w:cs="Times New Roman"/>
                <w:color w:val="000000"/>
                <w:sz w:val="20"/>
                <w:szCs w:val="20"/>
              </w:rPr>
              <w:t>), Mod3B</w:t>
            </w:r>
          </w:p>
        </w:tc>
      </w:tr>
      <w:tr w:rsidR="00B81072" w:rsidRPr="00B81072" w:rsidTr="00B81072">
        <w:trPr>
          <w:trHeight w:val="285"/>
          <w:jc w:val="center"/>
        </w:trPr>
        <w:tc>
          <w:tcPr>
            <w:tcW w:w="920"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X</w:t>
            </w:r>
            <w:r w:rsidRPr="00B81072">
              <w:rPr>
                <w:rFonts w:ascii="Calibri" w:eastAsia="Times New Roman" w:hAnsi="Calibri" w:cs="Times New Roman"/>
                <w:color w:val="000000"/>
                <w:sz w:val="20"/>
                <w:szCs w:val="20"/>
                <w:vertAlign w:val="subscript"/>
              </w:rPr>
              <w:t>Mod3C</w:t>
            </w:r>
          </w:p>
        </w:tc>
        <w:tc>
          <w:tcPr>
            <w:tcW w:w="780"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0.9999</w:t>
            </w:r>
          </w:p>
        </w:tc>
        <w:tc>
          <w:tcPr>
            <w:tcW w:w="7060"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Extent of Reaction (moles uranyl nitrate reacted/moles uranyl nitrate fed), Mod3C</w:t>
            </w:r>
          </w:p>
        </w:tc>
      </w:tr>
      <w:tr w:rsidR="00B81072" w:rsidRPr="00B81072" w:rsidTr="00B81072">
        <w:trPr>
          <w:trHeight w:val="285"/>
          <w:jc w:val="center"/>
        </w:trPr>
        <w:tc>
          <w:tcPr>
            <w:tcW w:w="920" w:type="dxa"/>
            <w:tcBorders>
              <w:top w:val="nil"/>
              <w:left w:val="nil"/>
              <w:bottom w:val="nil"/>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Mod3D,1</w:t>
            </w:r>
          </w:p>
        </w:tc>
        <w:tc>
          <w:tcPr>
            <w:tcW w:w="780" w:type="dxa"/>
            <w:tcBorders>
              <w:top w:val="nil"/>
              <w:left w:val="nil"/>
              <w:bottom w:val="nil"/>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0.06</w:t>
            </w:r>
          </w:p>
        </w:tc>
        <w:tc>
          <w:tcPr>
            <w:tcW w:w="7060" w:type="dxa"/>
            <w:vMerge w:val="restart"/>
            <w:tcBorders>
              <w:top w:val="nil"/>
              <w:left w:val="nil"/>
              <w:bottom w:val="single" w:sz="8" w:space="0" w:color="000000"/>
              <w:right w:val="nil"/>
            </w:tcBorders>
            <w:shd w:val="clear" w:color="auto" w:fill="auto"/>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Filter component mole fraction fractionation (</w:t>
            </w:r>
            <w:proofErr w:type="spellStart"/>
            <w:r w:rsidRPr="00B81072">
              <w:rPr>
                <w:rFonts w:ascii="Calibri" w:eastAsia="Times New Roman" w:hAnsi="Calibri" w:cs="Times New Roman"/>
                <w:color w:val="000000"/>
                <w:sz w:val="20"/>
                <w:szCs w:val="20"/>
              </w:rPr>
              <w:t>mol</w:t>
            </w:r>
            <w:proofErr w:type="spellEnd"/>
            <w:r w:rsidRPr="00B81072">
              <w:rPr>
                <w:rFonts w:ascii="Calibri" w:eastAsia="Times New Roman" w:hAnsi="Calibri" w:cs="Times New Roman"/>
                <w:color w:val="000000"/>
                <w:sz w:val="20"/>
                <w:szCs w:val="20"/>
              </w:rPr>
              <w:t>-%), Mod3D</w:t>
            </w:r>
          </w:p>
        </w:tc>
      </w:tr>
      <w:tr w:rsidR="00B81072" w:rsidRPr="00B81072" w:rsidTr="00B81072">
        <w:trPr>
          <w:trHeight w:val="285"/>
          <w:jc w:val="center"/>
        </w:trPr>
        <w:tc>
          <w:tcPr>
            <w:tcW w:w="920" w:type="dxa"/>
            <w:tcBorders>
              <w:top w:val="nil"/>
              <w:left w:val="nil"/>
              <w:bottom w:val="nil"/>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Mod3D,18</w:t>
            </w:r>
          </w:p>
        </w:tc>
        <w:tc>
          <w:tcPr>
            <w:tcW w:w="780" w:type="dxa"/>
            <w:tcBorders>
              <w:top w:val="nil"/>
              <w:left w:val="nil"/>
              <w:bottom w:val="nil"/>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0.995</w:t>
            </w:r>
          </w:p>
        </w:tc>
        <w:tc>
          <w:tcPr>
            <w:tcW w:w="7060" w:type="dxa"/>
            <w:vMerge/>
            <w:tcBorders>
              <w:top w:val="nil"/>
              <w:left w:val="nil"/>
              <w:bottom w:val="single" w:sz="8"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300"/>
          <w:jc w:val="center"/>
        </w:trPr>
        <w:tc>
          <w:tcPr>
            <w:tcW w:w="920" w:type="dxa"/>
            <w:tcBorders>
              <w:top w:val="nil"/>
              <w:left w:val="nil"/>
              <w:bottom w:val="single" w:sz="8" w:space="0" w:color="auto"/>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Mod3D,19</w:t>
            </w:r>
          </w:p>
        </w:tc>
        <w:tc>
          <w:tcPr>
            <w:tcW w:w="780" w:type="dxa"/>
            <w:tcBorders>
              <w:top w:val="nil"/>
              <w:left w:val="nil"/>
              <w:bottom w:val="single" w:sz="8" w:space="0" w:color="auto"/>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0.995</w:t>
            </w:r>
          </w:p>
        </w:tc>
        <w:tc>
          <w:tcPr>
            <w:tcW w:w="7060" w:type="dxa"/>
            <w:vMerge/>
            <w:tcBorders>
              <w:top w:val="nil"/>
              <w:left w:val="nil"/>
              <w:bottom w:val="single" w:sz="8"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55"/>
          <w:jc w:val="center"/>
        </w:trPr>
        <w:tc>
          <w:tcPr>
            <w:tcW w:w="8760" w:type="dxa"/>
            <w:gridSpan w:val="3"/>
            <w:tcBorders>
              <w:top w:val="single" w:sz="8" w:space="0" w:color="auto"/>
              <w:left w:val="nil"/>
              <w:bottom w:val="single" w:sz="4" w:space="0" w:color="auto"/>
              <w:right w:val="nil"/>
            </w:tcBorders>
            <w:shd w:val="clear" w:color="auto" w:fill="auto"/>
            <w:noWrap/>
            <w:vAlign w:val="bottom"/>
            <w:hideMark/>
          </w:tcPr>
          <w:p w:rsidR="00B81072" w:rsidRPr="00B81072" w:rsidRDefault="00B81072" w:rsidP="00B81072">
            <w:pPr>
              <w:spacing w:after="0" w:line="240" w:lineRule="auto"/>
              <w:jc w:val="center"/>
              <w:rPr>
                <w:rFonts w:ascii="Calibri" w:eastAsia="Times New Roman" w:hAnsi="Calibri" w:cs="Times New Roman"/>
                <w:b/>
                <w:bCs/>
                <w:color w:val="000000"/>
                <w:sz w:val="20"/>
                <w:szCs w:val="20"/>
              </w:rPr>
            </w:pPr>
            <w:r w:rsidRPr="00B81072">
              <w:rPr>
                <w:rFonts w:ascii="Calibri" w:eastAsia="Times New Roman" w:hAnsi="Calibri" w:cs="Times New Roman"/>
                <w:b/>
                <w:bCs/>
                <w:color w:val="000000"/>
                <w:sz w:val="20"/>
                <w:szCs w:val="20"/>
              </w:rPr>
              <w:t>Module 4</w:t>
            </w:r>
          </w:p>
        </w:tc>
      </w:tr>
      <w:tr w:rsidR="00B81072" w:rsidRPr="00B81072" w:rsidTr="00B81072">
        <w:trPr>
          <w:trHeight w:val="285"/>
          <w:jc w:val="center"/>
        </w:trPr>
        <w:tc>
          <w:tcPr>
            <w:tcW w:w="920"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Symbol" w:eastAsia="Times New Roman" w:hAnsi="Symbol" w:cs="Times New Roman"/>
                <w:color w:val="000000"/>
                <w:sz w:val="20"/>
                <w:szCs w:val="20"/>
              </w:rPr>
              <w:t></w:t>
            </w:r>
            <w:r w:rsidRPr="00B81072">
              <w:rPr>
                <w:rFonts w:ascii="Calibri" w:eastAsia="Times New Roman" w:hAnsi="Calibri" w:cs="Times New Roman"/>
                <w:color w:val="000000"/>
                <w:sz w:val="20"/>
                <w:szCs w:val="20"/>
                <w:vertAlign w:val="subscript"/>
              </w:rPr>
              <w:t>Mod4A</w:t>
            </w:r>
          </w:p>
        </w:tc>
        <w:tc>
          <w:tcPr>
            <w:tcW w:w="780"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1.25</w:t>
            </w:r>
          </w:p>
        </w:tc>
        <w:tc>
          <w:tcPr>
            <w:tcW w:w="7060"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Flow parameter that insures sufficient NH</w:t>
            </w:r>
            <w:r w:rsidRPr="00B81072">
              <w:rPr>
                <w:rFonts w:ascii="Calibri" w:eastAsia="Times New Roman" w:hAnsi="Calibri" w:cs="Times New Roman"/>
                <w:color w:val="000000"/>
                <w:sz w:val="20"/>
                <w:szCs w:val="20"/>
                <w:vertAlign w:val="subscript"/>
              </w:rPr>
              <w:t>3</w:t>
            </w:r>
            <w:r w:rsidRPr="00B81072">
              <w:rPr>
                <w:rFonts w:ascii="Calibri" w:eastAsia="Times New Roman" w:hAnsi="Calibri" w:cs="Times New Roman"/>
                <w:color w:val="000000"/>
                <w:sz w:val="20"/>
                <w:szCs w:val="20"/>
              </w:rPr>
              <w:t xml:space="preserve"> is fed for conversion, Mod4A</w:t>
            </w:r>
          </w:p>
        </w:tc>
      </w:tr>
      <w:tr w:rsidR="00B81072" w:rsidRPr="00B81072" w:rsidTr="00B81072">
        <w:trPr>
          <w:trHeight w:val="285"/>
          <w:jc w:val="center"/>
        </w:trPr>
        <w:tc>
          <w:tcPr>
            <w:tcW w:w="920"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X</w:t>
            </w:r>
            <w:r w:rsidRPr="00B81072">
              <w:rPr>
                <w:rFonts w:ascii="Calibri" w:eastAsia="Times New Roman" w:hAnsi="Calibri" w:cs="Times New Roman"/>
                <w:color w:val="000000"/>
                <w:sz w:val="20"/>
                <w:szCs w:val="20"/>
                <w:vertAlign w:val="subscript"/>
              </w:rPr>
              <w:t>Mod4A</w:t>
            </w:r>
          </w:p>
        </w:tc>
        <w:tc>
          <w:tcPr>
            <w:tcW w:w="780"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1</w:t>
            </w:r>
          </w:p>
        </w:tc>
        <w:tc>
          <w:tcPr>
            <w:tcW w:w="7060"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Extent of reaction (moles NH</w:t>
            </w:r>
            <w:r w:rsidRPr="00B81072">
              <w:rPr>
                <w:rFonts w:ascii="Calibri" w:eastAsia="Times New Roman" w:hAnsi="Calibri" w:cs="Times New Roman"/>
                <w:color w:val="000000"/>
                <w:sz w:val="20"/>
                <w:szCs w:val="20"/>
                <w:vertAlign w:val="subscript"/>
              </w:rPr>
              <w:t>3</w:t>
            </w:r>
            <w:r w:rsidRPr="00B81072">
              <w:rPr>
                <w:rFonts w:ascii="Calibri" w:eastAsia="Times New Roman" w:hAnsi="Calibri" w:cs="Times New Roman"/>
                <w:color w:val="000000"/>
                <w:sz w:val="20"/>
                <w:szCs w:val="20"/>
              </w:rPr>
              <w:t xml:space="preserve"> reacted/moles NH</w:t>
            </w:r>
            <w:r w:rsidRPr="00B81072">
              <w:rPr>
                <w:rFonts w:ascii="Calibri" w:eastAsia="Times New Roman" w:hAnsi="Calibri" w:cs="Times New Roman"/>
                <w:color w:val="000000"/>
                <w:sz w:val="20"/>
                <w:szCs w:val="20"/>
                <w:vertAlign w:val="subscript"/>
              </w:rPr>
              <w:t>3</w:t>
            </w:r>
            <w:r w:rsidRPr="00B81072">
              <w:rPr>
                <w:rFonts w:ascii="Calibri" w:eastAsia="Times New Roman" w:hAnsi="Calibri" w:cs="Times New Roman"/>
                <w:color w:val="000000"/>
                <w:sz w:val="20"/>
                <w:szCs w:val="20"/>
              </w:rPr>
              <w:t xml:space="preserve"> fed), Mod4A</w:t>
            </w:r>
          </w:p>
        </w:tc>
      </w:tr>
      <w:tr w:rsidR="00B81072" w:rsidRPr="00B81072" w:rsidTr="00B81072">
        <w:trPr>
          <w:trHeight w:val="285"/>
          <w:jc w:val="center"/>
        </w:trPr>
        <w:tc>
          <w:tcPr>
            <w:tcW w:w="920"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X</w:t>
            </w:r>
            <w:r w:rsidRPr="00B81072">
              <w:rPr>
                <w:rFonts w:ascii="Calibri" w:eastAsia="Times New Roman" w:hAnsi="Calibri" w:cs="Times New Roman"/>
                <w:color w:val="000000"/>
                <w:sz w:val="20"/>
                <w:szCs w:val="20"/>
                <w:vertAlign w:val="subscript"/>
              </w:rPr>
              <w:t>Mod4B</w:t>
            </w:r>
          </w:p>
        </w:tc>
        <w:tc>
          <w:tcPr>
            <w:tcW w:w="780"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0.9999</w:t>
            </w:r>
          </w:p>
        </w:tc>
        <w:tc>
          <w:tcPr>
            <w:tcW w:w="7060"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Extent of reaction (moles AUC reacted/moles AUC fed), Mod4B</w:t>
            </w:r>
          </w:p>
        </w:tc>
      </w:tr>
      <w:tr w:rsidR="00B81072" w:rsidRPr="00B81072" w:rsidTr="00B81072">
        <w:trPr>
          <w:trHeight w:val="285"/>
          <w:jc w:val="center"/>
        </w:trPr>
        <w:tc>
          <w:tcPr>
            <w:tcW w:w="920"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Symbol" w:eastAsia="Times New Roman" w:hAnsi="Symbol" w:cs="Times New Roman"/>
                <w:color w:val="000000"/>
                <w:sz w:val="20"/>
                <w:szCs w:val="20"/>
              </w:rPr>
              <w:t></w:t>
            </w:r>
            <w:r w:rsidRPr="00B81072">
              <w:rPr>
                <w:rFonts w:ascii="Calibri" w:eastAsia="Times New Roman" w:hAnsi="Calibri" w:cs="Times New Roman"/>
                <w:color w:val="000000"/>
                <w:sz w:val="20"/>
                <w:szCs w:val="20"/>
                <w:vertAlign w:val="subscript"/>
              </w:rPr>
              <w:t>Mod4D</w:t>
            </w:r>
          </w:p>
        </w:tc>
        <w:tc>
          <w:tcPr>
            <w:tcW w:w="780"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0.95</w:t>
            </w:r>
          </w:p>
        </w:tc>
        <w:tc>
          <w:tcPr>
            <w:tcW w:w="7060"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Flow parameter that insures sufficient HF is fed for conversion, Mod4D</w:t>
            </w:r>
          </w:p>
        </w:tc>
      </w:tr>
      <w:tr w:rsidR="00B81072" w:rsidRPr="00B81072" w:rsidTr="00B81072">
        <w:trPr>
          <w:trHeight w:val="285"/>
          <w:jc w:val="center"/>
        </w:trPr>
        <w:tc>
          <w:tcPr>
            <w:tcW w:w="920"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X</w:t>
            </w:r>
            <w:r w:rsidRPr="00B81072">
              <w:rPr>
                <w:rFonts w:ascii="Calibri" w:eastAsia="Times New Roman" w:hAnsi="Calibri" w:cs="Times New Roman"/>
                <w:color w:val="000000"/>
                <w:sz w:val="20"/>
                <w:szCs w:val="20"/>
                <w:vertAlign w:val="subscript"/>
              </w:rPr>
              <w:t>Mod4E</w:t>
            </w:r>
          </w:p>
        </w:tc>
        <w:tc>
          <w:tcPr>
            <w:tcW w:w="780"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0.9999</w:t>
            </w:r>
          </w:p>
        </w:tc>
        <w:tc>
          <w:tcPr>
            <w:tcW w:w="7060"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Extent of reaction (moles HF reacted/moles HF fed), Mod4E</w:t>
            </w:r>
          </w:p>
        </w:tc>
      </w:tr>
      <w:tr w:rsidR="00B81072" w:rsidRPr="00B81072" w:rsidTr="00B81072">
        <w:trPr>
          <w:trHeight w:val="285"/>
          <w:jc w:val="center"/>
        </w:trPr>
        <w:tc>
          <w:tcPr>
            <w:tcW w:w="920" w:type="dxa"/>
            <w:tcBorders>
              <w:top w:val="nil"/>
              <w:left w:val="nil"/>
              <w:bottom w:val="nil"/>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Mod4F,1</w:t>
            </w:r>
          </w:p>
        </w:tc>
        <w:tc>
          <w:tcPr>
            <w:tcW w:w="780" w:type="dxa"/>
            <w:tcBorders>
              <w:top w:val="nil"/>
              <w:left w:val="nil"/>
              <w:bottom w:val="nil"/>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1</w:t>
            </w:r>
          </w:p>
        </w:tc>
        <w:tc>
          <w:tcPr>
            <w:tcW w:w="7060" w:type="dxa"/>
            <w:vMerge w:val="restart"/>
            <w:tcBorders>
              <w:top w:val="nil"/>
              <w:left w:val="nil"/>
              <w:bottom w:val="single" w:sz="8" w:space="0" w:color="000000"/>
              <w:right w:val="nil"/>
            </w:tcBorders>
            <w:shd w:val="clear" w:color="auto" w:fill="auto"/>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 xml:space="preserve"> Filter component mole fraction fractionation (</w:t>
            </w:r>
            <w:proofErr w:type="spellStart"/>
            <w:r w:rsidRPr="00B81072">
              <w:rPr>
                <w:rFonts w:ascii="Calibri" w:eastAsia="Times New Roman" w:hAnsi="Calibri" w:cs="Times New Roman"/>
                <w:color w:val="000000"/>
                <w:sz w:val="20"/>
                <w:szCs w:val="20"/>
              </w:rPr>
              <w:t>mol</w:t>
            </w:r>
            <w:proofErr w:type="spellEnd"/>
            <w:r w:rsidRPr="00B81072">
              <w:rPr>
                <w:rFonts w:ascii="Calibri" w:eastAsia="Times New Roman" w:hAnsi="Calibri" w:cs="Times New Roman"/>
                <w:color w:val="000000"/>
                <w:sz w:val="20"/>
                <w:szCs w:val="20"/>
              </w:rPr>
              <w:t xml:space="preserve">-%), Mod4F </w:t>
            </w:r>
          </w:p>
        </w:tc>
      </w:tr>
      <w:tr w:rsidR="00B81072" w:rsidRPr="00B81072" w:rsidTr="00B81072">
        <w:trPr>
          <w:trHeight w:val="285"/>
          <w:jc w:val="center"/>
        </w:trPr>
        <w:tc>
          <w:tcPr>
            <w:tcW w:w="920" w:type="dxa"/>
            <w:tcBorders>
              <w:top w:val="nil"/>
              <w:left w:val="nil"/>
              <w:bottom w:val="nil"/>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Mod4F,2</w:t>
            </w:r>
          </w:p>
        </w:tc>
        <w:tc>
          <w:tcPr>
            <w:tcW w:w="780" w:type="dxa"/>
            <w:tcBorders>
              <w:top w:val="nil"/>
              <w:left w:val="nil"/>
              <w:bottom w:val="nil"/>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1</w:t>
            </w:r>
          </w:p>
        </w:tc>
        <w:tc>
          <w:tcPr>
            <w:tcW w:w="7060" w:type="dxa"/>
            <w:vMerge/>
            <w:tcBorders>
              <w:top w:val="nil"/>
              <w:left w:val="nil"/>
              <w:bottom w:val="single" w:sz="8"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85"/>
          <w:jc w:val="center"/>
        </w:trPr>
        <w:tc>
          <w:tcPr>
            <w:tcW w:w="920" w:type="dxa"/>
            <w:tcBorders>
              <w:top w:val="nil"/>
              <w:left w:val="nil"/>
              <w:bottom w:val="nil"/>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Mod4F,6</w:t>
            </w:r>
          </w:p>
        </w:tc>
        <w:tc>
          <w:tcPr>
            <w:tcW w:w="780" w:type="dxa"/>
            <w:tcBorders>
              <w:top w:val="nil"/>
              <w:left w:val="nil"/>
              <w:bottom w:val="nil"/>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1</w:t>
            </w:r>
          </w:p>
        </w:tc>
        <w:tc>
          <w:tcPr>
            <w:tcW w:w="7060" w:type="dxa"/>
            <w:vMerge/>
            <w:tcBorders>
              <w:top w:val="nil"/>
              <w:left w:val="nil"/>
              <w:bottom w:val="single" w:sz="8"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85"/>
          <w:jc w:val="center"/>
        </w:trPr>
        <w:tc>
          <w:tcPr>
            <w:tcW w:w="920" w:type="dxa"/>
            <w:tcBorders>
              <w:top w:val="nil"/>
              <w:left w:val="nil"/>
              <w:bottom w:val="nil"/>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Mod4F,16</w:t>
            </w:r>
          </w:p>
        </w:tc>
        <w:tc>
          <w:tcPr>
            <w:tcW w:w="780" w:type="dxa"/>
            <w:tcBorders>
              <w:top w:val="nil"/>
              <w:left w:val="nil"/>
              <w:bottom w:val="nil"/>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1E-05</w:t>
            </w:r>
          </w:p>
        </w:tc>
        <w:tc>
          <w:tcPr>
            <w:tcW w:w="7060" w:type="dxa"/>
            <w:vMerge/>
            <w:tcBorders>
              <w:top w:val="nil"/>
              <w:left w:val="nil"/>
              <w:bottom w:val="single" w:sz="8"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85"/>
          <w:jc w:val="center"/>
        </w:trPr>
        <w:tc>
          <w:tcPr>
            <w:tcW w:w="920" w:type="dxa"/>
            <w:tcBorders>
              <w:top w:val="nil"/>
              <w:left w:val="nil"/>
              <w:bottom w:val="nil"/>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Mod4F,17</w:t>
            </w:r>
          </w:p>
        </w:tc>
        <w:tc>
          <w:tcPr>
            <w:tcW w:w="780" w:type="dxa"/>
            <w:tcBorders>
              <w:top w:val="nil"/>
              <w:left w:val="nil"/>
              <w:bottom w:val="nil"/>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0.001</w:t>
            </w:r>
          </w:p>
        </w:tc>
        <w:tc>
          <w:tcPr>
            <w:tcW w:w="7060" w:type="dxa"/>
            <w:vMerge/>
            <w:tcBorders>
              <w:top w:val="nil"/>
              <w:left w:val="nil"/>
              <w:bottom w:val="single" w:sz="8"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85"/>
          <w:jc w:val="center"/>
        </w:trPr>
        <w:tc>
          <w:tcPr>
            <w:tcW w:w="920" w:type="dxa"/>
            <w:tcBorders>
              <w:top w:val="nil"/>
              <w:left w:val="nil"/>
              <w:bottom w:val="nil"/>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Mod4F,18</w:t>
            </w:r>
          </w:p>
        </w:tc>
        <w:tc>
          <w:tcPr>
            <w:tcW w:w="780" w:type="dxa"/>
            <w:tcBorders>
              <w:top w:val="nil"/>
              <w:left w:val="nil"/>
              <w:bottom w:val="nil"/>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0.001</w:t>
            </w:r>
          </w:p>
        </w:tc>
        <w:tc>
          <w:tcPr>
            <w:tcW w:w="7060" w:type="dxa"/>
            <w:vMerge/>
            <w:tcBorders>
              <w:top w:val="nil"/>
              <w:left w:val="nil"/>
              <w:bottom w:val="single" w:sz="8"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300"/>
          <w:jc w:val="center"/>
        </w:trPr>
        <w:tc>
          <w:tcPr>
            <w:tcW w:w="920" w:type="dxa"/>
            <w:tcBorders>
              <w:top w:val="nil"/>
              <w:left w:val="nil"/>
              <w:bottom w:val="single" w:sz="8" w:space="0" w:color="auto"/>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K</w:t>
            </w:r>
            <w:r w:rsidRPr="00B81072">
              <w:rPr>
                <w:rFonts w:ascii="Calibri" w:eastAsia="Times New Roman" w:hAnsi="Calibri" w:cs="Times New Roman"/>
                <w:color w:val="000000"/>
                <w:sz w:val="20"/>
                <w:szCs w:val="20"/>
                <w:vertAlign w:val="subscript"/>
              </w:rPr>
              <w:t>Mod4F,19</w:t>
            </w:r>
          </w:p>
        </w:tc>
        <w:tc>
          <w:tcPr>
            <w:tcW w:w="780" w:type="dxa"/>
            <w:tcBorders>
              <w:top w:val="nil"/>
              <w:left w:val="nil"/>
              <w:bottom w:val="single" w:sz="8" w:space="0" w:color="auto"/>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1</w:t>
            </w:r>
          </w:p>
        </w:tc>
        <w:tc>
          <w:tcPr>
            <w:tcW w:w="7060" w:type="dxa"/>
            <w:vMerge/>
            <w:tcBorders>
              <w:top w:val="nil"/>
              <w:left w:val="nil"/>
              <w:bottom w:val="single" w:sz="8" w:space="0" w:color="000000"/>
              <w:right w:val="nil"/>
            </w:tcBorders>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p>
        </w:tc>
      </w:tr>
      <w:tr w:rsidR="00B81072" w:rsidRPr="00B81072" w:rsidTr="00B81072">
        <w:trPr>
          <w:trHeight w:val="255"/>
          <w:jc w:val="center"/>
        </w:trPr>
        <w:tc>
          <w:tcPr>
            <w:tcW w:w="8760" w:type="dxa"/>
            <w:gridSpan w:val="3"/>
            <w:tcBorders>
              <w:top w:val="single" w:sz="8" w:space="0" w:color="auto"/>
              <w:left w:val="nil"/>
              <w:bottom w:val="single" w:sz="4" w:space="0" w:color="auto"/>
              <w:right w:val="nil"/>
            </w:tcBorders>
            <w:shd w:val="clear" w:color="auto" w:fill="auto"/>
            <w:noWrap/>
            <w:vAlign w:val="bottom"/>
            <w:hideMark/>
          </w:tcPr>
          <w:p w:rsidR="00B81072" w:rsidRPr="00B81072" w:rsidRDefault="00B81072" w:rsidP="00B81072">
            <w:pPr>
              <w:spacing w:after="0" w:line="240" w:lineRule="auto"/>
              <w:jc w:val="center"/>
              <w:rPr>
                <w:rFonts w:ascii="Calibri" w:eastAsia="Times New Roman" w:hAnsi="Calibri" w:cs="Times New Roman"/>
                <w:b/>
                <w:bCs/>
                <w:color w:val="000000"/>
                <w:sz w:val="20"/>
                <w:szCs w:val="20"/>
              </w:rPr>
            </w:pPr>
            <w:r w:rsidRPr="00B81072">
              <w:rPr>
                <w:rFonts w:ascii="Calibri" w:eastAsia="Times New Roman" w:hAnsi="Calibri" w:cs="Times New Roman"/>
                <w:b/>
                <w:bCs/>
                <w:color w:val="000000"/>
                <w:sz w:val="20"/>
                <w:szCs w:val="20"/>
              </w:rPr>
              <w:t>Module 5</w:t>
            </w:r>
          </w:p>
        </w:tc>
      </w:tr>
      <w:tr w:rsidR="00B81072" w:rsidRPr="00B81072" w:rsidTr="00B81072">
        <w:trPr>
          <w:trHeight w:val="285"/>
          <w:jc w:val="center"/>
        </w:trPr>
        <w:tc>
          <w:tcPr>
            <w:tcW w:w="920"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Symbol" w:eastAsia="Times New Roman" w:hAnsi="Symbol" w:cs="Times New Roman"/>
                <w:color w:val="000000"/>
                <w:sz w:val="20"/>
                <w:szCs w:val="20"/>
              </w:rPr>
              <w:t></w:t>
            </w:r>
            <w:r w:rsidRPr="00B81072">
              <w:rPr>
                <w:rFonts w:ascii="Calibri" w:eastAsia="Times New Roman" w:hAnsi="Calibri" w:cs="Times New Roman"/>
                <w:color w:val="000000"/>
                <w:sz w:val="20"/>
                <w:szCs w:val="20"/>
                <w:vertAlign w:val="subscript"/>
              </w:rPr>
              <w:t>Mod5A</w:t>
            </w:r>
          </w:p>
        </w:tc>
        <w:tc>
          <w:tcPr>
            <w:tcW w:w="780"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1.1</w:t>
            </w:r>
          </w:p>
        </w:tc>
        <w:tc>
          <w:tcPr>
            <w:tcW w:w="7060"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Flow parameter that insures sufficient F</w:t>
            </w:r>
            <w:r w:rsidRPr="00B81072">
              <w:rPr>
                <w:rFonts w:ascii="Calibri" w:eastAsia="Times New Roman" w:hAnsi="Calibri" w:cs="Times New Roman"/>
                <w:color w:val="000000"/>
                <w:sz w:val="20"/>
                <w:szCs w:val="20"/>
                <w:vertAlign w:val="subscript"/>
              </w:rPr>
              <w:t>2</w:t>
            </w:r>
            <w:r w:rsidRPr="00B81072">
              <w:rPr>
                <w:rFonts w:ascii="Calibri" w:eastAsia="Times New Roman" w:hAnsi="Calibri" w:cs="Times New Roman"/>
                <w:color w:val="000000"/>
                <w:sz w:val="20"/>
                <w:szCs w:val="20"/>
              </w:rPr>
              <w:t xml:space="preserve"> is fed for conversion, Mod5A</w:t>
            </w:r>
          </w:p>
        </w:tc>
      </w:tr>
      <w:tr w:rsidR="00B81072" w:rsidRPr="00B81072" w:rsidTr="00B81072">
        <w:trPr>
          <w:trHeight w:val="285"/>
          <w:jc w:val="center"/>
        </w:trPr>
        <w:tc>
          <w:tcPr>
            <w:tcW w:w="920"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X</w:t>
            </w:r>
            <w:r w:rsidRPr="00B81072">
              <w:rPr>
                <w:rFonts w:ascii="Calibri" w:eastAsia="Times New Roman" w:hAnsi="Calibri" w:cs="Times New Roman"/>
                <w:color w:val="000000"/>
                <w:sz w:val="20"/>
                <w:szCs w:val="20"/>
                <w:vertAlign w:val="subscript"/>
              </w:rPr>
              <w:t>Mod5B</w:t>
            </w:r>
          </w:p>
        </w:tc>
        <w:tc>
          <w:tcPr>
            <w:tcW w:w="780"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0.999</w:t>
            </w:r>
          </w:p>
        </w:tc>
        <w:tc>
          <w:tcPr>
            <w:tcW w:w="7060" w:type="dxa"/>
            <w:tcBorders>
              <w:top w:val="nil"/>
              <w:left w:val="nil"/>
              <w:bottom w:val="single" w:sz="4" w:space="0" w:color="auto"/>
              <w:right w:val="nil"/>
            </w:tcBorders>
            <w:shd w:val="clear" w:color="auto" w:fill="auto"/>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Extent of reaction (moles UF</w:t>
            </w:r>
            <w:r w:rsidRPr="00B81072">
              <w:rPr>
                <w:rFonts w:ascii="Calibri" w:eastAsia="Times New Roman" w:hAnsi="Calibri" w:cs="Times New Roman"/>
                <w:color w:val="000000"/>
                <w:sz w:val="20"/>
                <w:szCs w:val="20"/>
                <w:vertAlign w:val="subscript"/>
              </w:rPr>
              <w:t>4</w:t>
            </w:r>
            <w:r w:rsidRPr="00B81072">
              <w:rPr>
                <w:rFonts w:ascii="Calibri" w:eastAsia="Times New Roman" w:hAnsi="Calibri" w:cs="Times New Roman"/>
                <w:color w:val="000000"/>
                <w:sz w:val="20"/>
                <w:szCs w:val="20"/>
              </w:rPr>
              <w:t xml:space="preserve"> reacted/moles UF</w:t>
            </w:r>
            <w:r w:rsidRPr="00B81072">
              <w:rPr>
                <w:rFonts w:ascii="Calibri" w:eastAsia="Times New Roman" w:hAnsi="Calibri" w:cs="Times New Roman"/>
                <w:color w:val="000000"/>
                <w:sz w:val="20"/>
                <w:szCs w:val="20"/>
                <w:vertAlign w:val="subscript"/>
              </w:rPr>
              <w:t>4</w:t>
            </w:r>
            <w:r w:rsidRPr="00B81072">
              <w:rPr>
                <w:rFonts w:ascii="Calibri" w:eastAsia="Times New Roman" w:hAnsi="Calibri" w:cs="Times New Roman"/>
                <w:color w:val="000000"/>
                <w:sz w:val="20"/>
                <w:szCs w:val="20"/>
              </w:rPr>
              <w:t xml:space="preserve"> fed), Mod5B</w:t>
            </w:r>
          </w:p>
        </w:tc>
      </w:tr>
      <w:tr w:rsidR="00B81072" w:rsidRPr="00B81072" w:rsidTr="00B81072">
        <w:trPr>
          <w:trHeight w:val="300"/>
          <w:jc w:val="center"/>
        </w:trPr>
        <w:tc>
          <w:tcPr>
            <w:tcW w:w="920" w:type="dxa"/>
            <w:tcBorders>
              <w:top w:val="nil"/>
              <w:left w:val="nil"/>
              <w:bottom w:val="single" w:sz="8" w:space="0" w:color="auto"/>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S</w:t>
            </w:r>
            <w:r w:rsidRPr="00B81072">
              <w:rPr>
                <w:rFonts w:ascii="Calibri" w:eastAsia="Times New Roman" w:hAnsi="Calibri" w:cs="Times New Roman"/>
                <w:color w:val="000000"/>
                <w:sz w:val="20"/>
                <w:szCs w:val="20"/>
                <w:vertAlign w:val="subscript"/>
              </w:rPr>
              <w:t>Mod5A</w:t>
            </w:r>
          </w:p>
        </w:tc>
        <w:tc>
          <w:tcPr>
            <w:tcW w:w="780" w:type="dxa"/>
            <w:tcBorders>
              <w:top w:val="nil"/>
              <w:left w:val="nil"/>
              <w:bottom w:val="single" w:sz="8" w:space="0" w:color="auto"/>
              <w:right w:val="nil"/>
            </w:tcBorders>
            <w:shd w:val="clear" w:color="auto" w:fill="auto"/>
            <w:vAlign w:val="center"/>
            <w:hideMark/>
          </w:tcPr>
          <w:p w:rsidR="00B81072" w:rsidRPr="00B81072" w:rsidRDefault="00B81072" w:rsidP="00B81072">
            <w:pPr>
              <w:spacing w:after="0" w:line="240" w:lineRule="auto"/>
              <w:jc w:val="center"/>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0.1</w:t>
            </w:r>
          </w:p>
        </w:tc>
        <w:tc>
          <w:tcPr>
            <w:tcW w:w="7060" w:type="dxa"/>
            <w:tcBorders>
              <w:top w:val="nil"/>
              <w:left w:val="nil"/>
              <w:bottom w:val="single" w:sz="8" w:space="0" w:color="auto"/>
              <w:right w:val="nil"/>
            </w:tcBorders>
            <w:shd w:val="clear" w:color="auto" w:fill="auto"/>
            <w:vAlign w:val="center"/>
            <w:hideMark/>
          </w:tcPr>
          <w:p w:rsidR="00B81072" w:rsidRPr="00B81072" w:rsidRDefault="00B81072" w:rsidP="00B81072">
            <w:pPr>
              <w:spacing w:after="0" w:line="240" w:lineRule="auto"/>
              <w:rPr>
                <w:rFonts w:ascii="Calibri" w:eastAsia="Times New Roman" w:hAnsi="Calibri" w:cs="Times New Roman"/>
                <w:color w:val="000000"/>
                <w:sz w:val="20"/>
                <w:szCs w:val="20"/>
              </w:rPr>
            </w:pPr>
            <w:r w:rsidRPr="00B81072">
              <w:rPr>
                <w:rFonts w:ascii="Calibri" w:eastAsia="Times New Roman" w:hAnsi="Calibri" w:cs="Times New Roman"/>
                <w:color w:val="000000"/>
                <w:sz w:val="20"/>
                <w:szCs w:val="20"/>
              </w:rPr>
              <w:t>Splitter fractionation (</w:t>
            </w:r>
            <w:proofErr w:type="spellStart"/>
            <w:r w:rsidRPr="00B81072">
              <w:rPr>
                <w:rFonts w:ascii="Calibri" w:eastAsia="Times New Roman" w:hAnsi="Calibri" w:cs="Times New Roman"/>
                <w:color w:val="000000"/>
                <w:sz w:val="20"/>
                <w:szCs w:val="20"/>
              </w:rPr>
              <w:t>mol</w:t>
            </w:r>
            <w:proofErr w:type="spellEnd"/>
            <w:r w:rsidRPr="00B81072">
              <w:rPr>
                <w:rFonts w:ascii="Calibri" w:eastAsia="Times New Roman" w:hAnsi="Calibri" w:cs="Times New Roman"/>
                <w:color w:val="000000"/>
                <w:sz w:val="20"/>
                <w:szCs w:val="20"/>
              </w:rPr>
              <w:t>-%), Mod5A</w:t>
            </w:r>
          </w:p>
        </w:tc>
      </w:tr>
    </w:tbl>
    <w:p w:rsidR="00B66898" w:rsidRDefault="00B66898"/>
    <w:p w:rsidR="00B66898" w:rsidRDefault="00B66898">
      <w:r>
        <w:br w:type="page"/>
      </w:r>
    </w:p>
    <w:tbl>
      <w:tblPr>
        <w:tblW w:w="8928" w:type="dxa"/>
        <w:jc w:val="center"/>
        <w:tblLook w:val="04A0" w:firstRow="1" w:lastRow="0" w:firstColumn="1" w:lastColumn="0" w:noHBand="0" w:noVBand="1"/>
      </w:tblPr>
      <w:tblGrid>
        <w:gridCol w:w="999"/>
        <w:gridCol w:w="789"/>
        <w:gridCol w:w="7140"/>
      </w:tblGrid>
      <w:tr w:rsidR="00B66898" w:rsidRPr="00B66898" w:rsidTr="00B66898">
        <w:trPr>
          <w:trHeight w:val="270"/>
          <w:jc w:val="center"/>
        </w:trPr>
        <w:tc>
          <w:tcPr>
            <w:tcW w:w="8928" w:type="dxa"/>
            <w:gridSpan w:val="3"/>
            <w:tcBorders>
              <w:top w:val="nil"/>
              <w:left w:val="nil"/>
              <w:bottom w:val="single" w:sz="8" w:space="0" w:color="auto"/>
              <w:right w:val="nil"/>
            </w:tcBorders>
            <w:shd w:val="clear" w:color="auto" w:fill="auto"/>
            <w:noWrap/>
            <w:vAlign w:val="center"/>
            <w:hideMark/>
          </w:tcPr>
          <w:p w:rsidR="00B66898" w:rsidRPr="00B66898" w:rsidRDefault="00B66898" w:rsidP="002A117F">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lastRenderedPageBreak/>
              <w:t>Table 3.10. Base Case Parameters for Each Module (</w:t>
            </w:r>
            <w:r w:rsidR="002A117F">
              <w:rPr>
                <w:rFonts w:ascii="Calibri" w:eastAsia="Times New Roman" w:hAnsi="Calibri" w:cs="Times New Roman"/>
                <w:b/>
                <w:bCs/>
                <w:color w:val="000000"/>
                <w:sz w:val="20"/>
                <w:szCs w:val="20"/>
              </w:rPr>
              <w:t>c</w:t>
            </w:r>
            <w:r w:rsidRPr="00B66898">
              <w:rPr>
                <w:rFonts w:ascii="Calibri" w:eastAsia="Times New Roman" w:hAnsi="Calibri" w:cs="Times New Roman"/>
                <w:b/>
                <w:bCs/>
                <w:color w:val="000000"/>
                <w:sz w:val="20"/>
                <w:szCs w:val="20"/>
              </w:rPr>
              <w:t>ontinued)</w:t>
            </w:r>
          </w:p>
        </w:tc>
      </w:tr>
      <w:tr w:rsidR="00B66898" w:rsidRPr="00B66898" w:rsidTr="00B66898">
        <w:trPr>
          <w:trHeight w:val="270"/>
          <w:jc w:val="center"/>
        </w:trPr>
        <w:tc>
          <w:tcPr>
            <w:tcW w:w="999" w:type="dxa"/>
            <w:tcBorders>
              <w:top w:val="nil"/>
              <w:left w:val="nil"/>
              <w:bottom w:val="single" w:sz="4" w:space="0" w:color="auto"/>
              <w:right w:val="nil"/>
            </w:tcBorders>
            <w:shd w:val="clear" w:color="auto" w:fill="auto"/>
            <w:noWrap/>
            <w:vAlign w:val="bottom"/>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Identifier</w:t>
            </w:r>
          </w:p>
        </w:tc>
        <w:tc>
          <w:tcPr>
            <w:tcW w:w="789"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Value</w:t>
            </w:r>
          </w:p>
        </w:tc>
        <w:tc>
          <w:tcPr>
            <w:tcW w:w="7140"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Description</w:t>
            </w:r>
          </w:p>
        </w:tc>
      </w:tr>
      <w:tr w:rsidR="00B66898" w:rsidRPr="00B66898" w:rsidTr="00B66898">
        <w:trPr>
          <w:trHeight w:val="255"/>
          <w:jc w:val="center"/>
        </w:trPr>
        <w:tc>
          <w:tcPr>
            <w:tcW w:w="8928" w:type="dxa"/>
            <w:gridSpan w:val="3"/>
            <w:tcBorders>
              <w:top w:val="single" w:sz="8" w:space="0" w:color="auto"/>
              <w:left w:val="nil"/>
              <w:bottom w:val="single" w:sz="4" w:space="0" w:color="auto"/>
              <w:right w:val="nil"/>
            </w:tcBorders>
            <w:shd w:val="clear" w:color="auto" w:fill="auto"/>
            <w:noWrap/>
            <w:vAlign w:val="bottom"/>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Module 5 (continued)</w:t>
            </w:r>
          </w:p>
        </w:tc>
      </w:tr>
      <w:tr w:rsidR="00B66898" w:rsidRPr="00B66898" w:rsidTr="00B66898">
        <w:trPr>
          <w:trHeight w:val="285"/>
          <w:jc w:val="center"/>
        </w:trPr>
        <w:tc>
          <w:tcPr>
            <w:tcW w:w="999"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K1</w:t>
            </w:r>
            <w:r w:rsidRPr="00B66898">
              <w:rPr>
                <w:rFonts w:ascii="Calibri" w:eastAsia="Times New Roman" w:hAnsi="Calibri" w:cs="Times New Roman"/>
                <w:color w:val="000000"/>
                <w:sz w:val="20"/>
                <w:szCs w:val="20"/>
                <w:vertAlign w:val="subscript"/>
              </w:rPr>
              <w:t>Mod5C,16</w:t>
            </w:r>
          </w:p>
        </w:tc>
        <w:tc>
          <w:tcPr>
            <w:tcW w:w="789"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0.99</w:t>
            </w:r>
          </w:p>
        </w:tc>
        <w:tc>
          <w:tcPr>
            <w:tcW w:w="7140" w:type="dxa"/>
            <w:vMerge w:val="restart"/>
            <w:tcBorders>
              <w:top w:val="nil"/>
              <w:left w:val="nil"/>
              <w:bottom w:val="single" w:sz="4" w:space="0" w:color="000000"/>
              <w:right w:val="nil"/>
            </w:tcBorders>
            <w:shd w:val="clear" w:color="auto" w:fill="auto"/>
            <w:vAlign w:val="center"/>
            <w:hideMark/>
          </w:tcPr>
          <w:p w:rsidR="00B66898" w:rsidRPr="00B66898" w:rsidRDefault="00B66898" w:rsidP="00B66898">
            <w:pPr>
              <w:spacing w:after="0" w:line="240" w:lineRule="auto"/>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 xml:space="preserve"> Filter component mole fraction fractionation (</w:t>
            </w:r>
            <w:proofErr w:type="spellStart"/>
            <w:r w:rsidRPr="00B66898">
              <w:rPr>
                <w:rFonts w:ascii="Calibri" w:eastAsia="Times New Roman" w:hAnsi="Calibri" w:cs="Times New Roman"/>
                <w:color w:val="000000"/>
                <w:sz w:val="20"/>
                <w:szCs w:val="20"/>
              </w:rPr>
              <w:t>mol</w:t>
            </w:r>
            <w:proofErr w:type="spellEnd"/>
            <w:r w:rsidRPr="00B66898">
              <w:rPr>
                <w:rFonts w:ascii="Calibri" w:eastAsia="Times New Roman" w:hAnsi="Calibri" w:cs="Times New Roman"/>
                <w:color w:val="000000"/>
                <w:sz w:val="20"/>
                <w:szCs w:val="20"/>
              </w:rPr>
              <w:t>-%), Mod5C (UF</w:t>
            </w:r>
            <w:r w:rsidRPr="00B66898">
              <w:rPr>
                <w:rFonts w:ascii="Calibri" w:eastAsia="Times New Roman" w:hAnsi="Calibri" w:cs="Times New Roman"/>
                <w:color w:val="000000"/>
                <w:sz w:val="20"/>
                <w:szCs w:val="20"/>
                <w:vertAlign w:val="subscript"/>
              </w:rPr>
              <w:t>6</w:t>
            </w:r>
            <w:r w:rsidRPr="00B66898">
              <w:rPr>
                <w:rFonts w:ascii="Calibri" w:eastAsia="Times New Roman" w:hAnsi="Calibri" w:cs="Times New Roman"/>
                <w:color w:val="000000"/>
                <w:sz w:val="20"/>
                <w:szCs w:val="20"/>
              </w:rPr>
              <w:t>-UF</w:t>
            </w:r>
            <w:r w:rsidRPr="00B66898">
              <w:rPr>
                <w:rFonts w:ascii="Calibri" w:eastAsia="Times New Roman" w:hAnsi="Calibri" w:cs="Times New Roman"/>
                <w:color w:val="000000"/>
                <w:sz w:val="20"/>
                <w:szCs w:val="20"/>
                <w:vertAlign w:val="subscript"/>
              </w:rPr>
              <w:t>4</w:t>
            </w:r>
            <w:r w:rsidRPr="00B66898">
              <w:rPr>
                <w:rFonts w:ascii="Calibri" w:eastAsia="Times New Roman" w:hAnsi="Calibri" w:cs="Times New Roman"/>
                <w:color w:val="000000"/>
                <w:sz w:val="20"/>
                <w:szCs w:val="20"/>
              </w:rPr>
              <w:t xml:space="preserve"> Separator)</w:t>
            </w:r>
          </w:p>
        </w:tc>
      </w:tr>
      <w:tr w:rsidR="00B66898" w:rsidRPr="00B66898" w:rsidTr="00B66898">
        <w:trPr>
          <w:trHeight w:val="285"/>
          <w:jc w:val="center"/>
        </w:trPr>
        <w:tc>
          <w:tcPr>
            <w:tcW w:w="999"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K1</w:t>
            </w:r>
            <w:r w:rsidRPr="00B66898">
              <w:rPr>
                <w:rFonts w:ascii="Calibri" w:eastAsia="Times New Roman" w:hAnsi="Calibri" w:cs="Times New Roman"/>
                <w:color w:val="000000"/>
                <w:sz w:val="20"/>
                <w:szCs w:val="20"/>
                <w:vertAlign w:val="subscript"/>
              </w:rPr>
              <w:t>Mod5C,17</w:t>
            </w:r>
          </w:p>
        </w:tc>
        <w:tc>
          <w:tcPr>
            <w:tcW w:w="789"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w:t>
            </w:r>
          </w:p>
        </w:tc>
        <w:tc>
          <w:tcPr>
            <w:tcW w:w="7140" w:type="dxa"/>
            <w:vMerge/>
            <w:tcBorders>
              <w:top w:val="nil"/>
              <w:left w:val="nil"/>
              <w:bottom w:val="single" w:sz="4" w:space="0" w:color="000000"/>
              <w:right w:val="nil"/>
            </w:tcBorders>
            <w:vAlign w:val="center"/>
            <w:hideMark/>
          </w:tcPr>
          <w:p w:rsidR="00B66898" w:rsidRPr="00B66898" w:rsidRDefault="00B66898" w:rsidP="00B66898">
            <w:pPr>
              <w:spacing w:after="0" w:line="240" w:lineRule="auto"/>
              <w:rPr>
                <w:rFonts w:ascii="Calibri" w:eastAsia="Times New Roman" w:hAnsi="Calibri" w:cs="Times New Roman"/>
                <w:color w:val="000000"/>
                <w:sz w:val="20"/>
                <w:szCs w:val="20"/>
              </w:rPr>
            </w:pPr>
          </w:p>
        </w:tc>
      </w:tr>
      <w:tr w:rsidR="00B66898" w:rsidRPr="00B66898" w:rsidTr="00B66898">
        <w:trPr>
          <w:trHeight w:val="285"/>
          <w:jc w:val="center"/>
        </w:trPr>
        <w:tc>
          <w:tcPr>
            <w:tcW w:w="999" w:type="dxa"/>
            <w:tcBorders>
              <w:top w:val="nil"/>
              <w:left w:val="nil"/>
              <w:bottom w:val="single" w:sz="4" w:space="0" w:color="auto"/>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K1</w:t>
            </w:r>
            <w:r w:rsidRPr="00B66898">
              <w:rPr>
                <w:rFonts w:ascii="Calibri" w:eastAsia="Times New Roman" w:hAnsi="Calibri" w:cs="Times New Roman"/>
                <w:color w:val="000000"/>
                <w:sz w:val="20"/>
                <w:szCs w:val="20"/>
                <w:vertAlign w:val="subscript"/>
              </w:rPr>
              <w:t>Mod5C,18</w:t>
            </w:r>
          </w:p>
        </w:tc>
        <w:tc>
          <w:tcPr>
            <w:tcW w:w="789" w:type="dxa"/>
            <w:tcBorders>
              <w:top w:val="nil"/>
              <w:left w:val="nil"/>
              <w:bottom w:val="single" w:sz="4" w:space="0" w:color="auto"/>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w:t>
            </w:r>
          </w:p>
        </w:tc>
        <w:tc>
          <w:tcPr>
            <w:tcW w:w="7140" w:type="dxa"/>
            <w:vMerge/>
            <w:tcBorders>
              <w:top w:val="nil"/>
              <w:left w:val="nil"/>
              <w:bottom w:val="single" w:sz="4" w:space="0" w:color="000000"/>
              <w:right w:val="nil"/>
            </w:tcBorders>
            <w:vAlign w:val="center"/>
            <w:hideMark/>
          </w:tcPr>
          <w:p w:rsidR="00B66898" w:rsidRPr="00B66898" w:rsidRDefault="00B66898" w:rsidP="00B66898">
            <w:pPr>
              <w:spacing w:after="0" w:line="240" w:lineRule="auto"/>
              <w:rPr>
                <w:rFonts w:ascii="Calibri" w:eastAsia="Times New Roman" w:hAnsi="Calibri" w:cs="Times New Roman"/>
                <w:color w:val="000000"/>
                <w:sz w:val="20"/>
                <w:szCs w:val="20"/>
              </w:rPr>
            </w:pPr>
          </w:p>
        </w:tc>
      </w:tr>
      <w:tr w:rsidR="00B66898" w:rsidRPr="00B66898" w:rsidTr="00B66898">
        <w:trPr>
          <w:trHeight w:val="285"/>
          <w:jc w:val="center"/>
        </w:trPr>
        <w:tc>
          <w:tcPr>
            <w:tcW w:w="999" w:type="dxa"/>
            <w:tcBorders>
              <w:top w:val="nil"/>
              <w:left w:val="nil"/>
              <w:bottom w:val="single" w:sz="4" w:space="0" w:color="auto"/>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K2</w:t>
            </w:r>
            <w:r w:rsidRPr="00B66898">
              <w:rPr>
                <w:rFonts w:ascii="Calibri" w:eastAsia="Times New Roman" w:hAnsi="Calibri" w:cs="Times New Roman"/>
                <w:color w:val="000000"/>
                <w:sz w:val="20"/>
                <w:szCs w:val="20"/>
                <w:vertAlign w:val="subscript"/>
              </w:rPr>
              <w:t>Mod5C,15</w:t>
            </w:r>
          </w:p>
        </w:tc>
        <w:tc>
          <w:tcPr>
            <w:tcW w:w="789" w:type="dxa"/>
            <w:tcBorders>
              <w:top w:val="nil"/>
              <w:left w:val="nil"/>
              <w:bottom w:val="single" w:sz="4" w:space="0" w:color="auto"/>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0.99</w:t>
            </w:r>
          </w:p>
        </w:tc>
        <w:tc>
          <w:tcPr>
            <w:tcW w:w="7140" w:type="dxa"/>
            <w:tcBorders>
              <w:top w:val="nil"/>
              <w:left w:val="nil"/>
              <w:bottom w:val="single" w:sz="4" w:space="0" w:color="auto"/>
              <w:right w:val="nil"/>
            </w:tcBorders>
            <w:shd w:val="clear" w:color="auto" w:fill="auto"/>
            <w:vAlign w:val="center"/>
            <w:hideMark/>
          </w:tcPr>
          <w:p w:rsidR="00B66898" w:rsidRPr="00B66898" w:rsidRDefault="00B66898" w:rsidP="00B66898">
            <w:pPr>
              <w:spacing w:after="0" w:line="240" w:lineRule="auto"/>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 xml:space="preserve"> Filter component mole fraction fractionation(</w:t>
            </w:r>
            <w:proofErr w:type="spellStart"/>
            <w:r w:rsidRPr="00B66898">
              <w:rPr>
                <w:rFonts w:ascii="Calibri" w:eastAsia="Times New Roman" w:hAnsi="Calibri" w:cs="Times New Roman"/>
                <w:color w:val="000000"/>
                <w:sz w:val="20"/>
                <w:szCs w:val="20"/>
              </w:rPr>
              <w:t>mol</w:t>
            </w:r>
            <w:proofErr w:type="spellEnd"/>
            <w:r w:rsidRPr="00B66898">
              <w:rPr>
                <w:rFonts w:ascii="Calibri" w:eastAsia="Times New Roman" w:hAnsi="Calibri" w:cs="Times New Roman"/>
                <w:color w:val="000000"/>
                <w:sz w:val="20"/>
                <w:szCs w:val="20"/>
              </w:rPr>
              <w:t>-%), Mod5C  (Separator)</w:t>
            </w:r>
          </w:p>
        </w:tc>
      </w:tr>
      <w:tr w:rsidR="00B66898" w:rsidRPr="00B66898" w:rsidTr="00B66898">
        <w:trPr>
          <w:trHeight w:val="300"/>
          <w:jc w:val="center"/>
        </w:trPr>
        <w:tc>
          <w:tcPr>
            <w:tcW w:w="999" w:type="dxa"/>
            <w:tcBorders>
              <w:top w:val="nil"/>
              <w:left w:val="nil"/>
              <w:bottom w:val="single" w:sz="8" w:space="0" w:color="auto"/>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X</w:t>
            </w:r>
            <w:r w:rsidRPr="00B66898">
              <w:rPr>
                <w:rFonts w:ascii="Calibri" w:eastAsia="Times New Roman" w:hAnsi="Calibri" w:cs="Times New Roman"/>
                <w:color w:val="000000"/>
                <w:sz w:val="20"/>
                <w:szCs w:val="20"/>
                <w:vertAlign w:val="subscript"/>
              </w:rPr>
              <w:t>Mod5E</w:t>
            </w:r>
          </w:p>
        </w:tc>
        <w:tc>
          <w:tcPr>
            <w:tcW w:w="789" w:type="dxa"/>
            <w:tcBorders>
              <w:top w:val="nil"/>
              <w:left w:val="nil"/>
              <w:bottom w:val="single" w:sz="8" w:space="0" w:color="auto"/>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0.999</w:t>
            </w:r>
          </w:p>
        </w:tc>
        <w:tc>
          <w:tcPr>
            <w:tcW w:w="7140" w:type="dxa"/>
            <w:tcBorders>
              <w:top w:val="nil"/>
              <w:left w:val="nil"/>
              <w:bottom w:val="single" w:sz="8" w:space="0" w:color="auto"/>
              <w:right w:val="nil"/>
            </w:tcBorders>
            <w:shd w:val="clear" w:color="auto" w:fill="auto"/>
            <w:vAlign w:val="center"/>
            <w:hideMark/>
          </w:tcPr>
          <w:p w:rsidR="00B66898" w:rsidRPr="00B66898" w:rsidRDefault="00B66898" w:rsidP="00B66898">
            <w:pPr>
              <w:spacing w:after="0" w:line="240" w:lineRule="auto"/>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Extent of reaction (moles UF</w:t>
            </w:r>
            <w:r w:rsidRPr="00B66898">
              <w:rPr>
                <w:rFonts w:ascii="Calibri" w:eastAsia="Times New Roman" w:hAnsi="Calibri" w:cs="Times New Roman"/>
                <w:color w:val="000000"/>
                <w:sz w:val="20"/>
                <w:szCs w:val="20"/>
                <w:vertAlign w:val="subscript"/>
              </w:rPr>
              <w:t>4</w:t>
            </w:r>
            <w:r w:rsidRPr="00B66898">
              <w:rPr>
                <w:rFonts w:ascii="Calibri" w:eastAsia="Times New Roman" w:hAnsi="Calibri" w:cs="Times New Roman"/>
                <w:color w:val="000000"/>
                <w:sz w:val="20"/>
                <w:szCs w:val="20"/>
              </w:rPr>
              <w:t xml:space="preserve"> reacted/moles UF</w:t>
            </w:r>
            <w:r w:rsidRPr="00B66898">
              <w:rPr>
                <w:rFonts w:ascii="Calibri" w:eastAsia="Times New Roman" w:hAnsi="Calibri" w:cs="Times New Roman"/>
                <w:color w:val="000000"/>
                <w:sz w:val="20"/>
                <w:szCs w:val="20"/>
                <w:vertAlign w:val="subscript"/>
              </w:rPr>
              <w:t>4</w:t>
            </w:r>
            <w:r w:rsidRPr="00B66898">
              <w:rPr>
                <w:rFonts w:ascii="Calibri" w:eastAsia="Times New Roman" w:hAnsi="Calibri" w:cs="Times New Roman"/>
                <w:color w:val="000000"/>
                <w:sz w:val="20"/>
                <w:szCs w:val="20"/>
              </w:rPr>
              <w:t xml:space="preserve"> fed), Mod5E</w:t>
            </w:r>
          </w:p>
        </w:tc>
      </w:tr>
    </w:tbl>
    <w:p w:rsidR="00B66898" w:rsidRDefault="00B66898"/>
    <w:p w:rsidR="00E664E4" w:rsidRDefault="00E664E4" w:rsidP="00E664E4"/>
    <w:p w:rsidR="00E664E4" w:rsidRDefault="00E664E4" w:rsidP="00E664E4">
      <w:pPr>
        <w:rPr>
          <w:rFonts w:asciiTheme="majorHAnsi" w:hAnsiTheme="majorHAnsi"/>
          <w:b/>
          <w:caps/>
        </w:rPr>
      </w:pPr>
      <w:r w:rsidRPr="00015B53">
        <w:rPr>
          <w:rFonts w:asciiTheme="majorHAnsi" w:hAnsiTheme="majorHAnsi"/>
          <w:b/>
          <w:caps/>
        </w:rPr>
        <w:t>3.4 Base “Normal” Case</w:t>
      </w:r>
    </w:p>
    <w:p w:rsidR="00E664E4" w:rsidRDefault="00E664E4" w:rsidP="00E664E4">
      <w:r w:rsidRPr="009A3612">
        <w:t>Following the overall approach outlined in Figure 3.1, this section explains how the base case data set</w:t>
      </w:r>
      <w:r>
        <w:t xml:space="preserve"> was obtained. The first step was to d</w:t>
      </w:r>
      <w:r w:rsidRPr="00566146">
        <w:t>efine the process equations used to describe the system</w:t>
      </w:r>
      <w:r>
        <w:t>. These were the material balance equations provided in Section 3.2. Next, all of the parameters were i</w:t>
      </w:r>
      <w:r w:rsidRPr="00566146">
        <w:t>dentif</w:t>
      </w:r>
      <w:r>
        <w:t xml:space="preserve">ied. In this work, parameters are constants and do not vary in the base case model. The parameters are listed in the tables in Section 3.3. Based on the sensitivity analysis (results of which are discussed in Chapter 4), seven parameters were selected as input variables. For the input variables, the normal range profile for each variable was </w:t>
      </w:r>
      <w:r w:rsidRPr="00484ED1">
        <w:t>establish</w:t>
      </w:r>
      <w:r>
        <w:t>ed</w:t>
      </w:r>
      <w:r w:rsidRPr="00484ED1">
        <w:t xml:space="preserve">, i.e. ‘normal’ </w:t>
      </w:r>
      <w:r>
        <w:t>flow rate of uranium into the plant was 50 kg/h and varied by ±10%</w:t>
      </w:r>
      <w:r w:rsidRPr="00484ED1">
        <w:t>.</w:t>
      </w:r>
      <w:r>
        <w:t xml:space="preserve"> The input variables with variations are summarized in Table 3.11 with more description for each below.</w:t>
      </w:r>
    </w:p>
    <w:p w:rsidR="008540AF" w:rsidRDefault="008540AF" w:rsidP="008540AF">
      <w:r w:rsidRPr="00DF5C50">
        <w:t>The first and</w:t>
      </w:r>
      <w:r>
        <w:t xml:space="preserve"> most important input variable selected wa</w:t>
      </w:r>
      <w:r w:rsidRPr="00DF5C50">
        <w:t>s the flow rate of</w:t>
      </w:r>
      <w:r>
        <w:t xml:space="preserve"> uranium to the facility</w:t>
      </w:r>
      <w:r w:rsidR="00FE3781">
        <w:t xml:space="preserve"> [</w:t>
      </w:r>
      <w:proofErr w:type="spellStart"/>
      <w:proofErr w:type="gramStart"/>
      <w:r w:rsidR="00FE3781">
        <w:t>Xss</w:t>
      </w:r>
      <w:proofErr w:type="spellEnd"/>
      <w:r w:rsidR="00FE3781">
        <w:t>(</w:t>
      </w:r>
      <w:proofErr w:type="gramEnd"/>
      <w:r w:rsidR="00FE3781">
        <w:t>274)]</w:t>
      </w:r>
      <w:r>
        <w:t>. This wa</w:t>
      </w:r>
      <w:r w:rsidRPr="00DF5C50">
        <w:t xml:space="preserve">s the impure </w:t>
      </w:r>
      <w:r>
        <w:t>uranium ore or yellowcake that wa</w:t>
      </w:r>
      <w:r w:rsidRPr="00DF5C50">
        <w:t>s the feedstock to the facility from the mining and millin</w:t>
      </w:r>
      <w:r>
        <w:t>g operation. This effort assumed</w:t>
      </w:r>
      <w:r w:rsidRPr="00DF5C50">
        <w:t xml:space="preserve"> that the i</w:t>
      </w:r>
      <w:r>
        <w:t>ncoming yellowcake wa</w:t>
      </w:r>
      <w:r w:rsidRPr="00DF5C50">
        <w:t>s 85% U</w:t>
      </w:r>
      <w:r w:rsidRPr="00DF5C50">
        <w:rPr>
          <w:vertAlign w:val="subscript"/>
        </w:rPr>
        <w:t>3</w:t>
      </w:r>
      <w:r w:rsidRPr="00DF5C50">
        <w:t>O</w:t>
      </w:r>
      <w:r w:rsidRPr="00DF5C50">
        <w:rPr>
          <w:vertAlign w:val="subscript"/>
        </w:rPr>
        <w:t>8</w:t>
      </w:r>
      <w:r w:rsidRPr="00DF5C50">
        <w:t xml:space="preserve"> and 15% impurities (7.5% soluble and 7.5% insolu</w:t>
      </w:r>
      <w:r>
        <w:t>ble). The feed rate of uranium wa</w:t>
      </w:r>
      <w:r w:rsidRPr="00DF5C50">
        <w:t>s 50 kg U</w:t>
      </w:r>
      <w:r>
        <w:t>/h</w:t>
      </w:r>
      <w:r w:rsidRPr="00DF5C50">
        <w:t>, based on the assumption that this model represent</w:t>
      </w:r>
      <w:r>
        <w:t>ed</w:t>
      </w:r>
      <w:r w:rsidRPr="00DF5C50">
        <w:t xml:space="preserve"> a small</w:t>
      </w:r>
      <w:r>
        <w:t>-sized</w:t>
      </w:r>
      <w:r w:rsidRPr="00DF5C50">
        <w:t xml:space="preserve"> conversion plant that processe</w:t>
      </w:r>
      <w:r>
        <w:t>d 100 MTU/</w:t>
      </w:r>
      <w:proofErr w:type="spellStart"/>
      <w:r>
        <w:t>yr</w:t>
      </w:r>
      <w:proofErr w:type="spellEnd"/>
      <w:r>
        <w:t xml:space="preserve"> with an operating</w:t>
      </w:r>
      <w:r w:rsidRPr="00DF5C50">
        <w:t xml:space="preserve"> schedule of 8 h/day, 5 day</w:t>
      </w:r>
      <w:r w:rsidR="00FE3781">
        <w:t>s</w:t>
      </w:r>
      <w:r w:rsidRPr="00DF5C50">
        <w:t>/we</w:t>
      </w:r>
      <w:r>
        <w:t>ek, and 50 weeks/yr. This rate wa</w:t>
      </w:r>
      <w:r w:rsidRPr="00DF5C50">
        <w:t xml:space="preserve">s </w:t>
      </w:r>
      <w:r>
        <w:t xml:space="preserve">elemental </w:t>
      </w:r>
      <w:r w:rsidRPr="00DF5C50">
        <w:t>uranium not U</w:t>
      </w:r>
      <w:r w:rsidRPr="00DF5C50">
        <w:rPr>
          <w:vertAlign w:val="subscript"/>
        </w:rPr>
        <w:t>3</w:t>
      </w:r>
      <w:r w:rsidRPr="00DF5C50">
        <w:t>O</w:t>
      </w:r>
      <w:r w:rsidRPr="00DF5C50">
        <w:rPr>
          <w:vertAlign w:val="subscript"/>
        </w:rPr>
        <w:t>8</w:t>
      </w:r>
      <w:r>
        <w:t xml:space="preserve"> and it wa</w:t>
      </w:r>
      <w:r w:rsidRPr="00DF5C50">
        <w:t xml:space="preserve">s expected </w:t>
      </w:r>
      <w:r>
        <w:t xml:space="preserve">to </w:t>
      </w:r>
      <w:r w:rsidRPr="00DF5C50">
        <w:t xml:space="preserve">vary some since the operators </w:t>
      </w:r>
      <w:r>
        <w:t xml:space="preserve">would be </w:t>
      </w:r>
      <w:r w:rsidRPr="00DF5C50">
        <w:t>loading drums into a feed hopper to supply t</w:t>
      </w:r>
      <w:r>
        <w:t>he dissolver. The model included</w:t>
      </w:r>
      <w:r w:rsidRPr="00DF5C50">
        <w:t xml:space="preserve"> a variation of ±10% of the 50 kg U</w:t>
      </w:r>
      <w:r>
        <w:t xml:space="preserve">/h </w:t>
      </w:r>
      <w:r w:rsidR="00FE3781">
        <w:t xml:space="preserve">nominal </w:t>
      </w:r>
      <w:r>
        <w:t>flow rate.</w:t>
      </w:r>
    </w:p>
    <w:p w:rsidR="008540AF" w:rsidRPr="00DF5C50" w:rsidRDefault="008540AF" w:rsidP="008540AF">
      <w:r>
        <w:t>The second input variable selected wa</w:t>
      </w:r>
      <w:r w:rsidRPr="00DF5C50">
        <w:t>s the uranyl nitrate filter fractionatio</w:t>
      </w:r>
      <w:r>
        <w:t>n parameter in Module 1B</w:t>
      </w:r>
      <w:r w:rsidR="00FE3781">
        <w:t xml:space="preserve"> [</w:t>
      </w:r>
      <w:proofErr w:type="spellStart"/>
      <w:proofErr w:type="gramStart"/>
      <w:r w:rsidR="00FE3781">
        <w:t>Xss</w:t>
      </w:r>
      <w:proofErr w:type="spellEnd"/>
      <w:r w:rsidR="00FE3781">
        <w:t>(</w:t>
      </w:r>
      <w:proofErr w:type="gramEnd"/>
      <w:r w:rsidR="00FE3781">
        <w:t>275)]</w:t>
      </w:r>
      <w:r>
        <w:t>. That wa</w:t>
      </w:r>
      <w:r w:rsidRPr="00DF5C50">
        <w:t xml:space="preserve">s the amount of uranyl nitrate that </w:t>
      </w:r>
      <w:r>
        <w:t xml:space="preserve">was separated </w:t>
      </w:r>
      <w:r w:rsidRPr="00DF5C50">
        <w:t xml:space="preserve">from </w:t>
      </w:r>
      <w:r>
        <w:t>Stream 3 to Stream 4. Stream 3 wa</w:t>
      </w:r>
      <w:r w:rsidRPr="00DF5C50">
        <w:t>s the exit of the stream mixer in Module 1B which include</w:t>
      </w:r>
      <w:r>
        <w:t>d</w:t>
      </w:r>
      <w:r w:rsidRPr="00DF5C50">
        <w:t xml:space="preserve"> the dissolver output and the recycle for the splitter in Module 1D. Stream 4 </w:t>
      </w:r>
      <w:r>
        <w:t>wa</w:t>
      </w:r>
      <w:r w:rsidRPr="00DF5C50">
        <w:t xml:space="preserve">s the input stream to Module 1E where the Module 1 product </w:t>
      </w:r>
      <w:r>
        <w:t>wa</w:t>
      </w:r>
      <w:r w:rsidRPr="00DF5C50">
        <w:t>s separated fr</w:t>
      </w:r>
      <w:r>
        <w:t>om</w:t>
      </w:r>
      <w:r w:rsidRPr="00DF5C50">
        <w:t xml:space="preserve"> any remaining solids that were not dissolved. This parameter was selected due to the </w:t>
      </w:r>
      <w:r>
        <w:t>sensitivity analysis which showed that 42% of the state variables were sensitive to this parameter. Additionally, 62% of those sensitive state variables were uranium-bearing components.</w:t>
      </w:r>
      <w:r w:rsidRPr="00DF5C50">
        <w:t xml:space="preserve"> </w:t>
      </w:r>
    </w:p>
    <w:p w:rsidR="008540AF" w:rsidRPr="00DF5C50" w:rsidRDefault="008540AF" w:rsidP="008540AF"/>
    <w:tbl>
      <w:tblPr>
        <w:tblW w:w="8640" w:type="dxa"/>
        <w:jc w:val="center"/>
        <w:tblLook w:val="04A0" w:firstRow="1" w:lastRow="0" w:firstColumn="1" w:lastColumn="0" w:noHBand="0" w:noVBand="1"/>
      </w:tblPr>
      <w:tblGrid>
        <w:gridCol w:w="906"/>
        <w:gridCol w:w="988"/>
        <w:gridCol w:w="988"/>
        <w:gridCol w:w="984"/>
        <w:gridCol w:w="904"/>
        <w:gridCol w:w="1037"/>
        <w:gridCol w:w="2833"/>
      </w:tblGrid>
      <w:tr w:rsidR="007A7FFA" w:rsidRPr="007A7FFA" w:rsidTr="00BF6935">
        <w:trPr>
          <w:trHeight w:val="270"/>
          <w:jc w:val="center"/>
        </w:trPr>
        <w:tc>
          <w:tcPr>
            <w:tcW w:w="8640" w:type="dxa"/>
            <w:gridSpan w:val="7"/>
            <w:tcBorders>
              <w:top w:val="nil"/>
              <w:left w:val="nil"/>
              <w:bottom w:val="single" w:sz="8"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b/>
                <w:bCs/>
                <w:color w:val="000000"/>
                <w:sz w:val="20"/>
                <w:szCs w:val="20"/>
              </w:rPr>
            </w:pPr>
            <w:r w:rsidRPr="007A7FFA">
              <w:rPr>
                <w:rFonts w:ascii="Calibri" w:eastAsia="Times New Roman" w:hAnsi="Calibri" w:cs="Times New Roman"/>
                <w:b/>
                <w:bCs/>
                <w:color w:val="000000"/>
                <w:sz w:val="20"/>
                <w:szCs w:val="20"/>
              </w:rPr>
              <w:lastRenderedPageBreak/>
              <w:t>Table 3.11. List of Input Variables</w:t>
            </w:r>
          </w:p>
        </w:tc>
      </w:tr>
      <w:tr w:rsidR="007A7FFA" w:rsidRPr="007A7FFA" w:rsidTr="00BF6935">
        <w:trPr>
          <w:trHeight w:val="765"/>
          <w:jc w:val="center"/>
        </w:trPr>
        <w:tc>
          <w:tcPr>
            <w:tcW w:w="906"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b/>
                <w:bCs/>
                <w:color w:val="000000"/>
                <w:sz w:val="20"/>
                <w:szCs w:val="20"/>
              </w:rPr>
            </w:pPr>
            <w:r w:rsidRPr="007A7FFA">
              <w:rPr>
                <w:rFonts w:ascii="Calibri" w:eastAsia="Times New Roman" w:hAnsi="Calibri" w:cs="Times New Roman"/>
                <w:b/>
                <w:bCs/>
                <w:color w:val="000000"/>
                <w:sz w:val="20"/>
                <w:szCs w:val="20"/>
              </w:rPr>
              <w:t>Module</w:t>
            </w:r>
          </w:p>
        </w:tc>
        <w:tc>
          <w:tcPr>
            <w:tcW w:w="988" w:type="dxa"/>
            <w:tcBorders>
              <w:top w:val="nil"/>
              <w:left w:val="nil"/>
              <w:bottom w:val="single" w:sz="4" w:space="0" w:color="auto"/>
              <w:right w:val="nil"/>
            </w:tcBorders>
            <w:shd w:val="clear" w:color="auto" w:fill="auto"/>
            <w:vAlign w:val="center"/>
            <w:hideMark/>
          </w:tcPr>
          <w:p w:rsidR="007A7FFA" w:rsidRPr="007A7FFA" w:rsidRDefault="007A7FFA" w:rsidP="007A7FFA">
            <w:pPr>
              <w:spacing w:after="0" w:line="240" w:lineRule="auto"/>
              <w:jc w:val="center"/>
              <w:rPr>
                <w:rFonts w:ascii="Calibri" w:eastAsia="Times New Roman" w:hAnsi="Calibri" w:cs="Times New Roman"/>
                <w:b/>
                <w:bCs/>
                <w:sz w:val="20"/>
                <w:szCs w:val="20"/>
              </w:rPr>
            </w:pPr>
            <w:r w:rsidRPr="007A7FFA">
              <w:rPr>
                <w:rFonts w:ascii="Calibri" w:eastAsia="Times New Roman" w:hAnsi="Calibri" w:cs="Times New Roman"/>
                <w:b/>
                <w:bCs/>
                <w:sz w:val="20"/>
                <w:szCs w:val="20"/>
              </w:rPr>
              <w:t>Input Variable Name</w:t>
            </w:r>
          </w:p>
        </w:tc>
        <w:tc>
          <w:tcPr>
            <w:tcW w:w="988" w:type="dxa"/>
            <w:tcBorders>
              <w:top w:val="nil"/>
              <w:left w:val="nil"/>
              <w:bottom w:val="single" w:sz="4" w:space="0" w:color="auto"/>
              <w:right w:val="nil"/>
            </w:tcBorders>
            <w:shd w:val="clear" w:color="auto" w:fill="auto"/>
            <w:vAlign w:val="center"/>
            <w:hideMark/>
          </w:tcPr>
          <w:p w:rsidR="007A7FFA" w:rsidRPr="007A7FFA" w:rsidRDefault="007A7FFA" w:rsidP="007A7FFA">
            <w:pPr>
              <w:spacing w:after="0" w:line="240" w:lineRule="auto"/>
              <w:jc w:val="center"/>
              <w:rPr>
                <w:rFonts w:ascii="Calibri" w:eastAsia="Times New Roman" w:hAnsi="Calibri" w:cs="Times New Roman"/>
                <w:b/>
                <w:bCs/>
                <w:sz w:val="20"/>
                <w:szCs w:val="20"/>
              </w:rPr>
            </w:pPr>
            <w:r w:rsidRPr="007A7FFA">
              <w:rPr>
                <w:rFonts w:ascii="Calibri" w:eastAsia="Times New Roman" w:hAnsi="Calibri" w:cs="Times New Roman"/>
                <w:b/>
                <w:bCs/>
                <w:sz w:val="20"/>
                <w:szCs w:val="20"/>
              </w:rPr>
              <w:t>Variable Number</w:t>
            </w:r>
          </w:p>
        </w:tc>
        <w:tc>
          <w:tcPr>
            <w:tcW w:w="984" w:type="dxa"/>
            <w:tcBorders>
              <w:top w:val="nil"/>
              <w:left w:val="nil"/>
              <w:bottom w:val="single" w:sz="4" w:space="0" w:color="auto"/>
              <w:right w:val="nil"/>
            </w:tcBorders>
            <w:shd w:val="clear" w:color="auto" w:fill="auto"/>
            <w:vAlign w:val="center"/>
            <w:hideMark/>
          </w:tcPr>
          <w:p w:rsidR="007A7FFA" w:rsidRPr="007A7FFA" w:rsidRDefault="007A7FFA" w:rsidP="007A7FFA">
            <w:pPr>
              <w:spacing w:after="0" w:line="240" w:lineRule="auto"/>
              <w:jc w:val="center"/>
              <w:rPr>
                <w:rFonts w:ascii="Calibri" w:eastAsia="Times New Roman" w:hAnsi="Calibri" w:cs="Times New Roman"/>
                <w:b/>
                <w:bCs/>
                <w:sz w:val="20"/>
                <w:szCs w:val="20"/>
              </w:rPr>
            </w:pPr>
            <w:r w:rsidRPr="007A7FFA">
              <w:rPr>
                <w:rFonts w:ascii="Calibri" w:eastAsia="Times New Roman" w:hAnsi="Calibri" w:cs="Times New Roman"/>
                <w:b/>
                <w:bCs/>
                <w:sz w:val="20"/>
                <w:szCs w:val="20"/>
              </w:rPr>
              <w:t>Nominal Value</w:t>
            </w:r>
          </w:p>
        </w:tc>
        <w:tc>
          <w:tcPr>
            <w:tcW w:w="904"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b/>
                <w:bCs/>
                <w:sz w:val="20"/>
                <w:szCs w:val="20"/>
              </w:rPr>
            </w:pPr>
            <w:r w:rsidRPr="007A7FFA">
              <w:rPr>
                <w:rFonts w:ascii="Calibri" w:eastAsia="Times New Roman" w:hAnsi="Calibri" w:cs="Times New Roman"/>
                <w:b/>
                <w:bCs/>
                <w:sz w:val="20"/>
                <w:szCs w:val="20"/>
              </w:rPr>
              <w:t>Units</w:t>
            </w:r>
          </w:p>
        </w:tc>
        <w:tc>
          <w:tcPr>
            <w:tcW w:w="1037" w:type="dxa"/>
            <w:tcBorders>
              <w:top w:val="nil"/>
              <w:left w:val="nil"/>
              <w:bottom w:val="single" w:sz="4" w:space="0" w:color="auto"/>
              <w:right w:val="nil"/>
            </w:tcBorders>
            <w:shd w:val="clear" w:color="auto" w:fill="auto"/>
            <w:vAlign w:val="center"/>
            <w:hideMark/>
          </w:tcPr>
          <w:p w:rsidR="007A7FFA" w:rsidRPr="007A7FFA" w:rsidRDefault="007A7FFA" w:rsidP="007A7FFA">
            <w:pPr>
              <w:spacing w:after="0" w:line="240" w:lineRule="auto"/>
              <w:jc w:val="center"/>
              <w:rPr>
                <w:rFonts w:ascii="Calibri" w:eastAsia="Times New Roman" w:hAnsi="Calibri" w:cs="Times New Roman"/>
                <w:b/>
                <w:bCs/>
                <w:color w:val="000000"/>
                <w:sz w:val="20"/>
                <w:szCs w:val="20"/>
              </w:rPr>
            </w:pPr>
            <w:r w:rsidRPr="007A7FFA">
              <w:rPr>
                <w:rFonts w:ascii="Calibri" w:eastAsia="Times New Roman" w:hAnsi="Calibri" w:cs="Times New Roman"/>
                <w:b/>
                <w:bCs/>
                <w:color w:val="000000"/>
                <w:sz w:val="20"/>
                <w:szCs w:val="20"/>
              </w:rPr>
              <w:t>Variation for Base Case</w:t>
            </w:r>
          </w:p>
        </w:tc>
        <w:tc>
          <w:tcPr>
            <w:tcW w:w="2833" w:type="dxa"/>
            <w:tcBorders>
              <w:top w:val="nil"/>
              <w:left w:val="nil"/>
              <w:bottom w:val="single" w:sz="4" w:space="0" w:color="auto"/>
              <w:right w:val="nil"/>
            </w:tcBorders>
            <w:shd w:val="clear" w:color="auto" w:fill="auto"/>
            <w:vAlign w:val="center"/>
            <w:hideMark/>
          </w:tcPr>
          <w:p w:rsidR="007A7FFA" w:rsidRPr="007A7FFA" w:rsidRDefault="007A7FFA" w:rsidP="007A7FFA">
            <w:pPr>
              <w:spacing w:after="0" w:line="240" w:lineRule="auto"/>
              <w:jc w:val="center"/>
              <w:rPr>
                <w:rFonts w:ascii="Calibri" w:eastAsia="Times New Roman" w:hAnsi="Calibri" w:cs="Times New Roman"/>
                <w:b/>
                <w:bCs/>
                <w:sz w:val="20"/>
                <w:szCs w:val="20"/>
              </w:rPr>
            </w:pPr>
            <w:r w:rsidRPr="007A7FFA">
              <w:rPr>
                <w:rFonts w:ascii="Calibri" w:eastAsia="Times New Roman" w:hAnsi="Calibri" w:cs="Times New Roman"/>
                <w:b/>
                <w:bCs/>
                <w:sz w:val="20"/>
                <w:szCs w:val="20"/>
              </w:rPr>
              <w:t>Description</w:t>
            </w:r>
          </w:p>
        </w:tc>
      </w:tr>
      <w:tr w:rsidR="007A7FFA" w:rsidRPr="007A7FFA" w:rsidTr="00BF6935">
        <w:trPr>
          <w:trHeight w:val="510"/>
          <w:jc w:val="center"/>
        </w:trPr>
        <w:tc>
          <w:tcPr>
            <w:tcW w:w="906"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color w:val="000000"/>
                <w:sz w:val="20"/>
                <w:szCs w:val="20"/>
              </w:rPr>
            </w:pPr>
            <w:r w:rsidRPr="007A7FFA">
              <w:rPr>
                <w:rFonts w:ascii="Calibri" w:eastAsia="Times New Roman" w:hAnsi="Calibri" w:cs="Times New Roman"/>
                <w:color w:val="000000"/>
                <w:sz w:val="20"/>
                <w:szCs w:val="20"/>
              </w:rPr>
              <w:t>1</w:t>
            </w:r>
          </w:p>
        </w:tc>
        <w:tc>
          <w:tcPr>
            <w:tcW w:w="988"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sz w:val="20"/>
                <w:szCs w:val="20"/>
              </w:rPr>
            </w:pPr>
            <w:r w:rsidRPr="007A7FFA">
              <w:rPr>
                <w:rFonts w:ascii="Calibri" w:eastAsia="Times New Roman" w:hAnsi="Calibri" w:cs="Times New Roman"/>
                <w:sz w:val="20"/>
                <w:szCs w:val="20"/>
              </w:rPr>
              <w:t>F</w:t>
            </w:r>
            <w:r w:rsidRPr="007A7FFA">
              <w:rPr>
                <w:rFonts w:ascii="Calibri" w:eastAsia="Times New Roman" w:hAnsi="Calibri" w:cs="Times New Roman"/>
                <w:sz w:val="20"/>
                <w:szCs w:val="20"/>
                <w:vertAlign w:val="subscript"/>
              </w:rPr>
              <w:t>1A,U</w:t>
            </w:r>
          </w:p>
        </w:tc>
        <w:tc>
          <w:tcPr>
            <w:tcW w:w="988"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sz w:val="20"/>
                <w:szCs w:val="20"/>
              </w:rPr>
            </w:pPr>
            <w:proofErr w:type="spellStart"/>
            <w:r w:rsidRPr="007A7FFA">
              <w:rPr>
                <w:rFonts w:ascii="Calibri" w:eastAsia="Times New Roman" w:hAnsi="Calibri" w:cs="Times New Roman"/>
                <w:sz w:val="20"/>
                <w:szCs w:val="20"/>
              </w:rPr>
              <w:t>Xss</w:t>
            </w:r>
            <w:proofErr w:type="spellEnd"/>
            <w:r w:rsidRPr="007A7FFA">
              <w:rPr>
                <w:rFonts w:ascii="Calibri" w:eastAsia="Times New Roman" w:hAnsi="Calibri" w:cs="Times New Roman"/>
                <w:sz w:val="20"/>
                <w:szCs w:val="20"/>
              </w:rPr>
              <w:t>(274)</w:t>
            </w:r>
          </w:p>
        </w:tc>
        <w:tc>
          <w:tcPr>
            <w:tcW w:w="984"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sz w:val="20"/>
                <w:szCs w:val="20"/>
              </w:rPr>
            </w:pPr>
            <w:r w:rsidRPr="007A7FFA">
              <w:rPr>
                <w:rFonts w:ascii="Calibri" w:eastAsia="Times New Roman" w:hAnsi="Calibri" w:cs="Times New Roman"/>
                <w:sz w:val="20"/>
                <w:szCs w:val="20"/>
              </w:rPr>
              <w:t>50.00</w:t>
            </w:r>
          </w:p>
        </w:tc>
        <w:tc>
          <w:tcPr>
            <w:tcW w:w="904"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sz w:val="20"/>
                <w:szCs w:val="20"/>
              </w:rPr>
            </w:pPr>
            <w:r w:rsidRPr="007A7FFA">
              <w:rPr>
                <w:rFonts w:ascii="Calibri" w:eastAsia="Times New Roman" w:hAnsi="Calibri" w:cs="Times New Roman"/>
                <w:sz w:val="20"/>
                <w:szCs w:val="20"/>
              </w:rPr>
              <w:t>kg/h</w:t>
            </w:r>
          </w:p>
        </w:tc>
        <w:tc>
          <w:tcPr>
            <w:tcW w:w="1037"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color w:val="000000"/>
                <w:sz w:val="20"/>
                <w:szCs w:val="20"/>
              </w:rPr>
            </w:pPr>
            <w:r w:rsidRPr="007A7FFA">
              <w:rPr>
                <w:rFonts w:ascii="Calibri" w:eastAsia="Times New Roman" w:hAnsi="Calibri" w:cs="Times New Roman"/>
                <w:color w:val="000000"/>
                <w:sz w:val="20"/>
                <w:szCs w:val="20"/>
              </w:rPr>
              <w:t>±10%</w:t>
            </w:r>
          </w:p>
        </w:tc>
        <w:tc>
          <w:tcPr>
            <w:tcW w:w="2833" w:type="dxa"/>
            <w:tcBorders>
              <w:top w:val="nil"/>
              <w:left w:val="nil"/>
              <w:bottom w:val="single" w:sz="4" w:space="0" w:color="auto"/>
              <w:right w:val="nil"/>
            </w:tcBorders>
            <w:shd w:val="clear" w:color="auto" w:fill="auto"/>
            <w:vAlign w:val="center"/>
            <w:hideMark/>
          </w:tcPr>
          <w:p w:rsidR="007A7FFA" w:rsidRPr="007A7FFA" w:rsidRDefault="007A7FFA" w:rsidP="007A7FFA">
            <w:pPr>
              <w:spacing w:after="0" w:line="240" w:lineRule="auto"/>
              <w:rPr>
                <w:rFonts w:ascii="Calibri" w:eastAsia="Times New Roman" w:hAnsi="Calibri" w:cs="Times New Roman"/>
                <w:sz w:val="20"/>
                <w:szCs w:val="20"/>
              </w:rPr>
            </w:pPr>
            <w:r w:rsidRPr="007A7FFA">
              <w:rPr>
                <w:rFonts w:ascii="Calibri" w:eastAsia="Times New Roman" w:hAnsi="Calibri" w:cs="Times New Roman"/>
                <w:sz w:val="20"/>
                <w:szCs w:val="20"/>
              </w:rPr>
              <w:t>Flow rate of uranium in stream 1A, Mod1A</w:t>
            </w:r>
          </w:p>
        </w:tc>
      </w:tr>
      <w:tr w:rsidR="007A7FFA" w:rsidRPr="007A7FFA" w:rsidTr="00BF6935">
        <w:trPr>
          <w:trHeight w:val="510"/>
          <w:jc w:val="center"/>
        </w:trPr>
        <w:tc>
          <w:tcPr>
            <w:tcW w:w="906"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color w:val="000000"/>
                <w:sz w:val="20"/>
                <w:szCs w:val="20"/>
              </w:rPr>
            </w:pPr>
            <w:r w:rsidRPr="007A7FFA">
              <w:rPr>
                <w:rFonts w:ascii="Calibri" w:eastAsia="Times New Roman" w:hAnsi="Calibri" w:cs="Times New Roman"/>
                <w:color w:val="000000"/>
                <w:sz w:val="20"/>
                <w:szCs w:val="20"/>
              </w:rPr>
              <w:t>1</w:t>
            </w:r>
          </w:p>
        </w:tc>
        <w:tc>
          <w:tcPr>
            <w:tcW w:w="988"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sz w:val="20"/>
                <w:szCs w:val="20"/>
              </w:rPr>
            </w:pPr>
            <w:r w:rsidRPr="007A7FFA">
              <w:rPr>
                <w:rFonts w:ascii="Calibri" w:eastAsia="Times New Roman" w:hAnsi="Calibri" w:cs="Times New Roman"/>
                <w:sz w:val="20"/>
                <w:szCs w:val="20"/>
              </w:rPr>
              <w:t>K</w:t>
            </w:r>
            <w:r w:rsidRPr="007A7FFA">
              <w:rPr>
                <w:rFonts w:ascii="Calibri" w:eastAsia="Times New Roman" w:hAnsi="Calibri" w:cs="Times New Roman"/>
                <w:sz w:val="20"/>
                <w:szCs w:val="20"/>
                <w:vertAlign w:val="subscript"/>
              </w:rPr>
              <w:t>Mod1B,14</w:t>
            </w:r>
          </w:p>
        </w:tc>
        <w:tc>
          <w:tcPr>
            <w:tcW w:w="988"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sz w:val="20"/>
                <w:szCs w:val="20"/>
              </w:rPr>
            </w:pPr>
            <w:proofErr w:type="spellStart"/>
            <w:r w:rsidRPr="007A7FFA">
              <w:rPr>
                <w:rFonts w:ascii="Calibri" w:eastAsia="Times New Roman" w:hAnsi="Calibri" w:cs="Times New Roman"/>
                <w:sz w:val="20"/>
                <w:szCs w:val="20"/>
              </w:rPr>
              <w:t>Xss</w:t>
            </w:r>
            <w:proofErr w:type="spellEnd"/>
            <w:r w:rsidRPr="007A7FFA">
              <w:rPr>
                <w:rFonts w:ascii="Calibri" w:eastAsia="Times New Roman" w:hAnsi="Calibri" w:cs="Times New Roman"/>
                <w:sz w:val="20"/>
                <w:szCs w:val="20"/>
              </w:rPr>
              <w:t>(275)</w:t>
            </w:r>
          </w:p>
        </w:tc>
        <w:tc>
          <w:tcPr>
            <w:tcW w:w="984"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sz w:val="20"/>
                <w:szCs w:val="20"/>
              </w:rPr>
            </w:pPr>
            <w:r w:rsidRPr="007A7FFA">
              <w:rPr>
                <w:rFonts w:ascii="Calibri" w:eastAsia="Times New Roman" w:hAnsi="Calibri" w:cs="Times New Roman"/>
                <w:sz w:val="20"/>
                <w:szCs w:val="20"/>
              </w:rPr>
              <w:t>0.98</w:t>
            </w:r>
          </w:p>
        </w:tc>
        <w:tc>
          <w:tcPr>
            <w:tcW w:w="904"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sz w:val="20"/>
                <w:szCs w:val="20"/>
              </w:rPr>
            </w:pPr>
            <w:proofErr w:type="spellStart"/>
            <w:r w:rsidRPr="007A7FFA">
              <w:rPr>
                <w:rFonts w:ascii="Calibri" w:eastAsia="Times New Roman" w:hAnsi="Calibri" w:cs="Times New Roman"/>
                <w:sz w:val="20"/>
                <w:szCs w:val="20"/>
              </w:rPr>
              <w:t>mol</w:t>
            </w:r>
            <w:proofErr w:type="spellEnd"/>
            <w:r w:rsidRPr="007A7FFA">
              <w:rPr>
                <w:rFonts w:ascii="Calibri" w:eastAsia="Times New Roman" w:hAnsi="Calibri" w:cs="Times New Roman"/>
                <w:sz w:val="20"/>
                <w:szCs w:val="20"/>
              </w:rPr>
              <w:t>-%</w:t>
            </w:r>
          </w:p>
        </w:tc>
        <w:tc>
          <w:tcPr>
            <w:tcW w:w="1037"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sz w:val="20"/>
                <w:szCs w:val="20"/>
              </w:rPr>
            </w:pPr>
            <w:r w:rsidRPr="007A7FFA">
              <w:rPr>
                <w:rFonts w:ascii="Calibri" w:eastAsia="Times New Roman" w:hAnsi="Calibri" w:cs="Times New Roman"/>
                <w:sz w:val="20"/>
                <w:szCs w:val="20"/>
              </w:rPr>
              <w:t>-5%</w:t>
            </w:r>
          </w:p>
        </w:tc>
        <w:tc>
          <w:tcPr>
            <w:tcW w:w="2833" w:type="dxa"/>
            <w:tcBorders>
              <w:top w:val="nil"/>
              <w:left w:val="nil"/>
              <w:bottom w:val="single" w:sz="4" w:space="0" w:color="auto"/>
              <w:right w:val="nil"/>
            </w:tcBorders>
            <w:shd w:val="clear" w:color="auto" w:fill="auto"/>
            <w:vAlign w:val="center"/>
            <w:hideMark/>
          </w:tcPr>
          <w:p w:rsidR="007A7FFA" w:rsidRPr="007A7FFA" w:rsidRDefault="007A7FFA" w:rsidP="007A7FFA">
            <w:pPr>
              <w:spacing w:after="0" w:line="240" w:lineRule="auto"/>
              <w:rPr>
                <w:rFonts w:ascii="Calibri" w:eastAsia="Times New Roman" w:hAnsi="Calibri" w:cs="Times New Roman"/>
                <w:sz w:val="20"/>
                <w:szCs w:val="20"/>
              </w:rPr>
            </w:pPr>
            <w:r w:rsidRPr="007A7FFA">
              <w:rPr>
                <w:rFonts w:ascii="Calibri" w:eastAsia="Times New Roman" w:hAnsi="Calibri" w:cs="Times New Roman"/>
                <w:sz w:val="20"/>
                <w:szCs w:val="20"/>
              </w:rPr>
              <w:t>Uranyl Nitrate Filter Fractionation, Mod1B</w:t>
            </w:r>
          </w:p>
        </w:tc>
      </w:tr>
      <w:tr w:rsidR="007A7FFA" w:rsidRPr="007A7FFA" w:rsidTr="00BF6935">
        <w:trPr>
          <w:trHeight w:val="510"/>
          <w:jc w:val="center"/>
        </w:trPr>
        <w:tc>
          <w:tcPr>
            <w:tcW w:w="906"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color w:val="000000"/>
                <w:sz w:val="20"/>
                <w:szCs w:val="20"/>
              </w:rPr>
            </w:pPr>
            <w:r w:rsidRPr="007A7FFA">
              <w:rPr>
                <w:rFonts w:ascii="Calibri" w:eastAsia="Times New Roman" w:hAnsi="Calibri" w:cs="Times New Roman"/>
                <w:color w:val="000000"/>
                <w:sz w:val="20"/>
                <w:szCs w:val="20"/>
              </w:rPr>
              <w:t>2</w:t>
            </w:r>
          </w:p>
        </w:tc>
        <w:tc>
          <w:tcPr>
            <w:tcW w:w="988"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sz w:val="20"/>
                <w:szCs w:val="20"/>
              </w:rPr>
            </w:pPr>
            <w:r w:rsidRPr="007A7FFA">
              <w:rPr>
                <w:rFonts w:ascii="Calibri" w:eastAsia="Times New Roman" w:hAnsi="Calibri" w:cs="Times New Roman"/>
                <w:sz w:val="20"/>
                <w:szCs w:val="20"/>
              </w:rPr>
              <w:t>K</w:t>
            </w:r>
            <w:r w:rsidRPr="007A7FFA">
              <w:rPr>
                <w:rFonts w:ascii="Calibri" w:eastAsia="Times New Roman" w:hAnsi="Calibri" w:cs="Times New Roman"/>
                <w:sz w:val="20"/>
                <w:szCs w:val="20"/>
                <w:vertAlign w:val="subscript"/>
              </w:rPr>
              <w:t>Mod2B,14</w:t>
            </w:r>
          </w:p>
        </w:tc>
        <w:tc>
          <w:tcPr>
            <w:tcW w:w="988"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sz w:val="20"/>
                <w:szCs w:val="20"/>
              </w:rPr>
            </w:pPr>
            <w:proofErr w:type="spellStart"/>
            <w:r w:rsidRPr="007A7FFA">
              <w:rPr>
                <w:rFonts w:ascii="Calibri" w:eastAsia="Times New Roman" w:hAnsi="Calibri" w:cs="Times New Roman"/>
                <w:sz w:val="20"/>
                <w:szCs w:val="20"/>
              </w:rPr>
              <w:t>Xss</w:t>
            </w:r>
            <w:proofErr w:type="spellEnd"/>
            <w:r w:rsidRPr="007A7FFA">
              <w:rPr>
                <w:rFonts w:ascii="Calibri" w:eastAsia="Times New Roman" w:hAnsi="Calibri" w:cs="Times New Roman"/>
                <w:sz w:val="20"/>
                <w:szCs w:val="20"/>
              </w:rPr>
              <w:t>(276)</w:t>
            </w:r>
          </w:p>
        </w:tc>
        <w:tc>
          <w:tcPr>
            <w:tcW w:w="984"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sz w:val="20"/>
                <w:szCs w:val="20"/>
              </w:rPr>
            </w:pPr>
            <w:r w:rsidRPr="007A7FFA">
              <w:rPr>
                <w:rFonts w:ascii="Calibri" w:eastAsia="Times New Roman" w:hAnsi="Calibri" w:cs="Times New Roman"/>
                <w:sz w:val="20"/>
                <w:szCs w:val="20"/>
              </w:rPr>
              <w:t>0.995</w:t>
            </w:r>
          </w:p>
        </w:tc>
        <w:tc>
          <w:tcPr>
            <w:tcW w:w="904"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sz w:val="20"/>
                <w:szCs w:val="20"/>
              </w:rPr>
            </w:pPr>
            <w:proofErr w:type="spellStart"/>
            <w:r w:rsidRPr="007A7FFA">
              <w:rPr>
                <w:rFonts w:ascii="Calibri" w:eastAsia="Times New Roman" w:hAnsi="Calibri" w:cs="Times New Roman"/>
                <w:sz w:val="20"/>
                <w:szCs w:val="20"/>
              </w:rPr>
              <w:t>mol</w:t>
            </w:r>
            <w:proofErr w:type="spellEnd"/>
            <w:r w:rsidRPr="007A7FFA">
              <w:rPr>
                <w:rFonts w:ascii="Calibri" w:eastAsia="Times New Roman" w:hAnsi="Calibri" w:cs="Times New Roman"/>
                <w:sz w:val="20"/>
                <w:szCs w:val="20"/>
              </w:rPr>
              <w:t>-%</w:t>
            </w:r>
          </w:p>
        </w:tc>
        <w:tc>
          <w:tcPr>
            <w:tcW w:w="1037"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sz w:val="20"/>
                <w:szCs w:val="20"/>
              </w:rPr>
            </w:pPr>
            <w:r w:rsidRPr="007A7FFA">
              <w:rPr>
                <w:rFonts w:ascii="Calibri" w:eastAsia="Times New Roman" w:hAnsi="Calibri" w:cs="Times New Roman"/>
                <w:sz w:val="20"/>
                <w:szCs w:val="20"/>
              </w:rPr>
              <w:t>-5%</w:t>
            </w:r>
          </w:p>
        </w:tc>
        <w:tc>
          <w:tcPr>
            <w:tcW w:w="2833" w:type="dxa"/>
            <w:tcBorders>
              <w:top w:val="nil"/>
              <w:left w:val="nil"/>
              <w:bottom w:val="single" w:sz="4" w:space="0" w:color="auto"/>
              <w:right w:val="nil"/>
            </w:tcBorders>
            <w:shd w:val="clear" w:color="auto" w:fill="auto"/>
            <w:vAlign w:val="center"/>
            <w:hideMark/>
          </w:tcPr>
          <w:p w:rsidR="007A7FFA" w:rsidRPr="007A7FFA" w:rsidRDefault="007A7FFA" w:rsidP="007A7FFA">
            <w:pPr>
              <w:spacing w:after="0" w:line="240" w:lineRule="auto"/>
              <w:rPr>
                <w:rFonts w:ascii="Calibri" w:eastAsia="Times New Roman" w:hAnsi="Calibri" w:cs="Times New Roman"/>
                <w:sz w:val="20"/>
                <w:szCs w:val="20"/>
              </w:rPr>
            </w:pPr>
            <w:r w:rsidRPr="007A7FFA">
              <w:rPr>
                <w:rFonts w:ascii="Calibri" w:eastAsia="Times New Roman" w:hAnsi="Calibri" w:cs="Times New Roman"/>
                <w:sz w:val="20"/>
                <w:szCs w:val="20"/>
              </w:rPr>
              <w:t>Uranyl Nitrate Filter Fractionation, Mod2B</w:t>
            </w:r>
          </w:p>
        </w:tc>
      </w:tr>
      <w:tr w:rsidR="007A7FFA" w:rsidRPr="007A7FFA" w:rsidTr="00BF6935">
        <w:trPr>
          <w:trHeight w:val="510"/>
          <w:jc w:val="center"/>
        </w:trPr>
        <w:tc>
          <w:tcPr>
            <w:tcW w:w="906"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color w:val="000000"/>
                <w:sz w:val="20"/>
                <w:szCs w:val="20"/>
              </w:rPr>
            </w:pPr>
            <w:r w:rsidRPr="007A7FFA">
              <w:rPr>
                <w:rFonts w:ascii="Calibri" w:eastAsia="Times New Roman" w:hAnsi="Calibri" w:cs="Times New Roman"/>
                <w:color w:val="000000"/>
                <w:sz w:val="20"/>
                <w:szCs w:val="20"/>
              </w:rPr>
              <w:t>2</w:t>
            </w:r>
          </w:p>
        </w:tc>
        <w:tc>
          <w:tcPr>
            <w:tcW w:w="988"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sz w:val="20"/>
                <w:szCs w:val="20"/>
              </w:rPr>
            </w:pPr>
            <w:r w:rsidRPr="007A7FFA">
              <w:rPr>
                <w:rFonts w:ascii="Calibri" w:eastAsia="Times New Roman" w:hAnsi="Calibri" w:cs="Times New Roman"/>
                <w:sz w:val="20"/>
                <w:szCs w:val="20"/>
              </w:rPr>
              <w:t>K</w:t>
            </w:r>
            <w:r w:rsidRPr="007A7FFA">
              <w:rPr>
                <w:rFonts w:ascii="Calibri" w:eastAsia="Times New Roman" w:hAnsi="Calibri" w:cs="Times New Roman"/>
                <w:sz w:val="20"/>
                <w:szCs w:val="20"/>
                <w:vertAlign w:val="subscript"/>
              </w:rPr>
              <w:t>Mod2D,14</w:t>
            </w:r>
          </w:p>
        </w:tc>
        <w:tc>
          <w:tcPr>
            <w:tcW w:w="988"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sz w:val="20"/>
                <w:szCs w:val="20"/>
              </w:rPr>
            </w:pPr>
            <w:proofErr w:type="spellStart"/>
            <w:r w:rsidRPr="007A7FFA">
              <w:rPr>
                <w:rFonts w:ascii="Calibri" w:eastAsia="Times New Roman" w:hAnsi="Calibri" w:cs="Times New Roman"/>
                <w:sz w:val="20"/>
                <w:szCs w:val="20"/>
              </w:rPr>
              <w:t>Xss</w:t>
            </w:r>
            <w:proofErr w:type="spellEnd"/>
            <w:r w:rsidRPr="007A7FFA">
              <w:rPr>
                <w:rFonts w:ascii="Calibri" w:eastAsia="Times New Roman" w:hAnsi="Calibri" w:cs="Times New Roman"/>
                <w:sz w:val="20"/>
                <w:szCs w:val="20"/>
              </w:rPr>
              <w:t>(277)</w:t>
            </w:r>
          </w:p>
        </w:tc>
        <w:tc>
          <w:tcPr>
            <w:tcW w:w="984"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sz w:val="20"/>
                <w:szCs w:val="20"/>
              </w:rPr>
            </w:pPr>
            <w:r w:rsidRPr="007A7FFA">
              <w:rPr>
                <w:rFonts w:ascii="Calibri" w:eastAsia="Times New Roman" w:hAnsi="Calibri" w:cs="Times New Roman"/>
                <w:sz w:val="20"/>
                <w:szCs w:val="20"/>
              </w:rPr>
              <w:t>0.999</w:t>
            </w:r>
          </w:p>
        </w:tc>
        <w:tc>
          <w:tcPr>
            <w:tcW w:w="904"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sz w:val="20"/>
                <w:szCs w:val="20"/>
              </w:rPr>
            </w:pPr>
            <w:proofErr w:type="spellStart"/>
            <w:r w:rsidRPr="007A7FFA">
              <w:rPr>
                <w:rFonts w:ascii="Calibri" w:eastAsia="Times New Roman" w:hAnsi="Calibri" w:cs="Times New Roman"/>
                <w:sz w:val="20"/>
                <w:szCs w:val="20"/>
              </w:rPr>
              <w:t>mol</w:t>
            </w:r>
            <w:proofErr w:type="spellEnd"/>
            <w:r w:rsidRPr="007A7FFA">
              <w:rPr>
                <w:rFonts w:ascii="Calibri" w:eastAsia="Times New Roman" w:hAnsi="Calibri" w:cs="Times New Roman"/>
                <w:sz w:val="20"/>
                <w:szCs w:val="20"/>
              </w:rPr>
              <w:t>-%</w:t>
            </w:r>
          </w:p>
        </w:tc>
        <w:tc>
          <w:tcPr>
            <w:tcW w:w="1037"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sz w:val="20"/>
                <w:szCs w:val="20"/>
              </w:rPr>
            </w:pPr>
            <w:r w:rsidRPr="007A7FFA">
              <w:rPr>
                <w:rFonts w:ascii="Calibri" w:eastAsia="Times New Roman" w:hAnsi="Calibri" w:cs="Times New Roman"/>
                <w:sz w:val="20"/>
                <w:szCs w:val="20"/>
              </w:rPr>
              <w:t>-5%</w:t>
            </w:r>
          </w:p>
        </w:tc>
        <w:tc>
          <w:tcPr>
            <w:tcW w:w="2833" w:type="dxa"/>
            <w:tcBorders>
              <w:top w:val="nil"/>
              <w:left w:val="nil"/>
              <w:bottom w:val="single" w:sz="4" w:space="0" w:color="auto"/>
              <w:right w:val="nil"/>
            </w:tcBorders>
            <w:shd w:val="clear" w:color="auto" w:fill="auto"/>
            <w:vAlign w:val="center"/>
            <w:hideMark/>
          </w:tcPr>
          <w:p w:rsidR="007A7FFA" w:rsidRPr="007A7FFA" w:rsidRDefault="007A7FFA" w:rsidP="007A7FFA">
            <w:pPr>
              <w:spacing w:after="0" w:line="240" w:lineRule="auto"/>
              <w:rPr>
                <w:rFonts w:ascii="Calibri" w:eastAsia="Times New Roman" w:hAnsi="Calibri" w:cs="Times New Roman"/>
                <w:sz w:val="20"/>
                <w:szCs w:val="20"/>
              </w:rPr>
            </w:pPr>
            <w:r w:rsidRPr="007A7FFA">
              <w:rPr>
                <w:rFonts w:ascii="Calibri" w:eastAsia="Times New Roman" w:hAnsi="Calibri" w:cs="Times New Roman"/>
                <w:sz w:val="20"/>
                <w:szCs w:val="20"/>
              </w:rPr>
              <w:t>Uranyl Nitrate Filter Fractionation, Mod2D</w:t>
            </w:r>
          </w:p>
        </w:tc>
      </w:tr>
      <w:tr w:rsidR="007A7FFA" w:rsidRPr="007A7FFA" w:rsidTr="00BF6935">
        <w:trPr>
          <w:trHeight w:val="510"/>
          <w:jc w:val="center"/>
        </w:trPr>
        <w:tc>
          <w:tcPr>
            <w:tcW w:w="906"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color w:val="000000"/>
                <w:sz w:val="20"/>
                <w:szCs w:val="20"/>
              </w:rPr>
            </w:pPr>
            <w:r w:rsidRPr="007A7FFA">
              <w:rPr>
                <w:rFonts w:ascii="Calibri" w:eastAsia="Times New Roman" w:hAnsi="Calibri" w:cs="Times New Roman"/>
                <w:color w:val="000000"/>
                <w:sz w:val="20"/>
                <w:szCs w:val="20"/>
              </w:rPr>
              <w:t>3</w:t>
            </w:r>
          </w:p>
        </w:tc>
        <w:tc>
          <w:tcPr>
            <w:tcW w:w="988"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sz w:val="20"/>
                <w:szCs w:val="20"/>
              </w:rPr>
            </w:pPr>
            <w:r w:rsidRPr="007A7FFA">
              <w:rPr>
                <w:rFonts w:ascii="Calibri" w:eastAsia="Times New Roman" w:hAnsi="Calibri" w:cs="Times New Roman"/>
                <w:sz w:val="20"/>
                <w:szCs w:val="20"/>
              </w:rPr>
              <w:t>K</w:t>
            </w:r>
            <w:r w:rsidRPr="007A7FFA">
              <w:rPr>
                <w:rFonts w:ascii="Calibri" w:eastAsia="Times New Roman" w:hAnsi="Calibri" w:cs="Times New Roman"/>
                <w:sz w:val="20"/>
                <w:szCs w:val="20"/>
                <w:vertAlign w:val="subscript"/>
              </w:rPr>
              <w:t>Mod3D,19</w:t>
            </w:r>
          </w:p>
        </w:tc>
        <w:tc>
          <w:tcPr>
            <w:tcW w:w="988"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sz w:val="20"/>
                <w:szCs w:val="20"/>
              </w:rPr>
            </w:pPr>
            <w:proofErr w:type="spellStart"/>
            <w:r w:rsidRPr="007A7FFA">
              <w:rPr>
                <w:rFonts w:ascii="Calibri" w:eastAsia="Times New Roman" w:hAnsi="Calibri" w:cs="Times New Roman"/>
                <w:sz w:val="20"/>
                <w:szCs w:val="20"/>
              </w:rPr>
              <w:t>Xss</w:t>
            </w:r>
            <w:proofErr w:type="spellEnd"/>
            <w:r w:rsidRPr="007A7FFA">
              <w:rPr>
                <w:rFonts w:ascii="Calibri" w:eastAsia="Times New Roman" w:hAnsi="Calibri" w:cs="Times New Roman"/>
                <w:sz w:val="20"/>
                <w:szCs w:val="20"/>
              </w:rPr>
              <w:t>(278)</w:t>
            </w:r>
          </w:p>
        </w:tc>
        <w:tc>
          <w:tcPr>
            <w:tcW w:w="984"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sz w:val="20"/>
                <w:szCs w:val="20"/>
              </w:rPr>
            </w:pPr>
            <w:r w:rsidRPr="007A7FFA">
              <w:rPr>
                <w:rFonts w:ascii="Calibri" w:eastAsia="Times New Roman" w:hAnsi="Calibri" w:cs="Times New Roman"/>
                <w:sz w:val="20"/>
                <w:szCs w:val="20"/>
              </w:rPr>
              <w:t>0.995</w:t>
            </w:r>
          </w:p>
        </w:tc>
        <w:tc>
          <w:tcPr>
            <w:tcW w:w="904"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sz w:val="20"/>
                <w:szCs w:val="20"/>
              </w:rPr>
            </w:pPr>
            <w:proofErr w:type="spellStart"/>
            <w:r w:rsidRPr="007A7FFA">
              <w:rPr>
                <w:rFonts w:ascii="Calibri" w:eastAsia="Times New Roman" w:hAnsi="Calibri" w:cs="Times New Roman"/>
                <w:sz w:val="20"/>
                <w:szCs w:val="20"/>
              </w:rPr>
              <w:t>mol</w:t>
            </w:r>
            <w:proofErr w:type="spellEnd"/>
            <w:r w:rsidRPr="007A7FFA">
              <w:rPr>
                <w:rFonts w:ascii="Calibri" w:eastAsia="Times New Roman" w:hAnsi="Calibri" w:cs="Times New Roman"/>
                <w:sz w:val="20"/>
                <w:szCs w:val="20"/>
              </w:rPr>
              <w:t>-%</w:t>
            </w:r>
          </w:p>
        </w:tc>
        <w:tc>
          <w:tcPr>
            <w:tcW w:w="1037"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sz w:val="20"/>
                <w:szCs w:val="20"/>
              </w:rPr>
            </w:pPr>
            <w:r w:rsidRPr="007A7FFA">
              <w:rPr>
                <w:rFonts w:ascii="Calibri" w:eastAsia="Times New Roman" w:hAnsi="Calibri" w:cs="Times New Roman"/>
                <w:sz w:val="20"/>
                <w:szCs w:val="20"/>
              </w:rPr>
              <w:t>-5%</w:t>
            </w:r>
          </w:p>
        </w:tc>
        <w:tc>
          <w:tcPr>
            <w:tcW w:w="2833" w:type="dxa"/>
            <w:tcBorders>
              <w:top w:val="nil"/>
              <w:left w:val="nil"/>
              <w:bottom w:val="single" w:sz="4" w:space="0" w:color="auto"/>
              <w:right w:val="nil"/>
            </w:tcBorders>
            <w:shd w:val="clear" w:color="auto" w:fill="auto"/>
            <w:vAlign w:val="center"/>
            <w:hideMark/>
          </w:tcPr>
          <w:p w:rsidR="007A7FFA" w:rsidRPr="007A7FFA" w:rsidRDefault="007A7FFA" w:rsidP="007A7FFA">
            <w:pPr>
              <w:spacing w:after="0" w:line="240" w:lineRule="auto"/>
              <w:rPr>
                <w:rFonts w:ascii="Calibri" w:eastAsia="Times New Roman" w:hAnsi="Calibri" w:cs="Times New Roman"/>
                <w:sz w:val="20"/>
                <w:szCs w:val="20"/>
              </w:rPr>
            </w:pPr>
            <w:r w:rsidRPr="007A7FFA">
              <w:rPr>
                <w:rFonts w:ascii="Calibri" w:eastAsia="Times New Roman" w:hAnsi="Calibri" w:cs="Times New Roman"/>
                <w:sz w:val="20"/>
                <w:szCs w:val="20"/>
              </w:rPr>
              <w:t>Ammonium Uranyl Carbonate Filter Fractionation, Mod3D</w:t>
            </w:r>
          </w:p>
        </w:tc>
      </w:tr>
      <w:tr w:rsidR="007A7FFA" w:rsidRPr="007A7FFA" w:rsidTr="00BF6935">
        <w:trPr>
          <w:trHeight w:val="510"/>
          <w:jc w:val="center"/>
        </w:trPr>
        <w:tc>
          <w:tcPr>
            <w:tcW w:w="906"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color w:val="000000"/>
                <w:sz w:val="20"/>
                <w:szCs w:val="20"/>
              </w:rPr>
            </w:pPr>
            <w:r w:rsidRPr="007A7FFA">
              <w:rPr>
                <w:rFonts w:ascii="Calibri" w:eastAsia="Times New Roman" w:hAnsi="Calibri" w:cs="Times New Roman"/>
                <w:color w:val="000000"/>
                <w:sz w:val="20"/>
                <w:szCs w:val="20"/>
              </w:rPr>
              <w:t>4</w:t>
            </w:r>
          </w:p>
        </w:tc>
        <w:tc>
          <w:tcPr>
            <w:tcW w:w="988"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sz w:val="20"/>
                <w:szCs w:val="20"/>
              </w:rPr>
            </w:pPr>
            <w:r w:rsidRPr="007A7FFA">
              <w:rPr>
                <w:rFonts w:ascii="Symbol" w:eastAsia="Times New Roman" w:hAnsi="Symbol" w:cs="Times New Roman"/>
                <w:sz w:val="20"/>
                <w:szCs w:val="20"/>
              </w:rPr>
              <w:t></w:t>
            </w:r>
            <w:r w:rsidRPr="007A7FFA">
              <w:rPr>
                <w:rFonts w:ascii="Calibri" w:eastAsia="Times New Roman" w:hAnsi="Calibri" w:cs="Times New Roman"/>
                <w:sz w:val="20"/>
                <w:szCs w:val="20"/>
                <w:vertAlign w:val="subscript"/>
              </w:rPr>
              <w:t>Mod4D</w:t>
            </w:r>
          </w:p>
        </w:tc>
        <w:tc>
          <w:tcPr>
            <w:tcW w:w="988"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sz w:val="20"/>
                <w:szCs w:val="20"/>
              </w:rPr>
            </w:pPr>
            <w:proofErr w:type="spellStart"/>
            <w:r w:rsidRPr="007A7FFA">
              <w:rPr>
                <w:rFonts w:ascii="Calibri" w:eastAsia="Times New Roman" w:hAnsi="Calibri" w:cs="Times New Roman"/>
                <w:sz w:val="20"/>
                <w:szCs w:val="20"/>
              </w:rPr>
              <w:t>Xss</w:t>
            </w:r>
            <w:proofErr w:type="spellEnd"/>
            <w:r w:rsidRPr="007A7FFA">
              <w:rPr>
                <w:rFonts w:ascii="Calibri" w:eastAsia="Times New Roman" w:hAnsi="Calibri" w:cs="Times New Roman"/>
                <w:sz w:val="20"/>
                <w:szCs w:val="20"/>
              </w:rPr>
              <w:t>(279)</w:t>
            </w:r>
          </w:p>
        </w:tc>
        <w:tc>
          <w:tcPr>
            <w:tcW w:w="984"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sz w:val="20"/>
                <w:szCs w:val="20"/>
              </w:rPr>
            </w:pPr>
            <w:r w:rsidRPr="007A7FFA">
              <w:rPr>
                <w:rFonts w:ascii="Calibri" w:eastAsia="Times New Roman" w:hAnsi="Calibri" w:cs="Times New Roman"/>
                <w:sz w:val="20"/>
                <w:szCs w:val="20"/>
              </w:rPr>
              <w:t>0.95</w:t>
            </w:r>
          </w:p>
        </w:tc>
        <w:tc>
          <w:tcPr>
            <w:tcW w:w="904"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sz w:val="20"/>
                <w:szCs w:val="20"/>
              </w:rPr>
            </w:pPr>
            <w:r w:rsidRPr="007A7FFA">
              <w:rPr>
                <w:rFonts w:ascii="Calibri" w:eastAsia="Times New Roman" w:hAnsi="Calibri" w:cs="Times New Roman"/>
                <w:sz w:val="20"/>
                <w:szCs w:val="20"/>
              </w:rPr>
              <w:t> </w:t>
            </w:r>
          </w:p>
        </w:tc>
        <w:tc>
          <w:tcPr>
            <w:tcW w:w="1037" w:type="dxa"/>
            <w:tcBorders>
              <w:top w:val="nil"/>
              <w:left w:val="nil"/>
              <w:bottom w:val="single" w:sz="4"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color w:val="000000"/>
                <w:sz w:val="20"/>
                <w:szCs w:val="20"/>
              </w:rPr>
            </w:pPr>
            <w:r w:rsidRPr="007A7FFA">
              <w:rPr>
                <w:rFonts w:ascii="Calibri" w:eastAsia="Times New Roman" w:hAnsi="Calibri" w:cs="Times New Roman"/>
                <w:color w:val="000000"/>
                <w:sz w:val="20"/>
                <w:szCs w:val="20"/>
              </w:rPr>
              <w:t>±5%</w:t>
            </w:r>
          </w:p>
        </w:tc>
        <w:tc>
          <w:tcPr>
            <w:tcW w:w="2833" w:type="dxa"/>
            <w:tcBorders>
              <w:top w:val="nil"/>
              <w:left w:val="nil"/>
              <w:bottom w:val="single" w:sz="4" w:space="0" w:color="auto"/>
              <w:right w:val="nil"/>
            </w:tcBorders>
            <w:shd w:val="clear" w:color="auto" w:fill="auto"/>
            <w:vAlign w:val="center"/>
            <w:hideMark/>
          </w:tcPr>
          <w:p w:rsidR="007A7FFA" w:rsidRPr="007A7FFA" w:rsidRDefault="007A7FFA" w:rsidP="007A7FFA">
            <w:pPr>
              <w:spacing w:after="0" w:line="240" w:lineRule="auto"/>
              <w:rPr>
                <w:rFonts w:ascii="Calibri" w:eastAsia="Times New Roman" w:hAnsi="Calibri" w:cs="Times New Roman"/>
                <w:sz w:val="20"/>
                <w:szCs w:val="20"/>
              </w:rPr>
            </w:pPr>
            <w:r w:rsidRPr="007A7FFA">
              <w:rPr>
                <w:rFonts w:ascii="Calibri" w:eastAsia="Times New Roman" w:hAnsi="Calibri" w:cs="Times New Roman"/>
                <w:sz w:val="20"/>
                <w:szCs w:val="20"/>
              </w:rPr>
              <w:t>Flow parameter, insures sufficient HF is fed for conversion, Mod4D</w:t>
            </w:r>
          </w:p>
        </w:tc>
      </w:tr>
      <w:tr w:rsidR="007A7FFA" w:rsidRPr="007A7FFA" w:rsidTr="00BF6935">
        <w:trPr>
          <w:trHeight w:val="300"/>
          <w:jc w:val="center"/>
        </w:trPr>
        <w:tc>
          <w:tcPr>
            <w:tcW w:w="906" w:type="dxa"/>
            <w:tcBorders>
              <w:top w:val="nil"/>
              <w:left w:val="nil"/>
              <w:bottom w:val="single" w:sz="8"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color w:val="000000"/>
                <w:sz w:val="20"/>
                <w:szCs w:val="20"/>
              </w:rPr>
            </w:pPr>
            <w:r w:rsidRPr="007A7FFA">
              <w:rPr>
                <w:rFonts w:ascii="Calibri" w:eastAsia="Times New Roman" w:hAnsi="Calibri" w:cs="Times New Roman"/>
                <w:color w:val="000000"/>
                <w:sz w:val="20"/>
                <w:szCs w:val="20"/>
              </w:rPr>
              <w:t>5</w:t>
            </w:r>
          </w:p>
        </w:tc>
        <w:tc>
          <w:tcPr>
            <w:tcW w:w="988" w:type="dxa"/>
            <w:tcBorders>
              <w:top w:val="nil"/>
              <w:left w:val="nil"/>
              <w:bottom w:val="single" w:sz="8"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sz w:val="20"/>
                <w:szCs w:val="20"/>
              </w:rPr>
            </w:pPr>
            <w:r w:rsidRPr="007A7FFA">
              <w:rPr>
                <w:rFonts w:ascii="Calibri" w:eastAsia="Times New Roman" w:hAnsi="Calibri" w:cs="Times New Roman"/>
                <w:sz w:val="20"/>
                <w:szCs w:val="20"/>
              </w:rPr>
              <w:t>S</w:t>
            </w:r>
            <w:r w:rsidRPr="007A7FFA">
              <w:rPr>
                <w:rFonts w:ascii="Calibri" w:eastAsia="Times New Roman" w:hAnsi="Calibri" w:cs="Times New Roman"/>
                <w:sz w:val="20"/>
                <w:szCs w:val="20"/>
                <w:vertAlign w:val="subscript"/>
              </w:rPr>
              <w:t>Mod5A</w:t>
            </w:r>
          </w:p>
        </w:tc>
        <w:tc>
          <w:tcPr>
            <w:tcW w:w="988" w:type="dxa"/>
            <w:tcBorders>
              <w:top w:val="nil"/>
              <w:left w:val="nil"/>
              <w:bottom w:val="single" w:sz="8"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sz w:val="20"/>
                <w:szCs w:val="20"/>
              </w:rPr>
            </w:pPr>
            <w:proofErr w:type="spellStart"/>
            <w:r w:rsidRPr="007A7FFA">
              <w:rPr>
                <w:rFonts w:ascii="Calibri" w:eastAsia="Times New Roman" w:hAnsi="Calibri" w:cs="Times New Roman"/>
                <w:sz w:val="20"/>
                <w:szCs w:val="20"/>
              </w:rPr>
              <w:t>Xss</w:t>
            </w:r>
            <w:proofErr w:type="spellEnd"/>
            <w:r w:rsidRPr="007A7FFA">
              <w:rPr>
                <w:rFonts w:ascii="Calibri" w:eastAsia="Times New Roman" w:hAnsi="Calibri" w:cs="Times New Roman"/>
                <w:sz w:val="20"/>
                <w:szCs w:val="20"/>
              </w:rPr>
              <w:t>(280)</w:t>
            </w:r>
          </w:p>
        </w:tc>
        <w:tc>
          <w:tcPr>
            <w:tcW w:w="984" w:type="dxa"/>
            <w:tcBorders>
              <w:top w:val="nil"/>
              <w:left w:val="nil"/>
              <w:bottom w:val="single" w:sz="8"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sz w:val="20"/>
                <w:szCs w:val="20"/>
              </w:rPr>
            </w:pPr>
            <w:r w:rsidRPr="007A7FFA">
              <w:rPr>
                <w:rFonts w:ascii="Calibri" w:eastAsia="Times New Roman" w:hAnsi="Calibri" w:cs="Times New Roman"/>
                <w:sz w:val="20"/>
                <w:szCs w:val="20"/>
              </w:rPr>
              <w:t>0.1</w:t>
            </w:r>
          </w:p>
        </w:tc>
        <w:tc>
          <w:tcPr>
            <w:tcW w:w="904" w:type="dxa"/>
            <w:tcBorders>
              <w:top w:val="nil"/>
              <w:left w:val="nil"/>
              <w:bottom w:val="single" w:sz="8"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sz w:val="20"/>
                <w:szCs w:val="20"/>
              </w:rPr>
            </w:pPr>
            <w:proofErr w:type="spellStart"/>
            <w:r w:rsidRPr="007A7FFA">
              <w:rPr>
                <w:rFonts w:ascii="Calibri" w:eastAsia="Times New Roman" w:hAnsi="Calibri" w:cs="Times New Roman"/>
                <w:sz w:val="20"/>
                <w:szCs w:val="20"/>
              </w:rPr>
              <w:t>mol</w:t>
            </w:r>
            <w:proofErr w:type="spellEnd"/>
            <w:r w:rsidRPr="007A7FFA">
              <w:rPr>
                <w:rFonts w:ascii="Calibri" w:eastAsia="Times New Roman" w:hAnsi="Calibri" w:cs="Times New Roman"/>
                <w:sz w:val="20"/>
                <w:szCs w:val="20"/>
              </w:rPr>
              <w:t>-%</w:t>
            </w:r>
          </w:p>
        </w:tc>
        <w:tc>
          <w:tcPr>
            <w:tcW w:w="1037" w:type="dxa"/>
            <w:tcBorders>
              <w:top w:val="nil"/>
              <w:left w:val="nil"/>
              <w:bottom w:val="single" w:sz="8" w:space="0" w:color="auto"/>
              <w:right w:val="nil"/>
            </w:tcBorders>
            <w:shd w:val="clear" w:color="auto" w:fill="auto"/>
            <w:noWrap/>
            <w:vAlign w:val="center"/>
            <w:hideMark/>
          </w:tcPr>
          <w:p w:rsidR="007A7FFA" w:rsidRPr="007A7FFA" w:rsidRDefault="007A7FFA" w:rsidP="007A7FFA">
            <w:pPr>
              <w:spacing w:after="0" w:line="240" w:lineRule="auto"/>
              <w:jc w:val="center"/>
              <w:rPr>
                <w:rFonts w:ascii="Calibri" w:eastAsia="Times New Roman" w:hAnsi="Calibri" w:cs="Times New Roman"/>
                <w:color w:val="000000"/>
                <w:sz w:val="20"/>
                <w:szCs w:val="20"/>
              </w:rPr>
            </w:pPr>
            <w:r w:rsidRPr="007A7FFA">
              <w:rPr>
                <w:rFonts w:ascii="Calibri" w:eastAsia="Times New Roman" w:hAnsi="Calibri" w:cs="Times New Roman"/>
                <w:color w:val="000000"/>
                <w:sz w:val="20"/>
                <w:szCs w:val="20"/>
              </w:rPr>
              <w:t>±10%</w:t>
            </w:r>
          </w:p>
        </w:tc>
        <w:tc>
          <w:tcPr>
            <w:tcW w:w="2833" w:type="dxa"/>
            <w:tcBorders>
              <w:top w:val="nil"/>
              <w:left w:val="nil"/>
              <w:bottom w:val="single" w:sz="8" w:space="0" w:color="auto"/>
              <w:right w:val="nil"/>
            </w:tcBorders>
            <w:shd w:val="clear" w:color="auto" w:fill="auto"/>
            <w:vAlign w:val="center"/>
            <w:hideMark/>
          </w:tcPr>
          <w:p w:rsidR="007A7FFA" w:rsidRPr="007A7FFA" w:rsidRDefault="007A7FFA" w:rsidP="007A7FFA">
            <w:pPr>
              <w:spacing w:after="0" w:line="240" w:lineRule="auto"/>
              <w:rPr>
                <w:rFonts w:ascii="Calibri" w:eastAsia="Times New Roman" w:hAnsi="Calibri" w:cs="Times New Roman"/>
                <w:sz w:val="20"/>
                <w:szCs w:val="20"/>
              </w:rPr>
            </w:pPr>
            <w:r w:rsidRPr="007A7FFA">
              <w:rPr>
                <w:rFonts w:ascii="Calibri" w:eastAsia="Times New Roman" w:hAnsi="Calibri" w:cs="Times New Roman"/>
                <w:sz w:val="20"/>
                <w:szCs w:val="20"/>
              </w:rPr>
              <w:t>Splitter fractionation, Mod5A</w:t>
            </w:r>
          </w:p>
        </w:tc>
      </w:tr>
    </w:tbl>
    <w:p w:rsidR="008540AF" w:rsidRDefault="008540AF" w:rsidP="00E664E4"/>
    <w:p w:rsidR="00B7594C" w:rsidRDefault="00B7594C" w:rsidP="00E664E4"/>
    <w:p w:rsidR="00E664E4" w:rsidRDefault="00E664E4" w:rsidP="00E664E4">
      <w:r w:rsidRPr="00DF5C50">
        <w:t>The th</w:t>
      </w:r>
      <w:r>
        <w:t>ird and fourth</w:t>
      </w:r>
      <w:r w:rsidR="001B479B">
        <w:t xml:space="preserve"> </w:t>
      </w:r>
      <w:r>
        <w:t>variables selected as inputs</w:t>
      </w:r>
      <w:r w:rsidR="00A83BCA">
        <w:t xml:space="preserve"> </w:t>
      </w:r>
      <w:r>
        <w:t>we</w:t>
      </w:r>
      <w:r w:rsidRPr="00DF5C50">
        <w:t>re the uranyl nitrate filter fractionation parameters</w:t>
      </w:r>
      <w:r>
        <w:t xml:space="preserve"> in Module 2</w:t>
      </w:r>
      <w:r w:rsidR="001B479B">
        <w:t xml:space="preserve"> [</w:t>
      </w:r>
      <w:proofErr w:type="spellStart"/>
      <w:proofErr w:type="gramStart"/>
      <w:r w:rsidR="001B479B">
        <w:t>Xss</w:t>
      </w:r>
      <w:proofErr w:type="spellEnd"/>
      <w:r w:rsidR="001B479B">
        <w:t>(</w:t>
      </w:r>
      <w:proofErr w:type="gramEnd"/>
      <w:r w:rsidR="001B479B">
        <w:t xml:space="preserve">276) and </w:t>
      </w:r>
      <w:proofErr w:type="spellStart"/>
      <w:r w:rsidR="001B479B">
        <w:t>Xss</w:t>
      </w:r>
      <w:proofErr w:type="spellEnd"/>
      <w:r w:rsidR="001B479B">
        <w:t>(277)]</w:t>
      </w:r>
      <w:r>
        <w:t>. These parameters we</w:t>
      </w:r>
      <w:r w:rsidRPr="00DF5C50">
        <w:t>re from the extraction column (Module 2B) and the stripping column (Module 2D). The uranyl nitrate componen</w:t>
      </w:r>
      <w:r>
        <w:t>t was selected because uranium wa</w:t>
      </w:r>
      <w:r w:rsidRPr="00DF5C50">
        <w:t xml:space="preserve">s the species of interest throughout this process. Additionally, </w:t>
      </w:r>
      <w:r>
        <w:t xml:space="preserve">over 35% of the state variables were sensitive to </w:t>
      </w:r>
      <w:r w:rsidRPr="00DF5C50">
        <w:t>changes in these parameters</w:t>
      </w:r>
      <w:r>
        <w:t xml:space="preserve"> with over 50% of those sensitive state variables were uranium-bearing components. The initial value given wa</w:t>
      </w:r>
      <w:r w:rsidRPr="00DF5C50">
        <w:t>s the maximum so the variation w</w:t>
      </w:r>
      <w:r>
        <w:t>as a</w:t>
      </w:r>
      <w:r w:rsidRPr="00DF5C50">
        <w:t xml:space="preserve"> reduc</w:t>
      </w:r>
      <w:r>
        <w:t>tion</w:t>
      </w:r>
      <w:r w:rsidRPr="00DF5C50">
        <w:t xml:space="preserve"> </w:t>
      </w:r>
      <w:r>
        <w:t xml:space="preserve">in </w:t>
      </w:r>
      <w:r w:rsidRPr="00DF5C50">
        <w:t>the fractionation.</w:t>
      </w:r>
    </w:p>
    <w:p w:rsidR="00E664E4" w:rsidRDefault="00E664E4" w:rsidP="00E664E4">
      <w:r>
        <w:t>The fifth input variable selected wa</w:t>
      </w:r>
      <w:r w:rsidRPr="00DF5C50">
        <w:t>s the AUC filter fractionatio</w:t>
      </w:r>
      <w:r>
        <w:t>n parameter in Module 3D</w:t>
      </w:r>
      <w:r w:rsidR="001B479B">
        <w:t xml:space="preserve"> [</w:t>
      </w:r>
      <w:proofErr w:type="spellStart"/>
      <w:proofErr w:type="gramStart"/>
      <w:r w:rsidR="001B479B">
        <w:t>Xss</w:t>
      </w:r>
      <w:proofErr w:type="spellEnd"/>
      <w:r w:rsidR="001B479B">
        <w:t>(</w:t>
      </w:r>
      <w:proofErr w:type="gramEnd"/>
      <w:r w:rsidR="001B479B">
        <w:t>278)]</w:t>
      </w:r>
      <w:r>
        <w:t>. That wa</w:t>
      </w:r>
      <w:r w:rsidRPr="00DF5C50">
        <w:t xml:space="preserve">s the amount of AUC that </w:t>
      </w:r>
      <w:r>
        <w:t xml:space="preserve">was separated </w:t>
      </w:r>
      <w:r w:rsidRPr="00DF5C50">
        <w:t xml:space="preserve">from Stream 29 </w:t>
      </w:r>
      <w:r>
        <w:t>and sent to Stream 30. This determined</w:t>
      </w:r>
      <w:r w:rsidRPr="00DF5C50">
        <w:t xml:space="preserve"> how much of the solid AUC </w:t>
      </w:r>
      <w:r>
        <w:t xml:space="preserve">became </w:t>
      </w:r>
      <w:r w:rsidRPr="00DF5C50">
        <w:t xml:space="preserve">the Module 3 product and how </w:t>
      </w:r>
      <w:r>
        <w:t xml:space="preserve">much was </w:t>
      </w:r>
      <w:r w:rsidRPr="00DF5C50">
        <w:t xml:space="preserve">waste. Depending on the filter media, amount of </w:t>
      </w:r>
      <w:r>
        <w:t>washing, and particle size, it wa</w:t>
      </w:r>
      <w:r w:rsidRPr="00DF5C50">
        <w:t>s reasonable that there would be some variation in the amount of AUC in the Module 3 product. Again, the initial v</w:t>
      </w:r>
      <w:r>
        <w:t>alue given wa</w:t>
      </w:r>
      <w:r w:rsidRPr="00DF5C50">
        <w:t>s the maximum so the variation w</w:t>
      </w:r>
      <w:r>
        <w:t>as a</w:t>
      </w:r>
      <w:r w:rsidRPr="00DF5C50">
        <w:t xml:space="preserve"> reduc</w:t>
      </w:r>
      <w:r>
        <w:t xml:space="preserve">tion in </w:t>
      </w:r>
      <w:r w:rsidRPr="00DF5C50">
        <w:t xml:space="preserve">the fractionation. Additionally, </w:t>
      </w:r>
      <w:r>
        <w:t xml:space="preserve">28% of the state variables, 58% of which contained uranium, were sensitive to this parameter. </w:t>
      </w:r>
    </w:p>
    <w:p w:rsidR="00E664E4" w:rsidRDefault="00E664E4" w:rsidP="00E664E4">
      <w:r>
        <w:t>The sixth input variable selected was the flow parameter that wa</w:t>
      </w:r>
      <w:r w:rsidRPr="00DF5C50">
        <w:t xml:space="preserve">s used to ensure sufficient </w:t>
      </w:r>
      <w:r>
        <w:t>hydrogen fluoride wa</w:t>
      </w:r>
      <w:r w:rsidRPr="00DF5C50">
        <w:t xml:space="preserve">s fed for the </w:t>
      </w:r>
      <w:proofErr w:type="spellStart"/>
      <w:r w:rsidRPr="00DF5C50">
        <w:t>hydrofluorination</w:t>
      </w:r>
      <w:proofErr w:type="spellEnd"/>
      <w:r w:rsidRPr="00DF5C50">
        <w:t xml:space="preserve"> reactio</w:t>
      </w:r>
      <w:r>
        <w:t>n in Module 4D</w:t>
      </w:r>
      <w:r w:rsidR="001B479B">
        <w:t xml:space="preserve"> [</w:t>
      </w:r>
      <w:proofErr w:type="spellStart"/>
      <w:proofErr w:type="gramStart"/>
      <w:r w:rsidR="001B479B">
        <w:t>Xss</w:t>
      </w:r>
      <w:proofErr w:type="spellEnd"/>
      <w:r w:rsidR="001B479B">
        <w:t>(</w:t>
      </w:r>
      <w:proofErr w:type="gramEnd"/>
      <w:r w:rsidR="001B479B">
        <w:t>279)]</w:t>
      </w:r>
      <w:r>
        <w:t>. This parameter wa</w:t>
      </w:r>
      <w:r w:rsidRPr="00DF5C50">
        <w:t xml:space="preserve">s used to define the </w:t>
      </w:r>
      <w:r>
        <w:t>amount of HF that was fed to the system; the incoming HF stream wa</w:t>
      </w:r>
      <w:r w:rsidRPr="00DF5C50">
        <w:t xml:space="preserve">s </w:t>
      </w:r>
      <w:r>
        <w:t xml:space="preserve">a </w:t>
      </w:r>
      <w:r w:rsidRPr="00DF5C50">
        <w:t>dependent input stream and</w:t>
      </w:r>
      <w:r>
        <w:t xml:space="preserve"> therefore an unknown since it wa</w:t>
      </w:r>
      <w:r w:rsidRPr="00DF5C50">
        <w:t>s based on the amount of UO</w:t>
      </w:r>
      <w:r w:rsidRPr="00DF5C50">
        <w:rPr>
          <w:vertAlign w:val="subscript"/>
        </w:rPr>
        <w:t>2</w:t>
      </w:r>
      <w:r w:rsidRPr="00DF5C50">
        <w:t xml:space="preserve"> that </w:t>
      </w:r>
      <w:r>
        <w:t>wa</w:t>
      </w:r>
      <w:r w:rsidRPr="00DF5C50">
        <w:t xml:space="preserve">s fed to the fluidized </w:t>
      </w:r>
      <w:r>
        <w:t>bed reactor. Hydrogen fluoride wa</w:t>
      </w:r>
      <w:r w:rsidRPr="00DF5C50">
        <w:t xml:space="preserve">s the rate controlling reactant in the </w:t>
      </w:r>
      <w:proofErr w:type="spellStart"/>
      <w:r w:rsidRPr="00DF5C50">
        <w:t>hydrofluorinati</w:t>
      </w:r>
      <w:r>
        <w:t>on</w:t>
      </w:r>
      <w:proofErr w:type="spellEnd"/>
      <w:r>
        <w:t xml:space="preserve"> reaction. The </w:t>
      </w:r>
      <w:r>
        <w:lastRenderedPageBreak/>
        <w:t>amount of HF wa</w:t>
      </w:r>
      <w:r w:rsidRPr="00DF5C50">
        <w:t xml:space="preserve">s fed in less than stoichiometric amounts so that </w:t>
      </w:r>
      <w:r>
        <w:t xml:space="preserve">minimal </w:t>
      </w:r>
      <w:r w:rsidRPr="00DF5C50">
        <w:t>HF remain</w:t>
      </w:r>
      <w:r>
        <w:t>ed</w:t>
      </w:r>
      <w:r w:rsidRPr="00DF5C50">
        <w:t xml:space="preserve"> afte</w:t>
      </w:r>
      <w:r>
        <w:t>r the reaction. This parameter a</w:t>
      </w:r>
      <w:r w:rsidRPr="00DF5C50">
        <w:t>ffect</w:t>
      </w:r>
      <w:r>
        <w:t>ed</w:t>
      </w:r>
      <w:r w:rsidRPr="00DF5C50">
        <w:t xml:space="preserve"> the uranium</w:t>
      </w:r>
      <w:r>
        <w:t xml:space="preserve"> components</w:t>
      </w:r>
      <w:r w:rsidRPr="00DF5C50">
        <w:t xml:space="preserve"> f</w:t>
      </w:r>
      <w:r>
        <w:t>rom Module 4D downstream which was expected since it affected</w:t>
      </w:r>
      <w:r w:rsidRPr="00DF5C50">
        <w:t xml:space="preserve"> the amount of UF</w:t>
      </w:r>
      <w:r w:rsidRPr="00E72897">
        <w:rPr>
          <w:vertAlign w:val="subscript"/>
        </w:rPr>
        <w:t>4</w:t>
      </w:r>
      <w:r>
        <w:t xml:space="preserve"> </w:t>
      </w:r>
      <w:r w:rsidRPr="00DF5C50">
        <w:t>produced and the amount of UO</w:t>
      </w:r>
      <w:r w:rsidRPr="00E72897">
        <w:rPr>
          <w:vertAlign w:val="subscript"/>
        </w:rPr>
        <w:t>2</w:t>
      </w:r>
      <w:r>
        <w:t xml:space="preserve"> </w:t>
      </w:r>
      <w:r w:rsidRPr="00DF5C50">
        <w:t>consumed.</w:t>
      </w:r>
      <w:r>
        <w:t xml:space="preserve"> Almost 18% of the state variables, 71% of which contained uranium, were sensitive to this parameter. </w:t>
      </w:r>
    </w:p>
    <w:p w:rsidR="00E664E4" w:rsidRDefault="00E664E4" w:rsidP="00E664E4">
      <w:r>
        <w:t>The final input variable selected wa</w:t>
      </w:r>
      <w:r w:rsidRPr="00DF5C50">
        <w:t>s the splitter fraction</w:t>
      </w:r>
      <w:r>
        <w:t>ation in Module 5A</w:t>
      </w:r>
      <w:r w:rsidR="001B479B">
        <w:t xml:space="preserve"> [</w:t>
      </w:r>
      <w:proofErr w:type="spellStart"/>
      <w:proofErr w:type="gramStart"/>
      <w:r w:rsidR="001B479B">
        <w:t>Xss</w:t>
      </w:r>
      <w:proofErr w:type="spellEnd"/>
      <w:r w:rsidR="001B479B">
        <w:t>(</w:t>
      </w:r>
      <w:proofErr w:type="gramEnd"/>
      <w:r w:rsidR="001B479B">
        <w:t>280)]</w:t>
      </w:r>
      <w:r>
        <w:t>. A splitter wa</w:t>
      </w:r>
      <w:r w:rsidRPr="00DF5C50">
        <w:t>s different from the other separators since i</w:t>
      </w:r>
      <w:r>
        <w:t>t</w:t>
      </w:r>
      <w:r w:rsidRPr="00DF5C50">
        <w:t xml:space="preserve"> split the stream into multiple streams but retain</w:t>
      </w:r>
      <w:r>
        <w:t>ed</w:t>
      </w:r>
      <w:r w:rsidRPr="00DF5C50">
        <w:t xml:space="preserve"> the same component ratios of the initial s</w:t>
      </w:r>
      <w:r>
        <w:t>tream. The stream splitter was used to send</w:t>
      </w:r>
      <w:r w:rsidRPr="00DF5C50">
        <w:t xml:space="preserve"> a fraction of the incoming UF</w:t>
      </w:r>
      <w:r w:rsidRPr="00E72897">
        <w:rPr>
          <w:vertAlign w:val="subscript"/>
        </w:rPr>
        <w:t>4</w:t>
      </w:r>
      <w:r w:rsidRPr="00DF5C50">
        <w:t xml:space="preserve"> further down the process for secondary reaction </w:t>
      </w:r>
      <w:r>
        <w:t>used to remove</w:t>
      </w:r>
      <w:r w:rsidRPr="00DF5C50">
        <w:t xml:space="preserve"> excess fluorine from the process. A </w:t>
      </w:r>
      <w:r>
        <w:t>change in this parameter affected</w:t>
      </w:r>
      <w:r w:rsidRPr="00DF5C50">
        <w:t xml:space="preserve"> most o</w:t>
      </w:r>
      <w:r>
        <w:t>f the unknowns in Module 5. Over 77% of the state variables in Module 5 were sensitive to this parameter; 68% of the sensitive state variables contained uranium. It wa</w:t>
      </w:r>
      <w:r w:rsidRPr="00DF5C50">
        <w:t>s also reasonable from an operations standpoint to expect this split to vary slightly.</w:t>
      </w:r>
    </w:p>
    <w:p w:rsidR="00E664E4" w:rsidRDefault="00E664E4" w:rsidP="00E664E4">
      <w:r>
        <w:t>Once all of the equations, parameters, and input variables were defined, the ‘</w:t>
      </w:r>
      <w:proofErr w:type="spellStart"/>
      <w:r>
        <w:t>fsolve</w:t>
      </w:r>
      <w:proofErr w:type="spellEnd"/>
      <w:r>
        <w:t xml:space="preserve">’ function in MATLAB® was used to determine the initial steady-state solution at the nominal parameter and input variable settings. This was the solution for the material balance equations solved simultaneously using the nominal values from Table 3.11. The base case data set was generated by systematically calculating the steady-state solution for each combination of values of the input variables using the range of variation provided in Table 3.11. Each row of the data matrix represented one steady-state solution. </w:t>
      </w:r>
    </w:p>
    <w:p w:rsidR="00E664E4" w:rsidRDefault="00E664E4" w:rsidP="00E664E4">
      <w:r>
        <w:t>Figure 3.33 lists the MATLAB® files used to generate the base case data. A description of each file is also provided in the figure.</w:t>
      </w:r>
    </w:p>
    <w:p w:rsidR="008540AF" w:rsidRDefault="008540AF" w:rsidP="00E664E4"/>
    <w:p w:rsidR="008540AF" w:rsidRDefault="008540AF" w:rsidP="008540AF">
      <w:pPr>
        <w:rPr>
          <w:rFonts w:asciiTheme="majorHAnsi" w:hAnsiTheme="majorHAnsi"/>
          <w:b/>
          <w:caps/>
        </w:rPr>
      </w:pPr>
      <w:r w:rsidRPr="00566146">
        <w:rPr>
          <w:rFonts w:asciiTheme="majorHAnsi" w:hAnsiTheme="majorHAnsi"/>
          <w:b/>
          <w:caps/>
        </w:rPr>
        <w:t xml:space="preserve">3.5 </w:t>
      </w:r>
      <w:r>
        <w:rPr>
          <w:rFonts w:asciiTheme="majorHAnsi" w:hAnsiTheme="majorHAnsi"/>
          <w:b/>
          <w:caps/>
        </w:rPr>
        <w:t>Principal Component Model</w:t>
      </w:r>
    </w:p>
    <w:p w:rsidR="008540AF" w:rsidRDefault="008540AF" w:rsidP="008540AF">
      <w:r>
        <w:t>Once the base case data set was generated, the principal component model could be obtained. It was necessary to do some pre-processing of the data before application of SVD. First, random Gaussian white noise was added. The addition of white noise simulates measurement and instrumentation error. After adding white noise at 1% of the respected nominal value, each data column was mean-centered to move the origin to the mean of each column.</w:t>
      </w:r>
    </w:p>
    <w:p w:rsidR="001B479B" w:rsidRDefault="008540AF">
      <w:r>
        <w:t xml:space="preserve">Scaling is very important in PCA. </w:t>
      </w:r>
      <w:r w:rsidRPr="00B1507F">
        <w:t>If there are large differences</w:t>
      </w:r>
      <w:r>
        <w:t xml:space="preserve"> </w:t>
      </w:r>
      <w:r w:rsidRPr="00B1507F">
        <w:t xml:space="preserve">between the variances of </w:t>
      </w:r>
      <w:r>
        <w:t>the data</w:t>
      </w:r>
      <w:r w:rsidRPr="00B1507F">
        <w:t>, those variables</w:t>
      </w:r>
      <w:r>
        <w:t xml:space="preserve"> </w:t>
      </w:r>
      <w:r w:rsidRPr="00B1507F">
        <w:t>whose variances are large will tend to dominate</w:t>
      </w:r>
      <w:r>
        <w:t xml:space="preserve"> </w:t>
      </w:r>
      <w:r w:rsidRPr="00B1507F">
        <w:t>the first few principal components</w:t>
      </w:r>
      <w:r>
        <w:t xml:space="preserve"> even if those variables are not actually important </w:t>
      </w:r>
      <w:r w:rsidRPr="00B1507F">
        <w:t xml:space="preserve">in </w:t>
      </w:r>
      <w:r>
        <w:t xml:space="preserve">indicating process malfunctions (Martin, Morris, and Zhang 1996). The data matrix consisted of state variables of all the same type (molar flow rates) but with very large variances. Therefore, the mean-centered noisy data matrix was scaled so that the standard deviation of each </w:t>
      </w:r>
      <w:r w:rsidRPr="00F65CD3">
        <w:t>column was one</w:t>
      </w:r>
      <w:r>
        <w:t xml:space="preserve">. Weighted scaling was used </w:t>
      </w:r>
      <w:r w:rsidR="001B479B">
        <w:t xml:space="preserve">for all of the input variables on the primary uranium-bearing output of each module. For those state variables that weighted scaling was used, the standard deviation was the scaling factor as opposed to one as stated above. </w:t>
      </w:r>
      <w:r w:rsidRPr="00F65CD3">
        <w:t>Singular Value</w:t>
      </w:r>
      <w:r>
        <w:t xml:space="preserve"> </w:t>
      </w:r>
      <w:r w:rsidR="001B479B">
        <w:br w:type="page"/>
      </w:r>
    </w:p>
    <w:p w:rsidR="00E664E4" w:rsidRDefault="00E664E4" w:rsidP="00E664E4">
      <w:pPr>
        <w:jc w:val="center"/>
      </w:pPr>
      <w:r w:rsidRPr="003C0ABF">
        <w:rPr>
          <w:noProof/>
        </w:rPr>
        <w:lastRenderedPageBreak/>
        <w:drawing>
          <wp:inline distT="0" distB="0" distL="0" distR="0" wp14:anchorId="3FD893A9" wp14:editId="72A59AF9">
            <wp:extent cx="4572000" cy="6400800"/>
            <wp:effectExtent l="57150" t="57150" r="114300" b="133350"/>
            <wp:docPr id="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7" r:lo="rId88" r:qs="rId89" r:cs="rId90"/>
              </a:graphicData>
            </a:graphic>
          </wp:inline>
        </w:drawing>
      </w:r>
    </w:p>
    <w:p w:rsidR="00E664E4" w:rsidRPr="009A3612" w:rsidRDefault="00E664E4" w:rsidP="00E664E4">
      <w:pPr>
        <w:jc w:val="center"/>
        <w:rPr>
          <w:b/>
          <w:sz w:val="20"/>
          <w:szCs w:val="20"/>
        </w:rPr>
      </w:pPr>
      <w:r w:rsidRPr="009A3612">
        <w:rPr>
          <w:b/>
          <w:sz w:val="20"/>
          <w:szCs w:val="20"/>
        </w:rPr>
        <w:t>Figure 3.3</w:t>
      </w:r>
      <w:r>
        <w:rPr>
          <w:b/>
          <w:sz w:val="20"/>
          <w:szCs w:val="20"/>
        </w:rPr>
        <w:t>3</w:t>
      </w:r>
      <w:r w:rsidRPr="009A3612">
        <w:rPr>
          <w:b/>
          <w:sz w:val="20"/>
          <w:szCs w:val="20"/>
        </w:rPr>
        <w:t xml:space="preserve">. </w:t>
      </w:r>
      <w:r>
        <w:rPr>
          <w:b/>
          <w:sz w:val="20"/>
          <w:szCs w:val="20"/>
        </w:rPr>
        <w:t>List and Description of the MATLAB® files used to Generate the Base Case Data</w:t>
      </w:r>
      <w:r w:rsidRPr="009A3612">
        <w:rPr>
          <w:b/>
          <w:sz w:val="20"/>
          <w:szCs w:val="20"/>
        </w:rPr>
        <w:t>.</w:t>
      </w:r>
    </w:p>
    <w:p w:rsidR="00E664E4" w:rsidRDefault="00E664E4" w:rsidP="00E664E4"/>
    <w:p w:rsidR="00A83BCA" w:rsidRDefault="00A83BCA">
      <w:pPr>
        <w:rPr>
          <w:rFonts w:asciiTheme="majorHAnsi" w:hAnsiTheme="majorHAnsi"/>
          <w:b/>
          <w:caps/>
        </w:rPr>
      </w:pPr>
      <w:r>
        <w:rPr>
          <w:rFonts w:asciiTheme="majorHAnsi" w:hAnsiTheme="majorHAnsi"/>
          <w:b/>
          <w:caps/>
        </w:rPr>
        <w:br w:type="page"/>
      </w:r>
    </w:p>
    <w:p w:rsidR="00E664E4" w:rsidRDefault="00B7594C" w:rsidP="00E664E4">
      <w:r w:rsidRPr="00F65CD3">
        <w:lastRenderedPageBreak/>
        <w:t>Decomposition (SVD) was used to extract the principal component model as described in Chapter 2. The</w:t>
      </w:r>
      <w:r w:rsidRPr="001B479B">
        <w:t xml:space="preserve"> </w:t>
      </w:r>
      <w:r w:rsidRPr="00F65CD3">
        <w:t xml:space="preserve">effective rank was determined using a scree plot. </w:t>
      </w:r>
      <w:r>
        <w:t xml:space="preserve">The effective rank determines the most likely degree </w:t>
      </w:r>
      <w:r w:rsidR="001B479B">
        <w:t xml:space="preserve">of </w:t>
      </w:r>
      <w:r w:rsidR="00E664E4">
        <w:t xml:space="preserve">freedom the data matrix exhibits and suggests the number of principal components that should be retained to represent the overall model. </w:t>
      </w:r>
      <w:r w:rsidR="00E664E4" w:rsidRPr="00F65CD3">
        <w:t>The scores and residuals were calculated as described previously. Th</w:t>
      </w:r>
      <w:r w:rsidR="00E664E4">
        <w:t xml:space="preserve">e Mahalanobis distance and the </w:t>
      </w:r>
      <m:oMath>
        <m:r>
          <w:rPr>
            <w:rFonts w:ascii="Cambria Math" w:hAnsi="Cambria Math"/>
          </w:rPr>
          <m:t>Q</m:t>
        </m:r>
      </m:oMath>
      <w:r w:rsidR="00E664E4" w:rsidRPr="00F65CD3">
        <w:t>-statistic</w:t>
      </w:r>
      <w:r w:rsidR="00E664E4">
        <w:t xml:space="preserve"> along with the 95%-confidence threshold for the scores </w:t>
      </w:r>
      <w:r w:rsidR="001B479B">
        <w:t xml:space="preserve">in the </w:t>
      </w:r>
      <w:r w:rsidR="00E664E4">
        <w:t xml:space="preserve">principal component </w:t>
      </w:r>
      <w:r w:rsidR="001B479B">
        <w:t xml:space="preserve">space </w:t>
      </w:r>
      <w:r w:rsidR="00E664E4">
        <w:t>w</w:t>
      </w:r>
      <w:r w:rsidR="001B479B">
        <w:t>ere</w:t>
      </w:r>
      <w:r w:rsidR="00E664E4">
        <w:t xml:space="preserve"> calculated. Loadings plots were generated to determine which state variables contribute the most </w:t>
      </w:r>
      <w:r w:rsidR="001B479B">
        <w:t>weight</w:t>
      </w:r>
      <w:r w:rsidR="00E664E4">
        <w:t xml:space="preserve"> to each principal component and therefore which group of state variables </w:t>
      </w:r>
      <w:r w:rsidR="001B479B">
        <w:t>dominates</w:t>
      </w:r>
      <w:r w:rsidR="00E664E4">
        <w:t xml:space="preserve"> each degree of freedom that was represented by each principal component. The scores plots were generated for the base case for </w:t>
      </w:r>
      <w:r w:rsidR="001B479B">
        <w:t xml:space="preserve">future </w:t>
      </w:r>
      <w:r w:rsidR="00E664E4">
        <w:t xml:space="preserve">comparison with faulty cases. Additionally, plots of the Mahalanobis distance and the </w:t>
      </w:r>
      <m:oMath>
        <m:r>
          <w:rPr>
            <w:rFonts w:ascii="Cambria Math" w:hAnsi="Cambria Math"/>
          </w:rPr>
          <m:t>Q</m:t>
        </m:r>
      </m:oMath>
      <w:r w:rsidR="00E664E4">
        <w:noBreakHyphen/>
      </w:r>
      <w:r w:rsidR="00E664E4" w:rsidRPr="00F65CD3">
        <w:t>statistic</w:t>
      </w:r>
      <w:r w:rsidR="00E664E4">
        <w:t xml:space="preserve"> were generated for the base case to serve as the reference for the detection of ‘faults’ in the faulty cases. </w:t>
      </w:r>
      <w:r w:rsidR="00E664E4" w:rsidRPr="00F81B48">
        <w:t>Figure</w:t>
      </w:r>
      <w:r w:rsidR="00E664E4">
        <w:t xml:space="preserve"> 3.34 lists the MATLAB® files used to generate the base case principal component model and initial plots. A description of each file is also provided in the figure.</w:t>
      </w:r>
    </w:p>
    <w:p w:rsidR="008540AF" w:rsidRDefault="008540AF" w:rsidP="008540AF">
      <w:pPr>
        <w:tabs>
          <w:tab w:val="num" w:pos="720"/>
        </w:tabs>
      </w:pPr>
      <w:r>
        <w:t xml:space="preserve">The base case PCA model was verified by means of a control case. For the control case, all of the parameters and input variables were set </w:t>
      </w:r>
      <w:r w:rsidR="001B479B">
        <w:t>within the set of</w:t>
      </w:r>
      <w:r>
        <w:t xml:space="preserve"> base case values. Table 3.12 lists the input variables with both the base case and control case variations. Once the control case data was generated, the data was pre-processed in the same manner (Gaussian noise added, mean-centered, and scaled) as the base case data. However, the original base case mean and standard deviation was used to mean-center and scale the control case. The </w:t>
      </w:r>
      <w:r w:rsidR="001B479B">
        <w:t xml:space="preserve">associated </w:t>
      </w:r>
      <w:r>
        <w:t xml:space="preserve">scores, </w:t>
      </w:r>
      <w:r w:rsidRPr="00AB793E">
        <w:t>the</w:t>
      </w:r>
      <w:r>
        <w:t xml:space="preserve"> Mahalanobis distance, and </w:t>
      </w:r>
      <w:proofErr w:type="spellStart"/>
      <w:r>
        <w:t>the</w:t>
      </w:r>
      <w:proofErr w:type="spellEnd"/>
      <w:r>
        <w:t xml:space="preserve"> </w:t>
      </w:r>
      <m:oMath>
        <m:r>
          <w:rPr>
            <w:rFonts w:ascii="Cambria Math" w:hAnsi="Cambria Math"/>
          </w:rPr>
          <m:t>Q</m:t>
        </m:r>
      </m:oMath>
      <w:r w:rsidRPr="00AB793E">
        <w:t xml:space="preserve">-statistic </w:t>
      </w:r>
      <w:r>
        <w:t>were computed</w:t>
      </w:r>
      <w:r w:rsidR="001B479B">
        <w:t xml:space="preserve">. </w:t>
      </w:r>
      <w:r>
        <w:t>The diagnostic plots [scores (2-D and 3-D)</w:t>
      </w:r>
      <w:proofErr w:type="gramStart"/>
      <w:r>
        <w:t xml:space="preserve">, </w:t>
      </w:r>
      <w:proofErr w:type="gramEnd"/>
      <m:oMath>
        <m:sSup>
          <m:sSupPr>
            <m:ctrlPr>
              <w:rPr>
                <w:rFonts w:ascii="Cambria Math" w:hAnsi="Cambria Math"/>
                <w:i/>
              </w:rPr>
            </m:ctrlPr>
          </m:sSupPr>
          <m:e>
            <m:r>
              <w:rPr>
                <w:rFonts w:ascii="Cambria Math" w:hAnsi="Cambria Math"/>
              </w:rPr>
              <m:t>T</m:t>
            </m:r>
          </m:e>
          <m:sup>
            <m:r>
              <w:rPr>
                <w:rFonts w:ascii="Cambria Math" w:hAnsi="Cambria Math"/>
              </w:rPr>
              <m:t>2</m:t>
            </m:r>
          </m:sup>
        </m:sSup>
      </m:oMath>
      <w:r>
        <w:t xml:space="preserve">, </w:t>
      </w:r>
      <m:oMath>
        <m:r>
          <w:rPr>
            <w:rFonts w:ascii="Cambria Math" w:hAnsi="Cambria Math"/>
          </w:rPr>
          <m:t>Q</m:t>
        </m:r>
      </m:oMath>
      <w:r>
        <w:t xml:space="preserve">-statistic, and 2-D scores vs. </w:t>
      </w:r>
      <m:oMath>
        <m:r>
          <w:rPr>
            <w:rFonts w:ascii="Cambria Math" w:hAnsi="Cambria Math"/>
          </w:rPr>
          <m:t>SPE</m:t>
        </m:r>
      </m:oMath>
      <w:r>
        <w:t xml:space="preserve">] were plotted </w:t>
      </w:r>
      <w:r w:rsidR="00454A92">
        <w:t xml:space="preserve">with </w:t>
      </w:r>
      <w:r>
        <w:t xml:space="preserve">the </w:t>
      </w:r>
      <w:r w:rsidRPr="00AB793E">
        <w:t>base case confidence boundaries</w:t>
      </w:r>
      <w:r w:rsidR="00454A92">
        <w:t xml:space="preserve"> superimposed onto the plots to detect presence of a fault</w:t>
      </w:r>
      <w:r>
        <w:t>. Since all of the control case data should be within the base case data, it was expected that all of the control case data would lie within the base case confidence boundaries.</w:t>
      </w:r>
    </w:p>
    <w:p w:rsidR="008540AF" w:rsidRDefault="008540AF" w:rsidP="008540AF">
      <w:pPr>
        <w:tabs>
          <w:tab w:val="num" w:pos="720"/>
        </w:tabs>
      </w:pPr>
    </w:p>
    <w:tbl>
      <w:tblPr>
        <w:tblW w:w="6061" w:type="dxa"/>
        <w:jc w:val="center"/>
        <w:tblInd w:w="98" w:type="dxa"/>
        <w:tblLook w:val="04A0" w:firstRow="1" w:lastRow="0" w:firstColumn="1" w:lastColumn="0" w:noHBand="0" w:noVBand="1"/>
      </w:tblPr>
      <w:tblGrid>
        <w:gridCol w:w="1008"/>
        <w:gridCol w:w="2399"/>
        <w:gridCol w:w="2654"/>
      </w:tblGrid>
      <w:tr w:rsidR="008540AF" w:rsidRPr="006B6C3B" w:rsidTr="00F938ED">
        <w:trPr>
          <w:trHeight w:val="315"/>
          <w:jc w:val="center"/>
        </w:trPr>
        <w:tc>
          <w:tcPr>
            <w:tcW w:w="6061" w:type="dxa"/>
            <w:gridSpan w:val="3"/>
            <w:tcBorders>
              <w:top w:val="nil"/>
              <w:left w:val="nil"/>
              <w:bottom w:val="single" w:sz="8" w:space="0" w:color="auto"/>
              <w:right w:val="nil"/>
            </w:tcBorders>
            <w:shd w:val="clear" w:color="auto" w:fill="auto"/>
            <w:noWrap/>
            <w:vAlign w:val="center"/>
            <w:hideMark/>
          </w:tcPr>
          <w:p w:rsidR="008540AF" w:rsidRPr="006B6C3B" w:rsidRDefault="008540AF" w:rsidP="00F938ED">
            <w:pPr>
              <w:spacing w:after="0" w:line="240" w:lineRule="auto"/>
              <w:jc w:val="center"/>
              <w:rPr>
                <w:rFonts w:ascii="Calibri" w:eastAsia="Times New Roman" w:hAnsi="Calibri" w:cs="Times New Roman"/>
                <w:b/>
                <w:bCs/>
                <w:color w:val="000000"/>
                <w:sz w:val="20"/>
                <w:szCs w:val="20"/>
              </w:rPr>
            </w:pPr>
            <w:r w:rsidRPr="006B6C3B">
              <w:rPr>
                <w:rFonts w:ascii="Calibri" w:eastAsia="Times New Roman" w:hAnsi="Calibri" w:cs="Times New Roman"/>
                <w:b/>
                <w:bCs/>
                <w:color w:val="000000"/>
                <w:sz w:val="20"/>
                <w:szCs w:val="20"/>
              </w:rPr>
              <w:t>Table 3.12. List of Control Case Variable Variations</w:t>
            </w:r>
          </w:p>
        </w:tc>
      </w:tr>
      <w:tr w:rsidR="008540AF" w:rsidRPr="006B6C3B" w:rsidTr="00F938ED">
        <w:trPr>
          <w:trHeight w:val="255"/>
          <w:jc w:val="center"/>
        </w:trPr>
        <w:tc>
          <w:tcPr>
            <w:tcW w:w="1008" w:type="dxa"/>
            <w:tcBorders>
              <w:top w:val="nil"/>
              <w:left w:val="nil"/>
              <w:bottom w:val="single" w:sz="4" w:space="0" w:color="auto"/>
              <w:right w:val="nil"/>
            </w:tcBorders>
            <w:shd w:val="clear" w:color="auto" w:fill="auto"/>
            <w:noWrap/>
            <w:vAlign w:val="center"/>
            <w:hideMark/>
          </w:tcPr>
          <w:p w:rsidR="008540AF" w:rsidRPr="006B6C3B" w:rsidRDefault="008540AF" w:rsidP="00F938ED">
            <w:pPr>
              <w:spacing w:after="0" w:line="240" w:lineRule="auto"/>
              <w:jc w:val="center"/>
              <w:rPr>
                <w:rFonts w:ascii="Calibri" w:eastAsia="Times New Roman" w:hAnsi="Calibri" w:cs="Times New Roman"/>
                <w:b/>
                <w:bCs/>
                <w:sz w:val="20"/>
                <w:szCs w:val="20"/>
              </w:rPr>
            </w:pPr>
            <w:r w:rsidRPr="006B6C3B">
              <w:rPr>
                <w:rFonts w:ascii="Calibri" w:eastAsia="Times New Roman" w:hAnsi="Calibri" w:cs="Times New Roman"/>
                <w:b/>
                <w:bCs/>
                <w:sz w:val="20"/>
                <w:szCs w:val="20"/>
              </w:rPr>
              <w:t>Variable</w:t>
            </w:r>
          </w:p>
        </w:tc>
        <w:tc>
          <w:tcPr>
            <w:tcW w:w="2399" w:type="dxa"/>
            <w:tcBorders>
              <w:top w:val="nil"/>
              <w:left w:val="nil"/>
              <w:bottom w:val="single" w:sz="4" w:space="0" w:color="auto"/>
              <w:right w:val="nil"/>
            </w:tcBorders>
            <w:shd w:val="clear" w:color="auto" w:fill="auto"/>
            <w:noWrap/>
            <w:vAlign w:val="bottom"/>
            <w:hideMark/>
          </w:tcPr>
          <w:p w:rsidR="008540AF" w:rsidRPr="006B6C3B" w:rsidRDefault="008540AF" w:rsidP="00F938ED">
            <w:pPr>
              <w:spacing w:after="0" w:line="240" w:lineRule="auto"/>
              <w:jc w:val="center"/>
              <w:rPr>
                <w:rFonts w:ascii="Calibri" w:eastAsia="Times New Roman" w:hAnsi="Calibri" w:cs="Times New Roman"/>
                <w:b/>
                <w:bCs/>
                <w:color w:val="000000"/>
                <w:sz w:val="20"/>
                <w:szCs w:val="20"/>
              </w:rPr>
            </w:pPr>
            <w:r w:rsidRPr="006B6C3B">
              <w:rPr>
                <w:rFonts w:ascii="Calibri" w:eastAsia="Times New Roman" w:hAnsi="Calibri" w:cs="Times New Roman"/>
                <w:b/>
                <w:bCs/>
                <w:color w:val="000000"/>
                <w:sz w:val="20"/>
                <w:szCs w:val="20"/>
              </w:rPr>
              <w:t xml:space="preserve"> Base Case Variation</w:t>
            </w:r>
          </w:p>
        </w:tc>
        <w:tc>
          <w:tcPr>
            <w:tcW w:w="2654" w:type="dxa"/>
            <w:tcBorders>
              <w:top w:val="nil"/>
              <w:left w:val="nil"/>
              <w:bottom w:val="single" w:sz="4" w:space="0" w:color="auto"/>
              <w:right w:val="nil"/>
            </w:tcBorders>
            <w:shd w:val="clear" w:color="auto" w:fill="auto"/>
            <w:noWrap/>
            <w:vAlign w:val="bottom"/>
            <w:hideMark/>
          </w:tcPr>
          <w:p w:rsidR="008540AF" w:rsidRPr="006B6C3B" w:rsidRDefault="008540AF" w:rsidP="00F938ED">
            <w:pPr>
              <w:spacing w:after="0" w:line="240" w:lineRule="auto"/>
              <w:jc w:val="center"/>
              <w:rPr>
                <w:rFonts w:ascii="Calibri" w:eastAsia="Times New Roman" w:hAnsi="Calibri" w:cs="Times New Roman"/>
                <w:b/>
                <w:bCs/>
                <w:color w:val="000000"/>
                <w:sz w:val="20"/>
                <w:szCs w:val="20"/>
              </w:rPr>
            </w:pPr>
            <w:r w:rsidRPr="006B6C3B">
              <w:rPr>
                <w:rFonts w:ascii="Calibri" w:eastAsia="Times New Roman" w:hAnsi="Calibri" w:cs="Times New Roman"/>
                <w:b/>
                <w:bCs/>
                <w:color w:val="000000"/>
                <w:sz w:val="20"/>
                <w:szCs w:val="20"/>
              </w:rPr>
              <w:t>Control Case Variation</w:t>
            </w:r>
          </w:p>
        </w:tc>
      </w:tr>
      <w:tr w:rsidR="008540AF" w:rsidRPr="006B6C3B" w:rsidTr="00F938ED">
        <w:trPr>
          <w:trHeight w:val="285"/>
          <w:jc w:val="center"/>
        </w:trPr>
        <w:tc>
          <w:tcPr>
            <w:tcW w:w="1008" w:type="dxa"/>
            <w:tcBorders>
              <w:top w:val="nil"/>
              <w:left w:val="nil"/>
              <w:bottom w:val="nil"/>
              <w:right w:val="nil"/>
            </w:tcBorders>
            <w:shd w:val="clear" w:color="auto" w:fill="auto"/>
            <w:noWrap/>
            <w:vAlign w:val="center"/>
            <w:hideMark/>
          </w:tcPr>
          <w:p w:rsidR="008540AF" w:rsidRPr="006B6C3B" w:rsidRDefault="008540AF" w:rsidP="00F938ED">
            <w:pPr>
              <w:spacing w:after="0" w:line="240" w:lineRule="auto"/>
              <w:jc w:val="center"/>
              <w:rPr>
                <w:rFonts w:ascii="Calibri" w:eastAsia="Times New Roman" w:hAnsi="Calibri" w:cs="Times New Roman"/>
                <w:sz w:val="20"/>
                <w:szCs w:val="20"/>
              </w:rPr>
            </w:pPr>
            <w:r>
              <w:rPr>
                <w:rFonts w:ascii="Calibri" w:eastAsia="Times New Roman" w:hAnsi="Calibri" w:cs="Times New Roman"/>
                <w:sz w:val="20"/>
                <w:szCs w:val="20"/>
              </w:rPr>
              <w:t>F</w:t>
            </w:r>
            <w:r w:rsidRPr="006B6C3B">
              <w:rPr>
                <w:rFonts w:ascii="Calibri" w:eastAsia="Times New Roman" w:hAnsi="Calibri" w:cs="Times New Roman"/>
                <w:sz w:val="20"/>
                <w:szCs w:val="20"/>
                <w:vertAlign w:val="subscript"/>
              </w:rPr>
              <w:t>1A,U</w:t>
            </w:r>
          </w:p>
        </w:tc>
        <w:tc>
          <w:tcPr>
            <w:tcW w:w="2399" w:type="dxa"/>
            <w:tcBorders>
              <w:top w:val="nil"/>
              <w:left w:val="nil"/>
              <w:bottom w:val="nil"/>
              <w:right w:val="nil"/>
            </w:tcBorders>
            <w:shd w:val="clear" w:color="auto" w:fill="auto"/>
            <w:noWrap/>
            <w:vAlign w:val="bottom"/>
            <w:hideMark/>
          </w:tcPr>
          <w:p w:rsidR="008540AF" w:rsidRPr="006B6C3B" w:rsidRDefault="008540AF" w:rsidP="00F938ED">
            <w:pPr>
              <w:spacing w:after="0" w:line="240" w:lineRule="auto"/>
              <w:jc w:val="center"/>
              <w:rPr>
                <w:rFonts w:ascii="Calibri" w:eastAsia="Times New Roman" w:hAnsi="Calibri" w:cs="Times New Roman"/>
                <w:color w:val="000000"/>
                <w:sz w:val="20"/>
                <w:szCs w:val="20"/>
              </w:rPr>
            </w:pPr>
            <w:r w:rsidRPr="006B6C3B">
              <w:rPr>
                <w:rFonts w:ascii="Calibri" w:eastAsia="Times New Roman" w:hAnsi="Calibri" w:cs="Times New Roman"/>
                <w:color w:val="000000"/>
                <w:sz w:val="20"/>
                <w:szCs w:val="20"/>
              </w:rPr>
              <w:t>±10%</w:t>
            </w:r>
          </w:p>
        </w:tc>
        <w:tc>
          <w:tcPr>
            <w:tcW w:w="2654" w:type="dxa"/>
            <w:tcBorders>
              <w:top w:val="nil"/>
              <w:left w:val="nil"/>
              <w:bottom w:val="nil"/>
              <w:right w:val="nil"/>
            </w:tcBorders>
            <w:shd w:val="clear" w:color="auto" w:fill="auto"/>
            <w:noWrap/>
            <w:vAlign w:val="bottom"/>
            <w:hideMark/>
          </w:tcPr>
          <w:p w:rsidR="008540AF" w:rsidRPr="006B6C3B" w:rsidRDefault="008540AF" w:rsidP="00F938ED">
            <w:pPr>
              <w:spacing w:after="0" w:line="240" w:lineRule="auto"/>
              <w:jc w:val="center"/>
              <w:rPr>
                <w:rFonts w:ascii="Calibri" w:eastAsia="Times New Roman" w:hAnsi="Calibri" w:cs="Times New Roman"/>
                <w:color w:val="000000"/>
                <w:sz w:val="20"/>
                <w:szCs w:val="20"/>
              </w:rPr>
            </w:pPr>
            <w:r w:rsidRPr="006B6C3B">
              <w:rPr>
                <w:rFonts w:ascii="Calibri" w:eastAsia="Times New Roman" w:hAnsi="Calibri" w:cs="Times New Roman"/>
                <w:color w:val="000000"/>
                <w:sz w:val="20"/>
                <w:szCs w:val="20"/>
              </w:rPr>
              <w:t>±8%</w:t>
            </w:r>
          </w:p>
        </w:tc>
      </w:tr>
      <w:tr w:rsidR="008540AF" w:rsidRPr="006B6C3B" w:rsidTr="00F938ED">
        <w:trPr>
          <w:trHeight w:val="285"/>
          <w:jc w:val="center"/>
        </w:trPr>
        <w:tc>
          <w:tcPr>
            <w:tcW w:w="1008" w:type="dxa"/>
            <w:tcBorders>
              <w:top w:val="nil"/>
              <w:left w:val="nil"/>
              <w:bottom w:val="nil"/>
              <w:right w:val="nil"/>
            </w:tcBorders>
            <w:shd w:val="clear" w:color="auto" w:fill="auto"/>
            <w:noWrap/>
            <w:vAlign w:val="center"/>
            <w:hideMark/>
          </w:tcPr>
          <w:p w:rsidR="008540AF" w:rsidRPr="006B6C3B" w:rsidRDefault="008540AF" w:rsidP="00F938ED">
            <w:pPr>
              <w:spacing w:after="0" w:line="240" w:lineRule="auto"/>
              <w:jc w:val="center"/>
              <w:rPr>
                <w:rFonts w:ascii="Calibri" w:eastAsia="Times New Roman" w:hAnsi="Calibri" w:cs="Times New Roman"/>
                <w:sz w:val="20"/>
                <w:szCs w:val="20"/>
              </w:rPr>
            </w:pPr>
            <w:r w:rsidRPr="006B6C3B">
              <w:rPr>
                <w:rFonts w:ascii="Calibri" w:eastAsia="Times New Roman" w:hAnsi="Calibri" w:cs="Times New Roman"/>
                <w:sz w:val="20"/>
                <w:szCs w:val="20"/>
              </w:rPr>
              <w:t>K</w:t>
            </w:r>
            <w:r w:rsidRPr="006B6C3B">
              <w:rPr>
                <w:rFonts w:ascii="Calibri" w:eastAsia="Times New Roman" w:hAnsi="Calibri" w:cs="Times New Roman"/>
                <w:sz w:val="20"/>
                <w:szCs w:val="20"/>
                <w:vertAlign w:val="subscript"/>
              </w:rPr>
              <w:t>Mod1B,14</w:t>
            </w:r>
          </w:p>
        </w:tc>
        <w:tc>
          <w:tcPr>
            <w:tcW w:w="2399" w:type="dxa"/>
            <w:tcBorders>
              <w:top w:val="nil"/>
              <w:left w:val="nil"/>
              <w:bottom w:val="nil"/>
              <w:right w:val="nil"/>
            </w:tcBorders>
            <w:shd w:val="clear" w:color="auto" w:fill="auto"/>
            <w:noWrap/>
            <w:vAlign w:val="center"/>
            <w:hideMark/>
          </w:tcPr>
          <w:p w:rsidR="008540AF" w:rsidRPr="006B6C3B" w:rsidRDefault="008540AF" w:rsidP="00F938ED">
            <w:pPr>
              <w:spacing w:after="0" w:line="240" w:lineRule="auto"/>
              <w:jc w:val="center"/>
              <w:rPr>
                <w:rFonts w:ascii="Calibri" w:eastAsia="Times New Roman" w:hAnsi="Calibri" w:cs="Times New Roman"/>
                <w:sz w:val="20"/>
                <w:szCs w:val="20"/>
              </w:rPr>
            </w:pPr>
            <w:r w:rsidRPr="006B6C3B">
              <w:rPr>
                <w:rFonts w:ascii="Calibri" w:eastAsia="Times New Roman" w:hAnsi="Calibri" w:cs="Times New Roman"/>
                <w:sz w:val="20"/>
                <w:szCs w:val="20"/>
              </w:rPr>
              <w:t>-5%</w:t>
            </w:r>
          </w:p>
        </w:tc>
        <w:tc>
          <w:tcPr>
            <w:tcW w:w="2654" w:type="dxa"/>
            <w:tcBorders>
              <w:top w:val="nil"/>
              <w:left w:val="nil"/>
              <w:bottom w:val="nil"/>
              <w:right w:val="nil"/>
            </w:tcBorders>
            <w:shd w:val="clear" w:color="auto" w:fill="auto"/>
            <w:noWrap/>
            <w:vAlign w:val="center"/>
            <w:hideMark/>
          </w:tcPr>
          <w:p w:rsidR="008540AF" w:rsidRPr="006B6C3B" w:rsidRDefault="008540AF" w:rsidP="00F938ED">
            <w:pPr>
              <w:spacing w:after="0" w:line="240" w:lineRule="auto"/>
              <w:jc w:val="center"/>
              <w:rPr>
                <w:rFonts w:ascii="Calibri" w:eastAsia="Times New Roman" w:hAnsi="Calibri" w:cs="Times New Roman"/>
                <w:sz w:val="20"/>
                <w:szCs w:val="20"/>
              </w:rPr>
            </w:pPr>
            <w:r w:rsidRPr="006B6C3B">
              <w:rPr>
                <w:rFonts w:ascii="Calibri" w:eastAsia="Times New Roman" w:hAnsi="Calibri" w:cs="Times New Roman"/>
                <w:sz w:val="20"/>
                <w:szCs w:val="20"/>
              </w:rPr>
              <w:t>-4%</w:t>
            </w:r>
          </w:p>
        </w:tc>
      </w:tr>
      <w:tr w:rsidR="008540AF" w:rsidRPr="006B6C3B" w:rsidTr="00F938ED">
        <w:trPr>
          <w:trHeight w:val="285"/>
          <w:jc w:val="center"/>
        </w:trPr>
        <w:tc>
          <w:tcPr>
            <w:tcW w:w="1008" w:type="dxa"/>
            <w:tcBorders>
              <w:top w:val="nil"/>
              <w:left w:val="nil"/>
              <w:bottom w:val="nil"/>
              <w:right w:val="nil"/>
            </w:tcBorders>
            <w:shd w:val="clear" w:color="auto" w:fill="auto"/>
            <w:noWrap/>
            <w:vAlign w:val="center"/>
            <w:hideMark/>
          </w:tcPr>
          <w:p w:rsidR="008540AF" w:rsidRPr="006B6C3B" w:rsidRDefault="008540AF" w:rsidP="00F938ED">
            <w:pPr>
              <w:spacing w:after="0" w:line="240" w:lineRule="auto"/>
              <w:jc w:val="center"/>
              <w:rPr>
                <w:rFonts w:ascii="Calibri" w:eastAsia="Times New Roman" w:hAnsi="Calibri" w:cs="Times New Roman"/>
                <w:sz w:val="20"/>
                <w:szCs w:val="20"/>
              </w:rPr>
            </w:pPr>
            <w:r w:rsidRPr="006B6C3B">
              <w:rPr>
                <w:rFonts w:ascii="Calibri" w:eastAsia="Times New Roman" w:hAnsi="Calibri" w:cs="Times New Roman"/>
                <w:sz w:val="20"/>
                <w:szCs w:val="20"/>
              </w:rPr>
              <w:t>K</w:t>
            </w:r>
            <w:r w:rsidRPr="006B6C3B">
              <w:rPr>
                <w:rFonts w:ascii="Calibri" w:eastAsia="Times New Roman" w:hAnsi="Calibri" w:cs="Times New Roman"/>
                <w:sz w:val="20"/>
                <w:szCs w:val="20"/>
                <w:vertAlign w:val="subscript"/>
              </w:rPr>
              <w:t>Mod2B,14</w:t>
            </w:r>
          </w:p>
        </w:tc>
        <w:tc>
          <w:tcPr>
            <w:tcW w:w="2399" w:type="dxa"/>
            <w:tcBorders>
              <w:top w:val="nil"/>
              <w:left w:val="nil"/>
              <w:bottom w:val="nil"/>
              <w:right w:val="nil"/>
            </w:tcBorders>
            <w:shd w:val="clear" w:color="auto" w:fill="auto"/>
            <w:noWrap/>
            <w:vAlign w:val="center"/>
            <w:hideMark/>
          </w:tcPr>
          <w:p w:rsidR="008540AF" w:rsidRPr="006B6C3B" w:rsidRDefault="008540AF" w:rsidP="00F938ED">
            <w:pPr>
              <w:spacing w:after="0" w:line="240" w:lineRule="auto"/>
              <w:jc w:val="center"/>
              <w:rPr>
                <w:rFonts w:ascii="Calibri" w:eastAsia="Times New Roman" w:hAnsi="Calibri" w:cs="Times New Roman"/>
                <w:sz w:val="20"/>
                <w:szCs w:val="20"/>
              </w:rPr>
            </w:pPr>
            <w:r w:rsidRPr="006B6C3B">
              <w:rPr>
                <w:rFonts w:ascii="Calibri" w:eastAsia="Times New Roman" w:hAnsi="Calibri" w:cs="Times New Roman"/>
                <w:sz w:val="20"/>
                <w:szCs w:val="20"/>
              </w:rPr>
              <w:t>-5%</w:t>
            </w:r>
          </w:p>
        </w:tc>
        <w:tc>
          <w:tcPr>
            <w:tcW w:w="2654" w:type="dxa"/>
            <w:tcBorders>
              <w:top w:val="nil"/>
              <w:left w:val="nil"/>
              <w:bottom w:val="nil"/>
              <w:right w:val="nil"/>
            </w:tcBorders>
            <w:shd w:val="clear" w:color="auto" w:fill="auto"/>
            <w:noWrap/>
            <w:vAlign w:val="center"/>
            <w:hideMark/>
          </w:tcPr>
          <w:p w:rsidR="008540AF" w:rsidRPr="006B6C3B" w:rsidRDefault="008540AF" w:rsidP="00F938ED">
            <w:pPr>
              <w:spacing w:after="0" w:line="240" w:lineRule="auto"/>
              <w:jc w:val="center"/>
              <w:rPr>
                <w:rFonts w:ascii="Calibri" w:eastAsia="Times New Roman" w:hAnsi="Calibri" w:cs="Times New Roman"/>
                <w:sz w:val="20"/>
                <w:szCs w:val="20"/>
              </w:rPr>
            </w:pPr>
            <w:r w:rsidRPr="006B6C3B">
              <w:rPr>
                <w:rFonts w:ascii="Calibri" w:eastAsia="Times New Roman" w:hAnsi="Calibri" w:cs="Times New Roman"/>
                <w:sz w:val="20"/>
                <w:szCs w:val="20"/>
              </w:rPr>
              <w:t>-4%</w:t>
            </w:r>
          </w:p>
        </w:tc>
      </w:tr>
      <w:tr w:rsidR="008540AF" w:rsidRPr="006B6C3B" w:rsidTr="00F938ED">
        <w:trPr>
          <w:trHeight w:val="285"/>
          <w:jc w:val="center"/>
        </w:trPr>
        <w:tc>
          <w:tcPr>
            <w:tcW w:w="1008" w:type="dxa"/>
            <w:tcBorders>
              <w:top w:val="nil"/>
              <w:left w:val="nil"/>
              <w:bottom w:val="nil"/>
              <w:right w:val="nil"/>
            </w:tcBorders>
            <w:shd w:val="clear" w:color="auto" w:fill="auto"/>
            <w:noWrap/>
            <w:vAlign w:val="center"/>
            <w:hideMark/>
          </w:tcPr>
          <w:p w:rsidR="008540AF" w:rsidRPr="006B6C3B" w:rsidRDefault="008540AF" w:rsidP="00F938ED">
            <w:pPr>
              <w:spacing w:after="0" w:line="240" w:lineRule="auto"/>
              <w:jc w:val="center"/>
              <w:rPr>
                <w:rFonts w:ascii="Calibri" w:eastAsia="Times New Roman" w:hAnsi="Calibri" w:cs="Times New Roman"/>
                <w:sz w:val="20"/>
                <w:szCs w:val="20"/>
              </w:rPr>
            </w:pPr>
            <w:r w:rsidRPr="006B6C3B">
              <w:rPr>
                <w:rFonts w:ascii="Calibri" w:eastAsia="Times New Roman" w:hAnsi="Calibri" w:cs="Times New Roman"/>
                <w:sz w:val="20"/>
                <w:szCs w:val="20"/>
              </w:rPr>
              <w:t>K</w:t>
            </w:r>
            <w:r w:rsidRPr="006B6C3B">
              <w:rPr>
                <w:rFonts w:ascii="Calibri" w:eastAsia="Times New Roman" w:hAnsi="Calibri" w:cs="Times New Roman"/>
                <w:sz w:val="20"/>
                <w:szCs w:val="20"/>
                <w:vertAlign w:val="subscript"/>
              </w:rPr>
              <w:t>Mod2D,14</w:t>
            </w:r>
          </w:p>
        </w:tc>
        <w:tc>
          <w:tcPr>
            <w:tcW w:w="2399" w:type="dxa"/>
            <w:tcBorders>
              <w:top w:val="nil"/>
              <w:left w:val="nil"/>
              <w:bottom w:val="nil"/>
              <w:right w:val="nil"/>
            </w:tcBorders>
            <w:shd w:val="clear" w:color="auto" w:fill="auto"/>
            <w:noWrap/>
            <w:vAlign w:val="center"/>
            <w:hideMark/>
          </w:tcPr>
          <w:p w:rsidR="008540AF" w:rsidRPr="006B6C3B" w:rsidRDefault="008540AF" w:rsidP="00F938ED">
            <w:pPr>
              <w:spacing w:after="0" w:line="240" w:lineRule="auto"/>
              <w:jc w:val="center"/>
              <w:rPr>
                <w:rFonts w:ascii="Calibri" w:eastAsia="Times New Roman" w:hAnsi="Calibri" w:cs="Times New Roman"/>
                <w:sz w:val="20"/>
                <w:szCs w:val="20"/>
              </w:rPr>
            </w:pPr>
            <w:r w:rsidRPr="006B6C3B">
              <w:rPr>
                <w:rFonts w:ascii="Calibri" w:eastAsia="Times New Roman" w:hAnsi="Calibri" w:cs="Times New Roman"/>
                <w:sz w:val="20"/>
                <w:szCs w:val="20"/>
              </w:rPr>
              <w:t>-5%</w:t>
            </w:r>
          </w:p>
        </w:tc>
        <w:tc>
          <w:tcPr>
            <w:tcW w:w="2654" w:type="dxa"/>
            <w:tcBorders>
              <w:top w:val="nil"/>
              <w:left w:val="nil"/>
              <w:bottom w:val="nil"/>
              <w:right w:val="nil"/>
            </w:tcBorders>
            <w:shd w:val="clear" w:color="auto" w:fill="auto"/>
            <w:noWrap/>
            <w:vAlign w:val="center"/>
            <w:hideMark/>
          </w:tcPr>
          <w:p w:rsidR="008540AF" w:rsidRPr="006B6C3B" w:rsidRDefault="008540AF" w:rsidP="00F938ED">
            <w:pPr>
              <w:spacing w:after="0" w:line="240" w:lineRule="auto"/>
              <w:jc w:val="center"/>
              <w:rPr>
                <w:rFonts w:ascii="Calibri" w:eastAsia="Times New Roman" w:hAnsi="Calibri" w:cs="Times New Roman"/>
                <w:sz w:val="20"/>
                <w:szCs w:val="20"/>
              </w:rPr>
            </w:pPr>
            <w:r w:rsidRPr="006B6C3B">
              <w:rPr>
                <w:rFonts w:ascii="Calibri" w:eastAsia="Times New Roman" w:hAnsi="Calibri" w:cs="Times New Roman"/>
                <w:sz w:val="20"/>
                <w:szCs w:val="20"/>
              </w:rPr>
              <w:t>-4%</w:t>
            </w:r>
          </w:p>
        </w:tc>
      </w:tr>
      <w:tr w:rsidR="008540AF" w:rsidRPr="006B6C3B" w:rsidTr="00F938ED">
        <w:trPr>
          <w:trHeight w:val="285"/>
          <w:jc w:val="center"/>
        </w:trPr>
        <w:tc>
          <w:tcPr>
            <w:tcW w:w="1008" w:type="dxa"/>
            <w:tcBorders>
              <w:top w:val="nil"/>
              <w:left w:val="nil"/>
              <w:bottom w:val="nil"/>
              <w:right w:val="nil"/>
            </w:tcBorders>
            <w:shd w:val="clear" w:color="auto" w:fill="auto"/>
            <w:noWrap/>
            <w:vAlign w:val="center"/>
            <w:hideMark/>
          </w:tcPr>
          <w:p w:rsidR="008540AF" w:rsidRPr="006B6C3B" w:rsidRDefault="008540AF" w:rsidP="00F938ED">
            <w:pPr>
              <w:spacing w:after="0" w:line="240" w:lineRule="auto"/>
              <w:jc w:val="center"/>
              <w:rPr>
                <w:rFonts w:ascii="Calibri" w:eastAsia="Times New Roman" w:hAnsi="Calibri" w:cs="Times New Roman"/>
                <w:sz w:val="20"/>
                <w:szCs w:val="20"/>
              </w:rPr>
            </w:pPr>
            <w:r w:rsidRPr="006B6C3B">
              <w:rPr>
                <w:rFonts w:ascii="Calibri" w:eastAsia="Times New Roman" w:hAnsi="Calibri" w:cs="Times New Roman"/>
                <w:sz w:val="20"/>
                <w:szCs w:val="20"/>
              </w:rPr>
              <w:t>K</w:t>
            </w:r>
            <w:r w:rsidRPr="006B6C3B">
              <w:rPr>
                <w:rFonts w:ascii="Calibri" w:eastAsia="Times New Roman" w:hAnsi="Calibri" w:cs="Times New Roman"/>
                <w:sz w:val="20"/>
                <w:szCs w:val="20"/>
                <w:vertAlign w:val="subscript"/>
              </w:rPr>
              <w:t>Mod3D,19</w:t>
            </w:r>
          </w:p>
        </w:tc>
        <w:tc>
          <w:tcPr>
            <w:tcW w:w="2399" w:type="dxa"/>
            <w:tcBorders>
              <w:top w:val="nil"/>
              <w:left w:val="nil"/>
              <w:bottom w:val="nil"/>
              <w:right w:val="nil"/>
            </w:tcBorders>
            <w:shd w:val="clear" w:color="auto" w:fill="auto"/>
            <w:noWrap/>
            <w:vAlign w:val="center"/>
            <w:hideMark/>
          </w:tcPr>
          <w:p w:rsidR="008540AF" w:rsidRPr="006B6C3B" w:rsidRDefault="008540AF" w:rsidP="00F938ED">
            <w:pPr>
              <w:spacing w:after="0" w:line="240" w:lineRule="auto"/>
              <w:jc w:val="center"/>
              <w:rPr>
                <w:rFonts w:ascii="Calibri" w:eastAsia="Times New Roman" w:hAnsi="Calibri" w:cs="Times New Roman"/>
                <w:sz w:val="20"/>
                <w:szCs w:val="20"/>
              </w:rPr>
            </w:pPr>
            <w:r w:rsidRPr="006B6C3B">
              <w:rPr>
                <w:rFonts w:ascii="Calibri" w:eastAsia="Times New Roman" w:hAnsi="Calibri" w:cs="Times New Roman"/>
                <w:sz w:val="20"/>
                <w:szCs w:val="20"/>
              </w:rPr>
              <w:t>-5%</w:t>
            </w:r>
          </w:p>
        </w:tc>
        <w:tc>
          <w:tcPr>
            <w:tcW w:w="2654" w:type="dxa"/>
            <w:tcBorders>
              <w:top w:val="nil"/>
              <w:left w:val="nil"/>
              <w:bottom w:val="nil"/>
              <w:right w:val="nil"/>
            </w:tcBorders>
            <w:shd w:val="clear" w:color="auto" w:fill="auto"/>
            <w:noWrap/>
            <w:vAlign w:val="center"/>
            <w:hideMark/>
          </w:tcPr>
          <w:p w:rsidR="008540AF" w:rsidRPr="006B6C3B" w:rsidRDefault="008540AF" w:rsidP="00F938ED">
            <w:pPr>
              <w:spacing w:after="0" w:line="240" w:lineRule="auto"/>
              <w:jc w:val="center"/>
              <w:rPr>
                <w:rFonts w:ascii="Calibri" w:eastAsia="Times New Roman" w:hAnsi="Calibri" w:cs="Times New Roman"/>
                <w:sz w:val="20"/>
                <w:szCs w:val="20"/>
              </w:rPr>
            </w:pPr>
            <w:r w:rsidRPr="006B6C3B">
              <w:rPr>
                <w:rFonts w:ascii="Calibri" w:eastAsia="Times New Roman" w:hAnsi="Calibri" w:cs="Times New Roman"/>
                <w:sz w:val="20"/>
                <w:szCs w:val="20"/>
              </w:rPr>
              <w:t>-4%</w:t>
            </w:r>
          </w:p>
        </w:tc>
      </w:tr>
      <w:tr w:rsidR="008540AF" w:rsidRPr="006B6C3B" w:rsidTr="00F938ED">
        <w:trPr>
          <w:trHeight w:val="285"/>
          <w:jc w:val="center"/>
        </w:trPr>
        <w:tc>
          <w:tcPr>
            <w:tcW w:w="1008" w:type="dxa"/>
            <w:tcBorders>
              <w:top w:val="nil"/>
              <w:left w:val="nil"/>
              <w:bottom w:val="nil"/>
              <w:right w:val="nil"/>
            </w:tcBorders>
            <w:shd w:val="clear" w:color="auto" w:fill="auto"/>
            <w:noWrap/>
            <w:vAlign w:val="center"/>
            <w:hideMark/>
          </w:tcPr>
          <w:p w:rsidR="008540AF" w:rsidRPr="006B6C3B" w:rsidRDefault="008540AF" w:rsidP="00F938ED">
            <w:pPr>
              <w:spacing w:after="0" w:line="240" w:lineRule="auto"/>
              <w:jc w:val="center"/>
              <w:rPr>
                <w:rFonts w:ascii="Calibri" w:eastAsia="Times New Roman" w:hAnsi="Calibri" w:cs="Times New Roman"/>
                <w:sz w:val="20"/>
                <w:szCs w:val="20"/>
              </w:rPr>
            </w:pPr>
            <w:r w:rsidRPr="006B6C3B">
              <w:rPr>
                <w:rFonts w:ascii="Symbol" w:eastAsia="Times New Roman" w:hAnsi="Symbol" w:cs="Times New Roman"/>
                <w:sz w:val="20"/>
                <w:szCs w:val="20"/>
              </w:rPr>
              <w:t></w:t>
            </w:r>
            <w:r w:rsidRPr="006B6C3B">
              <w:rPr>
                <w:rFonts w:ascii="Calibri" w:eastAsia="Times New Roman" w:hAnsi="Calibri" w:cs="Times New Roman"/>
                <w:sz w:val="20"/>
                <w:szCs w:val="20"/>
                <w:vertAlign w:val="subscript"/>
              </w:rPr>
              <w:t>Mod4D</w:t>
            </w:r>
          </w:p>
        </w:tc>
        <w:tc>
          <w:tcPr>
            <w:tcW w:w="2399" w:type="dxa"/>
            <w:tcBorders>
              <w:top w:val="nil"/>
              <w:left w:val="nil"/>
              <w:bottom w:val="nil"/>
              <w:right w:val="nil"/>
            </w:tcBorders>
            <w:shd w:val="clear" w:color="auto" w:fill="auto"/>
            <w:noWrap/>
            <w:vAlign w:val="bottom"/>
            <w:hideMark/>
          </w:tcPr>
          <w:p w:rsidR="008540AF" w:rsidRPr="006B6C3B" w:rsidRDefault="008540AF" w:rsidP="00F938ED">
            <w:pPr>
              <w:spacing w:after="0" w:line="240" w:lineRule="auto"/>
              <w:jc w:val="center"/>
              <w:rPr>
                <w:rFonts w:ascii="Calibri" w:eastAsia="Times New Roman" w:hAnsi="Calibri" w:cs="Times New Roman"/>
                <w:color w:val="000000"/>
                <w:sz w:val="20"/>
                <w:szCs w:val="20"/>
              </w:rPr>
            </w:pPr>
            <w:r w:rsidRPr="006B6C3B">
              <w:rPr>
                <w:rFonts w:ascii="Calibri" w:eastAsia="Times New Roman" w:hAnsi="Calibri" w:cs="Times New Roman"/>
                <w:color w:val="000000"/>
                <w:sz w:val="20"/>
                <w:szCs w:val="20"/>
              </w:rPr>
              <w:t>±5%</w:t>
            </w:r>
          </w:p>
        </w:tc>
        <w:tc>
          <w:tcPr>
            <w:tcW w:w="2654" w:type="dxa"/>
            <w:tcBorders>
              <w:top w:val="nil"/>
              <w:left w:val="nil"/>
              <w:bottom w:val="nil"/>
              <w:right w:val="nil"/>
            </w:tcBorders>
            <w:shd w:val="clear" w:color="auto" w:fill="auto"/>
            <w:noWrap/>
            <w:vAlign w:val="bottom"/>
            <w:hideMark/>
          </w:tcPr>
          <w:p w:rsidR="008540AF" w:rsidRPr="006B6C3B" w:rsidRDefault="008540AF" w:rsidP="00F938ED">
            <w:pPr>
              <w:spacing w:after="0" w:line="240" w:lineRule="auto"/>
              <w:jc w:val="center"/>
              <w:rPr>
                <w:rFonts w:ascii="Calibri" w:eastAsia="Times New Roman" w:hAnsi="Calibri" w:cs="Times New Roman"/>
                <w:color w:val="000000"/>
                <w:sz w:val="20"/>
                <w:szCs w:val="20"/>
              </w:rPr>
            </w:pPr>
            <w:r w:rsidRPr="006B6C3B">
              <w:rPr>
                <w:rFonts w:ascii="Calibri" w:eastAsia="Times New Roman" w:hAnsi="Calibri" w:cs="Times New Roman"/>
                <w:color w:val="000000"/>
                <w:sz w:val="20"/>
                <w:szCs w:val="20"/>
              </w:rPr>
              <w:t>±4%</w:t>
            </w:r>
          </w:p>
        </w:tc>
      </w:tr>
      <w:tr w:rsidR="008540AF" w:rsidRPr="006B6C3B" w:rsidTr="00F938ED">
        <w:trPr>
          <w:trHeight w:val="300"/>
          <w:jc w:val="center"/>
        </w:trPr>
        <w:tc>
          <w:tcPr>
            <w:tcW w:w="1008" w:type="dxa"/>
            <w:tcBorders>
              <w:top w:val="nil"/>
              <w:left w:val="nil"/>
              <w:bottom w:val="single" w:sz="8" w:space="0" w:color="auto"/>
              <w:right w:val="nil"/>
            </w:tcBorders>
            <w:shd w:val="clear" w:color="auto" w:fill="auto"/>
            <w:noWrap/>
            <w:vAlign w:val="center"/>
            <w:hideMark/>
          </w:tcPr>
          <w:p w:rsidR="008540AF" w:rsidRPr="006B6C3B" w:rsidRDefault="008540AF" w:rsidP="00F938ED">
            <w:pPr>
              <w:spacing w:after="0" w:line="240" w:lineRule="auto"/>
              <w:jc w:val="center"/>
              <w:rPr>
                <w:rFonts w:ascii="Calibri" w:eastAsia="Times New Roman" w:hAnsi="Calibri" w:cs="Times New Roman"/>
                <w:sz w:val="20"/>
                <w:szCs w:val="20"/>
              </w:rPr>
            </w:pPr>
            <w:r w:rsidRPr="006B6C3B">
              <w:rPr>
                <w:rFonts w:ascii="Calibri" w:eastAsia="Times New Roman" w:hAnsi="Calibri" w:cs="Times New Roman"/>
                <w:sz w:val="20"/>
                <w:szCs w:val="20"/>
              </w:rPr>
              <w:t>S</w:t>
            </w:r>
            <w:r w:rsidRPr="006B6C3B">
              <w:rPr>
                <w:rFonts w:ascii="Calibri" w:eastAsia="Times New Roman" w:hAnsi="Calibri" w:cs="Times New Roman"/>
                <w:sz w:val="20"/>
                <w:szCs w:val="20"/>
                <w:vertAlign w:val="subscript"/>
              </w:rPr>
              <w:t>Mod5A</w:t>
            </w:r>
          </w:p>
        </w:tc>
        <w:tc>
          <w:tcPr>
            <w:tcW w:w="2399" w:type="dxa"/>
            <w:tcBorders>
              <w:top w:val="nil"/>
              <w:left w:val="nil"/>
              <w:bottom w:val="single" w:sz="8" w:space="0" w:color="auto"/>
              <w:right w:val="nil"/>
            </w:tcBorders>
            <w:shd w:val="clear" w:color="auto" w:fill="auto"/>
            <w:noWrap/>
            <w:vAlign w:val="bottom"/>
            <w:hideMark/>
          </w:tcPr>
          <w:p w:rsidR="008540AF" w:rsidRPr="006B6C3B" w:rsidRDefault="008540AF" w:rsidP="00F938ED">
            <w:pPr>
              <w:spacing w:after="0" w:line="240" w:lineRule="auto"/>
              <w:jc w:val="center"/>
              <w:rPr>
                <w:rFonts w:ascii="Calibri" w:eastAsia="Times New Roman" w:hAnsi="Calibri" w:cs="Times New Roman"/>
                <w:color w:val="000000"/>
                <w:sz w:val="20"/>
                <w:szCs w:val="20"/>
              </w:rPr>
            </w:pPr>
            <w:r w:rsidRPr="006B6C3B">
              <w:rPr>
                <w:rFonts w:ascii="Calibri" w:eastAsia="Times New Roman" w:hAnsi="Calibri" w:cs="Times New Roman"/>
                <w:color w:val="000000"/>
                <w:sz w:val="20"/>
                <w:szCs w:val="20"/>
              </w:rPr>
              <w:t>±10%</w:t>
            </w:r>
          </w:p>
        </w:tc>
        <w:tc>
          <w:tcPr>
            <w:tcW w:w="2654" w:type="dxa"/>
            <w:tcBorders>
              <w:top w:val="nil"/>
              <w:left w:val="nil"/>
              <w:bottom w:val="single" w:sz="8" w:space="0" w:color="auto"/>
              <w:right w:val="nil"/>
            </w:tcBorders>
            <w:shd w:val="clear" w:color="auto" w:fill="auto"/>
            <w:noWrap/>
            <w:vAlign w:val="bottom"/>
            <w:hideMark/>
          </w:tcPr>
          <w:p w:rsidR="008540AF" w:rsidRPr="006B6C3B" w:rsidRDefault="008540AF" w:rsidP="00F938ED">
            <w:pPr>
              <w:spacing w:after="0" w:line="240" w:lineRule="auto"/>
              <w:jc w:val="center"/>
              <w:rPr>
                <w:rFonts w:ascii="Calibri" w:eastAsia="Times New Roman" w:hAnsi="Calibri" w:cs="Times New Roman"/>
                <w:color w:val="000000"/>
                <w:sz w:val="20"/>
                <w:szCs w:val="20"/>
              </w:rPr>
            </w:pPr>
            <w:r w:rsidRPr="006B6C3B">
              <w:rPr>
                <w:rFonts w:ascii="Calibri" w:eastAsia="Times New Roman" w:hAnsi="Calibri" w:cs="Times New Roman"/>
                <w:color w:val="000000"/>
                <w:sz w:val="20"/>
                <w:szCs w:val="20"/>
              </w:rPr>
              <w:t>±8%</w:t>
            </w:r>
          </w:p>
        </w:tc>
      </w:tr>
    </w:tbl>
    <w:p w:rsidR="008540AF" w:rsidRDefault="008540AF" w:rsidP="008540AF">
      <w:pPr>
        <w:tabs>
          <w:tab w:val="num" w:pos="720"/>
        </w:tabs>
        <w:rPr>
          <w:rFonts w:asciiTheme="majorHAnsi" w:hAnsiTheme="majorHAnsi"/>
          <w:b/>
          <w:caps/>
        </w:rPr>
      </w:pPr>
    </w:p>
    <w:p w:rsidR="008540AF" w:rsidRDefault="008540AF" w:rsidP="00E664E4"/>
    <w:p w:rsidR="00E664E4" w:rsidRDefault="00E664E4" w:rsidP="00E664E4">
      <w:pPr>
        <w:jc w:val="center"/>
      </w:pPr>
      <w:r w:rsidRPr="00672949">
        <w:rPr>
          <w:noProof/>
        </w:rPr>
        <w:lastRenderedPageBreak/>
        <w:drawing>
          <wp:inline distT="0" distB="0" distL="0" distR="0" wp14:anchorId="563747D4" wp14:editId="21CB7625">
            <wp:extent cx="4572000" cy="6858000"/>
            <wp:effectExtent l="57150" t="0" r="76200" b="133350"/>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2" r:lo="rId93" r:qs="rId94" r:cs="rId95"/>
              </a:graphicData>
            </a:graphic>
          </wp:inline>
        </w:drawing>
      </w:r>
    </w:p>
    <w:p w:rsidR="00E664E4" w:rsidRPr="009A3612" w:rsidRDefault="00E664E4" w:rsidP="00E664E4">
      <w:pPr>
        <w:jc w:val="center"/>
        <w:rPr>
          <w:b/>
          <w:sz w:val="20"/>
          <w:szCs w:val="20"/>
        </w:rPr>
      </w:pPr>
      <w:r w:rsidRPr="009A3612">
        <w:rPr>
          <w:b/>
          <w:sz w:val="20"/>
          <w:szCs w:val="20"/>
        </w:rPr>
        <w:t>Figure 3.3</w:t>
      </w:r>
      <w:r>
        <w:rPr>
          <w:b/>
          <w:sz w:val="20"/>
          <w:szCs w:val="20"/>
        </w:rPr>
        <w:t>4</w:t>
      </w:r>
      <w:r w:rsidRPr="009A3612">
        <w:rPr>
          <w:b/>
          <w:sz w:val="20"/>
          <w:szCs w:val="20"/>
        </w:rPr>
        <w:t xml:space="preserve">. </w:t>
      </w:r>
      <w:r>
        <w:rPr>
          <w:b/>
          <w:sz w:val="20"/>
          <w:szCs w:val="20"/>
        </w:rPr>
        <w:t>List and Description of the MATLAB® files used to Generate the Principal Component Model</w:t>
      </w:r>
      <w:r w:rsidRPr="009A3612">
        <w:rPr>
          <w:b/>
          <w:sz w:val="20"/>
          <w:szCs w:val="20"/>
        </w:rPr>
        <w:t>.</w:t>
      </w:r>
    </w:p>
    <w:p w:rsidR="00DC329E" w:rsidRDefault="00DC329E">
      <w:r>
        <w:br w:type="page"/>
      </w:r>
    </w:p>
    <w:p w:rsidR="00E664E4" w:rsidRDefault="00E664E4" w:rsidP="00E664E4">
      <w:pPr>
        <w:rPr>
          <w:rFonts w:asciiTheme="majorHAnsi" w:hAnsiTheme="majorHAnsi"/>
          <w:b/>
          <w:caps/>
        </w:rPr>
      </w:pPr>
      <w:r>
        <w:rPr>
          <w:rFonts w:asciiTheme="majorHAnsi" w:hAnsiTheme="majorHAnsi"/>
          <w:b/>
          <w:caps/>
        </w:rPr>
        <w:lastRenderedPageBreak/>
        <w:t>3.6</w:t>
      </w:r>
      <w:r w:rsidRPr="00015B53">
        <w:rPr>
          <w:rFonts w:asciiTheme="majorHAnsi" w:hAnsiTheme="majorHAnsi"/>
          <w:b/>
          <w:caps/>
        </w:rPr>
        <w:t xml:space="preserve"> Faulty “Off-Normal” Cases</w:t>
      </w:r>
    </w:p>
    <w:p w:rsidR="00E664E4" w:rsidRDefault="00E664E4" w:rsidP="00E664E4">
      <w:r>
        <w:t xml:space="preserve">This section discusses the potential diversion scenarios in a conversion plant along with which faulty cases were selected for testing. </w:t>
      </w:r>
      <w:r w:rsidRPr="00F81B48">
        <w:t>Figure 3.35 lists</w:t>
      </w:r>
      <w:r>
        <w:t xml:space="preserve"> the MATLAB® files used to generate the faulty case data and the diagnostic plots. A description of each file is also provided in the figure.</w:t>
      </w:r>
    </w:p>
    <w:p w:rsidR="008540AF" w:rsidRDefault="008540AF" w:rsidP="00E664E4"/>
    <w:p w:rsidR="008540AF" w:rsidRDefault="008540AF" w:rsidP="008540AF">
      <w:pPr>
        <w:rPr>
          <w:rFonts w:asciiTheme="majorHAnsi" w:hAnsiTheme="majorHAnsi"/>
          <w:b/>
        </w:rPr>
      </w:pPr>
      <w:r>
        <w:rPr>
          <w:rFonts w:asciiTheme="majorHAnsi" w:hAnsiTheme="majorHAnsi"/>
          <w:b/>
        </w:rPr>
        <w:t>3.6</w:t>
      </w:r>
      <w:r w:rsidRPr="00015B53">
        <w:rPr>
          <w:rFonts w:asciiTheme="majorHAnsi" w:hAnsiTheme="majorHAnsi"/>
          <w:b/>
        </w:rPr>
        <w:t xml:space="preserve">.1 Potential Diversion </w:t>
      </w:r>
      <w:r>
        <w:rPr>
          <w:rFonts w:asciiTheme="majorHAnsi" w:hAnsiTheme="majorHAnsi"/>
          <w:b/>
        </w:rPr>
        <w:t>Scenarios</w:t>
      </w:r>
      <w:r w:rsidRPr="00015B53">
        <w:rPr>
          <w:rFonts w:asciiTheme="majorHAnsi" w:hAnsiTheme="majorHAnsi"/>
          <w:b/>
        </w:rPr>
        <w:t xml:space="preserve"> in Conversion Plants</w:t>
      </w:r>
    </w:p>
    <w:p w:rsidR="008540AF" w:rsidRDefault="008540AF" w:rsidP="008540AF">
      <w:r>
        <w:t xml:space="preserve">This section covers the potential diversion scenarios that could occur in the operation of a conversion plant and the scenarios that were selected for testing the detection framework of this research. For each potential diversion scenario, </w:t>
      </w:r>
      <w:r w:rsidRPr="00E02DC4">
        <w:t xml:space="preserve">a </w:t>
      </w:r>
      <w:r>
        <w:t xml:space="preserve">description </w:t>
      </w:r>
      <w:r w:rsidRPr="00E02DC4">
        <w:t xml:space="preserve">of each case </w:t>
      </w:r>
      <w:r>
        <w:t xml:space="preserve">is provided along with an explanation of </w:t>
      </w:r>
      <w:r w:rsidRPr="00E02DC4">
        <w:t xml:space="preserve">why it is of interest. </w:t>
      </w:r>
      <w:r>
        <w:t xml:space="preserve">Potential diversion scenarios are listed </w:t>
      </w:r>
      <w:r w:rsidRPr="00E02DC4">
        <w:t>for each of the modules. The faulty cases should</w:t>
      </w:r>
      <w:r>
        <w:t xml:space="preserve"> test the model’s response using </w:t>
      </w:r>
      <w:r w:rsidRPr="00E02DC4">
        <w:t xml:space="preserve">both the Mahalanobis distance and the </w:t>
      </w:r>
      <m:oMath>
        <m:r>
          <w:rPr>
            <w:rFonts w:ascii="Cambria Math" w:hAnsi="Cambria Math"/>
          </w:rPr>
          <m:t>Q</m:t>
        </m:r>
      </m:oMath>
      <w:r>
        <w:rPr>
          <w:rFonts w:eastAsiaTheme="minorEastAsia"/>
        </w:rPr>
        <w:noBreakHyphen/>
      </w:r>
      <w:r w:rsidRPr="00E02DC4">
        <w:t>statistic. The Mahalanobis distance is used to measure the variation i</w:t>
      </w:r>
      <w:r>
        <w:t>n</w:t>
      </w:r>
      <w:r w:rsidRPr="00E02DC4">
        <w:t xml:space="preserve"> the scores space and to determine if the variations fall outside the 95% confidence boundary (i.e. are the input values outside th</w:t>
      </w:r>
      <w:r>
        <w:t xml:space="preserve">e accepted normal range?). The </w:t>
      </w:r>
      <m:oMath>
        <m:r>
          <w:rPr>
            <w:rFonts w:ascii="Cambria Math" w:hAnsi="Cambria Math"/>
          </w:rPr>
          <m:t>Q</m:t>
        </m:r>
      </m:oMath>
      <w:r w:rsidRPr="00E02DC4">
        <w:t xml:space="preserve">-statistic is used to determine if the process is operating normally as defined by the model (i.e. does the model still fit?). </w:t>
      </w:r>
    </w:p>
    <w:p w:rsidR="008540AF" w:rsidRDefault="008540AF" w:rsidP="008540AF"/>
    <w:p w:rsidR="008540AF" w:rsidRDefault="008540AF" w:rsidP="008540AF">
      <w:pPr>
        <w:rPr>
          <w:rFonts w:asciiTheme="majorHAnsi" w:hAnsiTheme="majorHAnsi"/>
          <w:b/>
          <w:i/>
        </w:rPr>
      </w:pPr>
      <w:r w:rsidRPr="00C26992">
        <w:rPr>
          <w:rFonts w:asciiTheme="majorHAnsi" w:hAnsiTheme="majorHAnsi"/>
          <w:b/>
          <w:i/>
        </w:rPr>
        <w:t>3.</w:t>
      </w:r>
      <w:r>
        <w:rPr>
          <w:rFonts w:asciiTheme="majorHAnsi" w:hAnsiTheme="majorHAnsi"/>
          <w:b/>
          <w:i/>
        </w:rPr>
        <w:t>6</w:t>
      </w:r>
      <w:r w:rsidRPr="00C26992">
        <w:rPr>
          <w:rFonts w:asciiTheme="majorHAnsi" w:hAnsiTheme="majorHAnsi"/>
          <w:b/>
          <w:i/>
        </w:rPr>
        <w:t>.1.1 Module 1</w:t>
      </w:r>
    </w:p>
    <w:p w:rsidR="008540AF" w:rsidRPr="00E02DC4" w:rsidRDefault="008540AF" w:rsidP="008540AF">
      <w:r w:rsidRPr="00E02DC4">
        <w:t xml:space="preserve">Potential </w:t>
      </w:r>
      <w:r>
        <w:t xml:space="preserve">diversion scenarios </w:t>
      </w:r>
      <w:r w:rsidRPr="00E02DC4">
        <w:t xml:space="preserve">that involve alterations to Module 1 include: </w:t>
      </w:r>
    </w:p>
    <w:p w:rsidR="008540AF" w:rsidRPr="00E02DC4" w:rsidRDefault="008540AF" w:rsidP="008540AF">
      <w:pPr>
        <w:pStyle w:val="ListParagraph"/>
        <w:numPr>
          <w:ilvl w:val="0"/>
          <w:numId w:val="21"/>
        </w:numPr>
      </w:pPr>
      <w:r w:rsidRPr="00E02DC4">
        <w:t>Additional</w:t>
      </w:r>
      <w:r>
        <w:t xml:space="preserve"> uranium added to dissolver;</w:t>
      </w:r>
      <w:r w:rsidRPr="00E02DC4">
        <w:t xml:space="preserve"> </w:t>
      </w:r>
    </w:p>
    <w:p w:rsidR="008540AF" w:rsidRPr="00E02DC4" w:rsidRDefault="008540AF" w:rsidP="008540AF">
      <w:pPr>
        <w:pStyle w:val="ListParagraph"/>
        <w:numPr>
          <w:ilvl w:val="0"/>
          <w:numId w:val="21"/>
        </w:numPr>
      </w:pPr>
      <w:r w:rsidRPr="00E02DC4">
        <w:t xml:space="preserve">Different purity </w:t>
      </w:r>
      <w:r>
        <w:t>of uranium fed to the dissolver;</w:t>
      </w:r>
    </w:p>
    <w:p w:rsidR="008540AF" w:rsidRPr="00E02DC4" w:rsidRDefault="008540AF" w:rsidP="008540AF">
      <w:pPr>
        <w:pStyle w:val="ListParagraph"/>
        <w:numPr>
          <w:ilvl w:val="0"/>
          <w:numId w:val="21"/>
        </w:numPr>
      </w:pPr>
      <w:r w:rsidRPr="00E02DC4">
        <w:t>Uranium not completely dissolved (inefficient operations)</w:t>
      </w:r>
      <w:r>
        <w:t>;</w:t>
      </w:r>
      <w:r w:rsidRPr="00E02DC4">
        <w:t xml:space="preserve"> or</w:t>
      </w:r>
    </w:p>
    <w:p w:rsidR="008540AF" w:rsidRPr="00E02DC4" w:rsidRDefault="008540AF" w:rsidP="008540AF">
      <w:pPr>
        <w:pStyle w:val="ListParagraph"/>
        <w:numPr>
          <w:ilvl w:val="0"/>
          <w:numId w:val="21"/>
        </w:numPr>
      </w:pPr>
      <w:r w:rsidRPr="00E02DC4">
        <w:t xml:space="preserve">Withdrawal of uranyl nitrate stream downstream of </w:t>
      </w:r>
      <w:r>
        <w:t xml:space="preserve">the </w:t>
      </w:r>
      <w:r w:rsidRPr="00E02DC4">
        <w:t>dissolver</w:t>
      </w:r>
      <w:r>
        <w:t xml:space="preserve"> but still within the same module</w:t>
      </w:r>
      <w:r w:rsidRPr="00E02DC4">
        <w:t>.</w:t>
      </w:r>
    </w:p>
    <w:p w:rsidR="00B7594C" w:rsidRDefault="008540AF">
      <w:r w:rsidRPr="00E02DC4">
        <w:t xml:space="preserve">Addition of uranium could be accomplished through an additional port or existing sample line, instrument line, or observation port (temporary hook-up) to </w:t>
      </w:r>
      <w:r>
        <w:t xml:space="preserve">the </w:t>
      </w:r>
      <w:r w:rsidRPr="00E02DC4">
        <w:t>dissolver or through other process input lines (nitric acid</w:t>
      </w:r>
      <w:r>
        <w:t xml:space="preserve"> or water supply). The result would be</w:t>
      </w:r>
      <w:r w:rsidRPr="00E02DC4">
        <w:t xml:space="preserve"> that more uranium is processed in </w:t>
      </w:r>
      <w:r>
        <w:t xml:space="preserve">the </w:t>
      </w:r>
      <w:r w:rsidRPr="00E02DC4">
        <w:t xml:space="preserve">plant than declared with excess uranium being diverted prior to downstream sampling points. It is not likely that diversion would occur until after </w:t>
      </w:r>
      <w:r>
        <w:t xml:space="preserve">the </w:t>
      </w:r>
      <w:r w:rsidRPr="00E02DC4">
        <w:t xml:space="preserve">purification step. Modeling of this </w:t>
      </w:r>
      <w:r>
        <w:t>scenario</w:t>
      </w:r>
      <w:r w:rsidRPr="00E02DC4">
        <w:t xml:space="preserve"> w</w:t>
      </w:r>
      <w:r>
        <w:t>ould</w:t>
      </w:r>
      <w:r w:rsidRPr="00E02DC4">
        <w:t xml:space="preserve"> involve adding an additional input stream to the dissolver. </w:t>
      </w:r>
      <w:r>
        <w:t>For scenario 2 of Module 1, i</w:t>
      </w:r>
      <w:r w:rsidRPr="00E02DC4">
        <w:t>t is expected that the purity of the incoming uranium ore would vary slightly. However, a much higher purity fed could result</w:t>
      </w:r>
      <w:r>
        <w:t xml:space="preserve"> </w:t>
      </w:r>
      <w:r w:rsidRPr="00E02DC4">
        <w:t>in more uranium being processed than declared by the plant. Modeling this would require changing the</w:t>
      </w:r>
      <w:r w:rsidR="00B7594C">
        <w:t xml:space="preserve"> </w:t>
      </w:r>
      <w:r w:rsidR="00B7594C" w:rsidRPr="00E02DC4">
        <w:t xml:space="preserve">mass fractions of the incoming uranium ore. Inefficient operations </w:t>
      </w:r>
      <w:r w:rsidR="00B7594C">
        <w:t xml:space="preserve">(scenario 3) </w:t>
      </w:r>
      <w:r w:rsidR="00B7594C" w:rsidRPr="00E02DC4">
        <w:t xml:space="preserve">would result in uranium that could be diverted from </w:t>
      </w:r>
      <w:r w:rsidR="00B7594C">
        <w:t xml:space="preserve">the </w:t>
      </w:r>
      <w:r w:rsidR="00B7594C" w:rsidRPr="00E02DC4">
        <w:t xml:space="preserve">process in filter cake solids. However, diversion at this point in the </w:t>
      </w:r>
      <w:r w:rsidR="00B7594C">
        <w:br w:type="page"/>
      </w:r>
    </w:p>
    <w:p w:rsidR="00E664E4" w:rsidRDefault="00E664E4" w:rsidP="00E664E4">
      <w:pPr>
        <w:jc w:val="center"/>
        <w:rPr>
          <w:b/>
          <w:sz w:val="20"/>
          <w:szCs w:val="20"/>
        </w:rPr>
      </w:pPr>
      <w:r w:rsidRPr="00A03EA2">
        <w:rPr>
          <w:noProof/>
        </w:rPr>
        <w:lastRenderedPageBreak/>
        <w:drawing>
          <wp:inline distT="0" distB="0" distL="0" distR="0" wp14:anchorId="15803306" wp14:editId="72322EE4">
            <wp:extent cx="5029200" cy="7105650"/>
            <wp:effectExtent l="57150" t="0" r="76200" b="0"/>
            <wp:docPr id="8"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7" r:lo="rId98" r:qs="rId99" r:cs="rId100"/>
              </a:graphicData>
            </a:graphic>
          </wp:inline>
        </w:drawing>
      </w:r>
    </w:p>
    <w:p w:rsidR="00B7594C" w:rsidRDefault="00E664E4">
      <w:pPr>
        <w:rPr>
          <w:b/>
          <w:sz w:val="20"/>
          <w:szCs w:val="20"/>
        </w:rPr>
      </w:pPr>
      <w:proofErr w:type="gramStart"/>
      <w:r w:rsidRPr="009A3612">
        <w:rPr>
          <w:b/>
          <w:sz w:val="20"/>
          <w:szCs w:val="20"/>
        </w:rPr>
        <w:t>Figure 3.3</w:t>
      </w:r>
      <w:r>
        <w:rPr>
          <w:b/>
          <w:sz w:val="20"/>
          <w:szCs w:val="20"/>
        </w:rPr>
        <w:t>5</w:t>
      </w:r>
      <w:r w:rsidRPr="009A3612">
        <w:rPr>
          <w:b/>
          <w:sz w:val="20"/>
          <w:szCs w:val="20"/>
        </w:rPr>
        <w:t>.</w:t>
      </w:r>
      <w:proofErr w:type="gramEnd"/>
      <w:r w:rsidRPr="009A3612">
        <w:rPr>
          <w:b/>
          <w:sz w:val="20"/>
          <w:szCs w:val="20"/>
        </w:rPr>
        <w:t xml:space="preserve"> </w:t>
      </w:r>
      <w:r>
        <w:rPr>
          <w:b/>
          <w:sz w:val="20"/>
          <w:szCs w:val="20"/>
        </w:rPr>
        <w:t>List and Description of the MATLAB® files us</w:t>
      </w:r>
      <w:r w:rsidR="00A83BCA">
        <w:rPr>
          <w:b/>
          <w:sz w:val="20"/>
          <w:szCs w:val="20"/>
        </w:rPr>
        <w:t xml:space="preserve">ed to </w:t>
      </w:r>
      <w:proofErr w:type="gramStart"/>
      <w:r w:rsidR="00A83BCA">
        <w:rPr>
          <w:b/>
          <w:sz w:val="20"/>
          <w:szCs w:val="20"/>
        </w:rPr>
        <w:t>Generate</w:t>
      </w:r>
      <w:proofErr w:type="gramEnd"/>
      <w:r w:rsidR="00A83BCA">
        <w:rPr>
          <w:b/>
          <w:sz w:val="20"/>
          <w:szCs w:val="20"/>
        </w:rPr>
        <w:t xml:space="preserve"> the Faulty “Off-N</w:t>
      </w:r>
      <w:r>
        <w:rPr>
          <w:b/>
          <w:sz w:val="20"/>
          <w:szCs w:val="20"/>
        </w:rPr>
        <w:t>ormal” Cases and Diagnostic Plots</w:t>
      </w:r>
      <w:r w:rsidRPr="009A3612">
        <w:rPr>
          <w:b/>
          <w:sz w:val="20"/>
          <w:szCs w:val="20"/>
        </w:rPr>
        <w:t>.</w:t>
      </w:r>
      <w:r w:rsidR="00B7594C">
        <w:rPr>
          <w:b/>
          <w:sz w:val="20"/>
          <w:szCs w:val="20"/>
        </w:rPr>
        <w:br w:type="page"/>
      </w:r>
    </w:p>
    <w:p w:rsidR="00E664E4" w:rsidRDefault="00B7594C" w:rsidP="00E664E4">
      <w:proofErr w:type="gramStart"/>
      <w:r w:rsidRPr="00E02DC4">
        <w:lastRenderedPageBreak/>
        <w:t>process</w:t>
      </w:r>
      <w:proofErr w:type="gramEnd"/>
      <w:r w:rsidRPr="00E02DC4">
        <w:t xml:space="preserve"> would require a duplicate clandestine NUCP facility somewhere else to process the diverted solids. </w:t>
      </w:r>
      <w:r>
        <w:t>Modeling of this scenario would</w:t>
      </w:r>
      <w:r w:rsidRPr="00E02DC4">
        <w:t xml:space="preserve"> involve changing the extent of reaction for the dissolution reaction. </w:t>
      </w:r>
      <w:r>
        <w:t>Finally, w</w:t>
      </w:r>
      <w:r w:rsidRPr="00E02DC4">
        <w:t xml:space="preserve">ithdrawal of uranyl nitrate could be </w:t>
      </w:r>
      <w:r>
        <w:t>accomplished</w:t>
      </w:r>
      <w:r w:rsidRPr="00E02DC4">
        <w:t xml:space="preserve"> through an additional port or existing sample or instrument line (with a temporary hook-up) downstream of </w:t>
      </w:r>
      <w:r>
        <w:t xml:space="preserve">the </w:t>
      </w:r>
      <w:r w:rsidRPr="00E02DC4">
        <w:t xml:space="preserve">dissolver (between </w:t>
      </w:r>
      <w:r>
        <w:t xml:space="preserve">the </w:t>
      </w:r>
      <w:r w:rsidRPr="00E02DC4">
        <w:t xml:space="preserve">dissolver and </w:t>
      </w:r>
      <w:r>
        <w:t xml:space="preserve">the </w:t>
      </w:r>
      <w:r w:rsidRPr="00E02DC4">
        <w:t xml:space="preserve">uranyl nitrate storage tank) and the water or filter wash solution could be increased to ensure flow rates to the tank remain as expected for declared input. Diversion at this point in the process would require a duplicate clandestine facility somewhere else to process the diverted solution. Modeling of this </w:t>
      </w:r>
      <w:r>
        <w:t>scenario</w:t>
      </w:r>
      <w:r w:rsidRPr="00E02DC4">
        <w:t xml:space="preserve"> can be accomplished either by changing the fractions so that more uranyl nitrate would go to waste or by adding an additional output stream at the appropriate point.</w:t>
      </w:r>
    </w:p>
    <w:p w:rsidR="00B7594C" w:rsidRDefault="00B7594C" w:rsidP="00E664E4"/>
    <w:p w:rsidR="00E664E4" w:rsidRDefault="00E664E4" w:rsidP="00E664E4">
      <w:pPr>
        <w:rPr>
          <w:rFonts w:asciiTheme="majorHAnsi" w:hAnsiTheme="majorHAnsi"/>
          <w:b/>
          <w:i/>
        </w:rPr>
      </w:pPr>
      <w:r w:rsidRPr="00C26992">
        <w:rPr>
          <w:rFonts w:asciiTheme="majorHAnsi" w:hAnsiTheme="majorHAnsi"/>
          <w:b/>
          <w:i/>
        </w:rPr>
        <w:t>3.</w:t>
      </w:r>
      <w:r>
        <w:rPr>
          <w:rFonts w:asciiTheme="majorHAnsi" w:hAnsiTheme="majorHAnsi"/>
          <w:b/>
          <w:i/>
        </w:rPr>
        <w:t>6</w:t>
      </w:r>
      <w:r w:rsidRPr="00C26992">
        <w:rPr>
          <w:rFonts w:asciiTheme="majorHAnsi" w:hAnsiTheme="majorHAnsi"/>
          <w:b/>
          <w:i/>
        </w:rPr>
        <w:t>.1.</w:t>
      </w:r>
      <w:r>
        <w:rPr>
          <w:rFonts w:asciiTheme="majorHAnsi" w:hAnsiTheme="majorHAnsi"/>
          <w:b/>
          <w:i/>
        </w:rPr>
        <w:t>2 Module 2</w:t>
      </w:r>
    </w:p>
    <w:p w:rsidR="00E664E4" w:rsidRPr="00E02DC4" w:rsidRDefault="00E664E4" w:rsidP="00E664E4">
      <w:r w:rsidRPr="00E02DC4">
        <w:t xml:space="preserve">Potential </w:t>
      </w:r>
      <w:r>
        <w:t xml:space="preserve">diversion scenarios </w:t>
      </w:r>
      <w:r w:rsidRPr="00E02DC4">
        <w:t xml:space="preserve">that involve alterations to Module 2 include: </w:t>
      </w:r>
    </w:p>
    <w:p w:rsidR="00E664E4" w:rsidRPr="00E02DC4" w:rsidRDefault="00E664E4" w:rsidP="00E664E4">
      <w:pPr>
        <w:pStyle w:val="ListParagraph"/>
        <w:numPr>
          <w:ilvl w:val="0"/>
          <w:numId w:val="22"/>
        </w:numPr>
      </w:pPr>
      <w:r>
        <w:t>Additional uranium added to extraction column;</w:t>
      </w:r>
    </w:p>
    <w:p w:rsidR="00E664E4" w:rsidRPr="00E02DC4" w:rsidRDefault="00E664E4" w:rsidP="00E664E4">
      <w:pPr>
        <w:pStyle w:val="ListParagraph"/>
        <w:numPr>
          <w:ilvl w:val="0"/>
          <w:numId w:val="22"/>
        </w:numPr>
      </w:pPr>
      <w:r w:rsidRPr="00E02DC4">
        <w:t>Inefficient extraction</w:t>
      </w:r>
      <w:r>
        <w:t xml:space="preserve"> of uranium from aqueous stream;</w:t>
      </w:r>
    </w:p>
    <w:p w:rsidR="00E664E4" w:rsidRPr="00E02DC4" w:rsidRDefault="00E664E4" w:rsidP="00E664E4">
      <w:pPr>
        <w:pStyle w:val="ListParagraph"/>
        <w:numPr>
          <w:ilvl w:val="0"/>
          <w:numId w:val="22"/>
        </w:numPr>
      </w:pPr>
      <w:r w:rsidRPr="00E02DC4">
        <w:t xml:space="preserve">Withdrawal of uranyl nitrate downstream of </w:t>
      </w:r>
      <w:r>
        <w:t>the scrub or re-extraction columns;</w:t>
      </w:r>
      <w:r w:rsidRPr="00E02DC4">
        <w:t xml:space="preserve"> or</w:t>
      </w:r>
    </w:p>
    <w:p w:rsidR="00E664E4" w:rsidRPr="00E02DC4" w:rsidRDefault="00E664E4" w:rsidP="00E664E4">
      <w:pPr>
        <w:pStyle w:val="ListParagraph"/>
        <w:numPr>
          <w:ilvl w:val="0"/>
          <w:numId w:val="22"/>
        </w:numPr>
      </w:pPr>
      <w:r w:rsidRPr="00E02DC4">
        <w:t>Inefficient re-extraction of uranium from organic stream.</w:t>
      </w:r>
    </w:p>
    <w:p w:rsidR="00E664E4" w:rsidRDefault="00E664E4" w:rsidP="00E664E4">
      <w:r>
        <w:t>The a</w:t>
      </w:r>
      <w:r w:rsidRPr="00E02DC4">
        <w:t xml:space="preserve">ddition of uranium could be accomplished through an additional port or existing sample line, instrument line (temporary hook-up) to dissolver or through other process input lines (nitric acid or water supply). The result is that more uranium is processed in </w:t>
      </w:r>
      <w:r>
        <w:t xml:space="preserve">the </w:t>
      </w:r>
      <w:r w:rsidRPr="00E02DC4">
        <w:t xml:space="preserve">plant than declared with excess uranium being diverted prior to downstream sampling points. </w:t>
      </w:r>
      <w:r>
        <w:t>Modeling of this scenario would</w:t>
      </w:r>
      <w:r w:rsidRPr="00E02DC4">
        <w:t xml:space="preserve"> involve adding an additional input stream to the extraction column. Inefficient extraction of uranium from </w:t>
      </w:r>
      <w:r>
        <w:t xml:space="preserve">the </w:t>
      </w:r>
      <w:r w:rsidRPr="00E02DC4">
        <w:t xml:space="preserve">aqueous stream would result in diversion of uranium in the </w:t>
      </w:r>
      <w:proofErr w:type="spellStart"/>
      <w:r w:rsidRPr="00E02DC4">
        <w:t>raffinate</w:t>
      </w:r>
      <w:proofErr w:type="spellEnd"/>
      <w:r w:rsidRPr="00E02DC4">
        <w:t xml:space="preserve"> stream from extraction column. Withdrawal of uranyl nitrate could be done through an additional port or existing sample or instrument line (with a temporary hook-up) downstream of the scrub or re-extraction columns and the purified uranyl nitrate storage tank along with an increase in strip solution to ensure flow rates to product tank remains as expected for declared input. Inefficient re-extraction of uranium from </w:t>
      </w:r>
      <w:r>
        <w:t xml:space="preserve">the </w:t>
      </w:r>
      <w:r w:rsidRPr="00E02DC4">
        <w:t xml:space="preserve">organic stream would result in diversion of uranium in the organic waste stream from re-extraction (stripping) column. For </w:t>
      </w:r>
      <w:r>
        <w:t>scenarios</w:t>
      </w:r>
      <w:r w:rsidRPr="00E02DC4">
        <w:t xml:space="preserve"> 2–4 in Module 2, diversion would require a duplicate clandestine facility (from purification on) somewhere else to process the diverted material. Modeling </w:t>
      </w:r>
      <w:r>
        <w:t>scenarios</w:t>
      </w:r>
      <w:r w:rsidRPr="00E02DC4">
        <w:t xml:space="preserve"> 2–4 of Module 2 would require altering the fractionation parameters for each of the columns to direct uranium into the waste streams.</w:t>
      </w:r>
    </w:p>
    <w:p w:rsidR="00B7594C" w:rsidRDefault="00B7594C">
      <w:pPr>
        <w:rPr>
          <w:rFonts w:asciiTheme="majorHAnsi" w:hAnsiTheme="majorHAnsi"/>
          <w:b/>
          <w:i/>
        </w:rPr>
      </w:pPr>
      <w:r>
        <w:rPr>
          <w:rFonts w:asciiTheme="majorHAnsi" w:hAnsiTheme="majorHAnsi"/>
          <w:b/>
          <w:i/>
        </w:rPr>
        <w:br w:type="page"/>
      </w:r>
    </w:p>
    <w:p w:rsidR="00E664E4" w:rsidRDefault="00E664E4" w:rsidP="00E664E4">
      <w:pPr>
        <w:rPr>
          <w:rFonts w:asciiTheme="majorHAnsi" w:hAnsiTheme="majorHAnsi"/>
          <w:b/>
          <w:i/>
        </w:rPr>
      </w:pPr>
      <w:r w:rsidRPr="00C26992">
        <w:rPr>
          <w:rFonts w:asciiTheme="majorHAnsi" w:hAnsiTheme="majorHAnsi"/>
          <w:b/>
          <w:i/>
        </w:rPr>
        <w:lastRenderedPageBreak/>
        <w:t>3.</w:t>
      </w:r>
      <w:r>
        <w:rPr>
          <w:rFonts w:asciiTheme="majorHAnsi" w:hAnsiTheme="majorHAnsi"/>
          <w:b/>
          <w:i/>
        </w:rPr>
        <w:t>6</w:t>
      </w:r>
      <w:r w:rsidRPr="00C26992">
        <w:rPr>
          <w:rFonts w:asciiTheme="majorHAnsi" w:hAnsiTheme="majorHAnsi"/>
          <w:b/>
          <w:i/>
        </w:rPr>
        <w:t>.1.</w:t>
      </w:r>
      <w:r>
        <w:rPr>
          <w:rFonts w:asciiTheme="majorHAnsi" w:hAnsiTheme="majorHAnsi"/>
          <w:b/>
          <w:i/>
        </w:rPr>
        <w:t>3 Module 3</w:t>
      </w:r>
    </w:p>
    <w:p w:rsidR="00E664E4" w:rsidRPr="00E02DC4" w:rsidRDefault="00E664E4" w:rsidP="00E664E4">
      <w:r w:rsidRPr="00E02DC4">
        <w:t xml:space="preserve">Potential </w:t>
      </w:r>
      <w:r>
        <w:t xml:space="preserve">diversion scenarios </w:t>
      </w:r>
      <w:r w:rsidRPr="00E02DC4">
        <w:t xml:space="preserve">that involve alterations to the evaporation process in Module 3 include: </w:t>
      </w:r>
    </w:p>
    <w:p w:rsidR="00E664E4" w:rsidRPr="00E02DC4" w:rsidRDefault="00E664E4" w:rsidP="00E664E4">
      <w:pPr>
        <w:pStyle w:val="ListParagraph"/>
        <w:numPr>
          <w:ilvl w:val="0"/>
          <w:numId w:val="23"/>
        </w:numPr>
      </w:pPr>
      <w:r w:rsidRPr="00E02DC4">
        <w:t>Additional u</w:t>
      </w:r>
      <w:r>
        <w:t>ranium, in the form of uranyl nitrate, added to evaporator;</w:t>
      </w:r>
    </w:p>
    <w:p w:rsidR="00E664E4" w:rsidRPr="00E02DC4" w:rsidRDefault="00E664E4" w:rsidP="00E664E4">
      <w:pPr>
        <w:pStyle w:val="ListParagraph"/>
        <w:numPr>
          <w:ilvl w:val="0"/>
          <w:numId w:val="23"/>
        </w:numPr>
      </w:pPr>
      <w:r w:rsidRPr="00E02DC4">
        <w:t>Evaporator reflux is operated such that</w:t>
      </w:r>
      <w:r>
        <w:t xml:space="preserve"> more condensate is produced; or</w:t>
      </w:r>
    </w:p>
    <w:p w:rsidR="00E664E4" w:rsidRPr="00E02DC4" w:rsidRDefault="00E664E4" w:rsidP="00E664E4">
      <w:pPr>
        <w:pStyle w:val="ListParagraph"/>
        <w:numPr>
          <w:ilvl w:val="0"/>
          <w:numId w:val="23"/>
        </w:numPr>
      </w:pPr>
      <w:r w:rsidRPr="00E02DC4">
        <w:t>Withdrawal of concentrated uranyl nitrate stream downstream of evaporator.</w:t>
      </w:r>
    </w:p>
    <w:p w:rsidR="00E664E4" w:rsidRDefault="00E664E4" w:rsidP="00E664E4">
      <w:r>
        <w:t>The a</w:t>
      </w:r>
      <w:r w:rsidRPr="00E02DC4">
        <w:t xml:space="preserve">ddition of uranium to the evaporator feed could be accomplished through an additional port or existing sample line, instrument line (temporary hook-up) or through other process input lines (water supply). The result is that more uranium is processed in </w:t>
      </w:r>
      <w:r>
        <w:t xml:space="preserve">the </w:t>
      </w:r>
      <w:r w:rsidRPr="00E02DC4">
        <w:t xml:space="preserve">plant than declared with excess uranium being diverted prior to downstream sampling points. Modeling of this </w:t>
      </w:r>
      <w:r>
        <w:t>scenario</w:t>
      </w:r>
      <w:r w:rsidRPr="00E02DC4">
        <w:t xml:space="preserve"> w</w:t>
      </w:r>
      <w:r>
        <w:t>ould</w:t>
      </w:r>
      <w:r w:rsidRPr="00E02DC4">
        <w:t xml:space="preserve"> involve adding an additional input stream to the evaporator. The evaporator reflux could be operated such that more condensate is produced resulting in more uranium being diverted in the condensate stream. Withdrawal of concentrated uranyl nitrate could be done through an additional port or existing sample or instrument line (with a temporary hook-up) downstream of the evaporator. For </w:t>
      </w:r>
      <w:r>
        <w:t>scenarios</w:t>
      </w:r>
      <w:r w:rsidRPr="00E02DC4">
        <w:t xml:space="preserve"> 2 and 3 in the evaporation process of Module 3, diversion would require a duplicate clandestine facility (downstream of purification) somewhere else to process the diverted material. Modeling these </w:t>
      </w:r>
      <w:r>
        <w:t>scenarios</w:t>
      </w:r>
      <w:r w:rsidRPr="00E02DC4">
        <w:t xml:space="preserve"> would require altering the fractionation parameters for the evaporator to direct uranium </w:t>
      </w:r>
      <w:r>
        <w:t>into the waste streams. For scenario</w:t>
      </w:r>
      <w:r w:rsidRPr="00E02DC4">
        <w:t xml:space="preserve"> 3, modeling could also be accomplished by adding an additional output stream at the appropriate point.</w:t>
      </w:r>
    </w:p>
    <w:p w:rsidR="00E664E4" w:rsidRPr="00E02DC4" w:rsidRDefault="00E664E4" w:rsidP="00E664E4">
      <w:r w:rsidRPr="00E02DC4">
        <w:t xml:space="preserve">Potential </w:t>
      </w:r>
      <w:r>
        <w:t xml:space="preserve">diversion scenarios </w:t>
      </w:r>
      <w:r w:rsidRPr="00E02DC4">
        <w:t xml:space="preserve">that involve alterations to the precipitation process in Module 3 include: </w:t>
      </w:r>
    </w:p>
    <w:p w:rsidR="00E664E4" w:rsidRPr="00E02DC4" w:rsidRDefault="00E664E4" w:rsidP="00E664E4">
      <w:pPr>
        <w:pStyle w:val="ListParagraph"/>
        <w:numPr>
          <w:ilvl w:val="0"/>
          <w:numId w:val="24"/>
        </w:numPr>
      </w:pPr>
      <w:r w:rsidRPr="00E02DC4">
        <w:t xml:space="preserve">Additional uranium </w:t>
      </w:r>
      <w:r>
        <w:t>added to the precipitation process;</w:t>
      </w:r>
    </w:p>
    <w:p w:rsidR="00E664E4" w:rsidRPr="00E02DC4" w:rsidRDefault="00E664E4" w:rsidP="00E664E4">
      <w:pPr>
        <w:pStyle w:val="ListParagraph"/>
        <w:numPr>
          <w:ilvl w:val="0"/>
          <w:numId w:val="24"/>
        </w:numPr>
      </w:pPr>
      <w:r w:rsidRPr="00E02DC4">
        <w:t>Inefficient precipitation</w:t>
      </w:r>
      <w:r>
        <w:t xml:space="preserve"> operations;</w:t>
      </w:r>
      <w:r w:rsidRPr="00E02DC4">
        <w:t xml:space="preserve"> or</w:t>
      </w:r>
    </w:p>
    <w:p w:rsidR="00E664E4" w:rsidRPr="00E02DC4" w:rsidRDefault="00E664E4" w:rsidP="00E664E4">
      <w:pPr>
        <w:pStyle w:val="ListParagraph"/>
        <w:numPr>
          <w:ilvl w:val="0"/>
          <w:numId w:val="24"/>
        </w:numPr>
      </w:pPr>
      <w:r w:rsidRPr="00E02DC4">
        <w:t>Withdrawal of uranium powder through the exhaust system.</w:t>
      </w:r>
    </w:p>
    <w:p w:rsidR="00E664E4" w:rsidRDefault="00E664E4" w:rsidP="00E664E4">
      <w:r>
        <w:t>The a</w:t>
      </w:r>
      <w:r w:rsidRPr="00E02DC4">
        <w:t>ddition of uranium to the precipitation</w:t>
      </w:r>
      <w:r>
        <w:t xml:space="preserve"> process</w:t>
      </w:r>
      <w:r w:rsidRPr="00E02DC4">
        <w:t xml:space="preserve"> feed could be accomplished through an additional port or existing sample line, instrument line or recirculation (temporary hook-up) to the precipitator or through other process liquid input lines. The result is that more uranium is processed in </w:t>
      </w:r>
      <w:r>
        <w:t xml:space="preserve">the </w:t>
      </w:r>
      <w:r w:rsidRPr="00E02DC4">
        <w:t xml:space="preserve">plant than declared with excess uranium being diverted prior to downstream sampling points. Modeling of this </w:t>
      </w:r>
      <w:r>
        <w:t>scenario</w:t>
      </w:r>
      <w:r w:rsidRPr="00E02DC4">
        <w:t xml:space="preserve"> w</w:t>
      </w:r>
      <w:r>
        <w:t>ould</w:t>
      </w:r>
      <w:r w:rsidRPr="00E02DC4">
        <w:t xml:space="preserve"> involve adding an additional input stream to the precipitator. Inefficient precipitation operations would result in uranium that could be diverted in the waste stream from </w:t>
      </w:r>
      <w:r>
        <w:t xml:space="preserve">the </w:t>
      </w:r>
      <w:r w:rsidRPr="00E02DC4">
        <w:t xml:space="preserve">precipitator product filter. Uranium diverted through the filtrate stream could easily be retrieved in a separate process. </w:t>
      </w:r>
      <w:r>
        <w:t>Modeling of this scenario would</w:t>
      </w:r>
      <w:r w:rsidRPr="00E02DC4">
        <w:t xml:space="preserve"> involve changing the extent of reaction for the precipitation reaction. In order for additional uranium to be withdrawn, a vacuum would need to be applied to the powder collection point so that more powder is entrained in the exhaust system. Modeling of this </w:t>
      </w:r>
      <w:r>
        <w:t>scenario</w:t>
      </w:r>
      <w:r w:rsidRPr="00E02DC4">
        <w:t xml:space="preserve"> </w:t>
      </w:r>
      <w:r>
        <w:t xml:space="preserve">would </w:t>
      </w:r>
      <w:r w:rsidRPr="00E02DC4">
        <w:t>be accomplished by changing the fractions so that more uranium would go to exhaust.</w:t>
      </w:r>
    </w:p>
    <w:p w:rsidR="008540AF" w:rsidRDefault="008540AF" w:rsidP="00E664E4">
      <w:pPr>
        <w:rPr>
          <w:rFonts w:asciiTheme="majorHAnsi" w:hAnsiTheme="majorHAnsi"/>
          <w:b/>
          <w:i/>
        </w:rPr>
      </w:pPr>
    </w:p>
    <w:p w:rsidR="00E664E4" w:rsidRDefault="00E664E4" w:rsidP="00E664E4">
      <w:pPr>
        <w:rPr>
          <w:rFonts w:asciiTheme="majorHAnsi" w:hAnsiTheme="majorHAnsi"/>
          <w:b/>
          <w:i/>
        </w:rPr>
      </w:pPr>
      <w:r w:rsidRPr="00C26992">
        <w:rPr>
          <w:rFonts w:asciiTheme="majorHAnsi" w:hAnsiTheme="majorHAnsi"/>
          <w:b/>
          <w:i/>
        </w:rPr>
        <w:lastRenderedPageBreak/>
        <w:t>3.</w:t>
      </w:r>
      <w:r>
        <w:rPr>
          <w:rFonts w:asciiTheme="majorHAnsi" w:hAnsiTheme="majorHAnsi"/>
          <w:b/>
          <w:i/>
        </w:rPr>
        <w:t>6</w:t>
      </w:r>
      <w:r w:rsidRPr="00C26992">
        <w:rPr>
          <w:rFonts w:asciiTheme="majorHAnsi" w:hAnsiTheme="majorHAnsi"/>
          <w:b/>
          <w:i/>
        </w:rPr>
        <w:t>.1.</w:t>
      </w:r>
      <w:r>
        <w:rPr>
          <w:rFonts w:asciiTheme="majorHAnsi" w:hAnsiTheme="majorHAnsi"/>
          <w:b/>
          <w:i/>
        </w:rPr>
        <w:t>4 Module 4</w:t>
      </w:r>
    </w:p>
    <w:p w:rsidR="00E664E4" w:rsidRPr="00E02DC4" w:rsidRDefault="00E664E4" w:rsidP="00E664E4">
      <w:r w:rsidRPr="00E02DC4">
        <w:t xml:space="preserve">Potential </w:t>
      </w:r>
      <w:r>
        <w:t xml:space="preserve">diversion scenarios </w:t>
      </w:r>
      <w:r w:rsidRPr="00E02DC4">
        <w:t xml:space="preserve">that involve alterations to Module 4 include: </w:t>
      </w:r>
    </w:p>
    <w:p w:rsidR="00E664E4" w:rsidRPr="00E02DC4" w:rsidRDefault="00E664E4" w:rsidP="00E664E4">
      <w:pPr>
        <w:pStyle w:val="ListParagraph"/>
        <w:numPr>
          <w:ilvl w:val="0"/>
          <w:numId w:val="25"/>
        </w:numPr>
      </w:pPr>
      <w:r w:rsidRPr="00E02DC4">
        <w:t xml:space="preserve">Additional uranium added to the </w:t>
      </w:r>
      <w:proofErr w:type="spellStart"/>
      <w:r w:rsidRPr="00E02DC4">
        <w:t>calciner</w:t>
      </w:r>
      <w:proofErr w:type="spellEnd"/>
      <w:r>
        <w:t>;</w:t>
      </w:r>
      <w:r w:rsidRPr="00E02DC4">
        <w:t xml:space="preserve"> or</w:t>
      </w:r>
    </w:p>
    <w:p w:rsidR="00E664E4" w:rsidRPr="00E02DC4" w:rsidRDefault="00E664E4" w:rsidP="00E664E4">
      <w:pPr>
        <w:pStyle w:val="ListParagraph"/>
        <w:numPr>
          <w:ilvl w:val="0"/>
          <w:numId w:val="25"/>
        </w:numPr>
      </w:pPr>
      <w:r w:rsidRPr="00E02DC4">
        <w:t>Withdrawal of uranium powder through the exhaust system in either Module 4C or 4F.</w:t>
      </w:r>
    </w:p>
    <w:p w:rsidR="00E664E4" w:rsidRDefault="00E664E4" w:rsidP="00E664E4">
      <w:r>
        <w:t>The a</w:t>
      </w:r>
      <w:r w:rsidRPr="00E02DC4">
        <w:t xml:space="preserve">ddition of uranium to the </w:t>
      </w:r>
      <w:proofErr w:type="spellStart"/>
      <w:r w:rsidRPr="00E02DC4">
        <w:t>calciner</w:t>
      </w:r>
      <w:proofErr w:type="spellEnd"/>
      <w:r w:rsidRPr="00E02DC4">
        <w:t xml:space="preserve"> could be accomplished through an additional port. The result is that more uranium is processed in </w:t>
      </w:r>
      <w:r>
        <w:t xml:space="preserve">the </w:t>
      </w:r>
      <w:r w:rsidRPr="00E02DC4">
        <w:t xml:space="preserve">plant than declared with excess uranium being diverted prior to downstream sampling points. </w:t>
      </w:r>
      <w:r>
        <w:t>Modeling of this scenario would</w:t>
      </w:r>
      <w:r w:rsidRPr="00E02DC4">
        <w:t xml:space="preserve"> involve adding an additional input stream to the </w:t>
      </w:r>
      <w:proofErr w:type="spellStart"/>
      <w:r w:rsidRPr="00E02DC4">
        <w:t>calciner</w:t>
      </w:r>
      <w:proofErr w:type="spellEnd"/>
      <w:r w:rsidRPr="00E02DC4">
        <w:t xml:space="preserve">. In order for additional uranium to be withdrawn, a vacuum would need to be applied to the powder collection point so that more powder is entrained in the exhaust system. Modeling of this </w:t>
      </w:r>
      <w:r>
        <w:t>scenario</w:t>
      </w:r>
      <w:r w:rsidRPr="00E02DC4">
        <w:t xml:space="preserve"> can be accomplished by changing the filter fractionations so that more uranium would go to exhaust streams in either Module 4C or 4F.</w:t>
      </w:r>
    </w:p>
    <w:p w:rsidR="00E664E4" w:rsidRDefault="00E664E4" w:rsidP="00E664E4"/>
    <w:p w:rsidR="00E664E4" w:rsidRDefault="00E664E4" w:rsidP="00E664E4">
      <w:pPr>
        <w:rPr>
          <w:rFonts w:asciiTheme="majorHAnsi" w:hAnsiTheme="majorHAnsi"/>
          <w:b/>
          <w:i/>
        </w:rPr>
      </w:pPr>
      <w:r w:rsidRPr="00C26992">
        <w:rPr>
          <w:rFonts w:asciiTheme="majorHAnsi" w:hAnsiTheme="majorHAnsi"/>
          <w:b/>
          <w:i/>
        </w:rPr>
        <w:t>3.</w:t>
      </w:r>
      <w:r>
        <w:rPr>
          <w:rFonts w:asciiTheme="majorHAnsi" w:hAnsiTheme="majorHAnsi"/>
          <w:b/>
          <w:i/>
        </w:rPr>
        <w:t>6</w:t>
      </w:r>
      <w:r w:rsidRPr="00C26992">
        <w:rPr>
          <w:rFonts w:asciiTheme="majorHAnsi" w:hAnsiTheme="majorHAnsi"/>
          <w:b/>
          <w:i/>
        </w:rPr>
        <w:t>.1.</w:t>
      </w:r>
      <w:r>
        <w:rPr>
          <w:rFonts w:asciiTheme="majorHAnsi" w:hAnsiTheme="majorHAnsi"/>
          <w:b/>
          <w:i/>
        </w:rPr>
        <w:t>5 Module 5</w:t>
      </w:r>
    </w:p>
    <w:p w:rsidR="00E664E4" w:rsidRPr="00E02DC4" w:rsidRDefault="00E664E4" w:rsidP="00E664E4">
      <w:r w:rsidRPr="00E02DC4">
        <w:t xml:space="preserve">Potential </w:t>
      </w:r>
      <w:r>
        <w:t xml:space="preserve">diversion scenarios </w:t>
      </w:r>
      <w:r w:rsidRPr="00E02DC4">
        <w:t xml:space="preserve">that involve alterations to Module 5 include: </w:t>
      </w:r>
    </w:p>
    <w:p w:rsidR="00E664E4" w:rsidRPr="00E02DC4" w:rsidRDefault="00E664E4" w:rsidP="00E664E4">
      <w:pPr>
        <w:pStyle w:val="ListParagraph"/>
        <w:numPr>
          <w:ilvl w:val="0"/>
          <w:numId w:val="26"/>
        </w:numPr>
      </w:pPr>
      <w:r w:rsidRPr="00E02DC4">
        <w:t>Withdrawal of uranium powder through the exhaust system of th</w:t>
      </w:r>
      <w:r>
        <w:t>e secondary fluorination system;</w:t>
      </w:r>
    </w:p>
    <w:p w:rsidR="00E664E4" w:rsidRPr="00E02DC4" w:rsidRDefault="00E664E4" w:rsidP="00E664E4">
      <w:pPr>
        <w:pStyle w:val="ListParagraph"/>
        <w:numPr>
          <w:ilvl w:val="0"/>
          <w:numId w:val="26"/>
        </w:numPr>
      </w:pPr>
      <w:r w:rsidRPr="00E02DC4">
        <w:t>Withdrawal of UF</w:t>
      </w:r>
      <w:r w:rsidRPr="0097719C">
        <w:rPr>
          <w:vertAlign w:val="subscript"/>
        </w:rPr>
        <w:t>6</w:t>
      </w:r>
      <w:r>
        <w:t xml:space="preserve"> upstream of the cold traps;</w:t>
      </w:r>
    </w:p>
    <w:p w:rsidR="00E664E4" w:rsidRPr="00E02DC4" w:rsidRDefault="00E664E4" w:rsidP="00E664E4">
      <w:pPr>
        <w:pStyle w:val="ListParagraph"/>
        <w:numPr>
          <w:ilvl w:val="0"/>
          <w:numId w:val="26"/>
        </w:numPr>
      </w:pPr>
      <w:r w:rsidRPr="00E02DC4">
        <w:t>Inefficient operation</w:t>
      </w:r>
      <w:r>
        <w:t xml:space="preserve"> of the fluorination unit;</w:t>
      </w:r>
      <w:r w:rsidRPr="00E02DC4">
        <w:t xml:space="preserve"> or</w:t>
      </w:r>
    </w:p>
    <w:p w:rsidR="00E664E4" w:rsidRPr="00E02DC4" w:rsidRDefault="00E664E4" w:rsidP="00E664E4">
      <w:pPr>
        <w:pStyle w:val="ListParagraph"/>
        <w:numPr>
          <w:ilvl w:val="0"/>
          <w:numId w:val="26"/>
        </w:numPr>
      </w:pPr>
      <w:r w:rsidRPr="00E02DC4">
        <w:t>Inefficient operation of the UF</w:t>
      </w:r>
      <w:r w:rsidRPr="0097719C">
        <w:rPr>
          <w:vertAlign w:val="subscript"/>
        </w:rPr>
        <w:t>6</w:t>
      </w:r>
      <w:r w:rsidRPr="00E02DC4">
        <w:t xml:space="preserve"> collection units.</w:t>
      </w:r>
    </w:p>
    <w:p w:rsidR="00E664E4" w:rsidRDefault="00E664E4" w:rsidP="00E664E4">
      <w:r w:rsidRPr="00E02DC4">
        <w:t xml:space="preserve">In order for additional uranium to be withdrawn through the exhaust system, a vacuum would need to be applied to the powder collection point on the secondary fluorination system so that more powder is entrained in the exhaust system. Modeling of this </w:t>
      </w:r>
      <w:r>
        <w:t>scenario</w:t>
      </w:r>
      <w:r w:rsidRPr="00E02DC4">
        <w:t xml:space="preserve"> </w:t>
      </w:r>
      <w:r>
        <w:t>would</w:t>
      </w:r>
      <w:r w:rsidRPr="00E02DC4">
        <w:t xml:space="preserve"> be accomplished by changing the filter fractionations so that more uranium would go to exhaust stream in Module 5F. U</w:t>
      </w:r>
      <w:r>
        <w:t xml:space="preserve">ranium hexafluoride </w:t>
      </w:r>
      <w:r w:rsidRPr="00E02DC4">
        <w:t xml:space="preserve">could also be diverted from the process and collected in separate cold traps or a chemical trap. Modeling this </w:t>
      </w:r>
      <w:r>
        <w:t>scenario</w:t>
      </w:r>
      <w:r w:rsidRPr="00E02DC4">
        <w:t xml:space="preserve"> would also involve changing the filter fractionations at the appropriate point. Inefficient fluorination operations would result in additional UF</w:t>
      </w:r>
      <w:r w:rsidRPr="0097719C">
        <w:rPr>
          <w:vertAlign w:val="subscript"/>
        </w:rPr>
        <w:t>4</w:t>
      </w:r>
      <w:r w:rsidRPr="00E02DC4">
        <w:t xml:space="preserve"> that collects in the ash and could be sent to another facility for recovery. </w:t>
      </w:r>
      <w:r>
        <w:t>Modeling of this scenario would</w:t>
      </w:r>
      <w:r w:rsidRPr="00E02DC4">
        <w:t xml:space="preserve"> involve changing the extent of reaction for the fluorination reaction for either the primary or secondary r</w:t>
      </w:r>
      <w:r>
        <w:t xml:space="preserve">eactions. Inefficient operation </w:t>
      </w:r>
      <w:r w:rsidRPr="00E02DC4">
        <w:t>of the UF</w:t>
      </w:r>
      <w:r w:rsidRPr="0097719C">
        <w:rPr>
          <w:vertAlign w:val="subscript"/>
        </w:rPr>
        <w:t>6</w:t>
      </w:r>
      <w:r w:rsidRPr="00E02DC4">
        <w:t xml:space="preserve"> collection units would result in additional UF</w:t>
      </w:r>
      <w:r w:rsidRPr="0097719C">
        <w:rPr>
          <w:vertAlign w:val="subscript"/>
        </w:rPr>
        <w:t>6</w:t>
      </w:r>
      <w:r w:rsidRPr="00E02DC4">
        <w:t xml:space="preserve"> that exits the vent system and is collected on chemical traps that are diverted to another facility. Modeling this would involve adding an additional</w:t>
      </w:r>
      <w:r>
        <w:t xml:space="preserve"> </w:t>
      </w:r>
      <w:r w:rsidRPr="00E02DC4">
        <w:t>output to the last unit operation in Module 5F.</w:t>
      </w:r>
    </w:p>
    <w:p w:rsidR="00E664E4" w:rsidRDefault="00E664E4" w:rsidP="00E664E4"/>
    <w:p w:rsidR="008540AF" w:rsidRDefault="008540AF" w:rsidP="00E664E4">
      <w:pPr>
        <w:rPr>
          <w:rFonts w:asciiTheme="majorHAnsi" w:hAnsiTheme="majorHAnsi"/>
          <w:b/>
          <w:i/>
        </w:rPr>
      </w:pPr>
    </w:p>
    <w:p w:rsidR="00E664E4" w:rsidRDefault="00E664E4" w:rsidP="00E664E4">
      <w:pPr>
        <w:rPr>
          <w:rFonts w:asciiTheme="majorHAnsi" w:hAnsiTheme="majorHAnsi"/>
          <w:b/>
          <w:i/>
        </w:rPr>
      </w:pPr>
      <w:r w:rsidRPr="00C26992">
        <w:rPr>
          <w:rFonts w:asciiTheme="majorHAnsi" w:hAnsiTheme="majorHAnsi"/>
          <w:b/>
          <w:i/>
        </w:rPr>
        <w:lastRenderedPageBreak/>
        <w:t>3.</w:t>
      </w:r>
      <w:r>
        <w:rPr>
          <w:rFonts w:asciiTheme="majorHAnsi" w:hAnsiTheme="majorHAnsi"/>
          <w:b/>
          <w:i/>
        </w:rPr>
        <w:t>6</w:t>
      </w:r>
      <w:r w:rsidRPr="00C26992">
        <w:rPr>
          <w:rFonts w:asciiTheme="majorHAnsi" w:hAnsiTheme="majorHAnsi"/>
          <w:b/>
          <w:i/>
        </w:rPr>
        <w:t>.1.</w:t>
      </w:r>
      <w:r>
        <w:rPr>
          <w:rFonts w:asciiTheme="majorHAnsi" w:hAnsiTheme="majorHAnsi"/>
          <w:b/>
          <w:i/>
        </w:rPr>
        <w:t>6 Multiple Modules</w:t>
      </w:r>
    </w:p>
    <w:p w:rsidR="00E664E4" w:rsidRPr="00E02DC4" w:rsidRDefault="00E664E4" w:rsidP="00E664E4">
      <w:r w:rsidRPr="00E02DC4">
        <w:t xml:space="preserve">Potential </w:t>
      </w:r>
      <w:r>
        <w:t xml:space="preserve">diversion scenarios </w:t>
      </w:r>
      <w:r w:rsidRPr="00E02DC4">
        <w:t xml:space="preserve">that involve alterations to more than one Module include: </w:t>
      </w:r>
    </w:p>
    <w:p w:rsidR="00E664E4" w:rsidRPr="00E02DC4" w:rsidRDefault="00E664E4" w:rsidP="00E664E4">
      <w:pPr>
        <w:pStyle w:val="ListParagraph"/>
        <w:numPr>
          <w:ilvl w:val="0"/>
          <w:numId w:val="27"/>
        </w:numPr>
      </w:pPr>
      <w:r w:rsidRPr="00E02DC4">
        <w:t>Adjusting the flow parameters t</w:t>
      </w:r>
      <w:r>
        <w:t>hat ensure sufficient reactants;</w:t>
      </w:r>
    </w:p>
    <w:p w:rsidR="00E664E4" w:rsidRPr="00E02DC4" w:rsidRDefault="00E664E4" w:rsidP="00E664E4">
      <w:pPr>
        <w:pStyle w:val="ListParagraph"/>
        <w:numPr>
          <w:ilvl w:val="0"/>
          <w:numId w:val="27"/>
        </w:numPr>
      </w:pPr>
      <w:r>
        <w:t>Data spoofing;</w:t>
      </w:r>
      <w:r w:rsidRPr="00E02DC4">
        <w:t xml:space="preserve"> or</w:t>
      </w:r>
    </w:p>
    <w:p w:rsidR="00E664E4" w:rsidRPr="00E02DC4" w:rsidRDefault="00E664E4" w:rsidP="00E664E4">
      <w:pPr>
        <w:pStyle w:val="ListParagraph"/>
        <w:numPr>
          <w:ilvl w:val="0"/>
          <w:numId w:val="27"/>
        </w:numPr>
      </w:pPr>
      <w:r w:rsidRPr="00E02DC4">
        <w:t xml:space="preserve">Changing two parameters that </w:t>
      </w:r>
      <w:r>
        <w:t>may</w:t>
      </w:r>
      <w:r w:rsidRPr="00E02DC4">
        <w:t xml:space="preserve"> cancel each other’s effects.</w:t>
      </w:r>
    </w:p>
    <w:p w:rsidR="00E664E4" w:rsidRDefault="00E664E4" w:rsidP="00E664E4">
      <w:r w:rsidRPr="00E02DC4">
        <w:t xml:space="preserve">Adjusting the flow parameters would affect how much uranium is converted and also how much reactant is left after the reaction. These parameters exist in all of the modules except Module 2, so more than one </w:t>
      </w:r>
      <w:r>
        <w:t>scenario</w:t>
      </w:r>
      <w:r w:rsidRPr="00E02DC4">
        <w:t xml:space="preserve"> could be tested. Data spoofing is a concern for actual operations. </w:t>
      </w:r>
      <w:r>
        <w:t>I</w:t>
      </w:r>
      <w:r w:rsidRPr="00E02DC4">
        <w:t xml:space="preserve">t </w:t>
      </w:r>
      <w:r>
        <w:t xml:space="preserve">would be </w:t>
      </w:r>
      <w:r w:rsidRPr="00E02DC4">
        <w:t xml:space="preserve">possible to test the data spoofing by generating a random set of data where each of the unknowns varies within the acceptable range. However, the relationship between the unknowns of one sample may not fit the model. Finally, it is possible that two parameters could cancel one another’s effects. This is mostly the </w:t>
      </w:r>
      <w:r>
        <w:t>scenario</w:t>
      </w:r>
      <w:r w:rsidRPr="00E02DC4">
        <w:t xml:space="preserve"> for </w:t>
      </w:r>
      <w:r>
        <w:t xml:space="preserve">the </w:t>
      </w:r>
      <w:r w:rsidRPr="00E02DC4">
        <w:t>flow parameter</w:t>
      </w:r>
      <w:r>
        <w:t>s</w:t>
      </w:r>
      <w:r w:rsidRPr="00E02DC4">
        <w:t xml:space="preserve"> and extent</w:t>
      </w:r>
      <w:r>
        <w:t>s</w:t>
      </w:r>
      <w:r w:rsidRPr="00E02DC4">
        <w:t xml:space="preserve"> of reaction. </w:t>
      </w:r>
    </w:p>
    <w:p w:rsidR="00E664E4" w:rsidRPr="00E02DC4" w:rsidRDefault="00E664E4" w:rsidP="00E664E4"/>
    <w:p w:rsidR="00E664E4" w:rsidRDefault="00E664E4" w:rsidP="00E664E4">
      <w:pPr>
        <w:rPr>
          <w:rFonts w:asciiTheme="majorHAnsi" w:hAnsiTheme="majorHAnsi"/>
          <w:b/>
        </w:rPr>
      </w:pPr>
      <w:r>
        <w:rPr>
          <w:rFonts w:asciiTheme="majorHAnsi" w:hAnsiTheme="majorHAnsi"/>
          <w:b/>
        </w:rPr>
        <w:t>3.6</w:t>
      </w:r>
      <w:r w:rsidRPr="00015B53">
        <w:rPr>
          <w:rFonts w:asciiTheme="majorHAnsi" w:hAnsiTheme="majorHAnsi"/>
          <w:b/>
        </w:rPr>
        <w:t xml:space="preserve">.2 Selected </w:t>
      </w:r>
      <w:r>
        <w:rPr>
          <w:rFonts w:asciiTheme="majorHAnsi" w:hAnsiTheme="majorHAnsi"/>
          <w:b/>
        </w:rPr>
        <w:t xml:space="preserve">Faulty “Off-Normal” </w:t>
      </w:r>
      <w:r w:rsidRPr="00015B53">
        <w:rPr>
          <w:rFonts w:asciiTheme="majorHAnsi" w:hAnsiTheme="majorHAnsi"/>
          <w:b/>
        </w:rPr>
        <w:t>Cases</w:t>
      </w:r>
    </w:p>
    <w:p w:rsidR="00DC329E" w:rsidRDefault="00E664E4">
      <w:r>
        <w:t>This section discusses the actual faulty “off-normal” cases that were selected for study. Table 3.13 provides a summary of each of the cases. Following Table 3.13, each case is described along with a brief analysis of why the case is important. The first three cases test processes included in Module 1. The fourth case applies to Module 2. Cases 5–7 are specific to Module 3. Case 8 applies to Module 4. Cases 9–11 are specific to Module 5. Cases 12–14 test the effect of changing multiple parameters or inputs which could result in cancellation of the fault detection or an additive effect to the fault.</w:t>
      </w:r>
    </w:p>
    <w:p w:rsidR="008540AF" w:rsidRDefault="008540AF"/>
    <w:p w:rsidR="008540AF" w:rsidRDefault="008540AF" w:rsidP="008540AF">
      <w:pPr>
        <w:rPr>
          <w:rFonts w:asciiTheme="majorHAnsi" w:hAnsiTheme="majorHAnsi"/>
          <w:b/>
          <w:i/>
        </w:rPr>
      </w:pPr>
      <w:r w:rsidRPr="00C26992">
        <w:rPr>
          <w:rFonts w:asciiTheme="majorHAnsi" w:hAnsiTheme="majorHAnsi"/>
          <w:b/>
          <w:i/>
        </w:rPr>
        <w:t>3.</w:t>
      </w:r>
      <w:r>
        <w:rPr>
          <w:rFonts w:asciiTheme="majorHAnsi" w:hAnsiTheme="majorHAnsi"/>
          <w:b/>
          <w:i/>
        </w:rPr>
        <w:t>6.2</w:t>
      </w:r>
      <w:r w:rsidRPr="00C26992">
        <w:rPr>
          <w:rFonts w:asciiTheme="majorHAnsi" w:hAnsiTheme="majorHAnsi"/>
          <w:b/>
          <w:i/>
        </w:rPr>
        <w:t>.</w:t>
      </w:r>
      <w:r>
        <w:rPr>
          <w:rFonts w:asciiTheme="majorHAnsi" w:hAnsiTheme="majorHAnsi"/>
          <w:b/>
          <w:i/>
        </w:rPr>
        <w:t>1 Case 1</w:t>
      </w:r>
    </w:p>
    <w:p w:rsidR="008540AF" w:rsidRDefault="008540AF" w:rsidP="008540AF">
      <w:r w:rsidRPr="00E02DC4">
        <w:t>The first faulty case that w</w:t>
      </w:r>
      <w:r>
        <w:t>as</w:t>
      </w:r>
      <w:r w:rsidRPr="00E02DC4">
        <w:t xml:space="preserve"> investigated </w:t>
      </w:r>
      <w:r>
        <w:t>wa</w:t>
      </w:r>
      <w:r w:rsidRPr="00E02DC4">
        <w:t>s a</w:t>
      </w:r>
      <w:r>
        <w:t>n</w:t>
      </w:r>
      <w:r w:rsidRPr="00E02DC4">
        <w:t xml:space="preserve"> increase in the </w:t>
      </w:r>
      <w:r>
        <w:t xml:space="preserve">total </w:t>
      </w:r>
      <w:r w:rsidRPr="00E02DC4">
        <w:t xml:space="preserve">throughput of the facility. In this case, all incoming flow rates </w:t>
      </w:r>
      <w:r>
        <w:t xml:space="preserve">(Streams 1A, 4A–13A) </w:t>
      </w:r>
      <w:r w:rsidRPr="00E02DC4">
        <w:t>w</w:t>
      </w:r>
      <w:r>
        <w:t>ere increased</w:t>
      </w:r>
      <w:r w:rsidRPr="00E02DC4">
        <w:t xml:space="preserve"> with no other changes in the model.</w:t>
      </w:r>
      <w:r>
        <w:t xml:space="preserve"> The initial test was to increase the throughput by 50% to determine the model’s response. </w:t>
      </w:r>
      <w:r w:rsidRPr="00E02DC4">
        <w:t xml:space="preserve">This </w:t>
      </w:r>
      <w:r>
        <w:t xml:space="preserve">was done by multiplying all eleven incoming base case flow rates (see Table 3.9) by 1.5. Since up to 10% change was built into the base case model for the incoming uranium flow rate, an increase in total throughput of 10% was also tested. </w:t>
      </w:r>
      <w:r w:rsidRPr="00E02DC4">
        <w:t xml:space="preserve">In this case, the </w:t>
      </w:r>
      <m:oMath>
        <m:r>
          <w:rPr>
            <w:rFonts w:ascii="Cambria Math" w:hAnsi="Cambria Math"/>
          </w:rPr>
          <m:t>Q</m:t>
        </m:r>
      </m:oMath>
      <w:r w:rsidRPr="00E02DC4">
        <w:t xml:space="preserve">-statistic </w:t>
      </w:r>
      <w:r>
        <w:t xml:space="preserve">was expected to be outside of the accepted range since most of these flow rates were parameters and therefore the </w:t>
      </w:r>
      <w:r w:rsidR="00454A92">
        <w:t>relative relationships</w:t>
      </w:r>
      <w:r>
        <w:t xml:space="preserve"> between the parameters and the state variables would change. T</w:t>
      </w:r>
      <w:r w:rsidRPr="00E02DC4">
        <w:t xml:space="preserve">he Mahalanobis distance </w:t>
      </w:r>
      <w:r>
        <w:t xml:space="preserve">was expected to </w:t>
      </w:r>
      <w:r w:rsidRPr="00E02DC4">
        <w:t>show that the values are outside of the accepted range.</w:t>
      </w:r>
      <w:r>
        <w:t xml:space="preserve"> Additionally, only the incoming uranium flow rate was increased leaving all other parameters and inputs unchanged from the base case. </w:t>
      </w:r>
    </w:p>
    <w:p w:rsidR="00232C49" w:rsidRDefault="00232C49">
      <w:r>
        <w:br w:type="page"/>
      </w:r>
    </w:p>
    <w:tbl>
      <w:tblPr>
        <w:tblW w:w="9072" w:type="dxa"/>
        <w:jc w:val="center"/>
        <w:tblLook w:val="04A0" w:firstRow="1" w:lastRow="0" w:firstColumn="1" w:lastColumn="0" w:noHBand="0" w:noVBand="1"/>
      </w:tblPr>
      <w:tblGrid>
        <w:gridCol w:w="620"/>
        <w:gridCol w:w="1133"/>
        <w:gridCol w:w="863"/>
        <w:gridCol w:w="1060"/>
        <w:gridCol w:w="929"/>
        <w:gridCol w:w="1120"/>
        <w:gridCol w:w="3347"/>
      </w:tblGrid>
      <w:tr w:rsidR="00F329F3" w:rsidRPr="00F329F3" w:rsidTr="00F329F3">
        <w:trPr>
          <w:trHeight w:val="270"/>
          <w:jc w:val="center"/>
        </w:trPr>
        <w:tc>
          <w:tcPr>
            <w:tcW w:w="9000" w:type="dxa"/>
            <w:gridSpan w:val="7"/>
            <w:tcBorders>
              <w:top w:val="nil"/>
              <w:left w:val="nil"/>
              <w:bottom w:val="single" w:sz="8" w:space="0" w:color="auto"/>
              <w:right w:val="nil"/>
            </w:tcBorders>
            <w:shd w:val="clear" w:color="auto" w:fill="auto"/>
            <w:noWrap/>
            <w:vAlign w:val="bottom"/>
            <w:hideMark/>
          </w:tcPr>
          <w:p w:rsidR="00F329F3" w:rsidRPr="00F329F3" w:rsidRDefault="00F329F3" w:rsidP="00F329F3">
            <w:pPr>
              <w:spacing w:after="0" w:line="240" w:lineRule="auto"/>
              <w:jc w:val="center"/>
              <w:rPr>
                <w:rFonts w:ascii="Calibri" w:eastAsia="Times New Roman" w:hAnsi="Calibri" w:cs="Times New Roman"/>
                <w:b/>
                <w:bCs/>
                <w:color w:val="000000"/>
                <w:sz w:val="20"/>
                <w:szCs w:val="20"/>
              </w:rPr>
            </w:pPr>
            <w:r w:rsidRPr="00F329F3">
              <w:rPr>
                <w:rFonts w:ascii="Calibri" w:eastAsia="Times New Roman" w:hAnsi="Calibri" w:cs="Times New Roman"/>
                <w:b/>
                <w:bCs/>
                <w:color w:val="000000"/>
                <w:sz w:val="20"/>
                <w:szCs w:val="20"/>
              </w:rPr>
              <w:lastRenderedPageBreak/>
              <w:t>Table 3.13. Summary of Faulty Cases</w:t>
            </w:r>
          </w:p>
        </w:tc>
      </w:tr>
      <w:tr w:rsidR="00F329F3" w:rsidRPr="00F329F3" w:rsidTr="00F329F3">
        <w:trPr>
          <w:trHeight w:val="510"/>
          <w:jc w:val="center"/>
        </w:trPr>
        <w:tc>
          <w:tcPr>
            <w:tcW w:w="62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b/>
                <w:bCs/>
                <w:sz w:val="20"/>
                <w:szCs w:val="20"/>
              </w:rPr>
            </w:pPr>
            <w:r w:rsidRPr="00F329F3">
              <w:rPr>
                <w:rFonts w:ascii="Calibri" w:eastAsia="Times New Roman" w:hAnsi="Calibri" w:cs="Times New Roman"/>
                <w:b/>
                <w:bCs/>
                <w:sz w:val="20"/>
                <w:szCs w:val="20"/>
              </w:rPr>
              <w:t>Case #</w:t>
            </w:r>
          </w:p>
        </w:tc>
        <w:tc>
          <w:tcPr>
            <w:tcW w:w="100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b/>
                <w:bCs/>
                <w:sz w:val="20"/>
                <w:szCs w:val="20"/>
              </w:rPr>
            </w:pPr>
            <w:r w:rsidRPr="00F329F3">
              <w:rPr>
                <w:rFonts w:ascii="Calibri" w:eastAsia="Times New Roman" w:hAnsi="Calibri" w:cs="Times New Roman"/>
                <w:b/>
                <w:bCs/>
                <w:sz w:val="20"/>
                <w:szCs w:val="20"/>
              </w:rPr>
              <w:t>Safeguards Priority</w:t>
            </w:r>
          </w:p>
        </w:tc>
        <w:tc>
          <w:tcPr>
            <w:tcW w:w="74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b/>
                <w:bCs/>
                <w:sz w:val="20"/>
                <w:szCs w:val="20"/>
              </w:rPr>
            </w:pPr>
            <w:r w:rsidRPr="00F329F3">
              <w:rPr>
                <w:rFonts w:ascii="Calibri" w:eastAsia="Times New Roman" w:hAnsi="Calibri" w:cs="Times New Roman"/>
                <w:b/>
                <w:bCs/>
                <w:sz w:val="20"/>
                <w:szCs w:val="20"/>
              </w:rPr>
              <w:t>Module</w:t>
            </w:r>
          </w:p>
        </w:tc>
        <w:tc>
          <w:tcPr>
            <w:tcW w:w="106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b/>
                <w:bCs/>
                <w:sz w:val="20"/>
                <w:szCs w:val="20"/>
              </w:rPr>
            </w:pPr>
            <w:r w:rsidRPr="00F329F3">
              <w:rPr>
                <w:rFonts w:ascii="Calibri" w:eastAsia="Times New Roman" w:hAnsi="Calibri" w:cs="Times New Roman"/>
                <w:b/>
                <w:bCs/>
                <w:sz w:val="20"/>
                <w:szCs w:val="20"/>
              </w:rPr>
              <w:t>Faulty Variable</w:t>
            </w:r>
          </w:p>
        </w:tc>
        <w:tc>
          <w:tcPr>
            <w:tcW w:w="90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b/>
                <w:bCs/>
                <w:color w:val="000000"/>
                <w:sz w:val="20"/>
                <w:szCs w:val="20"/>
              </w:rPr>
            </w:pPr>
            <w:r w:rsidRPr="00F329F3">
              <w:rPr>
                <w:rFonts w:ascii="Calibri" w:eastAsia="Times New Roman" w:hAnsi="Calibri" w:cs="Times New Roman"/>
                <w:b/>
                <w:bCs/>
                <w:color w:val="000000"/>
                <w:sz w:val="20"/>
                <w:szCs w:val="20"/>
              </w:rPr>
              <w:t>Base Case Value</w:t>
            </w:r>
          </w:p>
        </w:tc>
        <w:tc>
          <w:tcPr>
            <w:tcW w:w="112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b/>
                <w:bCs/>
                <w:color w:val="000000"/>
                <w:sz w:val="20"/>
                <w:szCs w:val="20"/>
              </w:rPr>
            </w:pPr>
            <w:r w:rsidRPr="00F329F3">
              <w:rPr>
                <w:rFonts w:ascii="Calibri" w:eastAsia="Times New Roman" w:hAnsi="Calibri" w:cs="Times New Roman"/>
                <w:b/>
                <w:bCs/>
                <w:color w:val="000000"/>
                <w:sz w:val="20"/>
                <w:szCs w:val="20"/>
              </w:rPr>
              <w:t>Faulty Value</w:t>
            </w:r>
          </w:p>
        </w:tc>
        <w:tc>
          <w:tcPr>
            <w:tcW w:w="356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b/>
                <w:bCs/>
                <w:sz w:val="20"/>
                <w:szCs w:val="20"/>
              </w:rPr>
            </w:pPr>
            <w:r w:rsidRPr="00F329F3">
              <w:rPr>
                <w:rFonts w:ascii="Calibri" w:eastAsia="Times New Roman" w:hAnsi="Calibri" w:cs="Times New Roman"/>
                <w:b/>
                <w:bCs/>
                <w:sz w:val="20"/>
                <w:szCs w:val="20"/>
              </w:rPr>
              <w:t>Description</w:t>
            </w:r>
          </w:p>
        </w:tc>
      </w:tr>
      <w:tr w:rsidR="00F329F3" w:rsidRPr="00F329F3" w:rsidTr="00F329F3">
        <w:trPr>
          <w:trHeight w:val="255"/>
          <w:jc w:val="center"/>
        </w:trPr>
        <w:tc>
          <w:tcPr>
            <w:tcW w:w="620" w:type="dxa"/>
            <w:tcBorders>
              <w:top w:val="nil"/>
              <w:left w:val="nil"/>
              <w:bottom w:val="nil"/>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sz w:val="20"/>
                <w:szCs w:val="20"/>
              </w:rPr>
            </w:pPr>
            <w:r w:rsidRPr="00F329F3">
              <w:rPr>
                <w:rFonts w:ascii="Calibri" w:eastAsia="Times New Roman" w:hAnsi="Calibri" w:cs="Times New Roman"/>
                <w:sz w:val="20"/>
                <w:szCs w:val="20"/>
              </w:rPr>
              <w:t>1A</w:t>
            </w:r>
          </w:p>
        </w:tc>
        <w:tc>
          <w:tcPr>
            <w:tcW w:w="1000" w:type="dxa"/>
            <w:tcBorders>
              <w:top w:val="nil"/>
              <w:left w:val="nil"/>
              <w:bottom w:val="nil"/>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sz w:val="20"/>
                <w:szCs w:val="20"/>
              </w:rPr>
            </w:pPr>
            <w:r w:rsidRPr="00F329F3">
              <w:rPr>
                <w:rFonts w:ascii="Calibri" w:eastAsia="Times New Roman" w:hAnsi="Calibri" w:cs="Times New Roman"/>
                <w:sz w:val="20"/>
                <w:szCs w:val="20"/>
              </w:rPr>
              <w:t>High</w:t>
            </w:r>
          </w:p>
        </w:tc>
        <w:tc>
          <w:tcPr>
            <w:tcW w:w="740" w:type="dxa"/>
            <w:tcBorders>
              <w:top w:val="nil"/>
              <w:left w:val="nil"/>
              <w:bottom w:val="nil"/>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sz w:val="20"/>
                <w:szCs w:val="20"/>
              </w:rPr>
            </w:pPr>
            <w:r w:rsidRPr="00F329F3">
              <w:rPr>
                <w:rFonts w:ascii="Calibri" w:eastAsia="Times New Roman" w:hAnsi="Calibri" w:cs="Times New Roman"/>
                <w:sz w:val="20"/>
                <w:szCs w:val="20"/>
              </w:rPr>
              <w:t>1</w:t>
            </w:r>
          </w:p>
        </w:tc>
        <w:tc>
          <w:tcPr>
            <w:tcW w:w="1060" w:type="dxa"/>
            <w:tcBorders>
              <w:top w:val="nil"/>
              <w:left w:val="nil"/>
              <w:bottom w:val="nil"/>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sz w:val="20"/>
                <w:szCs w:val="20"/>
              </w:rPr>
            </w:pPr>
            <w:r w:rsidRPr="00F329F3">
              <w:rPr>
                <w:rFonts w:ascii="Calibri" w:eastAsia="Times New Roman" w:hAnsi="Calibri" w:cs="Times New Roman"/>
                <w:sz w:val="20"/>
                <w:szCs w:val="20"/>
              </w:rPr>
              <w:t>All F values</w:t>
            </w:r>
          </w:p>
        </w:tc>
        <w:tc>
          <w:tcPr>
            <w:tcW w:w="900" w:type="dxa"/>
            <w:tcBorders>
              <w:top w:val="nil"/>
              <w:left w:val="nil"/>
              <w:bottom w:val="nil"/>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Varies</w:t>
            </w:r>
          </w:p>
        </w:tc>
        <w:tc>
          <w:tcPr>
            <w:tcW w:w="1120" w:type="dxa"/>
            <w:tcBorders>
              <w:top w:val="nil"/>
              <w:left w:val="nil"/>
              <w:bottom w:val="nil"/>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+50%</w:t>
            </w:r>
          </w:p>
        </w:tc>
        <w:tc>
          <w:tcPr>
            <w:tcW w:w="3560" w:type="dxa"/>
            <w:tcBorders>
              <w:top w:val="nil"/>
              <w:left w:val="nil"/>
              <w:bottom w:val="nil"/>
              <w:right w:val="nil"/>
            </w:tcBorders>
            <w:shd w:val="clear" w:color="auto" w:fill="auto"/>
            <w:vAlign w:val="bottom"/>
            <w:hideMark/>
          </w:tcPr>
          <w:p w:rsidR="00F329F3" w:rsidRPr="00F329F3" w:rsidRDefault="00F329F3" w:rsidP="00F329F3">
            <w:pPr>
              <w:spacing w:after="0" w:line="240" w:lineRule="auto"/>
              <w:rPr>
                <w:rFonts w:ascii="Calibri" w:eastAsia="Times New Roman" w:hAnsi="Calibri" w:cs="Times New Roman"/>
                <w:sz w:val="20"/>
                <w:szCs w:val="20"/>
              </w:rPr>
            </w:pPr>
            <w:r w:rsidRPr="00F329F3">
              <w:rPr>
                <w:rFonts w:ascii="Calibri" w:eastAsia="Times New Roman" w:hAnsi="Calibri" w:cs="Times New Roman"/>
                <w:sz w:val="20"/>
                <w:szCs w:val="20"/>
              </w:rPr>
              <w:t>Increase total plant throughput by 50%</w:t>
            </w:r>
          </w:p>
        </w:tc>
      </w:tr>
      <w:tr w:rsidR="00F329F3" w:rsidRPr="00F329F3" w:rsidTr="00F329F3">
        <w:trPr>
          <w:trHeight w:val="255"/>
          <w:jc w:val="center"/>
        </w:trPr>
        <w:tc>
          <w:tcPr>
            <w:tcW w:w="620" w:type="dxa"/>
            <w:tcBorders>
              <w:top w:val="nil"/>
              <w:left w:val="nil"/>
              <w:bottom w:val="nil"/>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sz w:val="20"/>
                <w:szCs w:val="20"/>
              </w:rPr>
            </w:pPr>
            <w:r w:rsidRPr="00F329F3">
              <w:rPr>
                <w:rFonts w:ascii="Calibri" w:eastAsia="Times New Roman" w:hAnsi="Calibri" w:cs="Times New Roman"/>
                <w:sz w:val="20"/>
                <w:szCs w:val="20"/>
              </w:rPr>
              <w:t>1B</w:t>
            </w:r>
          </w:p>
        </w:tc>
        <w:tc>
          <w:tcPr>
            <w:tcW w:w="1000" w:type="dxa"/>
            <w:tcBorders>
              <w:top w:val="nil"/>
              <w:left w:val="nil"/>
              <w:bottom w:val="nil"/>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sz w:val="20"/>
                <w:szCs w:val="20"/>
              </w:rPr>
            </w:pPr>
            <w:r w:rsidRPr="00F329F3">
              <w:rPr>
                <w:rFonts w:ascii="Calibri" w:eastAsia="Times New Roman" w:hAnsi="Calibri" w:cs="Times New Roman"/>
                <w:sz w:val="20"/>
                <w:szCs w:val="20"/>
              </w:rPr>
              <w:t>High</w:t>
            </w:r>
          </w:p>
        </w:tc>
        <w:tc>
          <w:tcPr>
            <w:tcW w:w="740" w:type="dxa"/>
            <w:tcBorders>
              <w:top w:val="nil"/>
              <w:left w:val="nil"/>
              <w:bottom w:val="nil"/>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sz w:val="20"/>
                <w:szCs w:val="20"/>
              </w:rPr>
            </w:pPr>
            <w:r w:rsidRPr="00F329F3">
              <w:rPr>
                <w:rFonts w:ascii="Calibri" w:eastAsia="Times New Roman" w:hAnsi="Calibri" w:cs="Times New Roman"/>
                <w:sz w:val="20"/>
                <w:szCs w:val="20"/>
              </w:rPr>
              <w:t>1</w:t>
            </w:r>
          </w:p>
        </w:tc>
        <w:tc>
          <w:tcPr>
            <w:tcW w:w="1060" w:type="dxa"/>
            <w:tcBorders>
              <w:top w:val="nil"/>
              <w:left w:val="nil"/>
              <w:bottom w:val="nil"/>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sz w:val="20"/>
                <w:szCs w:val="20"/>
              </w:rPr>
            </w:pPr>
            <w:r w:rsidRPr="00F329F3">
              <w:rPr>
                <w:rFonts w:ascii="Calibri" w:eastAsia="Times New Roman" w:hAnsi="Calibri" w:cs="Times New Roman"/>
                <w:sz w:val="20"/>
                <w:szCs w:val="20"/>
              </w:rPr>
              <w:t>All F values</w:t>
            </w:r>
          </w:p>
        </w:tc>
        <w:tc>
          <w:tcPr>
            <w:tcW w:w="900" w:type="dxa"/>
            <w:tcBorders>
              <w:top w:val="nil"/>
              <w:left w:val="nil"/>
              <w:bottom w:val="nil"/>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sz w:val="20"/>
                <w:szCs w:val="20"/>
              </w:rPr>
            </w:pPr>
            <w:r w:rsidRPr="00F329F3">
              <w:rPr>
                <w:rFonts w:ascii="Calibri" w:eastAsia="Times New Roman" w:hAnsi="Calibri" w:cs="Times New Roman"/>
                <w:sz w:val="20"/>
                <w:szCs w:val="20"/>
              </w:rPr>
              <w:t>Varies</w:t>
            </w:r>
          </w:p>
        </w:tc>
        <w:tc>
          <w:tcPr>
            <w:tcW w:w="1120" w:type="dxa"/>
            <w:tcBorders>
              <w:top w:val="nil"/>
              <w:left w:val="nil"/>
              <w:bottom w:val="nil"/>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sz w:val="20"/>
                <w:szCs w:val="20"/>
              </w:rPr>
            </w:pPr>
            <w:r w:rsidRPr="00F329F3">
              <w:rPr>
                <w:rFonts w:ascii="Calibri" w:eastAsia="Times New Roman" w:hAnsi="Calibri" w:cs="Times New Roman"/>
                <w:sz w:val="20"/>
                <w:szCs w:val="20"/>
              </w:rPr>
              <w:t>+10%</w:t>
            </w:r>
          </w:p>
        </w:tc>
        <w:tc>
          <w:tcPr>
            <w:tcW w:w="3560" w:type="dxa"/>
            <w:tcBorders>
              <w:top w:val="nil"/>
              <w:left w:val="nil"/>
              <w:bottom w:val="nil"/>
              <w:right w:val="nil"/>
            </w:tcBorders>
            <w:shd w:val="clear" w:color="auto" w:fill="auto"/>
            <w:vAlign w:val="bottom"/>
            <w:hideMark/>
          </w:tcPr>
          <w:p w:rsidR="00F329F3" w:rsidRPr="00F329F3" w:rsidRDefault="00F329F3" w:rsidP="00F329F3">
            <w:pPr>
              <w:spacing w:after="0" w:line="240" w:lineRule="auto"/>
              <w:rPr>
                <w:rFonts w:ascii="Calibri" w:eastAsia="Times New Roman" w:hAnsi="Calibri" w:cs="Times New Roman"/>
                <w:sz w:val="20"/>
                <w:szCs w:val="20"/>
              </w:rPr>
            </w:pPr>
            <w:r w:rsidRPr="00F329F3">
              <w:rPr>
                <w:rFonts w:ascii="Calibri" w:eastAsia="Times New Roman" w:hAnsi="Calibri" w:cs="Times New Roman"/>
                <w:sz w:val="20"/>
                <w:szCs w:val="20"/>
              </w:rPr>
              <w:t>Increase total plant throughput by 10%</w:t>
            </w:r>
          </w:p>
        </w:tc>
      </w:tr>
      <w:tr w:rsidR="00F329F3" w:rsidRPr="00F329F3" w:rsidTr="00F329F3">
        <w:trPr>
          <w:trHeight w:val="285"/>
          <w:jc w:val="center"/>
        </w:trPr>
        <w:tc>
          <w:tcPr>
            <w:tcW w:w="620" w:type="dxa"/>
            <w:tcBorders>
              <w:top w:val="nil"/>
              <w:left w:val="nil"/>
              <w:bottom w:val="nil"/>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sz w:val="20"/>
                <w:szCs w:val="20"/>
              </w:rPr>
            </w:pPr>
            <w:r w:rsidRPr="00F329F3">
              <w:rPr>
                <w:rFonts w:ascii="Calibri" w:eastAsia="Times New Roman" w:hAnsi="Calibri" w:cs="Times New Roman"/>
                <w:sz w:val="20"/>
                <w:szCs w:val="20"/>
              </w:rPr>
              <w:t>1C</w:t>
            </w:r>
          </w:p>
        </w:tc>
        <w:tc>
          <w:tcPr>
            <w:tcW w:w="1000" w:type="dxa"/>
            <w:tcBorders>
              <w:top w:val="nil"/>
              <w:left w:val="nil"/>
              <w:bottom w:val="nil"/>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sz w:val="20"/>
                <w:szCs w:val="20"/>
              </w:rPr>
            </w:pPr>
            <w:r w:rsidRPr="00F329F3">
              <w:rPr>
                <w:rFonts w:ascii="Calibri" w:eastAsia="Times New Roman" w:hAnsi="Calibri" w:cs="Times New Roman"/>
                <w:sz w:val="20"/>
                <w:szCs w:val="20"/>
              </w:rPr>
              <w:t>High</w:t>
            </w:r>
          </w:p>
        </w:tc>
        <w:tc>
          <w:tcPr>
            <w:tcW w:w="740" w:type="dxa"/>
            <w:tcBorders>
              <w:top w:val="nil"/>
              <w:left w:val="nil"/>
              <w:bottom w:val="nil"/>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sz w:val="20"/>
                <w:szCs w:val="20"/>
              </w:rPr>
            </w:pPr>
            <w:r w:rsidRPr="00F329F3">
              <w:rPr>
                <w:rFonts w:ascii="Calibri" w:eastAsia="Times New Roman" w:hAnsi="Calibri" w:cs="Times New Roman"/>
                <w:sz w:val="20"/>
                <w:szCs w:val="20"/>
              </w:rPr>
              <w:t>1</w:t>
            </w:r>
          </w:p>
        </w:tc>
        <w:tc>
          <w:tcPr>
            <w:tcW w:w="1060" w:type="dxa"/>
            <w:tcBorders>
              <w:top w:val="nil"/>
              <w:left w:val="nil"/>
              <w:bottom w:val="nil"/>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F</w:t>
            </w:r>
            <w:r w:rsidRPr="00F329F3">
              <w:rPr>
                <w:rFonts w:ascii="Calibri" w:eastAsia="Times New Roman" w:hAnsi="Calibri" w:cs="Times New Roman"/>
                <w:color w:val="000000"/>
                <w:sz w:val="20"/>
                <w:szCs w:val="20"/>
                <w:vertAlign w:val="subscript"/>
              </w:rPr>
              <w:t>1A,U</w:t>
            </w:r>
          </w:p>
        </w:tc>
        <w:tc>
          <w:tcPr>
            <w:tcW w:w="900" w:type="dxa"/>
            <w:tcBorders>
              <w:top w:val="nil"/>
              <w:left w:val="nil"/>
              <w:bottom w:val="nil"/>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sz w:val="20"/>
                <w:szCs w:val="20"/>
              </w:rPr>
            </w:pPr>
            <w:r w:rsidRPr="00F329F3">
              <w:rPr>
                <w:rFonts w:ascii="Calibri" w:eastAsia="Times New Roman" w:hAnsi="Calibri" w:cs="Times New Roman"/>
                <w:sz w:val="20"/>
                <w:szCs w:val="20"/>
              </w:rPr>
              <w:t>50 kg/h</w:t>
            </w:r>
          </w:p>
        </w:tc>
        <w:tc>
          <w:tcPr>
            <w:tcW w:w="1120" w:type="dxa"/>
            <w:tcBorders>
              <w:top w:val="nil"/>
              <w:left w:val="nil"/>
              <w:bottom w:val="nil"/>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sz w:val="20"/>
                <w:szCs w:val="20"/>
              </w:rPr>
            </w:pPr>
            <w:r w:rsidRPr="00F329F3">
              <w:rPr>
                <w:rFonts w:ascii="Calibri" w:eastAsia="Times New Roman" w:hAnsi="Calibri" w:cs="Times New Roman"/>
                <w:sz w:val="20"/>
                <w:szCs w:val="20"/>
              </w:rPr>
              <w:t>57.5 kg/h</w:t>
            </w:r>
          </w:p>
        </w:tc>
        <w:tc>
          <w:tcPr>
            <w:tcW w:w="3560" w:type="dxa"/>
            <w:tcBorders>
              <w:top w:val="nil"/>
              <w:left w:val="nil"/>
              <w:bottom w:val="nil"/>
              <w:right w:val="nil"/>
            </w:tcBorders>
            <w:shd w:val="clear" w:color="auto" w:fill="auto"/>
            <w:vAlign w:val="bottom"/>
            <w:hideMark/>
          </w:tcPr>
          <w:p w:rsidR="00F329F3" w:rsidRPr="00F329F3" w:rsidRDefault="00F329F3" w:rsidP="00F329F3">
            <w:pPr>
              <w:spacing w:after="0" w:line="240" w:lineRule="auto"/>
              <w:rPr>
                <w:rFonts w:ascii="Calibri" w:eastAsia="Times New Roman" w:hAnsi="Calibri" w:cs="Times New Roman"/>
                <w:sz w:val="20"/>
                <w:szCs w:val="20"/>
              </w:rPr>
            </w:pPr>
            <w:r w:rsidRPr="00F329F3">
              <w:rPr>
                <w:rFonts w:ascii="Calibri" w:eastAsia="Times New Roman" w:hAnsi="Calibri" w:cs="Times New Roman"/>
                <w:sz w:val="20"/>
                <w:szCs w:val="20"/>
              </w:rPr>
              <w:t>Increase uranium throughput by 15%</w:t>
            </w:r>
          </w:p>
        </w:tc>
      </w:tr>
      <w:tr w:rsidR="00F329F3" w:rsidRPr="00F329F3" w:rsidTr="00F329F3">
        <w:trPr>
          <w:trHeight w:val="285"/>
          <w:jc w:val="center"/>
        </w:trPr>
        <w:tc>
          <w:tcPr>
            <w:tcW w:w="62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sz w:val="20"/>
                <w:szCs w:val="20"/>
              </w:rPr>
            </w:pPr>
            <w:r w:rsidRPr="00F329F3">
              <w:rPr>
                <w:rFonts w:ascii="Calibri" w:eastAsia="Times New Roman" w:hAnsi="Calibri" w:cs="Times New Roman"/>
                <w:sz w:val="20"/>
                <w:szCs w:val="20"/>
              </w:rPr>
              <w:t>1D</w:t>
            </w:r>
          </w:p>
        </w:tc>
        <w:tc>
          <w:tcPr>
            <w:tcW w:w="100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sz w:val="20"/>
                <w:szCs w:val="20"/>
              </w:rPr>
            </w:pPr>
            <w:r w:rsidRPr="00F329F3">
              <w:rPr>
                <w:rFonts w:ascii="Calibri" w:eastAsia="Times New Roman" w:hAnsi="Calibri" w:cs="Times New Roman"/>
                <w:sz w:val="20"/>
                <w:szCs w:val="20"/>
              </w:rPr>
              <w:t>High</w:t>
            </w:r>
          </w:p>
        </w:tc>
        <w:tc>
          <w:tcPr>
            <w:tcW w:w="74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sz w:val="20"/>
                <w:szCs w:val="20"/>
              </w:rPr>
            </w:pPr>
            <w:r w:rsidRPr="00F329F3">
              <w:rPr>
                <w:rFonts w:ascii="Calibri" w:eastAsia="Times New Roman" w:hAnsi="Calibri" w:cs="Times New Roman"/>
                <w:sz w:val="20"/>
                <w:szCs w:val="20"/>
              </w:rPr>
              <w:t>1</w:t>
            </w:r>
          </w:p>
        </w:tc>
        <w:tc>
          <w:tcPr>
            <w:tcW w:w="106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F</w:t>
            </w:r>
            <w:r w:rsidRPr="00F329F3">
              <w:rPr>
                <w:rFonts w:ascii="Calibri" w:eastAsia="Times New Roman" w:hAnsi="Calibri" w:cs="Times New Roman"/>
                <w:color w:val="000000"/>
                <w:sz w:val="20"/>
                <w:szCs w:val="20"/>
                <w:vertAlign w:val="subscript"/>
              </w:rPr>
              <w:t>1A,U</w:t>
            </w:r>
          </w:p>
        </w:tc>
        <w:tc>
          <w:tcPr>
            <w:tcW w:w="90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sz w:val="20"/>
                <w:szCs w:val="20"/>
              </w:rPr>
            </w:pPr>
            <w:r w:rsidRPr="00F329F3">
              <w:rPr>
                <w:rFonts w:ascii="Calibri" w:eastAsia="Times New Roman" w:hAnsi="Calibri" w:cs="Times New Roman"/>
                <w:sz w:val="20"/>
                <w:szCs w:val="20"/>
              </w:rPr>
              <w:t>50 kg/h</w:t>
            </w:r>
          </w:p>
        </w:tc>
        <w:tc>
          <w:tcPr>
            <w:tcW w:w="112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sz w:val="20"/>
                <w:szCs w:val="20"/>
              </w:rPr>
            </w:pPr>
            <w:r w:rsidRPr="00F329F3">
              <w:rPr>
                <w:rFonts w:ascii="Calibri" w:eastAsia="Times New Roman" w:hAnsi="Calibri" w:cs="Times New Roman"/>
                <w:sz w:val="20"/>
                <w:szCs w:val="20"/>
              </w:rPr>
              <w:t>62.5 kg/h</w:t>
            </w:r>
          </w:p>
        </w:tc>
        <w:tc>
          <w:tcPr>
            <w:tcW w:w="3560" w:type="dxa"/>
            <w:tcBorders>
              <w:top w:val="nil"/>
              <w:left w:val="nil"/>
              <w:bottom w:val="single" w:sz="4" w:space="0" w:color="auto"/>
              <w:right w:val="nil"/>
            </w:tcBorders>
            <w:shd w:val="clear" w:color="auto" w:fill="auto"/>
            <w:vAlign w:val="bottom"/>
            <w:hideMark/>
          </w:tcPr>
          <w:p w:rsidR="00F329F3" w:rsidRPr="00F329F3" w:rsidRDefault="00F329F3" w:rsidP="00F329F3">
            <w:pPr>
              <w:spacing w:after="0" w:line="240" w:lineRule="auto"/>
              <w:rPr>
                <w:rFonts w:ascii="Calibri" w:eastAsia="Times New Roman" w:hAnsi="Calibri" w:cs="Times New Roman"/>
                <w:sz w:val="20"/>
                <w:szCs w:val="20"/>
              </w:rPr>
            </w:pPr>
            <w:r w:rsidRPr="00F329F3">
              <w:rPr>
                <w:rFonts w:ascii="Calibri" w:eastAsia="Times New Roman" w:hAnsi="Calibri" w:cs="Times New Roman"/>
                <w:sz w:val="20"/>
                <w:szCs w:val="20"/>
              </w:rPr>
              <w:t>Increase uranium throughput by 25%</w:t>
            </w:r>
          </w:p>
        </w:tc>
      </w:tr>
      <w:tr w:rsidR="00F329F3" w:rsidRPr="00F329F3" w:rsidTr="00F329F3">
        <w:trPr>
          <w:trHeight w:val="510"/>
          <w:jc w:val="center"/>
        </w:trPr>
        <w:tc>
          <w:tcPr>
            <w:tcW w:w="62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sz w:val="20"/>
                <w:szCs w:val="20"/>
              </w:rPr>
            </w:pPr>
            <w:r w:rsidRPr="00F329F3">
              <w:rPr>
                <w:rFonts w:ascii="Calibri" w:eastAsia="Times New Roman" w:hAnsi="Calibri" w:cs="Times New Roman"/>
                <w:sz w:val="20"/>
                <w:szCs w:val="20"/>
              </w:rPr>
              <w:t>2</w:t>
            </w:r>
          </w:p>
        </w:tc>
        <w:tc>
          <w:tcPr>
            <w:tcW w:w="100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sz w:val="20"/>
                <w:szCs w:val="20"/>
              </w:rPr>
            </w:pPr>
            <w:r w:rsidRPr="00F329F3">
              <w:rPr>
                <w:rFonts w:ascii="Calibri" w:eastAsia="Times New Roman" w:hAnsi="Calibri" w:cs="Times New Roman"/>
                <w:sz w:val="20"/>
                <w:szCs w:val="20"/>
              </w:rPr>
              <w:t>Low</w:t>
            </w:r>
          </w:p>
        </w:tc>
        <w:tc>
          <w:tcPr>
            <w:tcW w:w="74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sz w:val="20"/>
                <w:szCs w:val="20"/>
              </w:rPr>
            </w:pPr>
            <w:r w:rsidRPr="00F329F3">
              <w:rPr>
                <w:rFonts w:ascii="Calibri" w:eastAsia="Times New Roman" w:hAnsi="Calibri" w:cs="Times New Roman"/>
                <w:sz w:val="20"/>
                <w:szCs w:val="20"/>
              </w:rPr>
              <w:t>1</w:t>
            </w:r>
          </w:p>
        </w:tc>
        <w:tc>
          <w:tcPr>
            <w:tcW w:w="106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sz w:val="20"/>
                <w:szCs w:val="20"/>
              </w:rPr>
            </w:pPr>
            <w:r w:rsidRPr="00F329F3">
              <w:rPr>
                <w:rFonts w:ascii="Calibri" w:eastAsia="Times New Roman" w:hAnsi="Calibri" w:cs="Times New Roman"/>
                <w:sz w:val="20"/>
                <w:szCs w:val="20"/>
              </w:rPr>
              <w:t>x</w:t>
            </w:r>
            <w:r w:rsidRPr="00F329F3">
              <w:rPr>
                <w:rFonts w:ascii="Calibri" w:eastAsia="Times New Roman" w:hAnsi="Calibri" w:cs="Times New Roman"/>
                <w:sz w:val="20"/>
                <w:szCs w:val="20"/>
                <w:vertAlign w:val="subscript"/>
              </w:rPr>
              <w:t>1A,18</w:t>
            </w:r>
          </w:p>
        </w:tc>
        <w:tc>
          <w:tcPr>
            <w:tcW w:w="90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sz w:val="20"/>
                <w:szCs w:val="20"/>
              </w:rPr>
            </w:pPr>
            <w:r w:rsidRPr="00F329F3">
              <w:rPr>
                <w:rFonts w:ascii="Calibri" w:eastAsia="Times New Roman" w:hAnsi="Calibri" w:cs="Times New Roman"/>
                <w:sz w:val="20"/>
                <w:szCs w:val="20"/>
              </w:rPr>
              <w:t>0.85</w:t>
            </w:r>
          </w:p>
        </w:tc>
        <w:tc>
          <w:tcPr>
            <w:tcW w:w="112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sz w:val="20"/>
                <w:szCs w:val="20"/>
              </w:rPr>
            </w:pPr>
            <w:r w:rsidRPr="00F329F3">
              <w:rPr>
                <w:rFonts w:ascii="Calibri" w:eastAsia="Times New Roman" w:hAnsi="Calibri" w:cs="Times New Roman"/>
                <w:sz w:val="20"/>
                <w:szCs w:val="20"/>
              </w:rPr>
              <w:t>0.90</w:t>
            </w:r>
          </w:p>
        </w:tc>
        <w:tc>
          <w:tcPr>
            <w:tcW w:w="3560" w:type="dxa"/>
            <w:tcBorders>
              <w:top w:val="nil"/>
              <w:left w:val="nil"/>
              <w:bottom w:val="single" w:sz="4" w:space="0" w:color="auto"/>
              <w:right w:val="nil"/>
            </w:tcBorders>
            <w:shd w:val="clear" w:color="auto" w:fill="auto"/>
            <w:vAlign w:val="bottom"/>
            <w:hideMark/>
          </w:tcPr>
          <w:p w:rsidR="00F329F3" w:rsidRPr="00F329F3" w:rsidRDefault="00F329F3" w:rsidP="00F329F3">
            <w:pPr>
              <w:spacing w:after="0" w:line="240" w:lineRule="auto"/>
              <w:rPr>
                <w:rFonts w:ascii="Calibri" w:eastAsia="Times New Roman" w:hAnsi="Calibri" w:cs="Times New Roman"/>
                <w:sz w:val="20"/>
                <w:szCs w:val="20"/>
              </w:rPr>
            </w:pPr>
            <w:r w:rsidRPr="00F329F3">
              <w:rPr>
                <w:rFonts w:ascii="Calibri" w:eastAsia="Times New Roman" w:hAnsi="Calibri" w:cs="Times New Roman"/>
                <w:sz w:val="20"/>
                <w:szCs w:val="20"/>
              </w:rPr>
              <w:t>Increase the incoming uranium purity by 5.9%</w:t>
            </w:r>
          </w:p>
        </w:tc>
      </w:tr>
      <w:tr w:rsidR="00F329F3" w:rsidRPr="00F329F3" w:rsidTr="00F329F3">
        <w:trPr>
          <w:trHeight w:val="510"/>
          <w:jc w:val="center"/>
        </w:trPr>
        <w:tc>
          <w:tcPr>
            <w:tcW w:w="62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sz w:val="20"/>
                <w:szCs w:val="20"/>
              </w:rPr>
            </w:pPr>
            <w:r w:rsidRPr="00F329F3">
              <w:rPr>
                <w:rFonts w:ascii="Calibri" w:eastAsia="Times New Roman" w:hAnsi="Calibri" w:cs="Times New Roman"/>
                <w:sz w:val="20"/>
                <w:szCs w:val="20"/>
              </w:rPr>
              <w:t>3</w:t>
            </w:r>
          </w:p>
        </w:tc>
        <w:tc>
          <w:tcPr>
            <w:tcW w:w="100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sz w:val="20"/>
                <w:szCs w:val="20"/>
              </w:rPr>
            </w:pPr>
            <w:r w:rsidRPr="00F329F3">
              <w:rPr>
                <w:rFonts w:ascii="Calibri" w:eastAsia="Times New Roman" w:hAnsi="Calibri" w:cs="Times New Roman"/>
                <w:sz w:val="20"/>
                <w:szCs w:val="20"/>
              </w:rPr>
              <w:t>Medium</w:t>
            </w:r>
          </w:p>
        </w:tc>
        <w:tc>
          <w:tcPr>
            <w:tcW w:w="74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sz w:val="20"/>
                <w:szCs w:val="20"/>
              </w:rPr>
            </w:pPr>
            <w:r w:rsidRPr="00F329F3">
              <w:rPr>
                <w:rFonts w:ascii="Calibri" w:eastAsia="Times New Roman" w:hAnsi="Calibri" w:cs="Times New Roman"/>
                <w:sz w:val="20"/>
                <w:szCs w:val="20"/>
              </w:rPr>
              <w:t>1</w:t>
            </w:r>
          </w:p>
        </w:tc>
        <w:tc>
          <w:tcPr>
            <w:tcW w:w="106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X</w:t>
            </w:r>
            <w:r w:rsidRPr="00F329F3">
              <w:rPr>
                <w:rFonts w:ascii="Calibri" w:eastAsia="Times New Roman" w:hAnsi="Calibri" w:cs="Times New Roman"/>
                <w:color w:val="000000"/>
                <w:sz w:val="20"/>
                <w:szCs w:val="20"/>
                <w:vertAlign w:val="subscript"/>
              </w:rPr>
              <w:t>Mod1A</w:t>
            </w:r>
          </w:p>
        </w:tc>
        <w:tc>
          <w:tcPr>
            <w:tcW w:w="90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0.9799</w:t>
            </w:r>
          </w:p>
        </w:tc>
        <w:tc>
          <w:tcPr>
            <w:tcW w:w="112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0.95</w:t>
            </w:r>
          </w:p>
        </w:tc>
        <w:tc>
          <w:tcPr>
            <w:tcW w:w="3560" w:type="dxa"/>
            <w:tcBorders>
              <w:top w:val="nil"/>
              <w:left w:val="nil"/>
              <w:bottom w:val="single" w:sz="4" w:space="0" w:color="auto"/>
              <w:right w:val="nil"/>
            </w:tcBorders>
            <w:shd w:val="clear" w:color="auto" w:fill="auto"/>
            <w:vAlign w:val="bottom"/>
            <w:hideMark/>
          </w:tcPr>
          <w:p w:rsidR="00F329F3" w:rsidRPr="00F329F3" w:rsidRDefault="00F329F3" w:rsidP="00F329F3">
            <w:pPr>
              <w:spacing w:after="0" w:line="240" w:lineRule="auto"/>
              <w:rPr>
                <w:rFonts w:ascii="Calibri" w:eastAsia="Times New Roman" w:hAnsi="Calibri" w:cs="Times New Roman"/>
                <w:sz w:val="20"/>
                <w:szCs w:val="20"/>
              </w:rPr>
            </w:pPr>
            <w:r w:rsidRPr="00F329F3">
              <w:rPr>
                <w:rFonts w:ascii="Calibri" w:eastAsia="Times New Roman" w:hAnsi="Calibri" w:cs="Times New Roman"/>
                <w:sz w:val="20"/>
                <w:szCs w:val="20"/>
              </w:rPr>
              <w:t>Inefficient dissolver operations, reduce extent of reaction by 3%</w:t>
            </w:r>
          </w:p>
        </w:tc>
      </w:tr>
      <w:tr w:rsidR="00F329F3" w:rsidRPr="00F329F3" w:rsidTr="00F329F3">
        <w:trPr>
          <w:trHeight w:val="510"/>
          <w:jc w:val="center"/>
        </w:trPr>
        <w:tc>
          <w:tcPr>
            <w:tcW w:w="62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4</w:t>
            </w:r>
          </w:p>
        </w:tc>
        <w:tc>
          <w:tcPr>
            <w:tcW w:w="100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High</w:t>
            </w:r>
          </w:p>
        </w:tc>
        <w:tc>
          <w:tcPr>
            <w:tcW w:w="74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2</w:t>
            </w:r>
          </w:p>
        </w:tc>
        <w:tc>
          <w:tcPr>
            <w:tcW w:w="106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K</w:t>
            </w:r>
            <w:r w:rsidRPr="00F329F3">
              <w:rPr>
                <w:rFonts w:ascii="Calibri" w:eastAsia="Times New Roman" w:hAnsi="Calibri" w:cs="Times New Roman"/>
                <w:color w:val="000000"/>
                <w:sz w:val="20"/>
                <w:szCs w:val="20"/>
                <w:vertAlign w:val="subscript"/>
              </w:rPr>
              <w:t>Mod2D,14</w:t>
            </w:r>
          </w:p>
        </w:tc>
        <w:tc>
          <w:tcPr>
            <w:tcW w:w="90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0.999</w:t>
            </w:r>
          </w:p>
        </w:tc>
        <w:tc>
          <w:tcPr>
            <w:tcW w:w="112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0.9</w:t>
            </w:r>
          </w:p>
        </w:tc>
        <w:tc>
          <w:tcPr>
            <w:tcW w:w="3560" w:type="dxa"/>
            <w:tcBorders>
              <w:top w:val="nil"/>
              <w:left w:val="nil"/>
              <w:bottom w:val="single" w:sz="4" w:space="0" w:color="auto"/>
              <w:right w:val="nil"/>
            </w:tcBorders>
            <w:shd w:val="clear" w:color="auto" w:fill="auto"/>
            <w:vAlign w:val="bottom"/>
            <w:hideMark/>
          </w:tcPr>
          <w:p w:rsidR="00F329F3" w:rsidRPr="00F329F3" w:rsidRDefault="00F329F3" w:rsidP="00F329F3">
            <w:pPr>
              <w:spacing w:after="0" w:line="240" w:lineRule="auto"/>
              <w:rPr>
                <w:rFonts w:ascii="Calibri" w:eastAsia="Times New Roman" w:hAnsi="Calibri" w:cs="Times New Roman"/>
                <w:sz w:val="20"/>
                <w:szCs w:val="20"/>
              </w:rPr>
            </w:pPr>
            <w:r w:rsidRPr="00F329F3">
              <w:rPr>
                <w:rFonts w:ascii="Calibri" w:eastAsia="Times New Roman" w:hAnsi="Calibri" w:cs="Times New Roman"/>
                <w:sz w:val="20"/>
                <w:szCs w:val="20"/>
              </w:rPr>
              <w:t>Inefficient re-extraction operations, reduce uranyl nitrate extraction by 9.9%</w:t>
            </w:r>
          </w:p>
        </w:tc>
      </w:tr>
      <w:tr w:rsidR="00F329F3" w:rsidRPr="00F329F3" w:rsidTr="00F329F3">
        <w:trPr>
          <w:trHeight w:val="510"/>
          <w:jc w:val="center"/>
        </w:trPr>
        <w:tc>
          <w:tcPr>
            <w:tcW w:w="62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5</w:t>
            </w:r>
          </w:p>
        </w:tc>
        <w:tc>
          <w:tcPr>
            <w:tcW w:w="100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High</w:t>
            </w:r>
          </w:p>
        </w:tc>
        <w:tc>
          <w:tcPr>
            <w:tcW w:w="74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3</w:t>
            </w:r>
          </w:p>
        </w:tc>
        <w:tc>
          <w:tcPr>
            <w:tcW w:w="106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S</w:t>
            </w:r>
            <w:r w:rsidRPr="00F329F3">
              <w:rPr>
                <w:rFonts w:ascii="Calibri" w:eastAsia="Times New Roman" w:hAnsi="Calibri" w:cs="Times New Roman"/>
                <w:color w:val="000000"/>
                <w:sz w:val="20"/>
                <w:szCs w:val="20"/>
                <w:vertAlign w:val="subscript"/>
              </w:rPr>
              <w:t>Mod3A</w:t>
            </w:r>
          </w:p>
        </w:tc>
        <w:tc>
          <w:tcPr>
            <w:tcW w:w="90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N/A</w:t>
            </w:r>
          </w:p>
        </w:tc>
        <w:tc>
          <w:tcPr>
            <w:tcW w:w="112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0.0025</w:t>
            </w:r>
          </w:p>
        </w:tc>
        <w:tc>
          <w:tcPr>
            <w:tcW w:w="3560" w:type="dxa"/>
            <w:tcBorders>
              <w:top w:val="nil"/>
              <w:left w:val="nil"/>
              <w:bottom w:val="single" w:sz="4" w:space="0" w:color="auto"/>
              <w:right w:val="nil"/>
            </w:tcBorders>
            <w:shd w:val="clear" w:color="auto" w:fill="auto"/>
            <w:vAlign w:val="bottom"/>
            <w:hideMark/>
          </w:tcPr>
          <w:p w:rsidR="00F329F3" w:rsidRPr="00F329F3" w:rsidRDefault="00F329F3" w:rsidP="00F329F3">
            <w:pPr>
              <w:spacing w:after="0" w:line="240" w:lineRule="auto"/>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Diversion of 0.25% of the uranium from the evaporator</w:t>
            </w:r>
          </w:p>
        </w:tc>
      </w:tr>
      <w:tr w:rsidR="00F329F3" w:rsidRPr="00F329F3" w:rsidTr="00F329F3">
        <w:trPr>
          <w:trHeight w:val="510"/>
          <w:jc w:val="center"/>
        </w:trPr>
        <w:tc>
          <w:tcPr>
            <w:tcW w:w="62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6</w:t>
            </w:r>
          </w:p>
        </w:tc>
        <w:tc>
          <w:tcPr>
            <w:tcW w:w="100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High</w:t>
            </w:r>
          </w:p>
        </w:tc>
        <w:tc>
          <w:tcPr>
            <w:tcW w:w="74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3</w:t>
            </w:r>
          </w:p>
        </w:tc>
        <w:tc>
          <w:tcPr>
            <w:tcW w:w="106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F</w:t>
            </w:r>
            <w:r w:rsidRPr="00F329F3">
              <w:rPr>
                <w:rFonts w:ascii="Calibri" w:eastAsia="Times New Roman" w:hAnsi="Calibri" w:cs="Times New Roman"/>
                <w:color w:val="000000"/>
                <w:sz w:val="20"/>
                <w:szCs w:val="20"/>
                <w:vertAlign w:val="subscript"/>
              </w:rPr>
              <w:t>14A</w:t>
            </w:r>
          </w:p>
        </w:tc>
        <w:tc>
          <w:tcPr>
            <w:tcW w:w="90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N/A</w:t>
            </w:r>
          </w:p>
        </w:tc>
        <w:tc>
          <w:tcPr>
            <w:tcW w:w="112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10 kg/h</w:t>
            </w:r>
          </w:p>
        </w:tc>
        <w:tc>
          <w:tcPr>
            <w:tcW w:w="3560" w:type="dxa"/>
            <w:tcBorders>
              <w:top w:val="nil"/>
              <w:left w:val="nil"/>
              <w:bottom w:val="single" w:sz="4" w:space="0" w:color="auto"/>
              <w:right w:val="nil"/>
            </w:tcBorders>
            <w:shd w:val="clear" w:color="auto" w:fill="auto"/>
            <w:vAlign w:val="bottom"/>
            <w:hideMark/>
          </w:tcPr>
          <w:p w:rsidR="00F329F3" w:rsidRPr="00F329F3" w:rsidRDefault="00F329F3" w:rsidP="00F329F3">
            <w:pPr>
              <w:spacing w:after="0" w:line="240" w:lineRule="auto"/>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Addition of uranyl nitrate to the precipitation process</w:t>
            </w:r>
          </w:p>
        </w:tc>
      </w:tr>
      <w:tr w:rsidR="00F329F3" w:rsidRPr="00F329F3" w:rsidTr="00F329F3">
        <w:trPr>
          <w:trHeight w:val="765"/>
          <w:jc w:val="center"/>
        </w:trPr>
        <w:tc>
          <w:tcPr>
            <w:tcW w:w="62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7</w:t>
            </w:r>
          </w:p>
        </w:tc>
        <w:tc>
          <w:tcPr>
            <w:tcW w:w="100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Low</w:t>
            </w:r>
          </w:p>
        </w:tc>
        <w:tc>
          <w:tcPr>
            <w:tcW w:w="74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3</w:t>
            </w:r>
          </w:p>
        </w:tc>
        <w:tc>
          <w:tcPr>
            <w:tcW w:w="106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X</w:t>
            </w:r>
            <w:r w:rsidRPr="00F329F3">
              <w:rPr>
                <w:rFonts w:ascii="Calibri" w:eastAsia="Times New Roman" w:hAnsi="Calibri" w:cs="Times New Roman"/>
                <w:color w:val="000000"/>
                <w:sz w:val="20"/>
                <w:szCs w:val="20"/>
                <w:vertAlign w:val="subscript"/>
              </w:rPr>
              <w:t>Mod3C</w:t>
            </w:r>
          </w:p>
        </w:tc>
        <w:tc>
          <w:tcPr>
            <w:tcW w:w="90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0.9999</w:t>
            </w:r>
          </w:p>
        </w:tc>
        <w:tc>
          <w:tcPr>
            <w:tcW w:w="112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0.9</w:t>
            </w:r>
          </w:p>
        </w:tc>
        <w:tc>
          <w:tcPr>
            <w:tcW w:w="3560" w:type="dxa"/>
            <w:tcBorders>
              <w:top w:val="nil"/>
              <w:left w:val="nil"/>
              <w:bottom w:val="single" w:sz="4" w:space="0" w:color="auto"/>
              <w:right w:val="nil"/>
            </w:tcBorders>
            <w:shd w:val="clear" w:color="auto" w:fill="auto"/>
            <w:vAlign w:val="bottom"/>
            <w:hideMark/>
          </w:tcPr>
          <w:p w:rsidR="00F329F3" w:rsidRPr="00F329F3" w:rsidRDefault="00F329F3" w:rsidP="00F329F3">
            <w:pPr>
              <w:spacing w:after="0" w:line="240" w:lineRule="auto"/>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Inefficient precipitation process operations, reduce extent of reaction by 10%</w:t>
            </w:r>
          </w:p>
        </w:tc>
      </w:tr>
      <w:tr w:rsidR="00F329F3" w:rsidRPr="00F329F3" w:rsidTr="00F329F3">
        <w:trPr>
          <w:trHeight w:val="570"/>
          <w:jc w:val="center"/>
        </w:trPr>
        <w:tc>
          <w:tcPr>
            <w:tcW w:w="62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8</w:t>
            </w:r>
          </w:p>
        </w:tc>
        <w:tc>
          <w:tcPr>
            <w:tcW w:w="100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Medium</w:t>
            </w:r>
          </w:p>
        </w:tc>
        <w:tc>
          <w:tcPr>
            <w:tcW w:w="74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4</w:t>
            </w:r>
          </w:p>
        </w:tc>
        <w:tc>
          <w:tcPr>
            <w:tcW w:w="106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K</w:t>
            </w:r>
            <w:r w:rsidRPr="00F329F3">
              <w:rPr>
                <w:rFonts w:ascii="Calibri" w:eastAsia="Times New Roman" w:hAnsi="Calibri" w:cs="Times New Roman"/>
                <w:color w:val="000000"/>
                <w:sz w:val="20"/>
                <w:szCs w:val="20"/>
                <w:vertAlign w:val="subscript"/>
              </w:rPr>
              <w:t>Mod4F,16</w:t>
            </w:r>
            <w:r w:rsidRPr="00F329F3">
              <w:rPr>
                <w:rFonts w:ascii="Calibri" w:eastAsia="Times New Roman" w:hAnsi="Calibri" w:cs="Times New Roman"/>
                <w:color w:val="000000"/>
                <w:sz w:val="20"/>
                <w:szCs w:val="20"/>
              </w:rPr>
              <w:t>; K</w:t>
            </w:r>
            <w:r w:rsidRPr="00F329F3">
              <w:rPr>
                <w:rFonts w:ascii="Calibri" w:eastAsia="Times New Roman" w:hAnsi="Calibri" w:cs="Times New Roman"/>
                <w:color w:val="000000"/>
                <w:sz w:val="20"/>
                <w:szCs w:val="20"/>
                <w:vertAlign w:val="subscript"/>
              </w:rPr>
              <w:t>Mod4F,17</w:t>
            </w:r>
          </w:p>
        </w:tc>
        <w:tc>
          <w:tcPr>
            <w:tcW w:w="90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0.00001; 0.001</w:t>
            </w:r>
          </w:p>
        </w:tc>
        <w:tc>
          <w:tcPr>
            <w:tcW w:w="112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0.0001; 0.01</w:t>
            </w:r>
          </w:p>
        </w:tc>
        <w:tc>
          <w:tcPr>
            <w:tcW w:w="3560" w:type="dxa"/>
            <w:tcBorders>
              <w:top w:val="nil"/>
              <w:left w:val="nil"/>
              <w:bottom w:val="single" w:sz="4" w:space="0" w:color="auto"/>
              <w:right w:val="nil"/>
            </w:tcBorders>
            <w:shd w:val="clear" w:color="auto" w:fill="auto"/>
            <w:vAlign w:val="bottom"/>
            <w:hideMark/>
          </w:tcPr>
          <w:p w:rsidR="00F329F3" w:rsidRPr="00F329F3" w:rsidRDefault="00F329F3" w:rsidP="00F329F3">
            <w:pPr>
              <w:spacing w:after="0" w:line="240" w:lineRule="auto"/>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 xml:space="preserve">Inefficient separation downstream of the </w:t>
            </w:r>
            <w:proofErr w:type="spellStart"/>
            <w:r w:rsidRPr="00F329F3">
              <w:rPr>
                <w:rFonts w:ascii="Calibri" w:eastAsia="Times New Roman" w:hAnsi="Calibri" w:cs="Times New Roman"/>
                <w:color w:val="000000"/>
                <w:sz w:val="20"/>
                <w:szCs w:val="20"/>
              </w:rPr>
              <w:t>hydrofluorination</w:t>
            </w:r>
            <w:proofErr w:type="spellEnd"/>
            <w:r w:rsidRPr="00F329F3">
              <w:rPr>
                <w:rFonts w:ascii="Calibri" w:eastAsia="Times New Roman" w:hAnsi="Calibri" w:cs="Times New Roman"/>
                <w:color w:val="000000"/>
                <w:sz w:val="20"/>
                <w:szCs w:val="20"/>
              </w:rPr>
              <w:t xml:space="preserve"> reaction</w:t>
            </w:r>
          </w:p>
        </w:tc>
      </w:tr>
      <w:tr w:rsidR="00F329F3" w:rsidRPr="00F329F3" w:rsidTr="00F329F3">
        <w:trPr>
          <w:trHeight w:val="540"/>
          <w:jc w:val="center"/>
        </w:trPr>
        <w:tc>
          <w:tcPr>
            <w:tcW w:w="62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9</w:t>
            </w:r>
          </w:p>
        </w:tc>
        <w:tc>
          <w:tcPr>
            <w:tcW w:w="100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Medium</w:t>
            </w:r>
          </w:p>
        </w:tc>
        <w:tc>
          <w:tcPr>
            <w:tcW w:w="74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5</w:t>
            </w:r>
          </w:p>
        </w:tc>
        <w:tc>
          <w:tcPr>
            <w:tcW w:w="106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S</w:t>
            </w:r>
            <w:r w:rsidRPr="00F329F3">
              <w:rPr>
                <w:rFonts w:ascii="Calibri" w:eastAsia="Times New Roman" w:hAnsi="Calibri" w:cs="Times New Roman"/>
                <w:color w:val="000000"/>
                <w:sz w:val="20"/>
                <w:szCs w:val="20"/>
                <w:vertAlign w:val="subscript"/>
              </w:rPr>
              <w:t>Mod5F,1</w:t>
            </w:r>
          </w:p>
        </w:tc>
        <w:tc>
          <w:tcPr>
            <w:tcW w:w="90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N/A</w:t>
            </w:r>
          </w:p>
        </w:tc>
        <w:tc>
          <w:tcPr>
            <w:tcW w:w="112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0.75</w:t>
            </w:r>
          </w:p>
        </w:tc>
        <w:tc>
          <w:tcPr>
            <w:tcW w:w="3560" w:type="dxa"/>
            <w:tcBorders>
              <w:top w:val="nil"/>
              <w:left w:val="nil"/>
              <w:bottom w:val="single" w:sz="4" w:space="0" w:color="auto"/>
              <w:right w:val="nil"/>
            </w:tcBorders>
            <w:shd w:val="clear" w:color="auto" w:fill="auto"/>
            <w:vAlign w:val="bottom"/>
            <w:hideMark/>
          </w:tcPr>
          <w:p w:rsidR="00F329F3" w:rsidRPr="00F329F3" w:rsidRDefault="00F329F3" w:rsidP="00F329F3">
            <w:pPr>
              <w:spacing w:after="0" w:line="240" w:lineRule="auto"/>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Diversion of 75% of the UF</w:t>
            </w:r>
            <w:r w:rsidRPr="00F329F3">
              <w:rPr>
                <w:rFonts w:ascii="Calibri" w:eastAsia="Times New Roman" w:hAnsi="Calibri" w:cs="Times New Roman"/>
                <w:color w:val="000000"/>
                <w:sz w:val="20"/>
                <w:szCs w:val="20"/>
                <w:vertAlign w:val="subscript"/>
              </w:rPr>
              <w:t>6</w:t>
            </w:r>
            <w:r w:rsidRPr="00F329F3">
              <w:rPr>
                <w:rFonts w:ascii="Calibri" w:eastAsia="Times New Roman" w:hAnsi="Calibri" w:cs="Times New Roman"/>
                <w:color w:val="000000"/>
                <w:sz w:val="20"/>
                <w:szCs w:val="20"/>
              </w:rPr>
              <w:t xml:space="preserve"> from the secondary fluorination process</w:t>
            </w:r>
          </w:p>
        </w:tc>
      </w:tr>
      <w:tr w:rsidR="00F329F3" w:rsidRPr="00F329F3" w:rsidTr="00F329F3">
        <w:trPr>
          <w:trHeight w:val="765"/>
          <w:jc w:val="center"/>
        </w:trPr>
        <w:tc>
          <w:tcPr>
            <w:tcW w:w="62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10</w:t>
            </w:r>
          </w:p>
        </w:tc>
        <w:tc>
          <w:tcPr>
            <w:tcW w:w="100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High</w:t>
            </w:r>
          </w:p>
        </w:tc>
        <w:tc>
          <w:tcPr>
            <w:tcW w:w="74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5</w:t>
            </w:r>
          </w:p>
        </w:tc>
        <w:tc>
          <w:tcPr>
            <w:tcW w:w="106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X</w:t>
            </w:r>
            <w:r w:rsidRPr="00F329F3">
              <w:rPr>
                <w:rFonts w:ascii="Calibri" w:eastAsia="Times New Roman" w:hAnsi="Calibri" w:cs="Times New Roman"/>
                <w:color w:val="000000"/>
                <w:sz w:val="20"/>
                <w:szCs w:val="20"/>
                <w:vertAlign w:val="subscript"/>
              </w:rPr>
              <w:t>Mod5B</w:t>
            </w:r>
            <w:r w:rsidRPr="00F329F3">
              <w:rPr>
                <w:rFonts w:ascii="Calibri" w:eastAsia="Times New Roman" w:hAnsi="Calibri" w:cs="Times New Roman"/>
                <w:color w:val="000000"/>
                <w:sz w:val="20"/>
                <w:szCs w:val="20"/>
              </w:rPr>
              <w:t>; X</w:t>
            </w:r>
            <w:r w:rsidRPr="00F329F3">
              <w:rPr>
                <w:rFonts w:ascii="Calibri" w:eastAsia="Times New Roman" w:hAnsi="Calibri" w:cs="Times New Roman"/>
                <w:color w:val="000000"/>
                <w:sz w:val="20"/>
                <w:szCs w:val="20"/>
                <w:vertAlign w:val="subscript"/>
              </w:rPr>
              <w:t>Mod5E</w:t>
            </w:r>
          </w:p>
        </w:tc>
        <w:tc>
          <w:tcPr>
            <w:tcW w:w="90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0.999</w:t>
            </w:r>
          </w:p>
        </w:tc>
        <w:tc>
          <w:tcPr>
            <w:tcW w:w="112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0.95</w:t>
            </w:r>
          </w:p>
        </w:tc>
        <w:tc>
          <w:tcPr>
            <w:tcW w:w="3560" w:type="dxa"/>
            <w:tcBorders>
              <w:top w:val="nil"/>
              <w:left w:val="nil"/>
              <w:bottom w:val="single" w:sz="4" w:space="0" w:color="auto"/>
              <w:right w:val="nil"/>
            </w:tcBorders>
            <w:shd w:val="clear" w:color="auto" w:fill="auto"/>
            <w:vAlign w:val="bottom"/>
            <w:hideMark/>
          </w:tcPr>
          <w:p w:rsidR="00F329F3" w:rsidRPr="00F329F3" w:rsidRDefault="00F329F3" w:rsidP="00F329F3">
            <w:pPr>
              <w:spacing w:after="0" w:line="240" w:lineRule="auto"/>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Inefficient operations of the fluorination processes, reduce extent of reaction by 4.9%</w:t>
            </w:r>
          </w:p>
        </w:tc>
      </w:tr>
      <w:tr w:rsidR="00F329F3" w:rsidRPr="00F329F3" w:rsidTr="00F329F3">
        <w:trPr>
          <w:trHeight w:val="285"/>
          <w:jc w:val="center"/>
        </w:trPr>
        <w:tc>
          <w:tcPr>
            <w:tcW w:w="62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11</w:t>
            </w:r>
          </w:p>
        </w:tc>
        <w:tc>
          <w:tcPr>
            <w:tcW w:w="100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High</w:t>
            </w:r>
          </w:p>
        </w:tc>
        <w:tc>
          <w:tcPr>
            <w:tcW w:w="74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5</w:t>
            </w:r>
          </w:p>
        </w:tc>
        <w:tc>
          <w:tcPr>
            <w:tcW w:w="106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S</w:t>
            </w:r>
            <w:r w:rsidRPr="00F329F3">
              <w:rPr>
                <w:rFonts w:ascii="Calibri" w:eastAsia="Times New Roman" w:hAnsi="Calibri" w:cs="Times New Roman"/>
                <w:color w:val="000000"/>
                <w:sz w:val="20"/>
                <w:szCs w:val="20"/>
                <w:vertAlign w:val="subscript"/>
              </w:rPr>
              <w:t>Mod5F,2</w:t>
            </w:r>
          </w:p>
        </w:tc>
        <w:tc>
          <w:tcPr>
            <w:tcW w:w="90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N/A</w:t>
            </w:r>
          </w:p>
        </w:tc>
        <w:tc>
          <w:tcPr>
            <w:tcW w:w="112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0.2</w:t>
            </w:r>
          </w:p>
        </w:tc>
        <w:tc>
          <w:tcPr>
            <w:tcW w:w="3560" w:type="dxa"/>
            <w:tcBorders>
              <w:top w:val="nil"/>
              <w:left w:val="nil"/>
              <w:bottom w:val="single" w:sz="4" w:space="0" w:color="auto"/>
              <w:right w:val="nil"/>
            </w:tcBorders>
            <w:shd w:val="clear" w:color="auto" w:fill="auto"/>
            <w:vAlign w:val="bottom"/>
            <w:hideMark/>
          </w:tcPr>
          <w:p w:rsidR="00F329F3" w:rsidRPr="00F329F3" w:rsidRDefault="00F329F3" w:rsidP="00F329F3">
            <w:pPr>
              <w:spacing w:after="0" w:line="240" w:lineRule="auto"/>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Diversion of 20% of the purified UF</w:t>
            </w:r>
            <w:r w:rsidRPr="00F329F3">
              <w:rPr>
                <w:rFonts w:ascii="Calibri" w:eastAsia="Times New Roman" w:hAnsi="Calibri" w:cs="Times New Roman"/>
                <w:color w:val="000000"/>
                <w:sz w:val="20"/>
                <w:szCs w:val="20"/>
                <w:vertAlign w:val="subscript"/>
              </w:rPr>
              <w:t>6</w:t>
            </w:r>
            <w:r w:rsidRPr="00F329F3">
              <w:rPr>
                <w:rFonts w:ascii="Calibri" w:eastAsia="Times New Roman" w:hAnsi="Calibri" w:cs="Times New Roman"/>
                <w:color w:val="000000"/>
                <w:sz w:val="20"/>
                <w:szCs w:val="20"/>
              </w:rPr>
              <w:t xml:space="preserve"> </w:t>
            </w:r>
          </w:p>
        </w:tc>
      </w:tr>
      <w:tr w:rsidR="00F329F3" w:rsidRPr="00F329F3" w:rsidTr="00F329F3">
        <w:trPr>
          <w:trHeight w:val="570"/>
          <w:jc w:val="center"/>
        </w:trPr>
        <w:tc>
          <w:tcPr>
            <w:tcW w:w="62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12</w:t>
            </w:r>
          </w:p>
        </w:tc>
        <w:tc>
          <w:tcPr>
            <w:tcW w:w="100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High</w:t>
            </w:r>
          </w:p>
        </w:tc>
        <w:tc>
          <w:tcPr>
            <w:tcW w:w="74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1 and 5</w:t>
            </w:r>
          </w:p>
        </w:tc>
        <w:tc>
          <w:tcPr>
            <w:tcW w:w="106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F</w:t>
            </w:r>
            <w:r w:rsidRPr="00F329F3">
              <w:rPr>
                <w:rFonts w:ascii="Calibri" w:eastAsia="Times New Roman" w:hAnsi="Calibri" w:cs="Times New Roman"/>
                <w:color w:val="000000"/>
                <w:sz w:val="20"/>
                <w:szCs w:val="20"/>
                <w:vertAlign w:val="subscript"/>
              </w:rPr>
              <w:t>1A,U</w:t>
            </w:r>
            <w:r w:rsidRPr="00F329F3">
              <w:rPr>
                <w:rFonts w:ascii="Calibri" w:eastAsia="Times New Roman" w:hAnsi="Calibri" w:cs="Times New Roman"/>
                <w:color w:val="000000"/>
                <w:sz w:val="20"/>
                <w:szCs w:val="20"/>
              </w:rPr>
              <w:t>; S</w:t>
            </w:r>
            <w:r w:rsidRPr="00F329F3">
              <w:rPr>
                <w:rFonts w:ascii="Calibri" w:eastAsia="Times New Roman" w:hAnsi="Calibri" w:cs="Times New Roman"/>
                <w:color w:val="000000"/>
                <w:sz w:val="20"/>
                <w:szCs w:val="20"/>
                <w:vertAlign w:val="subscript"/>
              </w:rPr>
              <w:t>Mod5F,2</w:t>
            </w:r>
          </w:p>
        </w:tc>
        <w:tc>
          <w:tcPr>
            <w:tcW w:w="90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50 kg/h; N/A</w:t>
            </w:r>
          </w:p>
        </w:tc>
        <w:tc>
          <w:tcPr>
            <w:tcW w:w="112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62.5 kg/h; 0.2</w:t>
            </w:r>
          </w:p>
        </w:tc>
        <w:tc>
          <w:tcPr>
            <w:tcW w:w="3560" w:type="dxa"/>
            <w:tcBorders>
              <w:top w:val="nil"/>
              <w:left w:val="nil"/>
              <w:bottom w:val="single" w:sz="4" w:space="0" w:color="auto"/>
              <w:right w:val="nil"/>
            </w:tcBorders>
            <w:shd w:val="clear" w:color="auto" w:fill="auto"/>
            <w:vAlign w:val="bottom"/>
            <w:hideMark/>
          </w:tcPr>
          <w:p w:rsidR="00F329F3" w:rsidRPr="00F329F3" w:rsidRDefault="00F329F3" w:rsidP="00F329F3">
            <w:pPr>
              <w:spacing w:after="0" w:line="240" w:lineRule="auto"/>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 xml:space="preserve">multiple parameters </w:t>
            </w:r>
          </w:p>
        </w:tc>
      </w:tr>
      <w:tr w:rsidR="00F329F3" w:rsidRPr="00F329F3" w:rsidTr="00F329F3">
        <w:trPr>
          <w:trHeight w:val="855"/>
          <w:jc w:val="center"/>
        </w:trPr>
        <w:tc>
          <w:tcPr>
            <w:tcW w:w="62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13</w:t>
            </w:r>
          </w:p>
        </w:tc>
        <w:tc>
          <w:tcPr>
            <w:tcW w:w="100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High</w:t>
            </w:r>
          </w:p>
        </w:tc>
        <w:tc>
          <w:tcPr>
            <w:tcW w:w="74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3 and 5</w:t>
            </w:r>
          </w:p>
        </w:tc>
        <w:tc>
          <w:tcPr>
            <w:tcW w:w="106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X</w:t>
            </w:r>
            <w:r w:rsidRPr="00F329F3">
              <w:rPr>
                <w:rFonts w:ascii="Calibri" w:eastAsia="Times New Roman" w:hAnsi="Calibri" w:cs="Times New Roman"/>
                <w:color w:val="000000"/>
                <w:sz w:val="20"/>
                <w:szCs w:val="20"/>
                <w:vertAlign w:val="subscript"/>
              </w:rPr>
              <w:t>Mod3C</w:t>
            </w:r>
            <w:r w:rsidRPr="00F329F3">
              <w:rPr>
                <w:rFonts w:ascii="Calibri" w:eastAsia="Times New Roman" w:hAnsi="Calibri" w:cs="Times New Roman"/>
                <w:color w:val="000000"/>
                <w:sz w:val="20"/>
                <w:szCs w:val="20"/>
              </w:rPr>
              <w:t>; X</w:t>
            </w:r>
            <w:r w:rsidRPr="00F329F3">
              <w:rPr>
                <w:rFonts w:ascii="Calibri" w:eastAsia="Times New Roman" w:hAnsi="Calibri" w:cs="Times New Roman"/>
                <w:color w:val="000000"/>
                <w:sz w:val="20"/>
                <w:szCs w:val="20"/>
                <w:vertAlign w:val="subscript"/>
              </w:rPr>
              <w:t>Mod5B</w:t>
            </w:r>
            <w:r w:rsidRPr="00F329F3">
              <w:rPr>
                <w:rFonts w:ascii="Calibri" w:eastAsia="Times New Roman" w:hAnsi="Calibri" w:cs="Times New Roman"/>
                <w:color w:val="000000"/>
                <w:sz w:val="20"/>
                <w:szCs w:val="20"/>
              </w:rPr>
              <w:t>;  X</w:t>
            </w:r>
            <w:r w:rsidRPr="00F329F3">
              <w:rPr>
                <w:rFonts w:ascii="Calibri" w:eastAsia="Times New Roman" w:hAnsi="Calibri" w:cs="Times New Roman"/>
                <w:color w:val="000000"/>
                <w:sz w:val="20"/>
                <w:szCs w:val="20"/>
                <w:vertAlign w:val="subscript"/>
              </w:rPr>
              <w:t>Mod5E</w:t>
            </w:r>
          </w:p>
        </w:tc>
        <w:tc>
          <w:tcPr>
            <w:tcW w:w="90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0.9999; 0.999</w:t>
            </w:r>
          </w:p>
        </w:tc>
        <w:tc>
          <w:tcPr>
            <w:tcW w:w="1120" w:type="dxa"/>
            <w:tcBorders>
              <w:top w:val="nil"/>
              <w:left w:val="nil"/>
              <w:bottom w:val="single" w:sz="4"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0.9; 0.95</w:t>
            </w:r>
          </w:p>
        </w:tc>
        <w:tc>
          <w:tcPr>
            <w:tcW w:w="3560" w:type="dxa"/>
            <w:tcBorders>
              <w:top w:val="nil"/>
              <w:left w:val="nil"/>
              <w:bottom w:val="single" w:sz="4" w:space="0" w:color="auto"/>
              <w:right w:val="nil"/>
            </w:tcBorders>
            <w:shd w:val="clear" w:color="auto" w:fill="auto"/>
            <w:vAlign w:val="bottom"/>
            <w:hideMark/>
          </w:tcPr>
          <w:p w:rsidR="00F329F3" w:rsidRPr="00F329F3" w:rsidRDefault="00F329F3" w:rsidP="00F329F3">
            <w:pPr>
              <w:spacing w:after="0" w:line="240" w:lineRule="auto"/>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 xml:space="preserve">multiple parameters </w:t>
            </w:r>
          </w:p>
        </w:tc>
      </w:tr>
      <w:tr w:rsidR="00F329F3" w:rsidRPr="00F329F3" w:rsidTr="00F329F3">
        <w:trPr>
          <w:trHeight w:val="585"/>
          <w:jc w:val="center"/>
        </w:trPr>
        <w:tc>
          <w:tcPr>
            <w:tcW w:w="620" w:type="dxa"/>
            <w:tcBorders>
              <w:top w:val="nil"/>
              <w:left w:val="nil"/>
              <w:bottom w:val="single" w:sz="8"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14</w:t>
            </w:r>
          </w:p>
        </w:tc>
        <w:tc>
          <w:tcPr>
            <w:tcW w:w="1000" w:type="dxa"/>
            <w:tcBorders>
              <w:top w:val="nil"/>
              <w:left w:val="nil"/>
              <w:bottom w:val="single" w:sz="8"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Low</w:t>
            </w:r>
          </w:p>
        </w:tc>
        <w:tc>
          <w:tcPr>
            <w:tcW w:w="740" w:type="dxa"/>
            <w:tcBorders>
              <w:top w:val="nil"/>
              <w:left w:val="nil"/>
              <w:bottom w:val="single" w:sz="8"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1</w:t>
            </w:r>
          </w:p>
        </w:tc>
        <w:tc>
          <w:tcPr>
            <w:tcW w:w="1060" w:type="dxa"/>
            <w:tcBorders>
              <w:top w:val="nil"/>
              <w:left w:val="nil"/>
              <w:bottom w:val="single" w:sz="8"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sz w:val="20"/>
                <w:szCs w:val="20"/>
              </w:rPr>
            </w:pPr>
            <w:r w:rsidRPr="00F329F3">
              <w:rPr>
                <w:rFonts w:ascii="Calibri" w:eastAsia="Times New Roman" w:hAnsi="Calibri" w:cs="Times New Roman"/>
                <w:sz w:val="20"/>
                <w:szCs w:val="20"/>
              </w:rPr>
              <w:t>x</w:t>
            </w:r>
            <w:r w:rsidRPr="00F329F3">
              <w:rPr>
                <w:rFonts w:ascii="Calibri" w:eastAsia="Times New Roman" w:hAnsi="Calibri" w:cs="Times New Roman"/>
                <w:sz w:val="20"/>
                <w:szCs w:val="20"/>
                <w:vertAlign w:val="subscript"/>
              </w:rPr>
              <w:t>1A,18</w:t>
            </w:r>
            <w:r w:rsidRPr="00F329F3">
              <w:rPr>
                <w:rFonts w:ascii="Calibri" w:eastAsia="Times New Roman" w:hAnsi="Calibri" w:cs="Times New Roman"/>
                <w:sz w:val="20"/>
                <w:szCs w:val="20"/>
              </w:rPr>
              <w:t>; X</w:t>
            </w:r>
            <w:r w:rsidRPr="00F329F3">
              <w:rPr>
                <w:rFonts w:ascii="Calibri" w:eastAsia="Times New Roman" w:hAnsi="Calibri" w:cs="Times New Roman"/>
                <w:sz w:val="20"/>
                <w:szCs w:val="20"/>
                <w:vertAlign w:val="subscript"/>
              </w:rPr>
              <w:t>Mod1A</w:t>
            </w:r>
          </w:p>
        </w:tc>
        <w:tc>
          <w:tcPr>
            <w:tcW w:w="900" w:type="dxa"/>
            <w:tcBorders>
              <w:top w:val="nil"/>
              <w:left w:val="nil"/>
              <w:bottom w:val="single" w:sz="8"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sz w:val="20"/>
                <w:szCs w:val="20"/>
              </w:rPr>
            </w:pPr>
            <w:r w:rsidRPr="00F329F3">
              <w:rPr>
                <w:rFonts w:ascii="Calibri" w:eastAsia="Times New Roman" w:hAnsi="Calibri" w:cs="Times New Roman"/>
                <w:sz w:val="20"/>
                <w:szCs w:val="20"/>
              </w:rPr>
              <w:t>0.85; 0.9799</w:t>
            </w:r>
          </w:p>
        </w:tc>
        <w:tc>
          <w:tcPr>
            <w:tcW w:w="1120" w:type="dxa"/>
            <w:tcBorders>
              <w:top w:val="nil"/>
              <w:left w:val="nil"/>
              <w:bottom w:val="single" w:sz="8" w:space="0" w:color="auto"/>
              <w:right w:val="nil"/>
            </w:tcBorders>
            <w:shd w:val="clear" w:color="auto" w:fill="auto"/>
            <w:vAlign w:val="center"/>
            <w:hideMark/>
          </w:tcPr>
          <w:p w:rsidR="00F329F3" w:rsidRPr="00F329F3" w:rsidRDefault="00F329F3" w:rsidP="00F329F3">
            <w:pPr>
              <w:spacing w:after="0" w:line="240" w:lineRule="auto"/>
              <w:jc w:val="center"/>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0.90; 0.95</w:t>
            </w:r>
          </w:p>
        </w:tc>
        <w:tc>
          <w:tcPr>
            <w:tcW w:w="3560" w:type="dxa"/>
            <w:tcBorders>
              <w:top w:val="nil"/>
              <w:left w:val="nil"/>
              <w:bottom w:val="single" w:sz="8" w:space="0" w:color="auto"/>
              <w:right w:val="nil"/>
            </w:tcBorders>
            <w:shd w:val="clear" w:color="auto" w:fill="auto"/>
            <w:vAlign w:val="bottom"/>
            <w:hideMark/>
          </w:tcPr>
          <w:p w:rsidR="00F329F3" w:rsidRPr="00F329F3" w:rsidRDefault="00F329F3" w:rsidP="00F329F3">
            <w:pPr>
              <w:spacing w:after="0" w:line="240" w:lineRule="auto"/>
              <w:rPr>
                <w:rFonts w:ascii="Calibri" w:eastAsia="Times New Roman" w:hAnsi="Calibri" w:cs="Times New Roman"/>
                <w:color w:val="000000"/>
                <w:sz w:val="20"/>
                <w:szCs w:val="20"/>
              </w:rPr>
            </w:pPr>
            <w:r w:rsidRPr="00F329F3">
              <w:rPr>
                <w:rFonts w:ascii="Calibri" w:eastAsia="Times New Roman" w:hAnsi="Calibri" w:cs="Times New Roman"/>
                <w:color w:val="000000"/>
                <w:sz w:val="20"/>
                <w:szCs w:val="20"/>
              </w:rPr>
              <w:t xml:space="preserve">multiple parameters </w:t>
            </w:r>
          </w:p>
        </w:tc>
      </w:tr>
    </w:tbl>
    <w:p w:rsidR="00F329F3" w:rsidRPr="00F329F3" w:rsidRDefault="00F329F3" w:rsidP="00F329F3"/>
    <w:p w:rsidR="00F329F3" w:rsidRDefault="00F329F3" w:rsidP="00E664E4"/>
    <w:p w:rsidR="00F329F3" w:rsidRDefault="00F329F3">
      <w:r>
        <w:br w:type="page"/>
      </w:r>
    </w:p>
    <w:p w:rsidR="00E664E4" w:rsidRDefault="00E664E4" w:rsidP="00E664E4">
      <w:r>
        <w:lastRenderedPageBreak/>
        <w:t xml:space="preserve">An increase in throughput of a facility was a highly likely scenario. It was expected that a plant would have some variation in throughput. This expected variation was built into the model by varying the incoming uranium </w:t>
      </w:r>
      <w:r w:rsidR="00232C49">
        <w:t xml:space="preserve">flow rate </w:t>
      </w:r>
      <w:r>
        <w:t xml:space="preserve">by ±10% as part of the base case. </w:t>
      </w:r>
      <w:r w:rsidR="00232C49">
        <w:t>Since most plants have a design capacity that is greater than normal operating conditions, d</w:t>
      </w:r>
      <w:r>
        <w:t>etection of an increase above the accepted range is of great importance to safeguards since additional material could be processed and diverted before safeguards declarations.</w:t>
      </w:r>
    </w:p>
    <w:p w:rsidR="00E664E4" w:rsidRDefault="00E664E4" w:rsidP="00E664E4"/>
    <w:p w:rsidR="00E664E4" w:rsidRDefault="00E664E4" w:rsidP="00E664E4">
      <w:pPr>
        <w:rPr>
          <w:rFonts w:asciiTheme="majorHAnsi" w:hAnsiTheme="majorHAnsi"/>
          <w:b/>
          <w:i/>
        </w:rPr>
      </w:pPr>
      <w:r w:rsidRPr="00C26992">
        <w:rPr>
          <w:rFonts w:asciiTheme="majorHAnsi" w:hAnsiTheme="majorHAnsi"/>
          <w:b/>
          <w:i/>
        </w:rPr>
        <w:t>3.</w:t>
      </w:r>
      <w:r>
        <w:rPr>
          <w:rFonts w:asciiTheme="majorHAnsi" w:hAnsiTheme="majorHAnsi"/>
          <w:b/>
          <w:i/>
        </w:rPr>
        <w:t>6.2</w:t>
      </w:r>
      <w:r w:rsidRPr="00C26992">
        <w:rPr>
          <w:rFonts w:asciiTheme="majorHAnsi" w:hAnsiTheme="majorHAnsi"/>
          <w:b/>
          <w:i/>
        </w:rPr>
        <w:t>.</w:t>
      </w:r>
      <w:r>
        <w:rPr>
          <w:rFonts w:asciiTheme="majorHAnsi" w:hAnsiTheme="majorHAnsi"/>
          <w:b/>
          <w:i/>
        </w:rPr>
        <w:t>2 Case 2</w:t>
      </w:r>
    </w:p>
    <w:p w:rsidR="00E664E4" w:rsidRDefault="00E664E4" w:rsidP="00E664E4">
      <w:r>
        <w:t xml:space="preserve">The second faulty case that was selected for testing was to change the purity of the uranium fed to the dissolver in Module 1. It is possible that higher purity uranium could arrive in drums and be fed to the plant. Conversion plants operate with a very narrow band of purity. The amount of uranium and impurities drive the amount of reactants needed and it is desired that there not be much variability in uranium purity. No variation in uranium purity was built into the model due to this. However, higher purity uranium could result in additional uranium being processed in a plant than is declared. This is of low priority for safeguards since it is expected that material substitution of this manner would not occur until later in the process. For this case, the uranium input stream was changed from </w:t>
      </w:r>
      <w:r w:rsidRPr="0016631E">
        <w:t>85</w:t>
      </w:r>
      <w:r>
        <w:t xml:space="preserve"> </w:t>
      </w:r>
      <w:proofErr w:type="spellStart"/>
      <w:r>
        <w:t>wt</w:t>
      </w:r>
      <w:proofErr w:type="spellEnd"/>
      <w:r>
        <w:t>-</w:t>
      </w:r>
      <w:r w:rsidRPr="0016631E">
        <w:t>% U</w:t>
      </w:r>
      <w:r w:rsidRPr="0016631E">
        <w:rPr>
          <w:vertAlign w:val="subscript"/>
        </w:rPr>
        <w:t>3</w:t>
      </w:r>
      <w:r w:rsidRPr="0016631E">
        <w:t>O</w:t>
      </w:r>
      <w:r w:rsidRPr="0016631E">
        <w:rPr>
          <w:vertAlign w:val="subscript"/>
        </w:rPr>
        <w:t>8</w:t>
      </w:r>
      <w:r w:rsidRPr="0016631E">
        <w:t xml:space="preserve"> and 15</w:t>
      </w:r>
      <w:r>
        <w:t xml:space="preserve"> </w:t>
      </w:r>
      <w:proofErr w:type="spellStart"/>
      <w:r>
        <w:t>wt</w:t>
      </w:r>
      <w:proofErr w:type="spellEnd"/>
      <w:r>
        <w:t>-</w:t>
      </w:r>
      <w:r w:rsidRPr="0016631E">
        <w:t>% impurities (7.5</w:t>
      </w:r>
      <w:r>
        <w:t xml:space="preserve"> </w:t>
      </w:r>
      <w:proofErr w:type="spellStart"/>
      <w:r>
        <w:t>wt</w:t>
      </w:r>
      <w:proofErr w:type="spellEnd"/>
      <w:r>
        <w:t>-</w:t>
      </w:r>
      <w:r w:rsidRPr="0016631E">
        <w:t>% soluble impurities and 7.5</w:t>
      </w:r>
      <w:r>
        <w:t xml:space="preserve"> </w:t>
      </w:r>
      <w:proofErr w:type="spellStart"/>
      <w:r>
        <w:t>wt</w:t>
      </w:r>
      <w:proofErr w:type="spellEnd"/>
      <w:r>
        <w:t>-</w:t>
      </w:r>
      <w:r w:rsidRPr="0016631E">
        <w:t>% insoluble impurities)</w:t>
      </w:r>
      <w:r>
        <w:t xml:space="preserve"> to 90 </w:t>
      </w:r>
      <w:proofErr w:type="spellStart"/>
      <w:r>
        <w:t>wt</w:t>
      </w:r>
      <w:proofErr w:type="spellEnd"/>
      <w:r>
        <w:t>-</w:t>
      </w:r>
      <w:r w:rsidRPr="0016631E">
        <w:t>% U</w:t>
      </w:r>
      <w:r w:rsidRPr="0016631E">
        <w:rPr>
          <w:vertAlign w:val="subscript"/>
        </w:rPr>
        <w:t>3</w:t>
      </w:r>
      <w:r w:rsidRPr="0016631E">
        <w:t>O</w:t>
      </w:r>
      <w:r w:rsidRPr="0016631E">
        <w:rPr>
          <w:vertAlign w:val="subscript"/>
        </w:rPr>
        <w:t>8</w:t>
      </w:r>
      <w:r w:rsidRPr="0016631E">
        <w:t xml:space="preserve"> and 1</w:t>
      </w:r>
      <w:r>
        <w:t xml:space="preserve">0 </w:t>
      </w:r>
      <w:proofErr w:type="spellStart"/>
      <w:r>
        <w:t>wt</w:t>
      </w:r>
      <w:proofErr w:type="spellEnd"/>
      <w:r>
        <w:t>-</w:t>
      </w:r>
      <w:r w:rsidRPr="0016631E">
        <w:t>% impurities (5</w:t>
      </w:r>
      <w:r>
        <w:t xml:space="preserve"> </w:t>
      </w:r>
      <w:proofErr w:type="spellStart"/>
      <w:r>
        <w:t>wt</w:t>
      </w:r>
      <w:proofErr w:type="spellEnd"/>
      <w:r>
        <w:t>-</w:t>
      </w:r>
      <w:r w:rsidRPr="0016631E">
        <w:t>% soluble impurities and 5</w:t>
      </w:r>
      <w:r>
        <w:t xml:space="preserve"> </w:t>
      </w:r>
      <w:proofErr w:type="spellStart"/>
      <w:r>
        <w:t>wt</w:t>
      </w:r>
      <w:proofErr w:type="spellEnd"/>
      <w:r>
        <w:t>-</w:t>
      </w:r>
      <w:r w:rsidRPr="0016631E">
        <w:t>% insoluble impurities)</w:t>
      </w:r>
      <w:r>
        <w:t xml:space="preserve">. It was expected that the </w:t>
      </w:r>
      <m:oMath>
        <m:r>
          <w:rPr>
            <w:rFonts w:ascii="Cambria Math" w:hAnsi="Cambria Math"/>
          </w:rPr>
          <m:t>Q</m:t>
        </m:r>
      </m:oMath>
      <w:r>
        <w:rPr>
          <w:rFonts w:eastAsiaTheme="minorEastAsia"/>
        </w:rPr>
        <w:t>-statistic would produce a fault since this was a change in a parameter and therefore a change in the</w:t>
      </w:r>
      <w:r w:rsidR="007063C2">
        <w:rPr>
          <w:rFonts w:eastAsiaTheme="minorEastAsia"/>
        </w:rPr>
        <w:t xml:space="preserve"> relative</w:t>
      </w:r>
      <w:r>
        <w:rPr>
          <w:rFonts w:eastAsiaTheme="minorEastAsia"/>
        </w:rPr>
        <w:t xml:space="preserve"> relationships between </w:t>
      </w:r>
      <w:r w:rsidR="007063C2">
        <w:rPr>
          <w:rFonts w:eastAsiaTheme="minorEastAsia"/>
        </w:rPr>
        <w:t>the state variables</w:t>
      </w:r>
      <w:r>
        <w:rPr>
          <w:rFonts w:eastAsiaTheme="minorEastAsia"/>
        </w:rPr>
        <w:t>.</w:t>
      </w:r>
    </w:p>
    <w:p w:rsidR="00E664E4" w:rsidRDefault="00E664E4" w:rsidP="00E664E4"/>
    <w:p w:rsidR="00E664E4" w:rsidRDefault="00E664E4" w:rsidP="00E664E4">
      <w:pPr>
        <w:rPr>
          <w:rFonts w:asciiTheme="majorHAnsi" w:hAnsiTheme="majorHAnsi"/>
          <w:b/>
          <w:i/>
        </w:rPr>
      </w:pPr>
      <w:r w:rsidRPr="00C26992">
        <w:rPr>
          <w:rFonts w:asciiTheme="majorHAnsi" w:hAnsiTheme="majorHAnsi"/>
          <w:b/>
          <w:i/>
        </w:rPr>
        <w:t>3.</w:t>
      </w:r>
      <w:r>
        <w:rPr>
          <w:rFonts w:asciiTheme="majorHAnsi" w:hAnsiTheme="majorHAnsi"/>
          <w:b/>
          <w:i/>
        </w:rPr>
        <w:t>6.2</w:t>
      </w:r>
      <w:r w:rsidRPr="00C26992">
        <w:rPr>
          <w:rFonts w:asciiTheme="majorHAnsi" w:hAnsiTheme="majorHAnsi"/>
          <w:b/>
          <w:i/>
        </w:rPr>
        <w:t>.</w:t>
      </w:r>
      <w:r>
        <w:rPr>
          <w:rFonts w:asciiTheme="majorHAnsi" w:hAnsiTheme="majorHAnsi"/>
          <w:b/>
          <w:i/>
        </w:rPr>
        <w:t>3 Case 3</w:t>
      </w:r>
    </w:p>
    <w:p w:rsidR="00E664E4" w:rsidRDefault="00E664E4" w:rsidP="00E664E4">
      <w:r>
        <w:t xml:space="preserve">The third test case investigated inefficient dissolver operations in Module 1. Inefficient operations would result in the uranium not being completely dissolved. This would cause uranium to be diverted to waste where it could be recovered and further processed elsewhere. Inefficient operations could be a result of equipment malfunction such as the heated jacket not reaching the necessary temperature due to a faulty thermocouple or it could be an operator purposely operating inefficiently to divert material. This is a </w:t>
      </w:r>
      <w:r w:rsidR="00232C49">
        <w:t>medium</w:t>
      </w:r>
      <w:r>
        <w:t xml:space="preserve"> priority case for safeguards. This case was modeled by changing the extent of reaction for the dissolution reaction, </w:t>
      </w:r>
      <m:oMath>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1A</m:t>
            </m:r>
          </m:sub>
        </m:sSub>
      </m:oMath>
      <w:r>
        <w:rPr>
          <w:rFonts w:eastAsiaTheme="minorEastAsia"/>
        </w:rPr>
        <w:t xml:space="preserve">, from 0.9799 to 0.95. </w:t>
      </w:r>
      <w:r>
        <w:t xml:space="preserve">It was expected that all of the diagnostic plots would produce a fault since this was outside normal conditions and changed the </w:t>
      </w:r>
      <w:r w:rsidR="007063C2">
        <w:t xml:space="preserve">relative </w:t>
      </w:r>
      <w:r>
        <w:t>relationship</w:t>
      </w:r>
      <w:r w:rsidR="007063C2">
        <w:t>s</w:t>
      </w:r>
      <w:r>
        <w:t xml:space="preserve"> between </w:t>
      </w:r>
      <w:r w:rsidR="006F1843">
        <w:t>the state variables</w:t>
      </w:r>
      <w:r>
        <w:t xml:space="preserve">. This was outside normal operating conditions since it changed the amount of uranium that proceeded through the process downstream of the dissolver. </w:t>
      </w:r>
    </w:p>
    <w:p w:rsidR="00E664E4" w:rsidRDefault="00E664E4" w:rsidP="00E664E4">
      <w:pPr>
        <w:rPr>
          <w:rFonts w:eastAsiaTheme="minorEastAsia"/>
        </w:rPr>
      </w:pPr>
    </w:p>
    <w:p w:rsidR="008540AF" w:rsidRDefault="008540AF" w:rsidP="00E664E4">
      <w:pPr>
        <w:rPr>
          <w:rFonts w:eastAsiaTheme="minorEastAsia"/>
        </w:rPr>
      </w:pPr>
    </w:p>
    <w:p w:rsidR="00E664E4" w:rsidRDefault="00E664E4" w:rsidP="00E664E4">
      <w:pPr>
        <w:rPr>
          <w:rFonts w:asciiTheme="majorHAnsi" w:hAnsiTheme="majorHAnsi"/>
          <w:b/>
          <w:i/>
        </w:rPr>
      </w:pPr>
      <w:r w:rsidRPr="00C26992">
        <w:rPr>
          <w:rFonts w:asciiTheme="majorHAnsi" w:hAnsiTheme="majorHAnsi"/>
          <w:b/>
          <w:i/>
        </w:rPr>
        <w:lastRenderedPageBreak/>
        <w:t>3.</w:t>
      </w:r>
      <w:r>
        <w:rPr>
          <w:rFonts w:asciiTheme="majorHAnsi" w:hAnsiTheme="majorHAnsi"/>
          <w:b/>
          <w:i/>
        </w:rPr>
        <w:t>6.2</w:t>
      </w:r>
      <w:r w:rsidRPr="00C26992">
        <w:rPr>
          <w:rFonts w:asciiTheme="majorHAnsi" w:hAnsiTheme="majorHAnsi"/>
          <w:b/>
          <w:i/>
        </w:rPr>
        <w:t>.</w:t>
      </w:r>
      <w:r>
        <w:rPr>
          <w:rFonts w:asciiTheme="majorHAnsi" w:hAnsiTheme="majorHAnsi"/>
          <w:b/>
          <w:i/>
        </w:rPr>
        <w:t>4 Case 4</w:t>
      </w:r>
    </w:p>
    <w:p w:rsidR="00E664E4" w:rsidRDefault="00E664E4" w:rsidP="00E664E4">
      <w:r>
        <w:t xml:space="preserve">The fourth test case investigated inefficient operations in Module 2, specifically the re-extraction of uranium from the organic phase. Inefficient re-extraction results in additional uranium being diverted to the organic waste stream. The waste stream could be processed at an undeclared facility to recover purified uranium that could be further converted to desirable forms. This scenario is of </w:t>
      </w:r>
      <w:r w:rsidR="00232C49">
        <w:t>high priority</w:t>
      </w:r>
      <w:r>
        <w:t xml:space="preserve"> for safeguards. As with Case 3, this fault could be due to faulty equipment or intentional diversion. This case was modeled by changing the column fractionation parameter for the uranyl nitrate in Module 2D, </w:t>
      </w: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2</m:t>
            </m:r>
            <m:r>
              <w:rPr>
                <w:rFonts w:ascii="Cambria Math" w:hAnsi="Cambria Math"/>
              </w:rPr>
              <m:t>D</m:t>
            </m:r>
            <m:r>
              <m:rPr>
                <m:sty m:val="p"/>
              </m:rPr>
              <w:rPr>
                <w:rFonts w:ascii="Cambria Math" w:hAnsi="Cambria Math"/>
              </w:rPr>
              <m:t>,14</m:t>
            </m:r>
          </m:sub>
        </m:sSub>
      </m:oMath>
      <w:r>
        <w:rPr>
          <w:rFonts w:eastAsiaTheme="minorEastAsia"/>
        </w:rPr>
        <w:t xml:space="preserve">. This parameter was one of the input variables and was varied in the computation of the base case. For this case, the initial value of this input was reduced from 0.999 to 0.9. </w:t>
      </w:r>
      <w:r>
        <w:t>It was expected that all of the diagnostic plots would produce a fault</w:t>
      </w:r>
      <w:r w:rsidRPr="00AD2652">
        <w:t xml:space="preserve"> </w:t>
      </w:r>
      <w:r>
        <w:t>since this was outside normal conditions and changed the</w:t>
      </w:r>
      <w:r w:rsidR="006F1843">
        <w:t xml:space="preserve"> relative </w:t>
      </w:r>
      <w:r>
        <w:t xml:space="preserve">relationship between </w:t>
      </w:r>
      <w:r w:rsidR="006F1843">
        <w:t>the state variables</w:t>
      </w:r>
      <w:r w:rsidR="00232C49">
        <w:t>.</w:t>
      </w:r>
    </w:p>
    <w:p w:rsidR="00E664E4" w:rsidRDefault="00E664E4" w:rsidP="00E664E4">
      <w:pPr>
        <w:rPr>
          <w:rFonts w:eastAsiaTheme="minorEastAsia"/>
        </w:rPr>
      </w:pPr>
    </w:p>
    <w:p w:rsidR="00E664E4" w:rsidRDefault="00E664E4" w:rsidP="00E664E4">
      <w:pPr>
        <w:rPr>
          <w:rFonts w:asciiTheme="majorHAnsi" w:hAnsiTheme="majorHAnsi"/>
          <w:b/>
          <w:i/>
        </w:rPr>
      </w:pPr>
      <w:r w:rsidRPr="00C26992">
        <w:rPr>
          <w:rFonts w:asciiTheme="majorHAnsi" w:hAnsiTheme="majorHAnsi"/>
          <w:b/>
          <w:i/>
        </w:rPr>
        <w:t>3.</w:t>
      </w:r>
      <w:r>
        <w:rPr>
          <w:rFonts w:asciiTheme="majorHAnsi" w:hAnsiTheme="majorHAnsi"/>
          <w:b/>
          <w:i/>
        </w:rPr>
        <w:t>6.2</w:t>
      </w:r>
      <w:r w:rsidRPr="00C26992">
        <w:rPr>
          <w:rFonts w:asciiTheme="majorHAnsi" w:hAnsiTheme="majorHAnsi"/>
          <w:b/>
          <w:i/>
        </w:rPr>
        <w:t>.</w:t>
      </w:r>
      <w:r>
        <w:rPr>
          <w:rFonts w:asciiTheme="majorHAnsi" w:hAnsiTheme="majorHAnsi"/>
          <w:b/>
          <w:i/>
        </w:rPr>
        <w:t>5 Case 5</w:t>
      </w:r>
    </w:p>
    <w:p w:rsidR="00E664E4" w:rsidRDefault="00E664E4" w:rsidP="00E664E4">
      <w:r>
        <w:t xml:space="preserve">Case five tested the model’s ability to detect the diversion of a fraction of the stream exiting the evaporator in Module 3A. The faulty case block diagram of Module 3A is shown in Figure 3.36. A new stream (Stream 61) was added to represent the diversion stream. The condensate stream (Stream 21) remained unchanged in the model. The new stream was modeled as a split of Stream 22 and therefore had the same composition as Stream 22. A new parameter, </w:t>
      </w:r>
      <m:oMath>
        <m:sSub>
          <m:sSubPr>
            <m:ctrlPr>
              <w:rPr>
                <w:rFonts w:ascii="Cambria Math" w:hAnsi="Cambria Math"/>
                <w:i/>
              </w:rPr>
            </m:ctrlPr>
          </m:sSubPr>
          <m:e>
            <m:r>
              <w:rPr>
                <w:rFonts w:ascii="Cambria Math" w:hAnsi="Cambria Math"/>
              </w:rPr>
              <m:t>S</m:t>
            </m:r>
          </m:e>
          <m:sub>
            <m:r>
              <w:rPr>
                <w:rFonts w:ascii="Cambria Math" w:hAnsi="Cambria Math"/>
              </w:rPr>
              <m:t>Mod3A</m:t>
            </m:r>
          </m:sub>
        </m:sSub>
      </m:oMath>
      <w:r>
        <w:rPr>
          <w:rFonts w:eastAsiaTheme="minorEastAsia"/>
        </w:rPr>
        <w:t xml:space="preserve">, which was the fraction of Stream 22 that was split to Stream 61 was created. Diversion of intermediate products such as the uranyl nitrate that was diverted for this case becomes of greater concern as the material becomes more purified. The material is considered to be highly purified anywhere downstream of the solvent extraction process that is represented by Module 2. Therefore, this diversion is </w:t>
      </w:r>
      <w:r w:rsidR="00232C49">
        <w:rPr>
          <w:rFonts w:eastAsiaTheme="minorEastAsia"/>
        </w:rPr>
        <w:t xml:space="preserve">a high priority </w:t>
      </w:r>
      <w:r>
        <w:rPr>
          <w:rFonts w:eastAsiaTheme="minorEastAsia"/>
        </w:rPr>
        <w:t xml:space="preserve">for safeguards. </w:t>
      </w:r>
      <w:r>
        <w:t>It was expected that all of the diagnostic plots would produce a fault</w:t>
      </w:r>
      <w:r w:rsidRPr="00B87434">
        <w:t xml:space="preserve"> </w:t>
      </w:r>
      <w:r>
        <w:t xml:space="preserve">since this was outside normal conditions and changes </w:t>
      </w:r>
      <w:r w:rsidR="006F1843">
        <w:t>the relative relationship between the state variables</w:t>
      </w:r>
      <w:r>
        <w:t xml:space="preserve">. This was a change in the normal operating conditions because it reduced the amount of uranium available for conversion downstream of the evaporator. </w:t>
      </w:r>
    </w:p>
    <w:p w:rsidR="008540AF" w:rsidRDefault="008540AF" w:rsidP="00E664E4"/>
    <w:p w:rsidR="008540AF" w:rsidRDefault="008540AF" w:rsidP="008540AF">
      <w:pPr>
        <w:rPr>
          <w:rFonts w:asciiTheme="majorHAnsi" w:hAnsiTheme="majorHAnsi"/>
          <w:b/>
          <w:i/>
        </w:rPr>
      </w:pPr>
      <w:r w:rsidRPr="00C26992">
        <w:rPr>
          <w:rFonts w:asciiTheme="majorHAnsi" w:hAnsiTheme="majorHAnsi"/>
          <w:b/>
          <w:i/>
        </w:rPr>
        <w:t>3.</w:t>
      </w:r>
      <w:r>
        <w:rPr>
          <w:rFonts w:asciiTheme="majorHAnsi" w:hAnsiTheme="majorHAnsi"/>
          <w:b/>
          <w:i/>
        </w:rPr>
        <w:t>6.2</w:t>
      </w:r>
      <w:r w:rsidRPr="00C26992">
        <w:rPr>
          <w:rFonts w:asciiTheme="majorHAnsi" w:hAnsiTheme="majorHAnsi"/>
          <w:b/>
          <w:i/>
        </w:rPr>
        <w:t>.</w:t>
      </w:r>
      <w:r>
        <w:rPr>
          <w:rFonts w:asciiTheme="majorHAnsi" w:hAnsiTheme="majorHAnsi"/>
          <w:b/>
          <w:i/>
        </w:rPr>
        <w:t>6 Case 6</w:t>
      </w:r>
    </w:p>
    <w:p w:rsidR="008540AF" w:rsidRDefault="008540AF" w:rsidP="008540AF">
      <w:r>
        <w:t xml:space="preserve">Case six tested the model’s ability to detect the addition of uranium to the system prior to precipitation in Module 3B. The faulty case block diagram of Module 3B is shown in Figure 3.37. A new stream was added as an additional input stream (Stream 14A). This new stream was assumed to be pure uranyl nitrate. The flow rate of the stream was assumed to be 10 kg/h which corresponds to an additional 12.4% based on the amount of uranyl nitrate in Stream 22 which also feeds the precipitator. It was an additional 12% based on the nominal flow rate of the uranium fed to the plant in Module 1. No other </w:t>
      </w:r>
    </w:p>
    <w:p w:rsidR="00E664E4" w:rsidRDefault="00E664E4" w:rsidP="00E664E4">
      <w:pPr>
        <w:jc w:val="center"/>
      </w:pPr>
      <w:r>
        <w:object w:dxaOrig="7486" w:dyaOrig="2999">
          <v:shape id="_x0000_i1055" type="#_x0000_t75" style="width:375.2pt;height:149.95pt" o:ole="">
            <v:imagedata r:id="rId102" o:title=""/>
          </v:shape>
          <o:OLEObject Type="Embed" ProgID="Visio.Drawing.11" ShapeID="_x0000_i1055" DrawAspect="Content" ObjectID="_1445525580" r:id="rId103"/>
        </w:object>
      </w:r>
    </w:p>
    <w:p w:rsidR="00E664E4" w:rsidRPr="009A3612" w:rsidRDefault="00E664E4" w:rsidP="00E664E4">
      <w:pPr>
        <w:jc w:val="center"/>
        <w:rPr>
          <w:b/>
          <w:sz w:val="20"/>
          <w:szCs w:val="20"/>
        </w:rPr>
      </w:pPr>
      <w:r w:rsidRPr="009A3612">
        <w:rPr>
          <w:b/>
          <w:sz w:val="20"/>
          <w:szCs w:val="20"/>
        </w:rPr>
        <w:t>Figure 3.3</w:t>
      </w:r>
      <w:r>
        <w:rPr>
          <w:b/>
          <w:sz w:val="20"/>
          <w:szCs w:val="20"/>
        </w:rPr>
        <w:t>6</w:t>
      </w:r>
      <w:r w:rsidRPr="009A3612">
        <w:rPr>
          <w:b/>
          <w:sz w:val="20"/>
          <w:szCs w:val="20"/>
        </w:rPr>
        <w:t xml:space="preserve">. Block Diagram of the Module </w:t>
      </w:r>
      <w:r>
        <w:rPr>
          <w:b/>
          <w:sz w:val="20"/>
          <w:szCs w:val="20"/>
        </w:rPr>
        <w:t>3A</w:t>
      </w:r>
      <w:r w:rsidRPr="009A3612">
        <w:rPr>
          <w:b/>
          <w:sz w:val="20"/>
          <w:szCs w:val="20"/>
        </w:rPr>
        <w:t xml:space="preserve"> </w:t>
      </w:r>
      <w:r w:rsidR="004045DF">
        <w:rPr>
          <w:b/>
          <w:sz w:val="20"/>
          <w:szCs w:val="20"/>
        </w:rPr>
        <w:t>Showing Input and Output Streams</w:t>
      </w:r>
      <w:r w:rsidR="00A83BCA">
        <w:rPr>
          <w:b/>
          <w:sz w:val="20"/>
          <w:szCs w:val="20"/>
        </w:rPr>
        <w:t xml:space="preserve"> A</w:t>
      </w:r>
      <w:r>
        <w:rPr>
          <w:b/>
          <w:sz w:val="20"/>
          <w:szCs w:val="20"/>
        </w:rPr>
        <w:t>ccording to Faulty Case 5</w:t>
      </w:r>
      <w:r w:rsidRPr="009A3612">
        <w:rPr>
          <w:b/>
          <w:sz w:val="20"/>
          <w:szCs w:val="20"/>
        </w:rPr>
        <w:t>.</w:t>
      </w:r>
    </w:p>
    <w:p w:rsidR="00E664E4" w:rsidRDefault="00E664E4" w:rsidP="00E664E4"/>
    <w:p w:rsidR="008540AF" w:rsidRDefault="008540AF" w:rsidP="00E664E4"/>
    <w:p w:rsidR="008540AF" w:rsidRDefault="008540AF" w:rsidP="00E664E4"/>
    <w:p w:rsidR="00DC329E" w:rsidRDefault="00DC329E"/>
    <w:p w:rsidR="00E664E4" w:rsidRDefault="00E664E4" w:rsidP="00E664E4">
      <w:pPr>
        <w:jc w:val="center"/>
      </w:pPr>
      <w:r>
        <w:object w:dxaOrig="4065" w:dyaOrig="3864">
          <v:shape id="_x0000_i1056" type="#_x0000_t75" style="width:204.1pt;height:193.55pt" o:ole="">
            <v:imagedata r:id="rId104" o:title=""/>
          </v:shape>
          <o:OLEObject Type="Embed" ProgID="Visio.Drawing.11" ShapeID="_x0000_i1056" DrawAspect="Content" ObjectID="_1445525581" r:id="rId105"/>
        </w:object>
      </w:r>
    </w:p>
    <w:p w:rsidR="00E664E4" w:rsidRDefault="00E664E4" w:rsidP="00E664E4">
      <w:pPr>
        <w:jc w:val="center"/>
        <w:rPr>
          <w:b/>
          <w:sz w:val="20"/>
          <w:szCs w:val="20"/>
        </w:rPr>
      </w:pPr>
      <w:r w:rsidRPr="009A3612">
        <w:rPr>
          <w:b/>
          <w:sz w:val="20"/>
          <w:szCs w:val="20"/>
        </w:rPr>
        <w:t>Figure 3.3</w:t>
      </w:r>
      <w:r>
        <w:rPr>
          <w:b/>
          <w:sz w:val="20"/>
          <w:szCs w:val="20"/>
        </w:rPr>
        <w:t>7</w:t>
      </w:r>
      <w:r w:rsidRPr="009A3612">
        <w:rPr>
          <w:b/>
          <w:sz w:val="20"/>
          <w:szCs w:val="20"/>
        </w:rPr>
        <w:t xml:space="preserve">. Block Diagram of the Module </w:t>
      </w:r>
      <w:r>
        <w:rPr>
          <w:b/>
          <w:sz w:val="20"/>
          <w:szCs w:val="20"/>
        </w:rPr>
        <w:t>3B</w:t>
      </w:r>
      <w:r w:rsidRPr="009A3612">
        <w:rPr>
          <w:b/>
          <w:sz w:val="20"/>
          <w:szCs w:val="20"/>
        </w:rPr>
        <w:t xml:space="preserve"> </w:t>
      </w:r>
      <w:r w:rsidR="004045DF">
        <w:rPr>
          <w:b/>
          <w:sz w:val="20"/>
          <w:szCs w:val="20"/>
        </w:rPr>
        <w:t>Showing Input and Output Streams</w:t>
      </w:r>
      <w:r>
        <w:rPr>
          <w:b/>
          <w:sz w:val="20"/>
          <w:szCs w:val="20"/>
        </w:rPr>
        <w:t xml:space="preserve"> </w:t>
      </w:r>
      <w:r w:rsidR="004E2FC0">
        <w:rPr>
          <w:b/>
          <w:sz w:val="20"/>
          <w:szCs w:val="20"/>
        </w:rPr>
        <w:t>A</w:t>
      </w:r>
      <w:r>
        <w:rPr>
          <w:b/>
          <w:sz w:val="20"/>
          <w:szCs w:val="20"/>
        </w:rPr>
        <w:t>ccording to Faulty Case 6</w:t>
      </w:r>
      <w:r w:rsidRPr="009A3612">
        <w:rPr>
          <w:b/>
          <w:sz w:val="20"/>
          <w:szCs w:val="20"/>
        </w:rPr>
        <w:t>.</w:t>
      </w:r>
    </w:p>
    <w:p w:rsidR="008540AF" w:rsidRDefault="008540AF" w:rsidP="008540AF"/>
    <w:p w:rsidR="008540AF" w:rsidRDefault="008540AF">
      <w:r>
        <w:br w:type="page"/>
      </w:r>
    </w:p>
    <w:p w:rsidR="008540AF" w:rsidRDefault="00B7594C" w:rsidP="008540AF">
      <w:proofErr w:type="gramStart"/>
      <w:r>
        <w:lastRenderedPageBreak/>
        <w:t>parameters</w:t>
      </w:r>
      <w:proofErr w:type="gramEnd"/>
      <w:r>
        <w:t xml:space="preserve"> or inputs were changed from the base case. The processing of undeclared uranium is of high </w:t>
      </w:r>
      <w:r w:rsidR="008540AF">
        <w:t>concern for safeguards. The addition of undeclared material was suggested in Figure 1.2. It was expected that all of the diagnostic plots would produce a fault</w:t>
      </w:r>
      <w:r w:rsidR="008540AF" w:rsidRPr="00B87434">
        <w:t xml:space="preserve"> </w:t>
      </w:r>
      <w:r w:rsidR="008540AF">
        <w:t xml:space="preserve">since this was outside normal conditions and changes </w:t>
      </w:r>
      <w:r w:rsidR="006F1843">
        <w:t>the relative relationship between the state variables</w:t>
      </w:r>
      <w:r w:rsidR="008E6F8C">
        <w:t xml:space="preserve">. </w:t>
      </w:r>
    </w:p>
    <w:p w:rsidR="00E664E4" w:rsidRDefault="00E664E4" w:rsidP="00E664E4"/>
    <w:p w:rsidR="00E664E4" w:rsidRDefault="00E664E4" w:rsidP="00E664E4">
      <w:pPr>
        <w:rPr>
          <w:rFonts w:asciiTheme="majorHAnsi" w:hAnsiTheme="majorHAnsi"/>
          <w:b/>
          <w:i/>
        </w:rPr>
      </w:pPr>
      <w:r w:rsidRPr="00C26992">
        <w:rPr>
          <w:rFonts w:asciiTheme="majorHAnsi" w:hAnsiTheme="majorHAnsi"/>
          <w:b/>
          <w:i/>
        </w:rPr>
        <w:t>3.</w:t>
      </w:r>
      <w:r>
        <w:rPr>
          <w:rFonts w:asciiTheme="majorHAnsi" w:hAnsiTheme="majorHAnsi"/>
          <w:b/>
          <w:i/>
        </w:rPr>
        <w:t>6.2</w:t>
      </w:r>
      <w:r w:rsidRPr="00C26992">
        <w:rPr>
          <w:rFonts w:asciiTheme="majorHAnsi" w:hAnsiTheme="majorHAnsi"/>
          <w:b/>
          <w:i/>
        </w:rPr>
        <w:t>.</w:t>
      </w:r>
      <w:r>
        <w:rPr>
          <w:rFonts w:asciiTheme="majorHAnsi" w:hAnsiTheme="majorHAnsi"/>
          <w:b/>
          <w:i/>
        </w:rPr>
        <w:t>7 Case 7</w:t>
      </w:r>
    </w:p>
    <w:p w:rsidR="00E664E4" w:rsidRDefault="00E664E4" w:rsidP="00E664E4">
      <w:r>
        <w:t xml:space="preserve">The seventh test case investigated inefficient precipitation process operations in Module 3. Inefficient operations would result in incomplete conversion of the uranyl nitrate to ammonium uranyl carbonate. This would cause uranium to be diverted to waste where it could be recovered and further processed elsewhere. Inefficient operations could be a result of equipment malfunction, or it could be an operator purposely operating inefficiently to divert material. This is a low priority case for safeguards since the reaction goes to 100% completion immediately but could simulate a diversion of AUC to waste which is a high priority safeguards concern. This case was modeled by changing the extent of reaction for the precipitation reaction, </w:t>
      </w:r>
      <m:oMath>
        <m:sSub>
          <m:sSubPr>
            <m:ctrlPr>
              <w:rPr>
                <w:rFonts w:ascii="Cambria Math" w:hAnsi="Cambria Math"/>
              </w:rPr>
            </m:ctrlPr>
          </m:sSubPr>
          <m:e>
            <m:r>
              <w:rPr>
                <w:rFonts w:ascii="Cambria Math" w:hAnsi="Cambria Math"/>
              </w:rPr>
              <m:t>X</m:t>
            </m:r>
          </m:e>
          <m:sub>
            <m:r>
              <w:rPr>
                <w:rFonts w:ascii="Cambria Math" w:hAnsi="Cambria Math"/>
              </w:rPr>
              <m:t>Mod3C</m:t>
            </m:r>
          </m:sub>
        </m:sSub>
      </m:oMath>
      <w:r>
        <w:rPr>
          <w:rFonts w:eastAsiaTheme="minorEastAsia"/>
        </w:rPr>
        <w:t xml:space="preserve">, from 0.9999 to 0.9, which was a 10% reduction. </w:t>
      </w:r>
      <w:r>
        <w:t xml:space="preserve">It was expected that all of the diagnostic plots would produce a fault since this was outside normal conditions and changes </w:t>
      </w:r>
      <w:r w:rsidR="006F1843">
        <w:t>the relative relationship between the state variables</w:t>
      </w:r>
      <w:r>
        <w:t>. Again, this was outside normal operating conditions since it affected the amount of uranium available for conversion later in the plant</w:t>
      </w:r>
      <w:r w:rsidR="00232C49">
        <w:t xml:space="preserve"> and increased the uranium in the waste</w:t>
      </w:r>
      <w:r>
        <w:t xml:space="preserve">. </w:t>
      </w:r>
    </w:p>
    <w:p w:rsidR="00232C49" w:rsidRPr="00053B9D" w:rsidRDefault="00232C49" w:rsidP="00E664E4"/>
    <w:p w:rsidR="00E664E4" w:rsidRDefault="00E664E4" w:rsidP="00E664E4">
      <w:pPr>
        <w:rPr>
          <w:rFonts w:asciiTheme="majorHAnsi" w:hAnsiTheme="majorHAnsi"/>
          <w:b/>
          <w:i/>
        </w:rPr>
      </w:pPr>
      <w:r w:rsidRPr="00C26992">
        <w:rPr>
          <w:rFonts w:asciiTheme="majorHAnsi" w:hAnsiTheme="majorHAnsi"/>
          <w:b/>
          <w:i/>
        </w:rPr>
        <w:t>3.</w:t>
      </w:r>
      <w:r>
        <w:rPr>
          <w:rFonts w:asciiTheme="majorHAnsi" w:hAnsiTheme="majorHAnsi"/>
          <w:b/>
          <w:i/>
        </w:rPr>
        <w:t>6.2</w:t>
      </w:r>
      <w:r w:rsidRPr="00C26992">
        <w:rPr>
          <w:rFonts w:asciiTheme="majorHAnsi" w:hAnsiTheme="majorHAnsi"/>
          <w:b/>
          <w:i/>
        </w:rPr>
        <w:t>.</w:t>
      </w:r>
      <w:r>
        <w:rPr>
          <w:rFonts w:asciiTheme="majorHAnsi" w:hAnsiTheme="majorHAnsi"/>
          <w:b/>
          <w:i/>
        </w:rPr>
        <w:t>8 Case 8</w:t>
      </w:r>
    </w:p>
    <w:p w:rsidR="00E664E4" w:rsidRDefault="00E664E4" w:rsidP="00E664E4">
      <w:r>
        <w:t xml:space="preserve">The eighth test case investigated inefficient separation in Module 4, specifically the filtration system downstream of the </w:t>
      </w:r>
      <w:proofErr w:type="spellStart"/>
      <w:r>
        <w:t>hydrofluorination</w:t>
      </w:r>
      <w:proofErr w:type="spellEnd"/>
      <w:r>
        <w:t xml:space="preserve"> reaction. Inefficient filtration results in additional uranium being diverted to the off-gas waste stream. The waste stream could be processed at an undeclared facility to recover the uranium that could be further converted as desired. Any diversion of uranium to a waste stream is of great concern for safeguards. </w:t>
      </w:r>
      <w:r w:rsidR="00232C49">
        <w:t xml:space="preserve">This case was considered medium priority for safeguards because the likelihood of it occurring is lower than other cases and the fractionation was so low. </w:t>
      </w:r>
      <w:r>
        <w:t>This case was modeled by changing the filter fractionation parameters for the UF</w:t>
      </w:r>
      <w:r w:rsidRPr="004E12C6">
        <w:rPr>
          <w:vertAlign w:val="subscript"/>
        </w:rPr>
        <w:t>4</w:t>
      </w:r>
      <w:r>
        <w:t xml:space="preserve"> and UO</w:t>
      </w:r>
      <w:r w:rsidRPr="004E12C6">
        <w:rPr>
          <w:vertAlign w:val="subscript"/>
        </w:rPr>
        <w:t>2</w:t>
      </w:r>
      <w:r>
        <w:t xml:space="preserve"> in Module 4F, </w:t>
      </w:r>
      <m:oMath>
        <m:sSub>
          <m:sSubPr>
            <m:ctrlPr>
              <w:rPr>
                <w:rFonts w:ascii="Cambria Math" w:hAnsi="Cambria Math"/>
              </w:rPr>
            </m:ctrlPr>
          </m:sSubPr>
          <m:e>
            <m:r>
              <w:rPr>
                <w:rFonts w:ascii="Cambria Math" w:hAnsi="Cambria Math"/>
              </w:rPr>
              <m:t>K</m:t>
            </m:r>
          </m:e>
          <m:sub>
            <m:r>
              <w:rPr>
                <w:rFonts w:ascii="Cambria Math" w:hAnsi="Cambria Math"/>
              </w:rPr>
              <m:t>Mod4F</m:t>
            </m:r>
            <m:r>
              <m:rPr>
                <m:sty m:val="p"/>
              </m:rPr>
              <w:rPr>
                <w:rFonts w:ascii="Cambria Math" w:hAnsi="Cambria Math"/>
              </w:rPr>
              <m:t>,16</m:t>
            </m:r>
          </m:sub>
        </m:sSub>
      </m:oMath>
      <w:r>
        <w:rPr>
          <w:rFonts w:eastAsiaTheme="minorEastAsia"/>
        </w:rPr>
        <w:t xml:space="preserve"> and </w:t>
      </w:r>
      <m:oMath>
        <m:sSub>
          <m:sSubPr>
            <m:ctrlPr>
              <w:rPr>
                <w:rFonts w:ascii="Cambria Math" w:hAnsi="Cambria Math"/>
              </w:rPr>
            </m:ctrlPr>
          </m:sSubPr>
          <m:e>
            <m:r>
              <w:rPr>
                <w:rFonts w:ascii="Cambria Math" w:hAnsi="Cambria Math"/>
              </w:rPr>
              <m:t>K</m:t>
            </m:r>
          </m:e>
          <m:sub>
            <m:r>
              <w:rPr>
                <w:rFonts w:ascii="Cambria Math" w:hAnsi="Cambria Math"/>
              </w:rPr>
              <m:t>Mod4F</m:t>
            </m:r>
            <m:r>
              <m:rPr>
                <m:sty m:val="p"/>
              </m:rPr>
              <w:rPr>
                <w:rFonts w:ascii="Cambria Math" w:hAnsi="Cambria Math"/>
              </w:rPr>
              <m:t>,17</m:t>
            </m:r>
          </m:sub>
        </m:sSub>
      </m:oMath>
      <w:r>
        <w:rPr>
          <w:rFonts w:eastAsiaTheme="minorEastAsia"/>
        </w:rPr>
        <w:t xml:space="preserve">, respectively. For both, the base case value was increased ten times. Therefore, the value of </w:t>
      </w:r>
      <m:oMath>
        <m:sSub>
          <m:sSubPr>
            <m:ctrlPr>
              <w:rPr>
                <w:rFonts w:ascii="Cambria Math" w:hAnsi="Cambria Math"/>
              </w:rPr>
            </m:ctrlPr>
          </m:sSubPr>
          <m:e>
            <m:r>
              <w:rPr>
                <w:rFonts w:ascii="Cambria Math" w:hAnsi="Cambria Math"/>
              </w:rPr>
              <m:t>K</m:t>
            </m:r>
          </m:e>
          <m:sub>
            <m:r>
              <w:rPr>
                <w:rFonts w:ascii="Cambria Math" w:hAnsi="Cambria Math"/>
              </w:rPr>
              <m:t>Mod4F</m:t>
            </m:r>
            <m:r>
              <m:rPr>
                <m:sty m:val="p"/>
              </m:rPr>
              <w:rPr>
                <w:rFonts w:ascii="Cambria Math" w:hAnsi="Cambria Math"/>
              </w:rPr>
              <m:t>,16</m:t>
            </m:r>
          </m:sub>
        </m:sSub>
      </m:oMath>
      <w:r>
        <w:rPr>
          <w:rFonts w:eastAsiaTheme="minorEastAsia"/>
        </w:rPr>
        <w:t xml:space="preserve"> was increased from 0.00001 to 0.0001, and the value of </w:t>
      </w:r>
      <m:oMath>
        <m:sSub>
          <m:sSubPr>
            <m:ctrlPr>
              <w:rPr>
                <w:rFonts w:ascii="Cambria Math" w:hAnsi="Cambria Math"/>
              </w:rPr>
            </m:ctrlPr>
          </m:sSubPr>
          <m:e>
            <m:r>
              <w:rPr>
                <w:rFonts w:ascii="Cambria Math" w:hAnsi="Cambria Math"/>
              </w:rPr>
              <m:t>K</m:t>
            </m:r>
          </m:e>
          <m:sub>
            <m:r>
              <w:rPr>
                <w:rFonts w:ascii="Cambria Math" w:hAnsi="Cambria Math"/>
              </w:rPr>
              <m:t>Mod4F</m:t>
            </m:r>
            <m:r>
              <m:rPr>
                <m:sty m:val="p"/>
              </m:rPr>
              <w:rPr>
                <w:rFonts w:ascii="Cambria Math" w:hAnsi="Cambria Math"/>
              </w:rPr>
              <m:t>,17</m:t>
            </m:r>
          </m:sub>
        </m:sSub>
      </m:oMath>
      <w:r>
        <w:rPr>
          <w:rFonts w:eastAsiaTheme="minorEastAsia"/>
        </w:rPr>
        <w:t xml:space="preserve"> was increased from 0.001 to 0.01. </w:t>
      </w:r>
      <w:r>
        <w:t>It was expected that all of the diagnostic plots would produce a fault</w:t>
      </w:r>
      <w:r w:rsidRPr="003D4D22">
        <w:t xml:space="preserve"> </w:t>
      </w:r>
      <w:r>
        <w:t xml:space="preserve">since this was outside normal conditions and changes </w:t>
      </w:r>
      <w:r w:rsidR="006F1843">
        <w:t>the relative relationship between the state variables</w:t>
      </w:r>
      <w:r>
        <w:t>. This was outside normal operating conditions because it changed the amount of uranium that proceeded through the remainder of the process</w:t>
      </w:r>
      <w:r w:rsidR="00232C49">
        <w:t xml:space="preserve"> and increased the uranium in the waste</w:t>
      </w:r>
      <w:r>
        <w:t xml:space="preserve">. The detectability of a fault in the scores and Mahalanobis distance would depend on how far outside of normal operating conditions this was. Even though the increase was large, the fractions were very small </w:t>
      </w:r>
      <w:r>
        <w:lastRenderedPageBreak/>
        <w:t xml:space="preserve">even after the increase. The fault in the </w:t>
      </w:r>
      <m:oMath>
        <m:r>
          <w:rPr>
            <w:rFonts w:ascii="Cambria Math" w:hAnsi="Cambria Math"/>
          </w:rPr>
          <m:t>Q</m:t>
        </m:r>
      </m:oMath>
      <w:r>
        <w:rPr>
          <w:rFonts w:eastAsiaTheme="minorEastAsia"/>
        </w:rPr>
        <w:t xml:space="preserve">-statistic was expected to be large since this was a large change in two parameters which should result in a detectable change in </w:t>
      </w:r>
      <w:r w:rsidR="006F1843">
        <w:t>the relative relationship between the state variables</w:t>
      </w:r>
      <w:r>
        <w:rPr>
          <w:rFonts w:eastAsiaTheme="minorEastAsia"/>
        </w:rPr>
        <w:t>.</w:t>
      </w:r>
    </w:p>
    <w:p w:rsidR="00E664E4" w:rsidRDefault="00E664E4" w:rsidP="00E664E4"/>
    <w:p w:rsidR="00E664E4" w:rsidRDefault="00E664E4" w:rsidP="00E664E4">
      <w:pPr>
        <w:rPr>
          <w:rFonts w:asciiTheme="majorHAnsi" w:hAnsiTheme="majorHAnsi"/>
          <w:b/>
          <w:i/>
        </w:rPr>
      </w:pPr>
      <w:r w:rsidRPr="00C26992">
        <w:rPr>
          <w:rFonts w:asciiTheme="majorHAnsi" w:hAnsiTheme="majorHAnsi"/>
          <w:b/>
          <w:i/>
        </w:rPr>
        <w:t>3.</w:t>
      </w:r>
      <w:r>
        <w:rPr>
          <w:rFonts w:asciiTheme="majorHAnsi" w:hAnsiTheme="majorHAnsi"/>
          <w:b/>
          <w:i/>
        </w:rPr>
        <w:t>6.2</w:t>
      </w:r>
      <w:r w:rsidRPr="00C26992">
        <w:rPr>
          <w:rFonts w:asciiTheme="majorHAnsi" w:hAnsiTheme="majorHAnsi"/>
          <w:b/>
          <w:i/>
        </w:rPr>
        <w:t>.</w:t>
      </w:r>
      <w:r>
        <w:rPr>
          <w:rFonts w:asciiTheme="majorHAnsi" w:hAnsiTheme="majorHAnsi"/>
          <w:b/>
          <w:i/>
        </w:rPr>
        <w:t>9 Case 9</w:t>
      </w:r>
    </w:p>
    <w:p w:rsidR="00E664E4" w:rsidRPr="009E3957" w:rsidRDefault="00E664E4" w:rsidP="00E664E4">
      <w:r>
        <w:t>The ninth faulty case tested the ability of the model to detect the diversion of UF</w:t>
      </w:r>
      <w:r w:rsidRPr="009E3957">
        <w:rPr>
          <w:vertAlign w:val="subscript"/>
        </w:rPr>
        <w:t>6</w:t>
      </w:r>
      <w:r>
        <w:t xml:space="preserve"> from the secondary fluorination process in Module 5. In this case, the model was modified to allow for UF</w:t>
      </w:r>
      <w:r w:rsidRPr="009E3957">
        <w:rPr>
          <w:vertAlign w:val="subscript"/>
        </w:rPr>
        <w:t>6</w:t>
      </w:r>
      <w:r>
        <w:t xml:space="preserve"> to exit the process at the gas separator in Module 5F. In the base case, only F</w:t>
      </w:r>
      <w:r w:rsidRPr="009E3957">
        <w:rPr>
          <w:vertAlign w:val="subscript"/>
        </w:rPr>
        <w:t>2</w:t>
      </w:r>
      <w:r>
        <w:t xml:space="preserve"> and N</w:t>
      </w:r>
      <w:r w:rsidRPr="009E3957">
        <w:rPr>
          <w:vertAlign w:val="subscript"/>
        </w:rPr>
        <w:t>2</w:t>
      </w:r>
      <w:r>
        <w:t xml:space="preserve"> were assumed to exit at that point. It was necessary to add a UF</w:t>
      </w:r>
      <w:r w:rsidRPr="009E3957">
        <w:rPr>
          <w:vertAlign w:val="subscript"/>
        </w:rPr>
        <w:t>6</w:t>
      </w:r>
      <w:r>
        <w:t xml:space="preserve"> component stream to Stream 56. Then the UF</w:t>
      </w:r>
      <w:r w:rsidRPr="009E3957">
        <w:rPr>
          <w:vertAlign w:val="subscript"/>
        </w:rPr>
        <w:t>6</w:t>
      </w:r>
      <w:r>
        <w:t xml:space="preserve"> exiting in the vent was defined as the percentage of the incoming UF</w:t>
      </w:r>
      <w:r w:rsidRPr="009E3957">
        <w:rPr>
          <w:vertAlign w:val="subscript"/>
        </w:rPr>
        <w:t>6</w:t>
      </w:r>
      <w:r>
        <w:t xml:space="preserve"> in Stream 55 that exited in Stream 56. The remaining UF</w:t>
      </w:r>
      <w:r w:rsidRPr="009E3957">
        <w:rPr>
          <w:vertAlign w:val="subscript"/>
        </w:rPr>
        <w:t>6</w:t>
      </w:r>
      <w:r>
        <w:t xml:space="preserve"> proceeded to the slag separator. Several percentages were tested; only the 75% results are presented in Chapter 4. This appears to be a very large diversion but since only 10% of the incoming uranium to Module 5 was diverted to the secondary reactor this diversions was not significant. Again, any diversion of uranium to a waste stream is of great concern for safeguards, especially purified UF</w:t>
      </w:r>
      <w:r w:rsidRPr="009E3957">
        <w:rPr>
          <w:vertAlign w:val="subscript"/>
        </w:rPr>
        <w:t>6</w:t>
      </w:r>
      <w:r>
        <w:t>.</w:t>
      </w:r>
      <w:r w:rsidR="00021E68">
        <w:t xml:space="preserve"> However, since this is from the secondary fluorination process, it was considered medium priority for safeguards.</w:t>
      </w:r>
      <w:r>
        <w:t xml:space="preserve"> Since this was the secondary fluorination section and only a small fraction of the material was included in this process, it was expected that the </w:t>
      </w:r>
      <m:oMath>
        <m:r>
          <w:rPr>
            <w:rFonts w:ascii="Cambria Math" w:hAnsi="Cambria Math"/>
          </w:rPr>
          <m:t>Q</m:t>
        </m:r>
      </m:oMath>
      <w:r>
        <w:noBreakHyphen/>
        <w:t xml:space="preserve">statistic would detect the fault due to the change in </w:t>
      </w:r>
      <w:proofErr w:type="spellStart"/>
      <w:r w:rsidR="006F1843">
        <w:t>the</w:t>
      </w:r>
      <w:proofErr w:type="spellEnd"/>
      <w:r w:rsidR="006F1843">
        <w:t xml:space="preserve"> relative relationship between the state variables</w:t>
      </w:r>
      <w:r>
        <w:t>. No faults were expected in the scores or the Mahalanobis distance plots since this corresponds to an overall diversion of 7.5% which would be within normal operating conditions even though the diversion itself was outside normal operating conditions.</w:t>
      </w:r>
    </w:p>
    <w:p w:rsidR="00E664E4" w:rsidRDefault="00E664E4" w:rsidP="00E664E4"/>
    <w:p w:rsidR="00E664E4" w:rsidRDefault="00E664E4" w:rsidP="00E664E4">
      <w:pPr>
        <w:rPr>
          <w:rFonts w:asciiTheme="majorHAnsi" w:hAnsiTheme="majorHAnsi"/>
          <w:b/>
          <w:i/>
        </w:rPr>
      </w:pPr>
      <w:r w:rsidRPr="00C26992">
        <w:rPr>
          <w:rFonts w:asciiTheme="majorHAnsi" w:hAnsiTheme="majorHAnsi"/>
          <w:b/>
          <w:i/>
        </w:rPr>
        <w:t>3.</w:t>
      </w:r>
      <w:r>
        <w:rPr>
          <w:rFonts w:asciiTheme="majorHAnsi" w:hAnsiTheme="majorHAnsi"/>
          <w:b/>
          <w:i/>
        </w:rPr>
        <w:t>6.2</w:t>
      </w:r>
      <w:r w:rsidRPr="00C26992">
        <w:rPr>
          <w:rFonts w:asciiTheme="majorHAnsi" w:hAnsiTheme="majorHAnsi"/>
          <w:b/>
          <w:i/>
        </w:rPr>
        <w:t>.</w:t>
      </w:r>
      <w:r>
        <w:rPr>
          <w:rFonts w:asciiTheme="majorHAnsi" w:hAnsiTheme="majorHAnsi"/>
          <w:b/>
          <w:i/>
        </w:rPr>
        <w:t>10 Case 10</w:t>
      </w:r>
    </w:p>
    <w:p w:rsidR="00E664E4" w:rsidRPr="009E3957" w:rsidRDefault="00E664E4" w:rsidP="00E664E4">
      <w:r>
        <w:t>The tenth faulty case tested the ability of the model to detect inefficient operations of the fluorination processes in Module 5. In this case, the extents of reaction for both the primary and secondary fluorination reactions were changed from 0.999 to 0.95. In real operations, this would result in less UF</w:t>
      </w:r>
      <w:r w:rsidRPr="001C29B4">
        <w:rPr>
          <w:vertAlign w:val="subscript"/>
        </w:rPr>
        <w:t>4</w:t>
      </w:r>
      <w:r>
        <w:t xml:space="preserve"> being converted to UF</w:t>
      </w:r>
      <w:r w:rsidRPr="001C29B4">
        <w:rPr>
          <w:vertAlign w:val="subscript"/>
        </w:rPr>
        <w:t>6</w:t>
      </w:r>
      <w:r>
        <w:t xml:space="preserve"> and would cause an increase in the amount of UF</w:t>
      </w:r>
      <w:r w:rsidRPr="001C29B4">
        <w:rPr>
          <w:vertAlign w:val="subscript"/>
        </w:rPr>
        <w:t>4</w:t>
      </w:r>
      <w:r>
        <w:t xml:space="preserve"> in the waste streams which could be recovered and processed elsewhere. As with the other diversion scenarios, any diversion of uranium to a waste stream is </w:t>
      </w:r>
      <w:r w:rsidR="00021E68">
        <w:t>high priority</w:t>
      </w:r>
      <w:r>
        <w:t xml:space="preserve"> for safeguards, especially later in the process. It was expected that all diagnostic plots may produce a fault since this was outside normal conditions and </w:t>
      </w:r>
      <w:r w:rsidR="006F1843">
        <w:t>the relative relationship between the state variables</w:t>
      </w:r>
      <w:r>
        <w:t xml:space="preserve">. Reduction in the amount of uranium converted was a change in the normal operating conditions since it changed the amount of final product outside the normal levels. However, since this was only approximately a 5% reduction and ±10% change in the incoming uranium was built into the base case model, there may not be a detectable fault in the scores or </w:t>
      </w:r>
      <w:r>
        <w:lastRenderedPageBreak/>
        <w:t xml:space="preserve">Mahalanobis distance. A fault in the </w:t>
      </w:r>
      <m:oMath>
        <m:r>
          <w:rPr>
            <w:rFonts w:ascii="Cambria Math" w:hAnsi="Cambria Math"/>
          </w:rPr>
          <m:t>Q</m:t>
        </m:r>
      </m:oMath>
      <w:r>
        <w:rPr>
          <w:rFonts w:eastAsiaTheme="minorEastAsia"/>
        </w:rPr>
        <w:t xml:space="preserve">-statistic was expected since this was a change in </w:t>
      </w:r>
      <w:proofErr w:type="spellStart"/>
      <w:r w:rsidR="006F1843">
        <w:t>the</w:t>
      </w:r>
      <w:proofErr w:type="spellEnd"/>
      <w:r w:rsidR="006F1843">
        <w:t xml:space="preserve"> relative relationship between the state variables</w:t>
      </w:r>
      <w:r>
        <w:rPr>
          <w:rFonts w:eastAsiaTheme="minorEastAsia"/>
        </w:rPr>
        <w:t>.</w:t>
      </w:r>
    </w:p>
    <w:p w:rsidR="00E664E4" w:rsidRPr="00BA09EA" w:rsidRDefault="00E664E4" w:rsidP="00E664E4"/>
    <w:p w:rsidR="00E664E4" w:rsidRDefault="00E664E4" w:rsidP="00E664E4">
      <w:pPr>
        <w:rPr>
          <w:rFonts w:asciiTheme="majorHAnsi" w:hAnsiTheme="majorHAnsi"/>
          <w:b/>
          <w:i/>
        </w:rPr>
      </w:pPr>
      <w:r w:rsidRPr="00C26992">
        <w:rPr>
          <w:rFonts w:asciiTheme="majorHAnsi" w:hAnsiTheme="majorHAnsi"/>
          <w:b/>
          <w:i/>
        </w:rPr>
        <w:t>3.</w:t>
      </w:r>
      <w:r>
        <w:rPr>
          <w:rFonts w:asciiTheme="majorHAnsi" w:hAnsiTheme="majorHAnsi"/>
          <w:b/>
          <w:i/>
        </w:rPr>
        <w:t>6.2</w:t>
      </w:r>
      <w:r w:rsidRPr="00C26992">
        <w:rPr>
          <w:rFonts w:asciiTheme="majorHAnsi" w:hAnsiTheme="majorHAnsi"/>
          <w:b/>
          <w:i/>
        </w:rPr>
        <w:t>.</w:t>
      </w:r>
      <w:r>
        <w:rPr>
          <w:rFonts w:asciiTheme="majorHAnsi" w:hAnsiTheme="majorHAnsi"/>
          <w:b/>
          <w:i/>
        </w:rPr>
        <w:t>11 Case 11</w:t>
      </w:r>
    </w:p>
    <w:p w:rsidR="00E664E4" w:rsidRDefault="00E664E4" w:rsidP="00E664E4">
      <w:r>
        <w:t>Case eleven tested the model’s ability to detect the diversion of purified UF</w:t>
      </w:r>
      <w:r w:rsidRPr="00027152">
        <w:rPr>
          <w:vertAlign w:val="subscript"/>
        </w:rPr>
        <w:t>6</w:t>
      </w:r>
      <w:r>
        <w:t xml:space="preserve"> from Module 5. The scenarios assumed that the UF</w:t>
      </w:r>
      <w:r w:rsidRPr="00027152">
        <w:rPr>
          <w:vertAlign w:val="subscript"/>
        </w:rPr>
        <w:t>6</w:t>
      </w:r>
      <w:r>
        <w:t xml:space="preserve"> collection system was operated inefficiently either due to equipment failure or for the purposes of diversion of material. The faulty case block diagram of Module 5F is shown in Figure 3.38. A new stream (Stream 61) was added to represent the diversion stream. Streams 52 and 59 were pure UF</w:t>
      </w:r>
      <w:r w:rsidRPr="00027152">
        <w:rPr>
          <w:vertAlign w:val="subscript"/>
        </w:rPr>
        <w:t>6</w:t>
      </w:r>
      <w:r>
        <w:t xml:space="preserve"> that were mixed to form the final product of the process. In this case, the new stream was formed by diverting a percentage of the streams that were inputs to the mixer. Several percentages were tested, but only the results of the 20% diversion case </w:t>
      </w:r>
      <w:r w:rsidR="004E2FC0">
        <w:t>are</w:t>
      </w:r>
      <w:r>
        <w:t xml:space="preserve"> presented in Chapter 4. This case is of extremely high concern for safeguards. At this point the material is completely purified and can be used for enrichment to support a weapons program. Since current safeguards policy is not applied until the product is declared it is feasible that material could be diverted before declaration. It was expected that only the </w:t>
      </w:r>
      <m:oMath>
        <m:r>
          <w:rPr>
            <w:rFonts w:ascii="Cambria Math" w:hAnsi="Cambria Math"/>
          </w:rPr>
          <m:t>Q</m:t>
        </m:r>
      </m:oMath>
      <w:r>
        <w:t xml:space="preserve">-statistic would detect this fault since this stream was exiting the model and there was no longer any interaction with the model and since a new parameter was introduced which would change </w:t>
      </w:r>
      <w:r w:rsidR="006F1843">
        <w:t>the relative relationship between the state variables</w:t>
      </w:r>
      <w:r>
        <w:t>.</w:t>
      </w:r>
    </w:p>
    <w:p w:rsidR="00623712" w:rsidRDefault="00623712" w:rsidP="00E664E4"/>
    <w:p w:rsidR="00623712" w:rsidRDefault="00623712" w:rsidP="00623712">
      <w:pPr>
        <w:jc w:val="center"/>
      </w:pPr>
      <w:r>
        <w:object w:dxaOrig="7036" w:dyaOrig="3549">
          <v:shape id="_x0000_i1057" type="#_x0000_t75" style="width:352.75pt;height:178.35pt" o:ole="">
            <v:imagedata r:id="rId106" o:title=""/>
          </v:shape>
          <o:OLEObject Type="Embed" ProgID="Visio.Drawing.11" ShapeID="_x0000_i1057" DrawAspect="Content" ObjectID="_1445525582" r:id="rId107"/>
        </w:object>
      </w:r>
    </w:p>
    <w:p w:rsidR="00623712" w:rsidRPr="009A3612" w:rsidRDefault="00623712" w:rsidP="00623712">
      <w:pPr>
        <w:jc w:val="center"/>
        <w:rPr>
          <w:b/>
          <w:sz w:val="20"/>
          <w:szCs w:val="20"/>
        </w:rPr>
      </w:pPr>
      <w:proofErr w:type="gramStart"/>
      <w:r w:rsidRPr="009A3612">
        <w:rPr>
          <w:b/>
          <w:sz w:val="20"/>
          <w:szCs w:val="20"/>
        </w:rPr>
        <w:t>Figure 3.3</w:t>
      </w:r>
      <w:r>
        <w:rPr>
          <w:b/>
          <w:sz w:val="20"/>
          <w:szCs w:val="20"/>
        </w:rPr>
        <w:t>8</w:t>
      </w:r>
      <w:r w:rsidRPr="009A3612">
        <w:rPr>
          <w:b/>
          <w:sz w:val="20"/>
          <w:szCs w:val="20"/>
        </w:rPr>
        <w:t>.</w:t>
      </w:r>
      <w:proofErr w:type="gramEnd"/>
      <w:r w:rsidRPr="009A3612">
        <w:rPr>
          <w:b/>
          <w:sz w:val="20"/>
          <w:szCs w:val="20"/>
        </w:rPr>
        <w:t xml:space="preserve"> Block Diagram of the Module </w:t>
      </w:r>
      <w:r>
        <w:rPr>
          <w:b/>
          <w:sz w:val="20"/>
          <w:szCs w:val="20"/>
        </w:rPr>
        <w:t>5F</w:t>
      </w:r>
      <w:r w:rsidRPr="009A3612">
        <w:rPr>
          <w:b/>
          <w:sz w:val="20"/>
          <w:szCs w:val="20"/>
        </w:rPr>
        <w:t xml:space="preserve"> </w:t>
      </w:r>
      <w:r>
        <w:rPr>
          <w:b/>
          <w:sz w:val="20"/>
          <w:szCs w:val="20"/>
        </w:rPr>
        <w:t>Showing Input and Output Streams According to Faulty Case 11</w:t>
      </w:r>
      <w:r w:rsidRPr="009A3612">
        <w:rPr>
          <w:b/>
          <w:sz w:val="20"/>
          <w:szCs w:val="20"/>
        </w:rPr>
        <w:t>.</w:t>
      </w:r>
    </w:p>
    <w:p w:rsidR="00623712" w:rsidRDefault="00623712" w:rsidP="00E664E4"/>
    <w:p w:rsidR="008540AF" w:rsidRDefault="008540AF" w:rsidP="00E664E4"/>
    <w:p w:rsidR="00623712" w:rsidRDefault="00623712" w:rsidP="008540AF">
      <w:pPr>
        <w:rPr>
          <w:rFonts w:asciiTheme="majorHAnsi" w:hAnsiTheme="majorHAnsi"/>
          <w:b/>
          <w:i/>
        </w:rPr>
      </w:pPr>
    </w:p>
    <w:p w:rsidR="008540AF" w:rsidRDefault="008540AF" w:rsidP="008540AF">
      <w:pPr>
        <w:rPr>
          <w:rFonts w:asciiTheme="majorHAnsi" w:hAnsiTheme="majorHAnsi"/>
          <w:b/>
          <w:i/>
        </w:rPr>
      </w:pPr>
      <w:r w:rsidRPr="00C26992">
        <w:rPr>
          <w:rFonts w:asciiTheme="majorHAnsi" w:hAnsiTheme="majorHAnsi"/>
          <w:b/>
          <w:i/>
        </w:rPr>
        <w:lastRenderedPageBreak/>
        <w:t>3.</w:t>
      </w:r>
      <w:r>
        <w:rPr>
          <w:rFonts w:asciiTheme="majorHAnsi" w:hAnsiTheme="majorHAnsi"/>
          <w:b/>
          <w:i/>
        </w:rPr>
        <w:t>6.2</w:t>
      </w:r>
      <w:r w:rsidRPr="00C26992">
        <w:rPr>
          <w:rFonts w:asciiTheme="majorHAnsi" w:hAnsiTheme="majorHAnsi"/>
          <w:b/>
          <w:i/>
        </w:rPr>
        <w:t>.</w:t>
      </w:r>
      <w:r>
        <w:rPr>
          <w:rFonts w:asciiTheme="majorHAnsi" w:hAnsiTheme="majorHAnsi"/>
          <w:b/>
          <w:i/>
        </w:rPr>
        <w:t>12 Case 12</w:t>
      </w:r>
    </w:p>
    <w:p w:rsidR="00B7594C" w:rsidRDefault="008540AF" w:rsidP="00B7594C">
      <w:r>
        <w:t>Faulty Case 12 was the first case used to test the effect of changes to multiple parameters or inputs. This case was a combination of Case 1D and Case 11. In Case 1D, the uranium input flow rate was increased by 25% in Module 1. In Case 11, 20% of the UF</w:t>
      </w:r>
      <w:r w:rsidRPr="00B73A82">
        <w:rPr>
          <w:vertAlign w:val="subscript"/>
        </w:rPr>
        <w:t>6</w:t>
      </w:r>
      <w:r>
        <w:t xml:space="preserve"> product was diverted through a new output stream in Module 5. This test was investigated since it is a likely scenario of concern for safeguards. This case</w:t>
      </w:r>
      <w:r w:rsidR="00B7594C">
        <w:t xml:space="preserve"> models the scenario where additional uranium is fed to the process and then additional purified uranium is diverted before declaration at the end of the process. It was expected that this case would produce faults in all of the diagnostic plots since this was outside normal conditions and changes the relative relationship between the state variables. </w:t>
      </w:r>
    </w:p>
    <w:p w:rsidR="00B7594C" w:rsidRDefault="00B7594C" w:rsidP="00B7594C"/>
    <w:p w:rsidR="00B7594C" w:rsidRDefault="00B7594C" w:rsidP="00B7594C">
      <w:pPr>
        <w:rPr>
          <w:rFonts w:asciiTheme="majorHAnsi" w:hAnsiTheme="majorHAnsi"/>
          <w:b/>
          <w:i/>
        </w:rPr>
      </w:pPr>
      <w:r w:rsidRPr="00C26992">
        <w:rPr>
          <w:rFonts w:asciiTheme="majorHAnsi" w:hAnsiTheme="majorHAnsi"/>
          <w:b/>
          <w:i/>
        </w:rPr>
        <w:t>3.</w:t>
      </w:r>
      <w:r>
        <w:rPr>
          <w:rFonts w:asciiTheme="majorHAnsi" w:hAnsiTheme="majorHAnsi"/>
          <w:b/>
          <w:i/>
        </w:rPr>
        <w:t>6.2</w:t>
      </w:r>
      <w:r w:rsidRPr="00C26992">
        <w:rPr>
          <w:rFonts w:asciiTheme="majorHAnsi" w:hAnsiTheme="majorHAnsi"/>
          <w:b/>
          <w:i/>
        </w:rPr>
        <w:t>.</w:t>
      </w:r>
      <w:r>
        <w:rPr>
          <w:rFonts w:asciiTheme="majorHAnsi" w:hAnsiTheme="majorHAnsi"/>
          <w:b/>
          <w:i/>
        </w:rPr>
        <w:t>13 Case 13</w:t>
      </w:r>
    </w:p>
    <w:p w:rsidR="00E664E4" w:rsidRDefault="00B7594C" w:rsidP="00E664E4">
      <w:r>
        <w:t>Faulty Case 13 was the second case used to test the effect of changes to multiple parameters or inputs. This case was a combination of Case 7 and Case 10. In Case 7, inefficient precipitation process operations were investigated by changing the extent of reaction for the precipitation reaction</w:t>
      </w:r>
      <w:proofErr w:type="gramStart"/>
      <w:r>
        <w:t xml:space="preserve">, </w:t>
      </w:r>
      <w:proofErr w:type="gramEnd"/>
      <m:oMath>
        <m:sSub>
          <m:sSubPr>
            <m:ctrlPr>
              <w:rPr>
                <w:rFonts w:ascii="Cambria Math" w:hAnsi="Cambria Math"/>
              </w:rPr>
            </m:ctrlPr>
          </m:sSubPr>
          <m:e>
            <m:r>
              <w:rPr>
                <w:rFonts w:ascii="Cambria Math" w:hAnsi="Cambria Math"/>
              </w:rPr>
              <m:t>X</m:t>
            </m:r>
          </m:e>
          <m:sub>
            <m:r>
              <w:rPr>
                <w:rFonts w:ascii="Cambria Math" w:hAnsi="Cambria Math"/>
              </w:rPr>
              <m:t>Mod3C</m:t>
            </m:r>
          </m:sub>
        </m:sSub>
      </m:oMath>
      <w:r>
        <w:rPr>
          <w:rFonts w:eastAsiaTheme="minorEastAsia"/>
        </w:rPr>
        <w:t xml:space="preserve">, from 0.9999 to 0.9 in Module 3. </w:t>
      </w:r>
      <w:r>
        <w:t>In Case 10, inefficient operations o</w:t>
      </w:r>
      <w:r w:rsidR="00623712">
        <w:t xml:space="preserve">f the fluorination processes in </w:t>
      </w:r>
      <w:r>
        <w:t>Module 5 were investigated by changing the extents of reaction for both the primary and secondary fluorination reactions from 0.999 to 0.95. Inefficient operations results in additional uranium in the waste streams which can be recovered and further purified as needed at an undeclared location.</w:t>
      </w:r>
      <w:r w:rsidRPr="005117E9">
        <w:t xml:space="preserve"> </w:t>
      </w:r>
      <w:r>
        <w:t>As with the other diversion scenarios, any diversion of uranium to a waste stream is of great concern for safeguards, especially later in the process. Since this was diversion of material in two locations, it was considered high priority. It was expected that all diagnostic plots would produce a fault since this was outside normal conditions and changes the relative relationship between the state variables. Since this case was a combination of inefficient operations, it was also expected that the faults could be larger due to additive effects of the faults which was one of the reasons this case was selected for testing.</w:t>
      </w:r>
    </w:p>
    <w:p w:rsidR="00B7594C" w:rsidRPr="00862E81" w:rsidRDefault="00B7594C" w:rsidP="00E664E4"/>
    <w:p w:rsidR="00E664E4" w:rsidRDefault="00E664E4" w:rsidP="00E664E4">
      <w:pPr>
        <w:rPr>
          <w:rFonts w:asciiTheme="majorHAnsi" w:hAnsiTheme="majorHAnsi"/>
          <w:b/>
          <w:i/>
        </w:rPr>
      </w:pPr>
      <w:r w:rsidRPr="00C26992">
        <w:rPr>
          <w:rFonts w:asciiTheme="majorHAnsi" w:hAnsiTheme="majorHAnsi"/>
          <w:b/>
          <w:i/>
        </w:rPr>
        <w:t>3.</w:t>
      </w:r>
      <w:r>
        <w:rPr>
          <w:rFonts w:asciiTheme="majorHAnsi" w:hAnsiTheme="majorHAnsi"/>
          <w:b/>
          <w:i/>
        </w:rPr>
        <w:t>6.2</w:t>
      </w:r>
      <w:r w:rsidRPr="00C26992">
        <w:rPr>
          <w:rFonts w:asciiTheme="majorHAnsi" w:hAnsiTheme="majorHAnsi"/>
          <w:b/>
          <w:i/>
        </w:rPr>
        <w:t>.</w:t>
      </w:r>
      <w:r>
        <w:rPr>
          <w:rFonts w:asciiTheme="majorHAnsi" w:hAnsiTheme="majorHAnsi"/>
          <w:b/>
          <w:i/>
        </w:rPr>
        <w:t>14 Case 14</w:t>
      </w:r>
    </w:p>
    <w:p w:rsidR="00E664E4" w:rsidRDefault="00E664E4" w:rsidP="00871E7A">
      <w:r>
        <w:t xml:space="preserve">Faulty Case 14 was the third case used to test the effect of changes to multiple parameters or inputs. This case was a combination of Case 2 and Case 3. In Case 2, the effect of changing the purity of the uranium feed was investigated by changing the uranium input stream from </w:t>
      </w:r>
      <w:r w:rsidRPr="0016631E">
        <w:t>85</w:t>
      </w:r>
      <w:r>
        <w:t xml:space="preserve"> </w:t>
      </w:r>
      <w:proofErr w:type="spellStart"/>
      <w:r>
        <w:t>wt</w:t>
      </w:r>
      <w:proofErr w:type="spellEnd"/>
      <w:r>
        <w:t>-</w:t>
      </w:r>
      <w:r w:rsidRPr="0016631E">
        <w:t>% U</w:t>
      </w:r>
      <w:r w:rsidRPr="0016631E">
        <w:rPr>
          <w:vertAlign w:val="subscript"/>
        </w:rPr>
        <w:t>3</w:t>
      </w:r>
      <w:r w:rsidRPr="0016631E">
        <w:t>O</w:t>
      </w:r>
      <w:r w:rsidRPr="0016631E">
        <w:rPr>
          <w:vertAlign w:val="subscript"/>
        </w:rPr>
        <w:t>8</w:t>
      </w:r>
      <w:r w:rsidRPr="0016631E">
        <w:t xml:space="preserve"> and 15</w:t>
      </w:r>
      <w:r>
        <w:t> </w:t>
      </w:r>
      <w:proofErr w:type="spellStart"/>
      <w:r>
        <w:t>wt</w:t>
      </w:r>
      <w:proofErr w:type="spellEnd"/>
      <w:r>
        <w:t>-</w:t>
      </w:r>
      <w:r w:rsidRPr="0016631E">
        <w:t>% impurities (7.5</w:t>
      </w:r>
      <w:r>
        <w:t xml:space="preserve"> </w:t>
      </w:r>
      <w:proofErr w:type="spellStart"/>
      <w:r>
        <w:t>wt</w:t>
      </w:r>
      <w:proofErr w:type="spellEnd"/>
      <w:r>
        <w:t>-</w:t>
      </w:r>
      <w:r w:rsidRPr="0016631E">
        <w:t>% soluble impurities and 7.5</w:t>
      </w:r>
      <w:r>
        <w:t xml:space="preserve"> </w:t>
      </w:r>
      <w:proofErr w:type="spellStart"/>
      <w:r>
        <w:t>wt</w:t>
      </w:r>
      <w:proofErr w:type="spellEnd"/>
      <w:r>
        <w:t>-</w:t>
      </w:r>
      <w:r w:rsidRPr="0016631E">
        <w:t>% insoluble impurities)</w:t>
      </w:r>
      <w:r>
        <w:t xml:space="preserve"> to 90 </w:t>
      </w:r>
      <w:proofErr w:type="spellStart"/>
      <w:r>
        <w:t>wt</w:t>
      </w:r>
      <w:proofErr w:type="spellEnd"/>
      <w:r>
        <w:t>-</w:t>
      </w:r>
      <w:r w:rsidRPr="0016631E">
        <w:t>% U</w:t>
      </w:r>
      <w:r w:rsidRPr="0016631E">
        <w:rPr>
          <w:vertAlign w:val="subscript"/>
        </w:rPr>
        <w:t>3</w:t>
      </w:r>
      <w:r w:rsidRPr="0016631E">
        <w:t>O</w:t>
      </w:r>
      <w:r w:rsidRPr="0016631E">
        <w:rPr>
          <w:vertAlign w:val="subscript"/>
        </w:rPr>
        <w:t>8</w:t>
      </w:r>
      <w:r w:rsidRPr="0016631E">
        <w:t xml:space="preserve"> and 1</w:t>
      </w:r>
      <w:r>
        <w:t>0 </w:t>
      </w:r>
      <w:proofErr w:type="spellStart"/>
      <w:r>
        <w:t>wt</w:t>
      </w:r>
      <w:proofErr w:type="spellEnd"/>
      <w:r>
        <w:t>-</w:t>
      </w:r>
      <w:r w:rsidRPr="0016631E">
        <w:t>% impurities (5</w:t>
      </w:r>
      <w:r>
        <w:t xml:space="preserve"> </w:t>
      </w:r>
      <w:proofErr w:type="spellStart"/>
      <w:r>
        <w:t>wt</w:t>
      </w:r>
      <w:proofErr w:type="spellEnd"/>
      <w:r>
        <w:t>-</w:t>
      </w:r>
      <w:r w:rsidRPr="0016631E">
        <w:t>% soluble impurities and 5</w:t>
      </w:r>
      <w:r>
        <w:t xml:space="preserve"> </w:t>
      </w:r>
      <w:proofErr w:type="spellStart"/>
      <w:r>
        <w:t>wt</w:t>
      </w:r>
      <w:proofErr w:type="spellEnd"/>
      <w:r>
        <w:t>-</w:t>
      </w:r>
      <w:r w:rsidRPr="0016631E">
        <w:t>% insoluble impurities)</w:t>
      </w:r>
      <w:r>
        <w:t xml:space="preserve"> in Module 1.</w:t>
      </w:r>
      <w:r>
        <w:rPr>
          <w:rFonts w:eastAsiaTheme="minorEastAsia"/>
        </w:rPr>
        <w:t xml:space="preserve"> </w:t>
      </w:r>
      <w:r>
        <w:t xml:space="preserve">In Case 3, inefficient dissolver operations in Module 1 were investigated by changing the extent of reaction for the dissolution reaction, </w:t>
      </w:r>
      <m:oMath>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1</m:t>
            </m:r>
          </m:sub>
        </m:sSub>
      </m:oMath>
      <w:r>
        <w:rPr>
          <w:rFonts w:eastAsiaTheme="minorEastAsia"/>
        </w:rPr>
        <w:t>, from 0.9799 to 0.95. This case was selected as one possible case in which two faults could cancel each other out and result in no detection of the fault.</w:t>
      </w:r>
      <w:r w:rsidR="00021E68">
        <w:rPr>
          <w:rFonts w:eastAsiaTheme="minorEastAsia"/>
        </w:rPr>
        <w:t xml:space="preserve"> This case was low priority for safeguards.</w:t>
      </w:r>
    </w:p>
    <w:p w:rsidR="00E664E4" w:rsidRDefault="00E664E4" w:rsidP="00871E7A">
      <w:pPr>
        <w:sectPr w:rsidR="00E664E4" w:rsidSect="00696884">
          <w:pgSz w:w="12240" w:h="15840"/>
          <w:pgMar w:top="1440" w:right="1440" w:bottom="1440" w:left="1440" w:header="1440" w:footer="1440" w:gutter="0"/>
          <w:cols w:space="720"/>
          <w:docGrid w:linePitch="360"/>
        </w:sectPr>
      </w:pPr>
    </w:p>
    <w:p w:rsidR="00E664E4" w:rsidRDefault="00E664E4" w:rsidP="00E664E4">
      <w:pPr>
        <w:jc w:val="center"/>
        <w:rPr>
          <w:rFonts w:asciiTheme="majorHAnsi" w:hAnsiTheme="majorHAnsi"/>
          <w:b/>
          <w:caps/>
        </w:rPr>
      </w:pPr>
      <w:r w:rsidRPr="00436A8B">
        <w:rPr>
          <w:rFonts w:asciiTheme="majorHAnsi" w:hAnsiTheme="majorHAnsi"/>
          <w:b/>
          <w:caps/>
        </w:rPr>
        <w:lastRenderedPageBreak/>
        <w:t>4. Results and Discussion</w:t>
      </w:r>
    </w:p>
    <w:p w:rsidR="00E664E4" w:rsidRDefault="00E664E4" w:rsidP="00E664E4">
      <w:pPr>
        <w:jc w:val="center"/>
        <w:rPr>
          <w:rFonts w:asciiTheme="majorHAnsi" w:hAnsiTheme="majorHAnsi"/>
          <w:b/>
          <w:caps/>
        </w:rPr>
      </w:pPr>
    </w:p>
    <w:p w:rsidR="00E664E4" w:rsidRDefault="00E664E4" w:rsidP="00E664E4">
      <w:r w:rsidRPr="00484ED1">
        <w:t xml:space="preserve">The </w:t>
      </w:r>
      <w:r>
        <w:t xml:space="preserve">results of the sensitivity analysis, modeling of the base case model, the control case, and the numerous faulty test cases are detailed in this chapter. </w:t>
      </w:r>
    </w:p>
    <w:p w:rsidR="00E664E4" w:rsidRPr="00436A8B" w:rsidRDefault="00E664E4" w:rsidP="00E664E4"/>
    <w:p w:rsidR="00E664E4" w:rsidRDefault="00E664E4" w:rsidP="00E664E4">
      <w:pPr>
        <w:rPr>
          <w:rFonts w:asciiTheme="majorHAnsi" w:hAnsiTheme="majorHAnsi"/>
          <w:b/>
          <w:caps/>
        </w:rPr>
      </w:pPr>
      <w:r w:rsidRPr="00436A8B">
        <w:rPr>
          <w:rFonts w:asciiTheme="majorHAnsi" w:hAnsiTheme="majorHAnsi"/>
          <w:b/>
          <w:caps/>
        </w:rPr>
        <w:t>4.1 Sensitivity Analysis</w:t>
      </w:r>
    </w:p>
    <w:p w:rsidR="00E664E4" w:rsidRDefault="00E664E4" w:rsidP="00E664E4">
      <w:r>
        <w:t xml:space="preserve">As stated in the Chapter 3 discussion of the approach for the sensitivity analysis, </w:t>
      </w:r>
      <w:r w:rsidRPr="00854642">
        <w:t xml:space="preserve">each of the parameters </w:t>
      </w:r>
      <w:r>
        <w:t xml:space="preserve">was </w:t>
      </w:r>
      <w:r w:rsidRPr="00854642">
        <w:t xml:space="preserve">varied by ±10% </w:t>
      </w:r>
      <w:r>
        <w:t xml:space="preserve">using a one-at-a-time approach to determine </w:t>
      </w:r>
      <w:r w:rsidRPr="00854642">
        <w:t xml:space="preserve">a new steady-state solution </w:t>
      </w:r>
      <w:r>
        <w:t>for all of the state variables</w:t>
      </w:r>
      <w:r w:rsidRPr="00854642">
        <w:t xml:space="preserve">. For parameters that could not </w:t>
      </w:r>
      <w:r>
        <w:t>vary by +10%, such as an extent of reaction with a value of one, the parameter was only tested at -10%.</w:t>
      </w:r>
    </w:p>
    <w:p w:rsidR="00E664E4" w:rsidRPr="00247449" w:rsidRDefault="00E664E4" w:rsidP="00E664E4">
      <w:r>
        <w:t xml:space="preserve">Also discussed in Chapter 3, the sensitivity analysis involved the derivation of a </w:t>
      </w:r>
      <w:r w:rsidRPr="00247449">
        <w:t xml:space="preserve">sensitivity factor for each parameter and steady-state </w:t>
      </w:r>
      <w:r>
        <w:t xml:space="preserve">state variable </w:t>
      </w:r>
      <w:r w:rsidRPr="00247449">
        <w:t>solution combination</w:t>
      </w:r>
      <w:r>
        <w:t>.</w:t>
      </w:r>
      <w:r w:rsidRPr="00247449">
        <w:t xml:space="preserve"> The sensitivity factor is unit-less and calculated using Eq. </w:t>
      </w:r>
      <w:r>
        <w:t>3.3.0.1</w:t>
      </w:r>
      <w:r w:rsidRPr="00247449">
        <w:t xml:space="preserve">, where </w:t>
      </w:r>
      <m:oMath>
        <m:sSub>
          <m:sSubPr>
            <m:ctrlPr>
              <w:rPr>
                <w:rFonts w:ascii="Cambria Math" w:hAnsi="Cambria Math"/>
                <w:i/>
              </w:rPr>
            </m:ctrlPr>
          </m:sSubPr>
          <m:e>
            <m:r>
              <w:rPr>
                <w:rFonts w:ascii="Cambria Math" w:hAnsi="Cambria Math"/>
              </w:rPr>
              <m:t>γ</m:t>
            </m:r>
          </m:e>
          <m:sub>
            <m:r>
              <w:rPr>
                <w:rFonts w:ascii="Cambria Math" w:hAnsi="Cambria Math"/>
              </w:rPr>
              <m:t>i,j</m:t>
            </m:r>
          </m:sub>
        </m:sSub>
      </m:oMath>
      <w:r w:rsidRPr="00247449">
        <w:t xml:space="preserve"> is the sensitivity factor for the </w:t>
      </w:r>
      <m:oMath>
        <m:r>
          <w:rPr>
            <w:rFonts w:ascii="Cambria Math" w:hAnsi="Cambria Math"/>
          </w:rPr>
          <m:t>i</m:t>
        </m:r>
      </m:oMath>
      <w:r w:rsidRPr="00247449">
        <w:t xml:space="preserve">-th </w:t>
      </w:r>
      <w:r>
        <w:t>state variable</w:t>
      </w:r>
      <w:r w:rsidRPr="00247449">
        <w:t xml:space="preserve"> </w:t>
      </w:r>
      <m:oMath>
        <m:r>
          <w:rPr>
            <w:rFonts w:ascii="Cambria Math" w:hAnsi="Cambria Math"/>
          </w:rPr>
          <m:t>(y)</m:t>
        </m:r>
      </m:oMath>
      <w:r>
        <w:t xml:space="preserve"> of the </w:t>
      </w:r>
      <m:oMath>
        <m:r>
          <w:rPr>
            <w:rFonts w:ascii="Cambria Math" w:hAnsi="Cambria Math"/>
          </w:rPr>
          <m:t>j</m:t>
        </m:r>
      </m:oMath>
      <w:r w:rsidRPr="00247449">
        <w:t>-th parameter</w:t>
      </w:r>
      <w:r>
        <w:t xml:space="preserve"> </w:t>
      </w:r>
      <m:oMath>
        <m:r>
          <w:rPr>
            <w:rFonts w:ascii="Cambria Math" w:hAnsi="Cambria Math"/>
          </w:rPr>
          <m:t>(u)</m:t>
        </m:r>
      </m:oMath>
      <w:r>
        <w:rPr>
          <w:rFonts w:eastAsiaTheme="minorEastAsia"/>
        </w:rPr>
        <w:t xml:space="preserve"> at steady state.</w:t>
      </w:r>
    </w:p>
    <w:p w:rsidR="00E664E4" w:rsidRDefault="00C851DF" w:rsidP="00E664E4">
      <w:pPr>
        <w:jc w:val="right"/>
      </w:pPr>
      <m:oMath>
        <m:sSub>
          <m:sSubPr>
            <m:ctrlPr>
              <w:rPr>
                <w:rFonts w:ascii="Cambria Math" w:hAnsi="Cambria Math"/>
                <w:i/>
              </w:rPr>
            </m:ctrlPr>
          </m:sSubPr>
          <m:e>
            <m:r>
              <w:rPr>
                <w:rFonts w:ascii="Cambria Math" w:hAnsi="Cambria Math"/>
              </w:rPr>
              <m:t>γ</m:t>
            </m:r>
          </m:e>
          <m:sub>
            <m:r>
              <w:rPr>
                <w:rFonts w:ascii="Cambria Math" w:hAnsi="Cambria Math"/>
              </w:rPr>
              <m:t>i,j</m:t>
            </m:r>
          </m:sub>
        </m:sSub>
        <m:r>
          <w:rPr>
            <w:rFonts w:ascii="Cambria Math" w:hAnsi="Cambria Math"/>
          </w:rPr>
          <m:t>≜</m:t>
        </m:r>
        <m:f>
          <m:fPr>
            <m:ctrlPr>
              <w:rPr>
                <w:rFonts w:ascii="Cambria Math" w:hAnsi="Cambria Math"/>
                <w:i/>
              </w:rPr>
            </m:ctrlPr>
          </m:fPr>
          <m:num>
            <m:f>
              <m:fPr>
                <m:type m:val="lin"/>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y</m:t>
                    </m:r>
                  </m:e>
                  <m:sub>
                    <m:r>
                      <w:rPr>
                        <w:rFonts w:ascii="Cambria Math" w:hAnsi="Cambria Math"/>
                      </w:rPr>
                      <m:t>i</m:t>
                    </m:r>
                  </m:sub>
                </m:sSub>
              </m:num>
              <m:den>
                <m:sSub>
                  <m:sSubPr>
                    <m:ctrlPr>
                      <w:rPr>
                        <w:rFonts w:ascii="Cambria Math" w:hAnsi="Cambria Math"/>
                        <w:i/>
                      </w:rPr>
                    </m:ctrlPr>
                  </m:sSubPr>
                  <m:e>
                    <m:r>
                      <w:rPr>
                        <w:rFonts w:ascii="Cambria Math" w:hAnsi="Cambria Math"/>
                      </w:rPr>
                      <m:t>y</m:t>
                    </m:r>
                  </m:e>
                  <m:sub>
                    <m:r>
                      <w:rPr>
                        <w:rFonts w:ascii="Cambria Math" w:hAnsi="Cambria Math"/>
                      </w:rPr>
                      <m:t>i,0</m:t>
                    </m:r>
                  </m:sub>
                </m:sSub>
              </m:den>
            </m:f>
          </m:num>
          <m:den>
            <m:f>
              <m:fPr>
                <m:type m:val="lin"/>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u</m:t>
                    </m:r>
                  </m:e>
                  <m:sub>
                    <m:r>
                      <w:rPr>
                        <w:rFonts w:ascii="Cambria Math" w:hAnsi="Cambria Math"/>
                      </w:rPr>
                      <m:t>j</m:t>
                    </m:r>
                  </m:sub>
                </m:sSub>
              </m:num>
              <m:den>
                <m:sSub>
                  <m:sSubPr>
                    <m:ctrlPr>
                      <w:rPr>
                        <w:rFonts w:ascii="Cambria Math" w:hAnsi="Cambria Math"/>
                        <w:i/>
                      </w:rPr>
                    </m:ctrlPr>
                  </m:sSubPr>
                  <m:e>
                    <m:r>
                      <w:rPr>
                        <w:rFonts w:ascii="Cambria Math" w:hAnsi="Cambria Math"/>
                      </w:rPr>
                      <m:t>u</m:t>
                    </m:r>
                  </m:e>
                  <m:sub>
                    <m:r>
                      <w:rPr>
                        <w:rFonts w:ascii="Cambria Math" w:hAnsi="Cambria Math"/>
                      </w:rPr>
                      <m:t>j,0</m:t>
                    </m:r>
                  </m:sub>
                </m:sSub>
              </m:den>
            </m:f>
          </m:den>
        </m:f>
      </m:oMath>
      <w:r w:rsidR="00E664E4">
        <w:tab/>
      </w:r>
      <w:r w:rsidR="00E664E4">
        <w:tab/>
      </w:r>
      <w:r w:rsidR="00E664E4">
        <w:tab/>
      </w:r>
      <w:r w:rsidR="00E664E4">
        <w:tab/>
      </w:r>
      <w:r w:rsidR="00E664E4">
        <w:tab/>
        <w:t>Eq. (3.3.0.1</w:t>
      </w:r>
      <w:r w:rsidR="00E664E4" w:rsidRPr="00247449">
        <w:t>)</w:t>
      </w:r>
    </w:p>
    <w:p w:rsidR="00E664E4" w:rsidRDefault="00E664E4" w:rsidP="00E664E4">
      <w:r>
        <w:t xml:space="preserve">For the sensitivity analysis, only the primary uranium-bearing streams (as listed in Table 3.8) were considered. For simplification of the sensitivity matrices shown below and since all of the parameters tested did not result in a response in the primary streams, Table 4.1 lists the parameters that are part of the sensitivity factor matrix. </w:t>
      </w:r>
    </w:p>
    <w:p w:rsidR="00F938ED" w:rsidRDefault="00F938ED" w:rsidP="00F938ED">
      <w:r>
        <w:t>For the sensitivity factor matrix, the bold numbers across the top correspond to the parameter (</w:t>
      </w:r>
      <m:oMath>
        <m:r>
          <w:rPr>
            <w:rFonts w:ascii="Cambria Math" w:hAnsi="Cambria Math"/>
          </w:rPr>
          <m:t>u</m:t>
        </m:r>
      </m:oMath>
      <w:r>
        <w:t>) numbers listed in Table 4.1 and the bold numbers listed in the first column correspond to the state variable (</w:t>
      </w:r>
      <m:oMath>
        <m:r>
          <w:rPr>
            <w:rFonts w:ascii="Cambria Math" w:hAnsi="Cambria Math"/>
          </w:rPr>
          <m:t>y</m:t>
        </m:r>
      </m:oMath>
      <w:r>
        <w:t xml:space="preserve">) number. The </w:t>
      </w:r>
      <m:oMath>
        <m:r>
          <w:rPr>
            <w:rFonts w:ascii="Cambria Math" w:hAnsi="Cambria Math"/>
          </w:rPr>
          <m:t>y</m:t>
        </m:r>
      </m:oMath>
      <w:r>
        <w:rPr>
          <w:rFonts w:eastAsiaTheme="minorEastAsia"/>
        </w:rPr>
        <w:t xml:space="preserve"> numbers are also the same as the Xss numbers.</w:t>
      </w:r>
      <w:r>
        <w:t xml:space="preserve"> The numbers within the table are the sensitivity factor (</w:t>
      </w:r>
      <m:oMath>
        <m:r>
          <w:rPr>
            <w:rFonts w:ascii="Cambria Math" w:hAnsi="Cambria Math"/>
          </w:rPr>
          <m:t>γ</m:t>
        </m:r>
      </m:oMath>
      <w:r>
        <w:t xml:space="preserve">) for the specific combination of parameter and state variable. Any empty cells mean that the value of that sensitivity factor was below the selected threshold value of ±0.10. Values equal to one mean that a 10% change in the specific parameter resulted in a 10% change in the corresponding state variable. For values less than one, a 10% change in the specific parameter resulted in less than a 10% change in the corresponding state variable. The reverse of that was also true for values greater than one where a 10% change in the specific parameter resulted in more than 10% in the corresponding state variable. In the case of negative values, a 10% increase in a specific parameter resulted in a decrease in the corresponding state variable or a 10% decrease in a specific parameter resulted in an increase in the corresponding state variable. </w:t>
      </w:r>
    </w:p>
    <w:p w:rsidR="00F938ED" w:rsidRDefault="00F938ED" w:rsidP="00F938ED"/>
    <w:tbl>
      <w:tblPr>
        <w:tblW w:w="8740" w:type="dxa"/>
        <w:jc w:val="center"/>
        <w:tblInd w:w="93" w:type="dxa"/>
        <w:tblLook w:val="04A0" w:firstRow="1" w:lastRow="0" w:firstColumn="1" w:lastColumn="0" w:noHBand="0" w:noVBand="1"/>
      </w:tblPr>
      <w:tblGrid>
        <w:gridCol w:w="1140"/>
        <w:gridCol w:w="1140"/>
        <w:gridCol w:w="1140"/>
        <w:gridCol w:w="5320"/>
      </w:tblGrid>
      <w:tr w:rsidR="00E664E4" w:rsidRPr="004D198D" w:rsidTr="003D664B">
        <w:trPr>
          <w:trHeight w:val="270"/>
          <w:jc w:val="center"/>
        </w:trPr>
        <w:tc>
          <w:tcPr>
            <w:tcW w:w="8740" w:type="dxa"/>
            <w:gridSpan w:val="4"/>
            <w:tcBorders>
              <w:top w:val="nil"/>
              <w:left w:val="nil"/>
              <w:bottom w:val="single" w:sz="8" w:space="0" w:color="auto"/>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b/>
                <w:bCs/>
                <w:color w:val="000000"/>
                <w:sz w:val="20"/>
                <w:szCs w:val="20"/>
              </w:rPr>
            </w:pPr>
            <w:r w:rsidRPr="004D198D">
              <w:rPr>
                <w:rFonts w:ascii="Calibri" w:eastAsia="Times New Roman" w:hAnsi="Calibri" w:cs="Times New Roman"/>
                <w:b/>
                <w:bCs/>
                <w:color w:val="000000"/>
                <w:sz w:val="20"/>
                <w:szCs w:val="20"/>
              </w:rPr>
              <w:lastRenderedPageBreak/>
              <w:t>Table 4.1. Parameters for the Sensitivity Analysis</w:t>
            </w:r>
          </w:p>
        </w:tc>
      </w:tr>
      <w:tr w:rsidR="00E664E4" w:rsidRPr="004D198D" w:rsidTr="003D664B">
        <w:trPr>
          <w:trHeight w:val="510"/>
          <w:jc w:val="center"/>
        </w:trPr>
        <w:tc>
          <w:tcPr>
            <w:tcW w:w="1140" w:type="dxa"/>
            <w:tcBorders>
              <w:top w:val="nil"/>
              <w:left w:val="nil"/>
              <w:bottom w:val="single" w:sz="4" w:space="0" w:color="auto"/>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b/>
                <w:bCs/>
                <w:color w:val="000000"/>
                <w:sz w:val="20"/>
                <w:szCs w:val="20"/>
              </w:rPr>
            </w:pPr>
            <w:r w:rsidRPr="004D198D">
              <w:rPr>
                <w:rFonts w:ascii="Calibri" w:eastAsia="Times New Roman" w:hAnsi="Calibri" w:cs="Times New Roman"/>
                <w:b/>
                <w:bCs/>
                <w:color w:val="000000"/>
                <w:sz w:val="20"/>
                <w:szCs w:val="20"/>
              </w:rPr>
              <w:t>Parameter Number</w:t>
            </w:r>
          </w:p>
        </w:tc>
        <w:tc>
          <w:tcPr>
            <w:tcW w:w="1140" w:type="dxa"/>
            <w:tcBorders>
              <w:top w:val="nil"/>
              <w:left w:val="nil"/>
              <w:bottom w:val="single" w:sz="4" w:space="0" w:color="auto"/>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b/>
                <w:bCs/>
                <w:color w:val="000000"/>
                <w:sz w:val="20"/>
                <w:szCs w:val="20"/>
              </w:rPr>
            </w:pPr>
            <w:r w:rsidRPr="004D198D">
              <w:rPr>
                <w:rFonts w:ascii="Calibri" w:eastAsia="Times New Roman" w:hAnsi="Calibri" w:cs="Times New Roman"/>
                <w:b/>
                <w:bCs/>
                <w:color w:val="000000"/>
                <w:sz w:val="20"/>
                <w:szCs w:val="20"/>
              </w:rPr>
              <w:t>Parameter Name</w:t>
            </w:r>
          </w:p>
        </w:tc>
        <w:tc>
          <w:tcPr>
            <w:tcW w:w="1140" w:type="dxa"/>
            <w:tcBorders>
              <w:top w:val="nil"/>
              <w:left w:val="nil"/>
              <w:bottom w:val="single" w:sz="4" w:space="0" w:color="auto"/>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b/>
                <w:bCs/>
                <w:color w:val="000000"/>
                <w:sz w:val="20"/>
                <w:szCs w:val="20"/>
              </w:rPr>
            </w:pPr>
            <w:r w:rsidRPr="004D198D">
              <w:rPr>
                <w:rFonts w:ascii="Calibri" w:eastAsia="Times New Roman" w:hAnsi="Calibri" w:cs="Times New Roman"/>
                <w:b/>
                <w:bCs/>
                <w:color w:val="000000"/>
                <w:sz w:val="20"/>
                <w:szCs w:val="20"/>
              </w:rPr>
              <w:t>Nominal Value</w:t>
            </w:r>
          </w:p>
        </w:tc>
        <w:tc>
          <w:tcPr>
            <w:tcW w:w="5320" w:type="dxa"/>
            <w:tcBorders>
              <w:top w:val="nil"/>
              <w:left w:val="nil"/>
              <w:bottom w:val="single" w:sz="4" w:space="0" w:color="auto"/>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b/>
                <w:bCs/>
                <w:color w:val="000000"/>
                <w:sz w:val="20"/>
                <w:szCs w:val="20"/>
              </w:rPr>
            </w:pPr>
            <w:r w:rsidRPr="004D198D">
              <w:rPr>
                <w:rFonts w:ascii="Calibri" w:eastAsia="Times New Roman" w:hAnsi="Calibri" w:cs="Times New Roman"/>
                <w:b/>
                <w:bCs/>
                <w:color w:val="000000"/>
                <w:sz w:val="20"/>
                <w:szCs w:val="20"/>
              </w:rPr>
              <w:t>Description</w:t>
            </w:r>
          </w:p>
        </w:tc>
      </w:tr>
      <w:tr w:rsidR="00E664E4" w:rsidRPr="004D198D" w:rsidTr="003D664B">
        <w:trPr>
          <w:trHeight w:val="285"/>
          <w:jc w:val="center"/>
        </w:trPr>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1</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F</w:t>
            </w:r>
            <w:r w:rsidRPr="004D198D">
              <w:rPr>
                <w:rFonts w:ascii="Calibri" w:eastAsia="Times New Roman" w:hAnsi="Calibri" w:cs="Times New Roman"/>
                <w:color w:val="000000"/>
                <w:sz w:val="20"/>
                <w:szCs w:val="20"/>
                <w:vertAlign w:val="subscript"/>
              </w:rPr>
              <w:t>1A,U</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50</w:t>
            </w:r>
          </w:p>
        </w:tc>
        <w:tc>
          <w:tcPr>
            <w:tcW w:w="532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rPr>
                <w:rFonts w:ascii="Calibri" w:eastAsia="Times New Roman" w:hAnsi="Calibri" w:cs="Times New Roman"/>
                <w:sz w:val="20"/>
                <w:szCs w:val="20"/>
              </w:rPr>
            </w:pPr>
            <w:r w:rsidRPr="004D198D">
              <w:rPr>
                <w:rFonts w:ascii="Calibri" w:eastAsia="Times New Roman" w:hAnsi="Calibri" w:cs="Times New Roman"/>
                <w:sz w:val="20"/>
                <w:szCs w:val="20"/>
              </w:rPr>
              <w:t>Flow rate of uranium in stream 1A, Mod1A</w:t>
            </w:r>
          </w:p>
        </w:tc>
      </w:tr>
      <w:tr w:rsidR="00E664E4" w:rsidRPr="004D198D" w:rsidTr="003D664B">
        <w:trPr>
          <w:trHeight w:val="540"/>
          <w:jc w:val="center"/>
        </w:trPr>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2</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X</w:t>
            </w:r>
            <w:r w:rsidRPr="004D198D">
              <w:rPr>
                <w:rFonts w:ascii="Calibri" w:eastAsia="Times New Roman" w:hAnsi="Calibri" w:cs="Times New Roman"/>
                <w:color w:val="000000"/>
                <w:sz w:val="20"/>
                <w:szCs w:val="20"/>
                <w:vertAlign w:val="subscript"/>
              </w:rPr>
              <w:t>Mod1A</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0.9799</w:t>
            </w:r>
          </w:p>
        </w:tc>
        <w:tc>
          <w:tcPr>
            <w:tcW w:w="532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Extent of Reaction (moles U</w:t>
            </w:r>
            <w:r w:rsidRPr="004D198D">
              <w:rPr>
                <w:rFonts w:ascii="Calibri" w:eastAsia="Times New Roman" w:hAnsi="Calibri" w:cs="Times New Roman"/>
                <w:color w:val="000000"/>
                <w:sz w:val="20"/>
                <w:szCs w:val="20"/>
                <w:vertAlign w:val="subscript"/>
              </w:rPr>
              <w:t>3</w:t>
            </w:r>
            <w:r w:rsidRPr="004D198D">
              <w:rPr>
                <w:rFonts w:ascii="Calibri" w:eastAsia="Times New Roman" w:hAnsi="Calibri" w:cs="Times New Roman"/>
                <w:color w:val="000000"/>
                <w:sz w:val="20"/>
                <w:szCs w:val="20"/>
              </w:rPr>
              <w:t>O</w:t>
            </w:r>
            <w:r w:rsidRPr="004D198D">
              <w:rPr>
                <w:rFonts w:ascii="Calibri" w:eastAsia="Times New Roman" w:hAnsi="Calibri" w:cs="Times New Roman"/>
                <w:color w:val="000000"/>
                <w:sz w:val="20"/>
                <w:szCs w:val="20"/>
                <w:vertAlign w:val="subscript"/>
              </w:rPr>
              <w:t>8</w:t>
            </w:r>
            <w:r w:rsidRPr="004D198D">
              <w:rPr>
                <w:rFonts w:ascii="Calibri" w:eastAsia="Times New Roman" w:hAnsi="Calibri" w:cs="Times New Roman"/>
                <w:color w:val="000000"/>
                <w:sz w:val="20"/>
                <w:szCs w:val="20"/>
              </w:rPr>
              <w:t xml:space="preserve"> reacted/moles U</w:t>
            </w:r>
            <w:r w:rsidRPr="004D198D">
              <w:rPr>
                <w:rFonts w:ascii="Calibri" w:eastAsia="Times New Roman" w:hAnsi="Calibri" w:cs="Times New Roman"/>
                <w:color w:val="000000"/>
                <w:sz w:val="20"/>
                <w:szCs w:val="20"/>
                <w:vertAlign w:val="subscript"/>
              </w:rPr>
              <w:t>3</w:t>
            </w:r>
            <w:r w:rsidRPr="004D198D">
              <w:rPr>
                <w:rFonts w:ascii="Calibri" w:eastAsia="Times New Roman" w:hAnsi="Calibri" w:cs="Times New Roman"/>
                <w:color w:val="000000"/>
                <w:sz w:val="20"/>
                <w:szCs w:val="20"/>
              </w:rPr>
              <w:t>O</w:t>
            </w:r>
            <w:r w:rsidRPr="004D198D">
              <w:rPr>
                <w:rFonts w:ascii="Calibri" w:eastAsia="Times New Roman" w:hAnsi="Calibri" w:cs="Times New Roman"/>
                <w:color w:val="000000"/>
                <w:sz w:val="20"/>
                <w:szCs w:val="20"/>
                <w:vertAlign w:val="subscript"/>
              </w:rPr>
              <w:t>8</w:t>
            </w:r>
            <w:r w:rsidRPr="004D198D">
              <w:rPr>
                <w:rFonts w:ascii="Calibri" w:eastAsia="Times New Roman" w:hAnsi="Calibri" w:cs="Times New Roman"/>
                <w:color w:val="000000"/>
                <w:sz w:val="20"/>
                <w:szCs w:val="20"/>
              </w:rPr>
              <w:t xml:space="preserve"> fed), Mod1A</w:t>
            </w:r>
          </w:p>
        </w:tc>
      </w:tr>
      <w:tr w:rsidR="00E664E4" w:rsidRPr="004D198D" w:rsidTr="003D664B">
        <w:trPr>
          <w:trHeight w:val="285"/>
          <w:jc w:val="center"/>
        </w:trPr>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3</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K</w:t>
            </w:r>
            <w:r w:rsidRPr="004D198D">
              <w:rPr>
                <w:rFonts w:ascii="Calibri" w:eastAsia="Times New Roman" w:hAnsi="Calibri" w:cs="Times New Roman"/>
                <w:color w:val="000000"/>
                <w:sz w:val="20"/>
                <w:szCs w:val="20"/>
                <w:vertAlign w:val="subscript"/>
              </w:rPr>
              <w:t>Mod1B,14</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0.98</w:t>
            </w:r>
          </w:p>
        </w:tc>
        <w:tc>
          <w:tcPr>
            <w:tcW w:w="532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Uranyl Nitrate Filter Fractionation Factor (</w:t>
            </w:r>
            <w:proofErr w:type="spellStart"/>
            <w:r w:rsidRPr="004D198D">
              <w:rPr>
                <w:rFonts w:ascii="Calibri" w:eastAsia="Times New Roman" w:hAnsi="Calibri" w:cs="Times New Roman"/>
                <w:color w:val="000000"/>
                <w:sz w:val="20"/>
                <w:szCs w:val="20"/>
              </w:rPr>
              <w:t>mol</w:t>
            </w:r>
            <w:proofErr w:type="spellEnd"/>
            <w:r w:rsidRPr="004D198D">
              <w:rPr>
                <w:rFonts w:ascii="Calibri" w:eastAsia="Times New Roman" w:hAnsi="Calibri" w:cs="Times New Roman"/>
                <w:color w:val="000000"/>
                <w:sz w:val="20"/>
                <w:szCs w:val="20"/>
              </w:rPr>
              <w:t>-%), Mod1B</w:t>
            </w:r>
          </w:p>
        </w:tc>
      </w:tr>
      <w:tr w:rsidR="00E664E4" w:rsidRPr="004D198D" w:rsidTr="003D664B">
        <w:trPr>
          <w:trHeight w:val="285"/>
          <w:jc w:val="center"/>
        </w:trPr>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4</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K</w:t>
            </w:r>
            <w:r w:rsidRPr="004D198D">
              <w:rPr>
                <w:rFonts w:ascii="Calibri" w:eastAsia="Times New Roman" w:hAnsi="Calibri" w:cs="Times New Roman"/>
                <w:color w:val="000000"/>
                <w:sz w:val="20"/>
                <w:szCs w:val="20"/>
                <w:vertAlign w:val="subscript"/>
              </w:rPr>
              <w:t>Mod1B,18</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0.02</w:t>
            </w:r>
          </w:p>
        </w:tc>
        <w:tc>
          <w:tcPr>
            <w:tcW w:w="532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U</w:t>
            </w:r>
            <w:r w:rsidRPr="004D198D">
              <w:rPr>
                <w:rFonts w:ascii="Calibri" w:eastAsia="Times New Roman" w:hAnsi="Calibri" w:cs="Times New Roman"/>
                <w:color w:val="000000"/>
                <w:sz w:val="20"/>
                <w:szCs w:val="20"/>
                <w:vertAlign w:val="subscript"/>
              </w:rPr>
              <w:t>3</w:t>
            </w:r>
            <w:r w:rsidRPr="004D198D">
              <w:rPr>
                <w:rFonts w:ascii="Calibri" w:eastAsia="Times New Roman" w:hAnsi="Calibri" w:cs="Times New Roman"/>
                <w:color w:val="000000"/>
                <w:sz w:val="20"/>
                <w:szCs w:val="20"/>
              </w:rPr>
              <w:t>O</w:t>
            </w:r>
            <w:r w:rsidRPr="004D198D">
              <w:rPr>
                <w:rFonts w:ascii="Calibri" w:eastAsia="Times New Roman" w:hAnsi="Calibri" w:cs="Times New Roman"/>
                <w:color w:val="000000"/>
                <w:sz w:val="20"/>
                <w:szCs w:val="20"/>
                <w:vertAlign w:val="subscript"/>
              </w:rPr>
              <w:t>8</w:t>
            </w:r>
            <w:r w:rsidRPr="004D198D">
              <w:rPr>
                <w:rFonts w:ascii="Calibri" w:eastAsia="Times New Roman" w:hAnsi="Calibri" w:cs="Times New Roman"/>
                <w:color w:val="000000"/>
                <w:sz w:val="20"/>
                <w:szCs w:val="20"/>
              </w:rPr>
              <w:t xml:space="preserve"> Filter Fractionation Factor (</w:t>
            </w:r>
            <w:proofErr w:type="spellStart"/>
            <w:r w:rsidRPr="004D198D">
              <w:rPr>
                <w:rFonts w:ascii="Calibri" w:eastAsia="Times New Roman" w:hAnsi="Calibri" w:cs="Times New Roman"/>
                <w:color w:val="000000"/>
                <w:sz w:val="20"/>
                <w:szCs w:val="20"/>
              </w:rPr>
              <w:t>mol</w:t>
            </w:r>
            <w:proofErr w:type="spellEnd"/>
            <w:r w:rsidRPr="004D198D">
              <w:rPr>
                <w:rFonts w:ascii="Calibri" w:eastAsia="Times New Roman" w:hAnsi="Calibri" w:cs="Times New Roman"/>
                <w:color w:val="000000"/>
                <w:sz w:val="20"/>
                <w:szCs w:val="20"/>
              </w:rPr>
              <w:t>-%), Mod1B</w:t>
            </w:r>
          </w:p>
        </w:tc>
      </w:tr>
      <w:tr w:rsidR="00E664E4" w:rsidRPr="004D198D" w:rsidTr="003D664B">
        <w:trPr>
          <w:trHeight w:val="285"/>
          <w:jc w:val="center"/>
        </w:trPr>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5</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K</w:t>
            </w:r>
            <w:r w:rsidRPr="004D198D">
              <w:rPr>
                <w:rFonts w:ascii="Calibri" w:eastAsia="Times New Roman" w:hAnsi="Calibri" w:cs="Times New Roman"/>
                <w:color w:val="000000"/>
                <w:sz w:val="20"/>
                <w:szCs w:val="20"/>
                <w:vertAlign w:val="subscript"/>
              </w:rPr>
              <w:t>Mod1C,14</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0.8</w:t>
            </w:r>
          </w:p>
        </w:tc>
        <w:tc>
          <w:tcPr>
            <w:tcW w:w="532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Uranyl Nitrate Filter Fractionation Factor (</w:t>
            </w:r>
            <w:proofErr w:type="spellStart"/>
            <w:r w:rsidRPr="004D198D">
              <w:rPr>
                <w:rFonts w:ascii="Calibri" w:eastAsia="Times New Roman" w:hAnsi="Calibri" w:cs="Times New Roman"/>
                <w:color w:val="000000"/>
                <w:sz w:val="20"/>
                <w:szCs w:val="20"/>
              </w:rPr>
              <w:t>mol</w:t>
            </w:r>
            <w:proofErr w:type="spellEnd"/>
            <w:r w:rsidRPr="004D198D">
              <w:rPr>
                <w:rFonts w:ascii="Calibri" w:eastAsia="Times New Roman" w:hAnsi="Calibri" w:cs="Times New Roman"/>
                <w:color w:val="000000"/>
                <w:sz w:val="20"/>
                <w:szCs w:val="20"/>
              </w:rPr>
              <w:t>-%), Mod1C</w:t>
            </w:r>
          </w:p>
        </w:tc>
      </w:tr>
      <w:tr w:rsidR="00E664E4" w:rsidRPr="004D198D" w:rsidTr="003D664B">
        <w:trPr>
          <w:trHeight w:val="285"/>
          <w:jc w:val="center"/>
        </w:trPr>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6</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K</w:t>
            </w:r>
            <w:r w:rsidRPr="004D198D">
              <w:rPr>
                <w:rFonts w:ascii="Calibri" w:eastAsia="Times New Roman" w:hAnsi="Calibri" w:cs="Times New Roman"/>
                <w:color w:val="000000"/>
                <w:sz w:val="20"/>
                <w:szCs w:val="20"/>
                <w:vertAlign w:val="subscript"/>
              </w:rPr>
              <w:t>Mod1C,18</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0.7</w:t>
            </w:r>
          </w:p>
        </w:tc>
        <w:tc>
          <w:tcPr>
            <w:tcW w:w="532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U</w:t>
            </w:r>
            <w:r w:rsidRPr="004D198D">
              <w:rPr>
                <w:rFonts w:ascii="Calibri" w:eastAsia="Times New Roman" w:hAnsi="Calibri" w:cs="Times New Roman"/>
                <w:color w:val="000000"/>
                <w:sz w:val="20"/>
                <w:szCs w:val="20"/>
                <w:vertAlign w:val="subscript"/>
              </w:rPr>
              <w:t>3</w:t>
            </w:r>
            <w:r w:rsidRPr="004D198D">
              <w:rPr>
                <w:rFonts w:ascii="Calibri" w:eastAsia="Times New Roman" w:hAnsi="Calibri" w:cs="Times New Roman"/>
                <w:color w:val="000000"/>
                <w:sz w:val="20"/>
                <w:szCs w:val="20"/>
              </w:rPr>
              <w:t>O</w:t>
            </w:r>
            <w:r w:rsidRPr="004D198D">
              <w:rPr>
                <w:rFonts w:ascii="Calibri" w:eastAsia="Times New Roman" w:hAnsi="Calibri" w:cs="Times New Roman"/>
                <w:color w:val="000000"/>
                <w:sz w:val="20"/>
                <w:szCs w:val="20"/>
                <w:vertAlign w:val="subscript"/>
              </w:rPr>
              <w:t>8</w:t>
            </w:r>
            <w:r w:rsidRPr="004D198D">
              <w:rPr>
                <w:rFonts w:ascii="Calibri" w:eastAsia="Times New Roman" w:hAnsi="Calibri" w:cs="Times New Roman"/>
                <w:color w:val="000000"/>
                <w:sz w:val="20"/>
                <w:szCs w:val="20"/>
              </w:rPr>
              <w:t xml:space="preserve"> Filter Fractionation Factor (</w:t>
            </w:r>
            <w:proofErr w:type="spellStart"/>
            <w:r w:rsidRPr="004D198D">
              <w:rPr>
                <w:rFonts w:ascii="Calibri" w:eastAsia="Times New Roman" w:hAnsi="Calibri" w:cs="Times New Roman"/>
                <w:color w:val="000000"/>
                <w:sz w:val="20"/>
                <w:szCs w:val="20"/>
              </w:rPr>
              <w:t>mol</w:t>
            </w:r>
            <w:proofErr w:type="spellEnd"/>
            <w:r w:rsidRPr="004D198D">
              <w:rPr>
                <w:rFonts w:ascii="Calibri" w:eastAsia="Times New Roman" w:hAnsi="Calibri" w:cs="Times New Roman"/>
                <w:color w:val="000000"/>
                <w:sz w:val="20"/>
                <w:szCs w:val="20"/>
              </w:rPr>
              <w:t>-%), Mod1C</w:t>
            </w:r>
          </w:p>
        </w:tc>
      </w:tr>
      <w:tr w:rsidR="00E664E4" w:rsidRPr="004D198D" w:rsidTr="003D664B">
        <w:trPr>
          <w:trHeight w:val="285"/>
          <w:jc w:val="center"/>
        </w:trPr>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7</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S1</w:t>
            </w:r>
            <w:r w:rsidRPr="004D198D">
              <w:rPr>
                <w:rFonts w:ascii="Calibri" w:eastAsia="Times New Roman" w:hAnsi="Calibri" w:cs="Times New Roman"/>
                <w:color w:val="000000"/>
                <w:sz w:val="20"/>
                <w:szCs w:val="20"/>
                <w:vertAlign w:val="subscript"/>
              </w:rPr>
              <w:t>Mod1D</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0.333</w:t>
            </w:r>
          </w:p>
        </w:tc>
        <w:tc>
          <w:tcPr>
            <w:tcW w:w="532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Splitter, fraction of flow from Stream 7 to Stream 9, Mod1D</w:t>
            </w:r>
          </w:p>
        </w:tc>
      </w:tr>
      <w:tr w:rsidR="00E664E4" w:rsidRPr="004D198D" w:rsidTr="003D664B">
        <w:trPr>
          <w:trHeight w:val="285"/>
          <w:jc w:val="center"/>
        </w:trPr>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8</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S2</w:t>
            </w:r>
            <w:r w:rsidRPr="004D198D">
              <w:rPr>
                <w:rFonts w:ascii="Calibri" w:eastAsia="Times New Roman" w:hAnsi="Calibri" w:cs="Times New Roman"/>
                <w:color w:val="000000"/>
                <w:sz w:val="20"/>
                <w:szCs w:val="20"/>
                <w:vertAlign w:val="subscript"/>
              </w:rPr>
              <w:t>Mod1D</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0.333</w:t>
            </w:r>
          </w:p>
        </w:tc>
        <w:tc>
          <w:tcPr>
            <w:tcW w:w="532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Splitter, fraction of flow from Stream 7 to Stream 10, Mod1D</w:t>
            </w:r>
          </w:p>
        </w:tc>
      </w:tr>
      <w:tr w:rsidR="00E664E4" w:rsidRPr="004D198D" w:rsidTr="003D664B">
        <w:trPr>
          <w:trHeight w:val="285"/>
          <w:jc w:val="center"/>
        </w:trPr>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9</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K</w:t>
            </w:r>
            <w:r w:rsidRPr="004D198D">
              <w:rPr>
                <w:rFonts w:ascii="Calibri" w:eastAsia="Times New Roman" w:hAnsi="Calibri" w:cs="Times New Roman"/>
                <w:color w:val="000000"/>
                <w:sz w:val="20"/>
                <w:szCs w:val="20"/>
                <w:vertAlign w:val="subscript"/>
              </w:rPr>
              <w:t>Mod1E,14</w:t>
            </w:r>
          </w:p>
        </w:tc>
        <w:tc>
          <w:tcPr>
            <w:tcW w:w="1140" w:type="dxa"/>
            <w:tcBorders>
              <w:top w:val="nil"/>
              <w:left w:val="nil"/>
              <w:bottom w:val="nil"/>
              <w:right w:val="nil"/>
            </w:tcBorders>
            <w:shd w:val="clear" w:color="auto" w:fill="auto"/>
            <w:noWrap/>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0.9999</w:t>
            </w:r>
          </w:p>
        </w:tc>
        <w:tc>
          <w:tcPr>
            <w:tcW w:w="532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Uranyl Nitrate Filter Fractionation Factor (</w:t>
            </w:r>
            <w:proofErr w:type="spellStart"/>
            <w:r w:rsidRPr="004D198D">
              <w:rPr>
                <w:rFonts w:ascii="Calibri" w:eastAsia="Times New Roman" w:hAnsi="Calibri" w:cs="Times New Roman"/>
                <w:color w:val="000000"/>
                <w:sz w:val="20"/>
                <w:szCs w:val="20"/>
              </w:rPr>
              <w:t>mol</w:t>
            </w:r>
            <w:proofErr w:type="spellEnd"/>
            <w:r w:rsidRPr="004D198D">
              <w:rPr>
                <w:rFonts w:ascii="Calibri" w:eastAsia="Times New Roman" w:hAnsi="Calibri" w:cs="Times New Roman"/>
                <w:color w:val="000000"/>
                <w:sz w:val="20"/>
                <w:szCs w:val="20"/>
              </w:rPr>
              <w:t>-%), Mod1E</w:t>
            </w:r>
          </w:p>
        </w:tc>
      </w:tr>
      <w:tr w:rsidR="00E664E4" w:rsidRPr="004D198D" w:rsidTr="003D664B">
        <w:trPr>
          <w:trHeight w:val="285"/>
          <w:jc w:val="center"/>
        </w:trPr>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10</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K</w:t>
            </w:r>
            <w:r w:rsidRPr="004D198D">
              <w:rPr>
                <w:rFonts w:ascii="Calibri" w:eastAsia="Times New Roman" w:hAnsi="Calibri" w:cs="Times New Roman"/>
                <w:color w:val="000000"/>
                <w:sz w:val="20"/>
                <w:szCs w:val="20"/>
                <w:vertAlign w:val="subscript"/>
              </w:rPr>
              <w:t>Mod1E,18</w:t>
            </w:r>
          </w:p>
        </w:tc>
        <w:tc>
          <w:tcPr>
            <w:tcW w:w="1140" w:type="dxa"/>
            <w:tcBorders>
              <w:top w:val="nil"/>
              <w:left w:val="nil"/>
              <w:bottom w:val="nil"/>
              <w:right w:val="nil"/>
            </w:tcBorders>
            <w:shd w:val="clear" w:color="auto" w:fill="auto"/>
            <w:noWrap/>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0.9999</w:t>
            </w:r>
          </w:p>
        </w:tc>
        <w:tc>
          <w:tcPr>
            <w:tcW w:w="532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U</w:t>
            </w:r>
            <w:r w:rsidRPr="004D198D">
              <w:rPr>
                <w:rFonts w:ascii="Calibri" w:eastAsia="Times New Roman" w:hAnsi="Calibri" w:cs="Times New Roman"/>
                <w:color w:val="000000"/>
                <w:sz w:val="20"/>
                <w:szCs w:val="20"/>
                <w:vertAlign w:val="subscript"/>
              </w:rPr>
              <w:t>3</w:t>
            </w:r>
            <w:r w:rsidRPr="004D198D">
              <w:rPr>
                <w:rFonts w:ascii="Calibri" w:eastAsia="Times New Roman" w:hAnsi="Calibri" w:cs="Times New Roman"/>
                <w:color w:val="000000"/>
                <w:sz w:val="20"/>
                <w:szCs w:val="20"/>
              </w:rPr>
              <w:t>O</w:t>
            </w:r>
            <w:r w:rsidRPr="004D198D">
              <w:rPr>
                <w:rFonts w:ascii="Calibri" w:eastAsia="Times New Roman" w:hAnsi="Calibri" w:cs="Times New Roman"/>
                <w:color w:val="000000"/>
                <w:sz w:val="20"/>
                <w:szCs w:val="20"/>
                <w:vertAlign w:val="subscript"/>
              </w:rPr>
              <w:t>8</w:t>
            </w:r>
            <w:r w:rsidRPr="004D198D">
              <w:rPr>
                <w:rFonts w:ascii="Calibri" w:eastAsia="Times New Roman" w:hAnsi="Calibri" w:cs="Times New Roman"/>
                <w:color w:val="000000"/>
                <w:sz w:val="20"/>
                <w:szCs w:val="20"/>
              </w:rPr>
              <w:t xml:space="preserve"> Filter Fractionation Factor (</w:t>
            </w:r>
            <w:proofErr w:type="spellStart"/>
            <w:r w:rsidRPr="004D198D">
              <w:rPr>
                <w:rFonts w:ascii="Calibri" w:eastAsia="Times New Roman" w:hAnsi="Calibri" w:cs="Times New Roman"/>
                <w:color w:val="000000"/>
                <w:sz w:val="20"/>
                <w:szCs w:val="20"/>
              </w:rPr>
              <w:t>mol</w:t>
            </w:r>
            <w:proofErr w:type="spellEnd"/>
            <w:r w:rsidRPr="004D198D">
              <w:rPr>
                <w:rFonts w:ascii="Calibri" w:eastAsia="Times New Roman" w:hAnsi="Calibri" w:cs="Times New Roman"/>
                <w:color w:val="000000"/>
                <w:sz w:val="20"/>
                <w:szCs w:val="20"/>
              </w:rPr>
              <w:t>-%), Mod1E</w:t>
            </w:r>
          </w:p>
        </w:tc>
      </w:tr>
      <w:tr w:rsidR="00E664E4" w:rsidRPr="004D198D" w:rsidTr="003D664B">
        <w:trPr>
          <w:trHeight w:val="285"/>
          <w:jc w:val="center"/>
        </w:trPr>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11</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K</w:t>
            </w:r>
            <w:r w:rsidRPr="004D198D">
              <w:rPr>
                <w:rFonts w:ascii="Calibri" w:eastAsia="Times New Roman" w:hAnsi="Calibri" w:cs="Times New Roman"/>
                <w:color w:val="000000"/>
                <w:sz w:val="20"/>
                <w:szCs w:val="20"/>
                <w:vertAlign w:val="subscript"/>
              </w:rPr>
              <w:t>Mod2B,14</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0.995</w:t>
            </w:r>
          </w:p>
        </w:tc>
        <w:tc>
          <w:tcPr>
            <w:tcW w:w="532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Uranyl Nitrate Filter Fractionation Factor (</w:t>
            </w:r>
            <w:proofErr w:type="spellStart"/>
            <w:r w:rsidRPr="004D198D">
              <w:rPr>
                <w:rFonts w:ascii="Calibri" w:eastAsia="Times New Roman" w:hAnsi="Calibri" w:cs="Times New Roman"/>
                <w:color w:val="000000"/>
                <w:sz w:val="20"/>
                <w:szCs w:val="20"/>
              </w:rPr>
              <w:t>mol</w:t>
            </w:r>
            <w:proofErr w:type="spellEnd"/>
            <w:r w:rsidRPr="004D198D">
              <w:rPr>
                <w:rFonts w:ascii="Calibri" w:eastAsia="Times New Roman" w:hAnsi="Calibri" w:cs="Times New Roman"/>
                <w:color w:val="000000"/>
                <w:sz w:val="20"/>
                <w:szCs w:val="20"/>
              </w:rPr>
              <w:t>-%), Mod2B</w:t>
            </w:r>
          </w:p>
        </w:tc>
      </w:tr>
      <w:tr w:rsidR="00E664E4" w:rsidRPr="004D198D" w:rsidTr="003D664B">
        <w:trPr>
          <w:trHeight w:val="285"/>
          <w:jc w:val="center"/>
        </w:trPr>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12</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K</w:t>
            </w:r>
            <w:r w:rsidRPr="004D198D">
              <w:rPr>
                <w:rFonts w:ascii="Calibri" w:eastAsia="Times New Roman" w:hAnsi="Calibri" w:cs="Times New Roman"/>
                <w:color w:val="000000"/>
                <w:sz w:val="20"/>
                <w:szCs w:val="20"/>
                <w:vertAlign w:val="subscript"/>
              </w:rPr>
              <w:t>Mod2C,14</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0.999</w:t>
            </w:r>
          </w:p>
        </w:tc>
        <w:tc>
          <w:tcPr>
            <w:tcW w:w="532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Uranyl Nitrate Filter Fractionation Factor (</w:t>
            </w:r>
            <w:proofErr w:type="spellStart"/>
            <w:r w:rsidRPr="004D198D">
              <w:rPr>
                <w:rFonts w:ascii="Calibri" w:eastAsia="Times New Roman" w:hAnsi="Calibri" w:cs="Times New Roman"/>
                <w:color w:val="000000"/>
                <w:sz w:val="20"/>
                <w:szCs w:val="20"/>
              </w:rPr>
              <w:t>mol</w:t>
            </w:r>
            <w:proofErr w:type="spellEnd"/>
            <w:r w:rsidRPr="004D198D">
              <w:rPr>
                <w:rFonts w:ascii="Calibri" w:eastAsia="Times New Roman" w:hAnsi="Calibri" w:cs="Times New Roman"/>
                <w:color w:val="000000"/>
                <w:sz w:val="20"/>
                <w:szCs w:val="20"/>
              </w:rPr>
              <w:t>-%), Mod2C</w:t>
            </w:r>
          </w:p>
        </w:tc>
      </w:tr>
      <w:tr w:rsidR="00E664E4" w:rsidRPr="004D198D" w:rsidTr="003D664B">
        <w:trPr>
          <w:trHeight w:val="285"/>
          <w:jc w:val="center"/>
        </w:trPr>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13</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K</w:t>
            </w:r>
            <w:r w:rsidRPr="004D198D">
              <w:rPr>
                <w:rFonts w:ascii="Calibri" w:eastAsia="Times New Roman" w:hAnsi="Calibri" w:cs="Times New Roman"/>
                <w:color w:val="000000"/>
                <w:sz w:val="20"/>
                <w:szCs w:val="20"/>
                <w:vertAlign w:val="subscript"/>
              </w:rPr>
              <w:t>Mod2D,14</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0.999</w:t>
            </w:r>
          </w:p>
        </w:tc>
        <w:tc>
          <w:tcPr>
            <w:tcW w:w="532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Uranyl Nitrate Filter Fractionation Factor (</w:t>
            </w:r>
            <w:proofErr w:type="spellStart"/>
            <w:r w:rsidRPr="004D198D">
              <w:rPr>
                <w:rFonts w:ascii="Calibri" w:eastAsia="Times New Roman" w:hAnsi="Calibri" w:cs="Times New Roman"/>
                <w:color w:val="000000"/>
                <w:sz w:val="20"/>
                <w:szCs w:val="20"/>
              </w:rPr>
              <w:t>mol</w:t>
            </w:r>
            <w:proofErr w:type="spellEnd"/>
            <w:r w:rsidRPr="004D198D">
              <w:rPr>
                <w:rFonts w:ascii="Calibri" w:eastAsia="Times New Roman" w:hAnsi="Calibri" w:cs="Times New Roman"/>
                <w:color w:val="000000"/>
                <w:sz w:val="20"/>
                <w:szCs w:val="20"/>
              </w:rPr>
              <w:t>-%), Mod2D</w:t>
            </w:r>
          </w:p>
        </w:tc>
      </w:tr>
      <w:tr w:rsidR="00E664E4" w:rsidRPr="004D198D" w:rsidTr="003D664B">
        <w:trPr>
          <w:trHeight w:val="285"/>
          <w:jc w:val="center"/>
        </w:trPr>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14</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K</w:t>
            </w:r>
            <w:r w:rsidRPr="004D198D">
              <w:rPr>
                <w:rFonts w:ascii="Calibri" w:eastAsia="Times New Roman" w:hAnsi="Calibri" w:cs="Times New Roman"/>
                <w:color w:val="000000"/>
                <w:sz w:val="20"/>
                <w:szCs w:val="20"/>
                <w:vertAlign w:val="subscript"/>
              </w:rPr>
              <w:t>Mod3A,14</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0.0001</w:t>
            </w:r>
          </w:p>
        </w:tc>
        <w:tc>
          <w:tcPr>
            <w:tcW w:w="532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Uranyl Nitrate Filter Fractionation Factor (</w:t>
            </w:r>
            <w:proofErr w:type="spellStart"/>
            <w:r w:rsidRPr="004D198D">
              <w:rPr>
                <w:rFonts w:ascii="Calibri" w:eastAsia="Times New Roman" w:hAnsi="Calibri" w:cs="Times New Roman"/>
                <w:color w:val="000000"/>
                <w:sz w:val="20"/>
                <w:szCs w:val="20"/>
              </w:rPr>
              <w:t>mol</w:t>
            </w:r>
            <w:proofErr w:type="spellEnd"/>
            <w:r w:rsidRPr="004D198D">
              <w:rPr>
                <w:rFonts w:ascii="Calibri" w:eastAsia="Times New Roman" w:hAnsi="Calibri" w:cs="Times New Roman"/>
                <w:color w:val="000000"/>
                <w:sz w:val="20"/>
                <w:szCs w:val="20"/>
              </w:rPr>
              <w:t>-%), Mod3A</w:t>
            </w:r>
          </w:p>
        </w:tc>
      </w:tr>
      <w:tr w:rsidR="00E664E4" w:rsidRPr="004D198D" w:rsidTr="003D664B">
        <w:trPr>
          <w:trHeight w:val="510"/>
          <w:jc w:val="center"/>
        </w:trPr>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15</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X</w:t>
            </w:r>
            <w:r w:rsidRPr="004D198D">
              <w:rPr>
                <w:rFonts w:ascii="Calibri" w:eastAsia="Times New Roman" w:hAnsi="Calibri" w:cs="Times New Roman"/>
                <w:color w:val="000000"/>
                <w:sz w:val="20"/>
                <w:szCs w:val="20"/>
                <w:vertAlign w:val="subscript"/>
              </w:rPr>
              <w:t>Mod3C</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0.9999</w:t>
            </w:r>
          </w:p>
        </w:tc>
        <w:tc>
          <w:tcPr>
            <w:tcW w:w="532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Extent of Reaction (moles uranyl nitrate reacted/moles uranyl nitrate fed), Mod3C</w:t>
            </w:r>
          </w:p>
        </w:tc>
      </w:tr>
      <w:tr w:rsidR="00E664E4" w:rsidRPr="004D198D" w:rsidTr="003D664B">
        <w:trPr>
          <w:trHeight w:val="285"/>
          <w:jc w:val="center"/>
        </w:trPr>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16</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K</w:t>
            </w:r>
            <w:r w:rsidRPr="004D198D">
              <w:rPr>
                <w:rFonts w:ascii="Calibri" w:eastAsia="Times New Roman" w:hAnsi="Calibri" w:cs="Times New Roman"/>
                <w:color w:val="000000"/>
                <w:sz w:val="20"/>
                <w:szCs w:val="20"/>
                <w:vertAlign w:val="subscript"/>
              </w:rPr>
              <w:t>Mod3D,19</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0.995</w:t>
            </w:r>
          </w:p>
        </w:tc>
        <w:tc>
          <w:tcPr>
            <w:tcW w:w="532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AUC Filter Fractionation Factor (</w:t>
            </w:r>
            <w:proofErr w:type="spellStart"/>
            <w:r w:rsidRPr="004D198D">
              <w:rPr>
                <w:rFonts w:ascii="Calibri" w:eastAsia="Times New Roman" w:hAnsi="Calibri" w:cs="Times New Roman"/>
                <w:color w:val="000000"/>
                <w:sz w:val="20"/>
                <w:szCs w:val="20"/>
              </w:rPr>
              <w:t>mol</w:t>
            </w:r>
            <w:proofErr w:type="spellEnd"/>
            <w:r w:rsidRPr="004D198D">
              <w:rPr>
                <w:rFonts w:ascii="Calibri" w:eastAsia="Times New Roman" w:hAnsi="Calibri" w:cs="Times New Roman"/>
                <w:color w:val="000000"/>
                <w:sz w:val="20"/>
                <w:szCs w:val="20"/>
              </w:rPr>
              <w:t>-%), Mod3D</w:t>
            </w:r>
          </w:p>
        </w:tc>
      </w:tr>
      <w:tr w:rsidR="00E664E4" w:rsidRPr="004D198D" w:rsidTr="003D664B">
        <w:trPr>
          <w:trHeight w:val="285"/>
          <w:jc w:val="center"/>
        </w:trPr>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17</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X</w:t>
            </w:r>
            <w:r w:rsidRPr="004D198D">
              <w:rPr>
                <w:rFonts w:ascii="Calibri" w:eastAsia="Times New Roman" w:hAnsi="Calibri" w:cs="Times New Roman"/>
                <w:color w:val="000000"/>
                <w:sz w:val="20"/>
                <w:szCs w:val="20"/>
                <w:vertAlign w:val="subscript"/>
              </w:rPr>
              <w:t>Mod4B</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0.9999</w:t>
            </w:r>
          </w:p>
        </w:tc>
        <w:tc>
          <w:tcPr>
            <w:tcW w:w="532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Extent of reaction (moles AUC reacted/moles AUC fed), Mod4B</w:t>
            </w:r>
          </w:p>
        </w:tc>
      </w:tr>
      <w:tr w:rsidR="00E664E4" w:rsidRPr="004D198D" w:rsidTr="003D664B">
        <w:trPr>
          <w:trHeight w:val="510"/>
          <w:jc w:val="center"/>
        </w:trPr>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18</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Symbol" w:eastAsia="Times New Roman" w:hAnsi="Symbol" w:cs="Times New Roman"/>
                <w:color w:val="000000"/>
                <w:sz w:val="20"/>
                <w:szCs w:val="20"/>
              </w:rPr>
              <w:t></w:t>
            </w:r>
            <w:r w:rsidRPr="004D198D">
              <w:rPr>
                <w:rFonts w:ascii="Calibri" w:eastAsia="Times New Roman" w:hAnsi="Calibri" w:cs="Times New Roman"/>
                <w:color w:val="000000"/>
                <w:sz w:val="20"/>
                <w:szCs w:val="20"/>
                <w:vertAlign w:val="subscript"/>
              </w:rPr>
              <w:t>Mod4D</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0.95</w:t>
            </w:r>
          </w:p>
        </w:tc>
        <w:tc>
          <w:tcPr>
            <w:tcW w:w="532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Flow parameter that insures sufficient HF is fed for conversion, Mod4D</w:t>
            </w:r>
          </w:p>
        </w:tc>
      </w:tr>
      <w:tr w:rsidR="00E664E4" w:rsidRPr="004D198D" w:rsidTr="003D664B">
        <w:trPr>
          <w:trHeight w:val="285"/>
          <w:jc w:val="center"/>
        </w:trPr>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19</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X</w:t>
            </w:r>
            <w:r w:rsidRPr="004D198D">
              <w:rPr>
                <w:rFonts w:ascii="Calibri" w:eastAsia="Times New Roman" w:hAnsi="Calibri" w:cs="Times New Roman"/>
                <w:color w:val="000000"/>
                <w:sz w:val="20"/>
                <w:szCs w:val="20"/>
                <w:vertAlign w:val="subscript"/>
              </w:rPr>
              <w:t>Mod4E</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0.9999</w:t>
            </w:r>
          </w:p>
        </w:tc>
        <w:tc>
          <w:tcPr>
            <w:tcW w:w="532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Extent of reaction (moles HF reacted/moles HF fed), Mod4E</w:t>
            </w:r>
          </w:p>
        </w:tc>
      </w:tr>
      <w:tr w:rsidR="00E664E4" w:rsidRPr="004D198D" w:rsidTr="003D664B">
        <w:trPr>
          <w:trHeight w:val="300"/>
          <w:jc w:val="center"/>
        </w:trPr>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20</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K</w:t>
            </w:r>
            <w:r w:rsidRPr="004D198D">
              <w:rPr>
                <w:rFonts w:ascii="Calibri" w:eastAsia="Times New Roman" w:hAnsi="Calibri" w:cs="Times New Roman"/>
                <w:color w:val="000000"/>
                <w:sz w:val="20"/>
                <w:szCs w:val="20"/>
                <w:vertAlign w:val="subscript"/>
              </w:rPr>
              <w:t>Mod4F,16</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1 × 10</w:t>
            </w:r>
            <w:r w:rsidRPr="004D198D">
              <w:rPr>
                <w:rFonts w:ascii="Calibri" w:eastAsia="Times New Roman" w:hAnsi="Calibri" w:cs="Times New Roman"/>
                <w:color w:val="000000"/>
                <w:sz w:val="20"/>
                <w:szCs w:val="20"/>
                <w:vertAlign w:val="superscript"/>
              </w:rPr>
              <w:t>-5</w:t>
            </w:r>
          </w:p>
        </w:tc>
        <w:tc>
          <w:tcPr>
            <w:tcW w:w="532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UF</w:t>
            </w:r>
            <w:r w:rsidRPr="004D198D">
              <w:rPr>
                <w:rFonts w:ascii="Calibri" w:eastAsia="Times New Roman" w:hAnsi="Calibri" w:cs="Times New Roman"/>
                <w:color w:val="000000"/>
                <w:sz w:val="20"/>
                <w:szCs w:val="20"/>
                <w:vertAlign w:val="subscript"/>
              </w:rPr>
              <w:t>4</w:t>
            </w:r>
            <w:r w:rsidRPr="004D198D">
              <w:rPr>
                <w:rFonts w:ascii="Calibri" w:eastAsia="Times New Roman" w:hAnsi="Calibri" w:cs="Times New Roman"/>
                <w:color w:val="000000"/>
                <w:sz w:val="20"/>
                <w:szCs w:val="20"/>
              </w:rPr>
              <w:t xml:space="preserve"> Filter Fractionation Factor (</w:t>
            </w:r>
            <w:proofErr w:type="spellStart"/>
            <w:r w:rsidRPr="004D198D">
              <w:rPr>
                <w:rFonts w:ascii="Calibri" w:eastAsia="Times New Roman" w:hAnsi="Calibri" w:cs="Times New Roman"/>
                <w:color w:val="000000"/>
                <w:sz w:val="20"/>
                <w:szCs w:val="20"/>
              </w:rPr>
              <w:t>mol</w:t>
            </w:r>
            <w:proofErr w:type="spellEnd"/>
            <w:r w:rsidRPr="004D198D">
              <w:rPr>
                <w:rFonts w:ascii="Calibri" w:eastAsia="Times New Roman" w:hAnsi="Calibri" w:cs="Times New Roman"/>
                <w:color w:val="000000"/>
                <w:sz w:val="20"/>
                <w:szCs w:val="20"/>
              </w:rPr>
              <w:t>-%), Mod4F</w:t>
            </w:r>
          </w:p>
        </w:tc>
      </w:tr>
      <w:tr w:rsidR="00E664E4" w:rsidRPr="004D198D" w:rsidTr="003D664B">
        <w:trPr>
          <w:trHeight w:val="285"/>
          <w:jc w:val="center"/>
        </w:trPr>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21</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K</w:t>
            </w:r>
            <w:r w:rsidRPr="004D198D">
              <w:rPr>
                <w:rFonts w:ascii="Calibri" w:eastAsia="Times New Roman" w:hAnsi="Calibri" w:cs="Times New Roman"/>
                <w:color w:val="000000"/>
                <w:sz w:val="20"/>
                <w:szCs w:val="20"/>
                <w:vertAlign w:val="subscript"/>
              </w:rPr>
              <w:t>Mod4F,17</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0.001</w:t>
            </w:r>
          </w:p>
        </w:tc>
        <w:tc>
          <w:tcPr>
            <w:tcW w:w="532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UO</w:t>
            </w:r>
            <w:r w:rsidRPr="004D198D">
              <w:rPr>
                <w:rFonts w:ascii="Calibri" w:eastAsia="Times New Roman" w:hAnsi="Calibri" w:cs="Times New Roman"/>
                <w:color w:val="000000"/>
                <w:sz w:val="20"/>
                <w:szCs w:val="20"/>
                <w:vertAlign w:val="subscript"/>
              </w:rPr>
              <w:t>2</w:t>
            </w:r>
            <w:r w:rsidRPr="004D198D">
              <w:rPr>
                <w:rFonts w:ascii="Calibri" w:eastAsia="Times New Roman" w:hAnsi="Calibri" w:cs="Times New Roman"/>
                <w:color w:val="000000"/>
                <w:sz w:val="20"/>
                <w:szCs w:val="20"/>
              </w:rPr>
              <w:t xml:space="preserve"> Filter Fractionation Factor (</w:t>
            </w:r>
            <w:proofErr w:type="spellStart"/>
            <w:r w:rsidRPr="004D198D">
              <w:rPr>
                <w:rFonts w:ascii="Calibri" w:eastAsia="Times New Roman" w:hAnsi="Calibri" w:cs="Times New Roman"/>
                <w:color w:val="000000"/>
                <w:sz w:val="20"/>
                <w:szCs w:val="20"/>
              </w:rPr>
              <w:t>mol</w:t>
            </w:r>
            <w:proofErr w:type="spellEnd"/>
            <w:r w:rsidRPr="004D198D">
              <w:rPr>
                <w:rFonts w:ascii="Calibri" w:eastAsia="Times New Roman" w:hAnsi="Calibri" w:cs="Times New Roman"/>
                <w:color w:val="000000"/>
                <w:sz w:val="20"/>
                <w:szCs w:val="20"/>
              </w:rPr>
              <w:t>-%), Mod4F</w:t>
            </w:r>
          </w:p>
        </w:tc>
      </w:tr>
      <w:tr w:rsidR="00E664E4" w:rsidRPr="004D198D" w:rsidTr="003D664B">
        <w:trPr>
          <w:trHeight w:val="285"/>
          <w:jc w:val="center"/>
        </w:trPr>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22</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K</w:t>
            </w:r>
            <w:r w:rsidRPr="004D198D">
              <w:rPr>
                <w:rFonts w:ascii="Calibri" w:eastAsia="Times New Roman" w:hAnsi="Calibri" w:cs="Times New Roman"/>
                <w:color w:val="000000"/>
                <w:sz w:val="20"/>
                <w:szCs w:val="20"/>
                <w:vertAlign w:val="subscript"/>
              </w:rPr>
              <w:t>Mod4F,19</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1</w:t>
            </w:r>
          </w:p>
        </w:tc>
        <w:tc>
          <w:tcPr>
            <w:tcW w:w="532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AUC Filter Fractionation Factor (</w:t>
            </w:r>
            <w:proofErr w:type="spellStart"/>
            <w:r w:rsidRPr="004D198D">
              <w:rPr>
                <w:rFonts w:ascii="Calibri" w:eastAsia="Times New Roman" w:hAnsi="Calibri" w:cs="Times New Roman"/>
                <w:color w:val="000000"/>
                <w:sz w:val="20"/>
                <w:szCs w:val="20"/>
              </w:rPr>
              <w:t>mol</w:t>
            </w:r>
            <w:proofErr w:type="spellEnd"/>
            <w:r w:rsidRPr="004D198D">
              <w:rPr>
                <w:rFonts w:ascii="Calibri" w:eastAsia="Times New Roman" w:hAnsi="Calibri" w:cs="Times New Roman"/>
                <w:color w:val="000000"/>
                <w:sz w:val="20"/>
                <w:szCs w:val="20"/>
              </w:rPr>
              <w:t>-%), Mod4F</w:t>
            </w:r>
          </w:p>
        </w:tc>
      </w:tr>
      <w:tr w:rsidR="00E664E4" w:rsidRPr="004D198D" w:rsidTr="003D664B">
        <w:trPr>
          <w:trHeight w:val="285"/>
          <w:jc w:val="center"/>
        </w:trPr>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23</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S</w:t>
            </w:r>
            <w:r w:rsidRPr="004D198D">
              <w:rPr>
                <w:rFonts w:ascii="Calibri" w:eastAsia="Times New Roman" w:hAnsi="Calibri" w:cs="Times New Roman"/>
                <w:color w:val="000000"/>
                <w:sz w:val="20"/>
                <w:szCs w:val="20"/>
                <w:vertAlign w:val="subscript"/>
              </w:rPr>
              <w:t>Mod5A</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1.1</w:t>
            </w:r>
          </w:p>
        </w:tc>
        <w:tc>
          <w:tcPr>
            <w:tcW w:w="532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Splitter, fraction of flow from Stream 44 to Stream 45, Mod5A</w:t>
            </w:r>
          </w:p>
        </w:tc>
      </w:tr>
      <w:tr w:rsidR="00E664E4" w:rsidRPr="004D198D" w:rsidTr="003D664B">
        <w:trPr>
          <w:trHeight w:val="285"/>
          <w:jc w:val="center"/>
        </w:trPr>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24</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X</w:t>
            </w:r>
            <w:r w:rsidRPr="004D198D">
              <w:rPr>
                <w:rFonts w:ascii="Calibri" w:eastAsia="Times New Roman" w:hAnsi="Calibri" w:cs="Times New Roman"/>
                <w:color w:val="000000"/>
                <w:sz w:val="20"/>
                <w:szCs w:val="20"/>
                <w:vertAlign w:val="subscript"/>
              </w:rPr>
              <w:t>Mod5B</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0.999</w:t>
            </w:r>
          </w:p>
        </w:tc>
        <w:tc>
          <w:tcPr>
            <w:tcW w:w="532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Extent of reaction (moles UF</w:t>
            </w:r>
            <w:r w:rsidRPr="004D198D">
              <w:rPr>
                <w:rFonts w:ascii="Calibri" w:eastAsia="Times New Roman" w:hAnsi="Calibri" w:cs="Times New Roman"/>
                <w:color w:val="000000"/>
                <w:sz w:val="20"/>
                <w:szCs w:val="20"/>
                <w:vertAlign w:val="subscript"/>
              </w:rPr>
              <w:t>4</w:t>
            </w:r>
            <w:r w:rsidRPr="004D198D">
              <w:rPr>
                <w:rFonts w:ascii="Calibri" w:eastAsia="Times New Roman" w:hAnsi="Calibri" w:cs="Times New Roman"/>
                <w:color w:val="000000"/>
                <w:sz w:val="20"/>
                <w:szCs w:val="20"/>
              </w:rPr>
              <w:t xml:space="preserve"> reacted/moles UF</w:t>
            </w:r>
            <w:r w:rsidRPr="004D198D">
              <w:rPr>
                <w:rFonts w:ascii="Calibri" w:eastAsia="Times New Roman" w:hAnsi="Calibri" w:cs="Times New Roman"/>
                <w:color w:val="000000"/>
                <w:sz w:val="20"/>
                <w:szCs w:val="20"/>
                <w:vertAlign w:val="subscript"/>
              </w:rPr>
              <w:t>4</w:t>
            </w:r>
            <w:r w:rsidRPr="004D198D">
              <w:rPr>
                <w:rFonts w:ascii="Calibri" w:eastAsia="Times New Roman" w:hAnsi="Calibri" w:cs="Times New Roman"/>
                <w:color w:val="000000"/>
                <w:sz w:val="20"/>
                <w:szCs w:val="20"/>
              </w:rPr>
              <w:t xml:space="preserve"> fed), Mod5B</w:t>
            </w:r>
          </w:p>
        </w:tc>
      </w:tr>
      <w:tr w:rsidR="00E664E4" w:rsidRPr="004D198D" w:rsidTr="003D664B">
        <w:trPr>
          <w:trHeight w:val="540"/>
          <w:jc w:val="center"/>
        </w:trPr>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25</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K1</w:t>
            </w:r>
            <w:r w:rsidRPr="004D198D">
              <w:rPr>
                <w:rFonts w:ascii="Calibri" w:eastAsia="Times New Roman" w:hAnsi="Calibri" w:cs="Times New Roman"/>
                <w:color w:val="000000"/>
                <w:sz w:val="20"/>
                <w:szCs w:val="20"/>
                <w:vertAlign w:val="subscript"/>
              </w:rPr>
              <w:t>Mod5C,16</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0.99</w:t>
            </w:r>
          </w:p>
        </w:tc>
        <w:tc>
          <w:tcPr>
            <w:tcW w:w="532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UF</w:t>
            </w:r>
            <w:r w:rsidRPr="004D198D">
              <w:rPr>
                <w:rFonts w:ascii="Calibri" w:eastAsia="Times New Roman" w:hAnsi="Calibri" w:cs="Times New Roman"/>
                <w:color w:val="000000"/>
                <w:sz w:val="20"/>
                <w:szCs w:val="20"/>
                <w:vertAlign w:val="subscript"/>
              </w:rPr>
              <w:t>4</w:t>
            </w:r>
            <w:r w:rsidRPr="004D198D">
              <w:rPr>
                <w:rFonts w:ascii="Calibri" w:eastAsia="Times New Roman" w:hAnsi="Calibri" w:cs="Times New Roman"/>
                <w:color w:val="000000"/>
                <w:sz w:val="20"/>
                <w:szCs w:val="20"/>
              </w:rPr>
              <w:t xml:space="preserve"> Mole Fraction Fractionation (</w:t>
            </w:r>
            <w:proofErr w:type="spellStart"/>
            <w:r w:rsidRPr="004D198D">
              <w:rPr>
                <w:rFonts w:ascii="Calibri" w:eastAsia="Times New Roman" w:hAnsi="Calibri" w:cs="Times New Roman"/>
                <w:color w:val="000000"/>
                <w:sz w:val="20"/>
                <w:szCs w:val="20"/>
              </w:rPr>
              <w:t>mol</w:t>
            </w:r>
            <w:proofErr w:type="spellEnd"/>
            <w:r w:rsidRPr="004D198D">
              <w:rPr>
                <w:rFonts w:ascii="Calibri" w:eastAsia="Times New Roman" w:hAnsi="Calibri" w:cs="Times New Roman"/>
                <w:color w:val="000000"/>
                <w:sz w:val="20"/>
                <w:szCs w:val="20"/>
              </w:rPr>
              <w:t>-%), Mod5C (UF</w:t>
            </w:r>
            <w:r w:rsidRPr="004D198D">
              <w:rPr>
                <w:rFonts w:ascii="Calibri" w:eastAsia="Times New Roman" w:hAnsi="Calibri" w:cs="Times New Roman"/>
                <w:color w:val="000000"/>
                <w:sz w:val="20"/>
                <w:szCs w:val="20"/>
                <w:vertAlign w:val="subscript"/>
              </w:rPr>
              <w:t>6</w:t>
            </w:r>
            <w:r w:rsidRPr="004D198D">
              <w:rPr>
                <w:rFonts w:ascii="Calibri" w:eastAsia="Times New Roman" w:hAnsi="Calibri" w:cs="Times New Roman"/>
                <w:color w:val="000000"/>
                <w:sz w:val="20"/>
                <w:szCs w:val="20"/>
              </w:rPr>
              <w:t>-UF</w:t>
            </w:r>
            <w:r w:rsidRPr="004D198D">
              <w:rPr>
                <w:rFonts w:ascii="Calibri" w:eastAsia="Times New Roman" w:hAnsi="Calibri" w:cs="Times New Roman"/>
                <w:color w:val="000000"/>
                <w:sz w:val="20"/>
                <w:szCs w:val="20"/>
                <w:vertAlign w:val="subscript"/>
              </w:rPr>
              <w:t>4</w:t>
            </w:r>
            <w:r w:rsidRPr="004D198D">
              <w:rPr>
                <w:rFonts w:ascii="Calibri" w:eastAsia="Times New Roman" w:hAnsi="Calibri" w:cs="Times New Roman"/>
                <w:color w:val="000000"/>
                <w:sz w:val="20"/>
                <w:szCs w:val="20"/>
              </w:rPr>
              <w:t xml:space="preserve"> Separator)</w:t>
            </w:r>
          </w:p>
        </w:tc>
      </w:tr>
      <w:tr w:rsidR="00E664E4" w:rsidRPr="004D198D" w:rsidTr="003D664B">
        <w:trPr>
          <w:trHeight w:val="540"/>
          <w:jc w:val="center"/>
        </w:trPr>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26</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K1</w:t>
            </w:r>
            <w:r w:rsidRPr="004D198D">
              <w:rPr>
                <w:rFonts w:ascii="Calibri" w:eastAsia="Times New Roman" w:hAnsi="Calibri" w:cs="Times New Roman"/>
                <w:color w:val="000000"/>
                <w:sz w:val="20"/>
                <w:szCs w:val="20"/>
                <w:vertAlign w:val="subscript"/>
              </w:rPr>
              <w:t>Mod5C,17</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1</w:t>
            </w:r>
          </w:p>
        </w:tc>
        <w:tc>
          <w:tcPr>
            <w:tcW w:w="532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UO</w:t>
            </w:r>
            <w:r w:rsidRPr="004D198D">
              <w:rPr>
                <w:rFonts w:ascii="Calibri" w:eastAsia="Times New Roman" w:hAnsi="Calibri" w:cs="Times New Roman"/>
                <w:color w:val="000000"/>
                <w:sz w:val="20"/>
                <w:szCs w:val="20"/>
                <w:vertAlign w:val="subscript"/>
              </w:rPr>
              <w:t>2</w:t>
            </w:r>
            <w:r w:rsidRPr="004D198D">
              <w:rPr>
                <w:rFonts w:ascii="Calibri" w:eastAsia="Times New Roman" w:hAnsi="Calibri" w:cs="Times New Roman"/>
                <w:color w:val="000000"/>
                <w:sz w:val="20"/>
                <w:szCs w:val="20"/>
              </w:rPr>
              <w:t xml:space="preserve"> Mole Fraction Fractionation (</w:t>
            </w:r>
            <w:proofErr w:type="spellStart"/>
            <w:r w:rsidRPr="004D198D">
              <w:rPr>
                <w:rFonts w:ascii="Calibri" w:eastAsia="Times New Roman" w:hAnsi="Calibri" w:cs="Times New Roman"/>
                <w:color w:val="000000"/>
                <w:sz w:val="20"/>
                <w:szCs w:val="20"/>
              </w:rPr>
              <w:t>mol</w:t>
            </w:r>
            <w:proofErr w:type="spellEnd"/>
            <w:r w:rsidRPr="004D198D">
              <w:rPr>
                <w:rFonts w:ascii="Calibri" w:eastAsia="Times New Roman" w:hAnsi="Calibri" w:cs="Times New Roman"/>
                <w:color w:val="000000"/>
                <w:sz w:val="20"/>
                <w:szCs w:val="20"/>
              </w:rPr>
              <w:t>-%), Mod5C (UF</w:t>
            </w:r>
            <w:r w:rsidRPr="004D198D">
              <w:rPr>
                <w:rFonts w:ascii="Calibri" w:eastAsia="Times New Roman" w:hAnsi="Calibri" w:cs="Times New Roman"/>
                <w:color w:val="000000"/>
                <w:sz w:val="20"/>
                <w:szCs w:val="20"/>
                <w:vertAlign w:val="subscript"/>
              </w:rPr>
              <w:t>6</w:t>
            </w:r>
            <w:r w:rsidRPr="004D198D">
              <w:rPr>
                <w:rFonts w:ascii="Calibri" w:eastAsia="Times New Roman" w:hAnsi="Calibri" w:cs="Times New Roman"/>
                <w:color w:val="000000"/>
                <w:sz w:val="20"/>
                <w:szCs w:val="20"/>
              </w:rPr>
              <w:t>-UF</w:t>
            </w:r>
            <w:r w:rsidRPr="004D198D">
              <w:rPr>
                <w:rFonts w:ascii="Calibri" w:eastAsia="Times New Roman" w:hAnsi="Calibri" w:cs="Times New Roman"/>
                <w:color w:val="000000"/>
                <w:sz w:val="20"/>
                <w:szCs w:val="20"/>
                <w:vertAlign w:val="subscript"/>
              </w:rPr>
              <w:t>4</w:t>
            </w:r>
            <w:r w:rsidRPr="004D198D">
              <w:rPr>
                <w:rFonts w:ascii="Calibri" w:eastAsia="Times New Roman" w:hAnsi="Calibri" w:cs="Times New Roman"/>
                <w:color w:val="000000"/>
                <w:sz w:val="20"/>
                <w:szCs w:val="20"/>
              </w:rPr>
              <w:t xml:space="preserve"> Separator)</w:t>
            </w:r>
          </w:p>
        </w:tc>
      </w:tr>
      <w:tr w:rsidR="00E664E4" w:rsidRPr="004D198D" w:rsidTr="003D664B">
        <w:trPr>
          <w:trHeight w:val="285"/>
          <w:jc w:val="center"/>
        </w:trPr>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27</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K2</w:t>
            </w:r>
            <w:r w:rsidRPr="004D198D">
              <w:rPr>
                <w:rFonts w:ascii="Calibri" w:eastAsia="Times New Roman" w:hAnsi="Calibri" w:cs="Times New Roman"/>
                <w:color w:val="000000"/>
                <w:sz w:val="20"/>
                <w:szCs w:val="20"/>
                <w:vertAlign w:val="subscript"/>
              </w:rPr>
              <w:t>Mod5C,15</w:t>
            </w:r>
          </w:p>
        </w:tc>
        <w:tc>
          <w:tcPr>
            <w:tcW w:w="114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0.99</w:t>
            </w:r>
          </w:p>
        </w:tc>
        <w:tc>
          <w:tcPr>
            <w:tcW w:w="5320" w:type="dxa"/>
            <w:tcBorders>
              <w:top w:val="nil"/>
              <w:left w:val="nil"/>
              <w:bottom w:val="nil"/>
              <w:right w:val="nil"/>
            </w:tcBorders>
            <w:shd w:val="clear" w:color="auto" w:fill="auto"/>
            <w:vAlign w:val="center"/>
            <w:hideMark/>
          </w:tcPr>
          <w:p w:rsidR="00E664E4" w:rsidRPr="004D198D" w:rsidRDefault="00E664E4" w:rsidP="003D664B">
            <w:pPr>
              <w:spacing w:after="0" w:line="240" w:lineRule="auto"/>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UF</w:t>
            </w:r>
            <w:r w:rsidRPr="004D198D">
              <w:rPr>
                <w:rFonts w:ascii="Calibri" w:eastAsia="Times New Roman" w:hAnsi="Calibri" w:cs="Times New Roman"/>
                <w:color w:val="000000"/>
                <w:sz w:val="20"/>
                <w:szCs w:val="20"/>
                <w:vertAlign w:val="subscript"/>
              </w:rPr>
              <w:t>6</w:t>
            </w:r>
            <w:r w:rsidRPr="004D198D">
              <w:rPr>
                <w:rFonts w:ascii="Calibri" w:eastAsia="Times New Roman" w:hAnsi="Calibri" w:cs="Times New Roman"/>
                <w:color w:val="000000"/>
                <w:sz w:val="20"/>
                <w:szCs w:val="20"/>
              </w:rPr>
              <w:t xml:space="preserve"> Mole Fraction Fractionation(</w:t>
            </w:r>
            <w:proofErr w:type="spellStart"/>
            <w:r w:rsidRPr="004D198D">
              <w:rPr>
                <w:rFonts w:ascii="Calibri" w:eastAsia="Times New Roman" w:hAnsi="Calibri" w:cs="Times New Roman"/>
                <w:color w:val="000000"/>
                <w:sz w:val="20"/>
                <w:szCs w:val="20"/>
              </w:rPr>
              <w:t>mol</w:t>
            </w:r>
            <w:proofErr w:type="spellEnd"/>
            <w:r w:rsidRPr="004D198D">
              <w:rPr>
                <w:rFonts w:ascii="Calibri" w:eastAsia="Times New Roman" w:hAnsi="Calibri" w:cs="Times New Roman"/>
                <w:color w:val="000000"/>
                <w:sz w:val="20"/>
                <w:szCs w:val="20"/>
              </w:rPr>
              <w:t>-%), Mod5C  (Separator)</w:t>
            </w:r>
          </w:p>
        </w:tc>
      </w:tr>
      <w:tr w:rsidR="00E664E4" w:rsidRPr="004D198D" w:rsidTr="003D664B">
        <w:trPr>
          <w:trHeight w:val="300"/>
          <w:jc w:val="center"/>
        </w:trPr>
        <w:tc>
          <w:tcPr>
            <w:tcW w:w="1140" w:type="dxa"/>
            <w:tcBorders>
              <w:top w:val="nil"/>
              <w:left w:val="nil"/>
              <w:bottom w:val="single" w:sz="8" w:space="0" w:color="auto"/>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28</w:t>
            </w:r>
          </w:p>
        </w:tc>
        <w:tc>
          <w:tcPr>
            <w:tcW w:w="1140" w:type="dxa"/>
            <w:tcBorders>
              <w:top w:val="nil"/>
              <w:left w:val="nil"/>
              <w:bottom w:val="single" w:sz="8" w:space="0" w:color="auto"/>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X</w:t>
            </w:r>
            <w:r w:rsidRPr="004D198D">
              <w:rPr>
                <w:rFonts w:ascii="Calibri" w:eastAsia="Times New Roman" w:hAnsi="Calibri" w:cs="Times New Roman"/>
                <w:color w:val="000000"/>
                <w:sz w:val="20"/>
                <w:szCs w:val="20"/>
                <w:vertAlign w:val="subscript"/>
              </w:rPr>
              <w:t>Mod5E</w:t>
            </w:r>
          </w:p>
        </w:tc>
        <w:tc>
          <w:tcPr>
            <w:tcW w:w="1140" w:type="dxa"/>
            <w:tcBorders>
              <w:top w:val="nil"/>
              <w:left w:val="nil"/>
              <w:bottom w:val="single" w:sz="8" w:space="0" w:color="auto"/>
              <w:right w:val="nil"/>
            </w:tcBorders>
            <w:shd w:val="clear" w:color="auto" w:fill="auto"/>
            <w:vAlign w:val="center"/>
            <w:hideMark/>
          </w:tcPr>
          <w:p w:rsidR="00E664E4" w:rsidRPr="004D198D" w:rsidRDefault="00E664E4" w:rsidP="003D664B">
            <w:pPr>
              <w:spacing w:after="0" w:line="240" w:lineRule="auto"/>
              <w:jc w:val="center"/>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0.999</w:t>
            </w:r>
          </w:p>
        </w:tc>
        <w:tc>
          <w:tcPr>
            <w:tcW w:w="5320" w:type="dxa"/>
            <w:tcBorders>
              <w:top w:val="nil"/>
              <w:left w:val="nil"/>
              <w:bottom w:val="single" w:sz="8" w:space="0" w:color="auto"/>
              <w:right w:val="nil"/>
            </w:tcBorders>
            <w:shd w:val="clear" w:color="auto" w:fill="auto"/>
            <w:vAlign w:val="center"/>
            <w:hideMark/>
          </w:tcPr>
          <w:p w:rsidR="00E664E4" w:rsidRPr="004D198D" w:rsidRDefault="00E664E4" w:rsidP="003D664B">
            <w:pPr>
              <w:spacing w:after="0" w:line="240" w:lineRule="auto"/>
              <w:rPr>
                <w:rFonts w:ascii="Calibri" w:eastAsia="Times New Roman" w:hAnsi="Calibri" w:cs="Times New Roman"/>
                <w:color w:val="000000"/>
                <w:sz w:val="20"/>
                <w:szCs w:val="20"/>
              </w:rPr>
            </w:pPr>
            <w:r w:rsidRPr="004D198D">
              <w:rPr>
                <w:rFonts w:ascii="Calibri" w:eastAsia="Times New Roman" w:hAnsi="Calibri" w:cs="Times New Roman"/>
                <w:color w:val="000000"/>
                <w:sz w:val="20"/>
                <w:szCs w:val="20"/>
              </w:rPr>
              <w:t>Extent of Reaction (moles UF</w:t>
            </w:r>
            <w:r w:rsidRPr="004D198D">
              <w:rPr>
                <w:rFonts w:ascii="Calibri" w:eastAsia="Times New Roman" w:hAnsi="Calibri" w:cs="Times New Roman"/>
                <w:color w:val="000000"/>
                <w:sz w:val="20"/>
                <w:szCs w:val="20"/>
                <w:vertAlign w:val="subscript"/>
              </w:rPr>
              <w:t>4</w:t>
            </w:r>
            <w:r w:rsidRPr="004D198D">
              <w:rPr>
                <w:rFonts w:ascii="Calibri" w:eastAsia="Times New Roman" w:hAnsi="Calibri" w:cs="Times New Roman"/>
                <w:color w:val="000000"/>
                <w:sz w:val="20"/>
                <w:szCs w:val="20"/>
              </w:rPr>
              <w:t xml:space="preserve"> reacted/moles UF</w:t>
            </w:r>
            <w:r w:rsidRPr="004D198D">
              <w:rPr>
                <w:rFonts w:ascii="Calibri" w:eastAsia="Times New Roman" w:hAnsi="Calibri" w:cs="Times New Roman"/>
                <w:color w:val="000000"/>
                <w:sz w:val="20"/>
                <w:szCs w:val="20"/>
                <w:vertAlign w:val="subscript"/>
              </w:rPr>
              <w:t>4</w:t>
            </w:r>
            <w:r w:rsidRPr="004D198D">
              <w:rPr>
                <w:rFonts w:ascii="Calibri" w:eastAsia="Times New Roman" w:hAnsi="Calibri" w:cs="Times New Roman"/>
                <w:color w:val="000000"/>
                <w:sz w:val="20"/>
                <w:szCs w:val="20"/>
              </w:rPr>
              <w:t xml:space="preserve"> fed), Mod5E</w:t>
            </w:r>
          </w:p>
        </w:tc>
      </w:tr>
    </w:tbl>
    <w:p w:rsidR="00DC329E" w:rsidRDefault="00DC329E" w:rsidP="00E664E4"/>
    <w:p w:rsidR="00DC329E" w:rsidRDefault="00DC329E">
      <w:r>
        <w:br w:type="page"/>
      </w:r>
    </w:p>
    <w:p w:rsidR="00924671" w:rsidRDefault="00E664E4" w:rsidP="00E664E4">
      <w:pPr>
        <w:rPr>
          <w:rFonts w:eastAsiaTheme="minorEastAsia"/>
        </w:rPr>
      </w:pPr>
      <w:r>
        <w:lastRenderedPageBreak/>
        <w:t>Table 4.2 is the sensitivity factor matrix for all of the modules for a 10% increase of the parameters included in the matrix. There are only a few parameters listed since many of the parameters could not be increased by 10%. Only ten of the 82 parameters tested resulted in a sensitivity factor above the threshold value for the 51 primary state variables for a 10% increase in nominal value of the parameter. All of the primary state variables (see Table 3.8) were sensitive to changes in the incoming flow rate of elemental uranium in the U</w:t>
      </w:r>
      <w:r w:rsidRPr="003E45FE">
        <w:rPr>
          <w:vertAlign w:val="subscript"/>
        </w:rPr>
        <w:t>3</w:t>
      </w:r>
      <w:r>
        <w:t>O</w:t>
      </w:r>
      <w:r w:rsidRPr="003E45FE">
        <w:rPr>
          <w:vertAlign w:val="subscript"/>
        </w:rPr>
        <w:t>8</w:t>
      </w:r>
      <w:r w:rsidR="00924671">
        <w:t xml:space="preserve"> fed to the plant</w:t>
      </w:r>
      <w:r>
        <w:t xml:space="preserve">, </w:t>
      </w:r>
      <m:oMath>
        <m:sSub>
          <m:sSubPr>
            <m:ctrlPr>
              <w:rPr>
                <w:rFonts w:ascii="Cambria Math" w:hAnsi="Cambria Math"/>
                <w:i/>
              </w:rPr>
            </m:ctrlPr>
          </m:sSubPr>
          <m:e>
            <m:r>
              <w:rPr>
                <w:rFonts w:ascii="Cambria Math" w:hAnsi="Cambria Math"/>
              </w:rPr>
              <m:t>F</m:t>
            </m:r>
          </m:e>
          <m:sub>
            <m:r>
              <w:rPr>
                <w:rFonts w:ascii="Cambria Math" w:hAnsi="Cambria Math"/>
              </w:rPr>
              <m:t>1A,U</m:t>
            </m:r>
          </m:sub>
        </m:sSub>
      </m:oMath>
      <w:r>
        <w:rPr>
          <w:rFonts w:eastAsiaTheme="minorEastAsia"/>
        </w:rPr>
        <w:t xml:space="preserve">. </w:t>
      </w:r>
      <w:r>
        <w:t>This was expected since uranium was the species of interest for this work and participated in nearly all of the reactions throughout the process.</w:t>
      </w:r>
      <w:r>
        <w:rPr>
          <w:rFonts w:eastAsiaTheme="minorEastAsia"/>
        </w:rPr>
        <w:t xml:space="preserve"> Additionally, the sensitivity factor for each of the primary state variables/incoming elemental uranium flow rate was one. This was also expected due to the stoichiometry of the reactions. For all of the reactions involving uranium, the stoichiometric coefficient for the uranium compound was one. </w:t>
      </w:r>
    </w:p>
    <w:p w:rsidR="00924671" w:rsidRDefault="00E664E4" w:rsidP="00E664E4">
      <w:pPr>
        <w:rPr>
          <w:rFonts w:eastAsiaTheme="minorEastAsia"/>
        </w:rPr>
      </w:pPr>
      <w:r>
        <w:rPr>
          <w:rFonts w:eastAsiaTheme="minorEastAsia"/>
        </w:rPr>
        <w:t xml:space="preserve">For </w:t>
      </w:r>
      <w:r w:rsidR="00924671">
        <w:rPr>
          <w:rFonts w:eastAsiaTheme="minorEastAsia"/>
        </w:rPr>
        <w:t xml:space="preserve">most of </w:t>
      </w:r>
      <w:r>
        <w:rPr>
          <w:rFonts w:eastAsiaTheme="minorEastAsia"/>
        </w:rPr>
        <w:t xml:space="preserve">the other parameters, only a few of the state variables had a sensitivity factor above the threshold. For </w:t>
      </w: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Mod1C,14</m:t>
            </m:r>
          </m:sub>
        </m:sSub>
      </m:oMath>
      <w:r>
        <w:rPr>
          <w:rFonts w:eastAsiaTheme="minorEastAsia"/>
        </w:rPr>
        <w:t xml:space="preserve"> (parameter 5) only one state variable had a sensitivity factor above the threshold. Sensitivity factor </w:t>
      </w: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40,5</m:t>
            </m:r>
          </m:sub>
        </m:sSub>
      </m:oMath>
      <w:r>
        <w:rPr>
          <w:rFonts w:eastAsiaTheme="minorEastAsia"/>
        </w:rPr>
        <w:t xml:space="preserve"> was -3.8. This state variable was the uranyl nitrate in Stream 8 which was a waste stream in Module 1. This state variable was very sensitive to changes in this parameter. The negative response was expected because inc</w:t>
      </w:r>
      <w:proofErr w:type="spellStart"/>
      <w:r>
        <w:rPr>
          <w:rFonts w:eastAsiaTheme="minorEastAsia"/>
        </w:rPr>
        <w:t>reasing</w:t>
      </w:r>
      <w:proofErr w:type="spellEnd"/>
      <w:r>
        <w:rPr>
          <w:rFonts w:eastAsiaTheme="minorEastAsia"/>
        </w:rPr>
        <w:t xml:space="preserve"> the parameter increased the amount of uranyl nitrate in Stream 7 and therefore reduced the amount of uranyl nitrate in Stream 8. The high sensitivity was also expected because Stream 7 was part of the recycle that was internal to Module 1 so that at steady state multiple recycle passes have occurred and the amount of uranyl nitrate in Stream 8 would have decreased with each recycle. </w:t>
      </w:r>
    </w:p>
    <w:p w:rsidR="00E664E4" w:rsidRDefault="00E664E4" w:rsidP="00E664E4">
      <w:pPr>
        <w:rPr>
          <w:rFonts w:eastAsiaTheme="minorEastAsia"/>
        </w:rPr>
      </w:pPr>
      <w:r>
        <w:rPr>
          <w:rFonts w:eastAsiaTheme="minorEastAsia"/>
        </w:rPr>
        <w:t xml:space="preserve">For </w:t>
      </w:r>
      <m:oMath>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Mod5A</m:t>
            </m:r>
          </m:sub>
        </m:sSub>
      </m:oMath>
      <w:r>
        <w:rPr>
          <w:rFonts w:eastAsiaTheme="minorEastAsia"/>
        </w:rPr>
        <w:t xml:space="preserve"> (parameter 23), several state variables had a sensitivity factors above the threshold. Sensitivity fa</w:t>
      </w:r>
      <w:proofErr w:type="spellStart"/>
      <w:r>
        <w:rPr>
          <w:rFonts w:eastAsiaTheme="minorEastAsia"/>
        </w:rPr>
        <w:t>ctors</w:t>
      </w:r>
      <w:proofErr w:type="spellEnd"/>
      <w:r>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221,23</m:t>
            </m:r>
          </m:sub>
        </m:sSub>
      </m:oMath>
      <w:r>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222,23</m:t>
            </m:r>
          </m:sub>
        </m:sSub>
      </m:oMath>
      <w:r>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254,23</m:t>
            </m:r>
          </m:sub>
        </m:sSub>
      </m:oMath>
      <w:r>
        <w:rPr>
          <w:rFonts w:eastAsiaTheme="minorEastAsia"/>
        </w:rPr>
        <w:t xml:space="preserve"> were one. These state variables were the UF</w:t>
      </w:r>
      <w:r w:rsidRPr="00653C7E">
        <w:rPr>
          <w:rFonts w:eastAsiaTheme="minorEastAsia"/>
          <w:vertAlign w:val="subscript"/>
        </w:rPr>
        <w:t>4</w:t>
      </w:r>
      <w:r>
        <w:rPr>
          <w:rFonts w:eastAsiaTheme="minorEastAsia"/>
        </w:rPr>
        <w:t xml:space="preserve"> and UO</w:t>
      </w:r>
      <w:r w:rsidRPr="00606B5F">
        <w:rPr>
          <w:rFonts w:eastAsiaTheme="minorEastAsia"/>
          <w:vertAlign w:val="subscript"/>
        </w:rPr>
        <w:t>2</w:t>
      </w:r>
      <w:r>
        <w:rPr>
          <w:rFonts w:eastAsiaTheme="minorEastAsia"/>
        </w:rPr>
        <w:t xml:space="preserve"> in Stream 45 and UF</w:t>
      </w:r>
      <w:r w:rsidRPr="006C67A5">
        <w:rPr>
          <w:rFonts w:eastAsiaTheme="minorEastAsia"/>
          <w:vertAlign w:val="subscript"/>
        </w:rPr>
        <w:t>4</w:t>
      </w:r>
      <w:r>
        <w:rPr>
          <w:rFonts w:eastAsiaTheme="minorEastAsia"/>
        </w:rPr>
        <w:t xml:space="preserve"> in Stream 54 which were an intermediate streams in Module 5. Stream 45 was directly related to the parameter since it was the stream directly downstream of the splitter. Stream 54 was immediately downstream of Stream 45 following the mixer that mixed Stream 45 with Stream 53. The sensitivity factors for ten of the state variables with respect to parameter 23 were -0.11. These state variables were the primary uranium components in the primary fluorination section of Module 5. The negative response was expected as well as the sensitivity factor value being the same of all of the state variables because the parameter determined the amount of Module 5 feed that was directed to the secondary fluorination process and therefore reduced the amount available for the primary fluorination process. Sensitivity factors </w:t>
      </w: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269,23</m:t>
            </m:r>
          </m:sub>
        </m:sSub>
      </m:oMath>
      <w:r>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270,23</m:t>
            </m:r>
          </m:sub>
        </m:sSub>
      </m:oMath>
      <w:r>
        <w:rPr>
          <w:rFonts w:eastAsiaTheme="minorEastAsia"/>
        </w:rPr>
        <w:t xml:space="preserve"> were one. These state variables were the UF</w:t>
      </w:r>
      <w:r w:rsidRPr="00653C7E">
        <w:rPr>
          <w:rFonts w:eastAsiaTheme="minorEastAsia"/>
          <w:vertAlign w:val="subscript"/>
        </w:rPr>
        <w:t>4</w:t>
      </w:r>
      <w:r>
        <w:rPr>
          <w:rFonts w:eastAsiaTheme="minorEastAsia"/>
        </w:rPr>
        <w:t xml:space="preserve"> and UO</w:t>
      </w:r>
      <w:r w:rsidRPr="00606B5F">
        <w:rPr>
          <w:rFonts w:eastAsiaTheme="minorEastAsia"/>
          <w:vertAlign w:val="subscript"/>
        </w:rPr>
        <w:t>2</w:t>
      </w:r>
      <w:r>
        <w:rPr>
          <w:rFonts w:eastAsiaTheme="minorEastAsia"/>
        </w:rPr>
        <w:t xml:space="preserve"> in Stream 58 which was a waste stream in Module 5. Sensitivity factors </w:t>
      </w: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259,23</m:t>
            </m:r>
          </m:sub>
        </m:sSub>
      </m:oMath>
      <w:r>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265,23</m:t>
            </m:r>
          </m:sub>
        </m:sSub>
      </m:oMath>
      <w:r>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272,23</m:t>
            </m:r>
          </m:sub>
        </m:sSub>
      </m:oMath>
      <w:r>
        <w:rPr>
          <w:rFonts w:eastAsiaTheme="minorEastAsia"/>
        </w:rPr>
        <w:t xml:space="preserve"> were 0.91. These state variables were the UF</w:t>
      </w:r>
      <w:r>
        <w:rPr>
          <w:rFonts w:eastAsiaTheme="minorEastAsia"/>
          <w:vertAlign w:val="subscript"/>
        </w:rPr>
        <w:t>6</w:t>
      </w:r>
      <w:r>
        <w:rPr>
          <w:rFonts w:eastAsiaTheme="minorEastAsia"/>
        </w:rPr>
        <w:t xml:space="preserve"> in Streams 55, 57, and 59 which were an intermediate streams in Module 5 in the secondary fluorination process. These streams were impacted by the amount of material that was directed to the secondary process as well as the amount of material that was recycled from the primary process.</w:t>
      </w:r>
    </w:p>
    <w:p w:rsidR="00DC329E" w:rsidRDefault="00DC329E">
      <w:pPr>
        <w:rPr>
          <w:rFonts w:eastAsiaTheme="minorEastAsia"/>
        </w:rPr>
      </w:pPr>
      <w:r>
        <w:rPr>
          <w:rFonts w:eastAsiaTheme="minorEastAsia"/>
        </w:rPr>
        <w:br w:type="page"/>
      </w:r>
    </w:p>
    <w:tbl>
      <w:tblPr>
        <w:tblW w:w="6660" w:type="dxa"/>
        <w:jc w:val="center"/>
        <w:tblLook w:val="04A0" w:firstRow="1" w:lastRow="0" w:firstColumn="1" w:lastColumn="0" w:noHBand="0" w:noVBand="1"/>
      </w:tblPr>
      <w:tblGrid>
        <w:gridCol w:w="720"/>
        <w:gridCol w:w="720"/>
        <w:gridCol w:w="720"/>
        <w:gridCol w:w="720"/>
        <w:gridCol w:w="720"/>
        <w:gridCol w:w="720"/>
        <w:gridCol w:w="720"/>
        <w:gridCol w:w="720"/>
        <w:gridCol w:w="720"/>
        <w:gridCol w:w="720"/>
        <w:gridCol w:w="720"/>
      </w:tblGrid>
      <w:tr w:rsidR="00424396" w:rsidRPr="00424396" w:rsidTr="00424396">
        <w:trPr>
          <w:trHeight w:val="315"/>
          <w:jc w:val="center"/>
        </w:trPr>
        <w:tc>
          <w:tcPr>
            <w:tcW w:w="720" w:type="dxa"/>
            <w:gridSpan w:val="11"/>
            <w:vMerge w:val="restart"/>
            <w:tcBorders>
              <w:top w:val="nil"/>
              <w:left w:val="nil"/>
              <w:bottom w:val="single" w:sz="8" w:space="0" w:color="000000"/>
              <w:right w:val="nil"/>
            </w:tcBorders>
            <w:shd w:val="clear" w:color="auto" w:fill="auto"/>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lastRenderedPageBreak/>
              <w:t>Table 4.2. Sensitivity Factors for the Primary State Variables for 10% Increase in Each Parameter (All Modules)</w:t>
            </w:r>
          </w:p>
        </w:tc>
      </w:tr>
      <w:tr w:rsidR="00424396" w:rsidRPr="00424396" w:rsidTr="00424396">
        <w:trPr>
          <w:trHeight w:val="315"/>
          <w:jc w:val="center"/>
        </w:trPr>
        <w:tc>
          <w:tcPr>
            <w:tcW w:w="720" w:type="dxa"/>
            <w:gridSpan w:val="11"/>
            <w:vMerge/>
            <w:tcBorders>
              <w:top w:val="nil"/>
              <w:left w:val="nil"/>
              <w:bottom w:val="single" w:sz="8" w:space="0" w:color="000000"/>
              <w:right w:val="nil"/>
            </w:tcBorders>
            <w:vAlign w:val="center"/>
            <w:hideMark/>
          </w:tcPr>
          <w:p w:rsidR="00424396" w:rsidRPr="00424396" w:rsidRDefault="00424396" w:rsidP="00424396">
            <w:pPr>
              <w:spacing w:after="0" w:line="240" w:lineRule="auto"/>
              <w:rPr>
                <w:rFonts w:ascii="Calibri" w:eastAsia="Times New Roman" w:hAnsi="Calibri" w:cs="Times New Roman"/>
                <w:b/>
                <w:bCs/>
                <w:color w:val="000000"/>
                <w:sz w:val="20"/>
                <w:szCs w:val="20"/>
              </w:rPr>
            </w:pPr>
          </w:p>
        </w:tc>
      </w:tr>
      <w:tr w:rsidR="00424396" w:rsidRPr="00424396" w:rsidTr="00424396">
        <w:trPr>
          <w:trHeight w:val="255"/>
          <w:jc w:val="center"/>
        </w:trPr>
        <w:tc>
          <w:tcPr>
            <w:tcW w:w="720" w:type="dxa"/>
            <w:tcBorders>
              <w:top w:val="nil"/>
              <w:left w:val="single" w:sz="4" w:space="0" w:color="auto"/>
              <w:bottom w:val="nil"/>
              <w:right w:val="single" w:sz="4" w:space="0" w:color="auto"/>
              <w:tl2br w:val="single" w:sz="4" w:space="0" w:color="auto"/>
            </w:tcBorders>
            <w:shd w:val="clear" w:color="auto" w:fill="auto"/>
            <w:noWrap/>
            <w:hideMark/>
          </w:tcPr>
          <w:p w:rsid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 xml:space="preserve">u        </w:t>
            </w:r>
          </w:p>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y</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4</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5</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6</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7</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8</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14</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21</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23</w:t>
            </w:r>
          </w:p>
        </w:tc>
      </w:tr>
      <w:tr w:rsidR="00424396" w:rsidRPr="00424396" w:rsidTr="00424396">
        <w:trPr>
          <w:trHeight w:val="255"/>
          <w:jc w:val="center"/>
        </w:trPr>
        <w:tc>
          <w:tcPr>
            <w:tcW w:w="720"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Module 1</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16</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40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-3.8</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0.37</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41</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-1.6</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0.45</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0.44</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64</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70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Module 2</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77</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84</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91</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92</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0.63</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0.13</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0.44</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98</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111</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117</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Module 3</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123</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128</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138</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148</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159</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163</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169</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171</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Module 4</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181</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184</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198</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207</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208</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214</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215</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217</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218</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70"/>
          <w:jc w:val="center"/>
        </w:trPr>
        <w:tc>
          <w:tcPr>
            <w:tcW w:w="720" w:type="dxa"/>
            <w:tcBorders>
              <w:top w:val="nil"/>
              <w:left w:val="single" w:sz="4" w:space="0" w:color="auto"/>
              <w:bottom w:val="single" w:sz="8"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219</w:t>
            </w:r>
          </w:p>
        </w:tc>
        <w:tc>
          <w:tcPr>
            <w:tcW w:w="720" w:type="dxa"/>
            <w:tcBorders>
              <w:top w:val="nil"/>
              <w:left w:val="nil"/>
              <w:bottom w:val="single" w:sz="8"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8"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8"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8"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8"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8"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8"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8"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8"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8"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bl>
    <w:p w:rsidR="00424396" w:rsidRDefault="00424396" w:rsidP="00E664E4"/>
    <w:p w:rsidR="00424396" w:rsidRDefault="00424396">
      <w:r>
        <w:br w:type="page"/>
      </w:r>
    </w:p>
    <w:tbl>
      <w:tblPr>
        <w:tblW w:w="6660" w:type="dxa"/>
        <w:jc w:val="center"/>
        <w:tblLook w:val="04A0" w:firstRow="1" w:lastRow="0" w:firstColumn="1" w:lastColumn="0" w:noHBand="0" w:noVBand="1"/>
      </w:tblPr>
      <w:tblGrid>
        <w:gridCol w:w="720"/>
        <w:gridCol w:w="720"/>
        <w:gridCol w:w="720"/>
        <w:gridCol w:w="720"/>
        <w:gridCol w:w="720"/>
        <w:gridCol w:w="720"/>
        <w:gridCol w:w="720"/>
        <w:gridCol w:w="720"/>
        <w:gridCol w:w="720"/>
        <w:gridCol w:w="720"/>
        <w:gridCol w:w="720"/>
      </w:tblGrid>
      <w:tr w:rsidR="00424396" w:rsidRPr="00424396" w:rsidTr="00424396">
        <w:trPr>
          <w:trHeight w:val="255"/>
          <w:jc w:val="center"/>
        </w:trPr>
        <w:tc>
          <w:tcPr>
            <w:tcW w:w="720" w:type="dxa"/>
            <w:gridSpan w:val="11"/>
            <w:vMerge w:val="restart"/>
            <w:tcBorders>
              <w:top w:val="nil"/>
              <w:left w:val="nil"/>
              <w:bottom w:val="single" w:sz="8" w:space="0" w:color="000000"/>
              <w:right w:val="nil"/>
            </w:tcBorders>
            <w:shd w:val="clear" w:color="auto" w:fill="auto"/>
            <w:vAlign w:val="center"/>
            <w:hideMark/>
          </w:tcPr>
          <w:p w:rsidR="00424396" w:rsidRPr="00424396" w:rsidRDefault="00424396" w:rsidP="00F938ED">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lastRenderedPageBreak/>
              <w:t>Table 4.2. Sensitivity Factors for the Primary State Variables for 10% Increase in Each Parameter (All Modules) (</w:t>
            </w:r>
            <w:r w:rsidR="00F938ED">
              <w:rPr>
                <w:rFonts w:ascii="Calibri" w:eastAsia="Times New Roman" w:hAnsi="Calibri" w:cs="Times New Roman"/>
                <w:b/>
                <w:bCs/>
                <w:color w:val="000000"/>
                <w:sz w:val="20"/>
                <w:szCs w:val="20"/>
              </w:rPr>
              <w:t>continued</w:t>
            </w:r>
            <w:r w:rsidRPr="00424396">
              <w:rPr>
                <w:rFonts w:ascii="Calibri" w:eastAsia="Times New Roman" w:hAnsi="Calibri" w:cs="Times New Roman"/>
                <w:b/>
                <w:bCs/>
                <w:color w:val="000000"/>
                <w:sz w:val="20"/>
                <w:szCs w:val="20"/>
              </w:rPr>
              <w:t>)</w:t>
            </w:r>
          </w:p>
        </w:tc>
      </w:tr>
      <w:tr w:rsidR="00424396" w:rsidRPr="00424396" w:rsidTr="00424396">
        <w:trPr>
          <w:trHeight w:val="270"/>
          <w:jc w:val="center"/>
        </w:trPr>
        <w:tc>
          <w:tcPr>
            <w:tcW w:w="720" w:type="dxa"/>
            <w:gridSpan w:val="11"/>
            <w:vMerge/>
            <w:tcBorders>
              <w:top w:val="nil"/>
              <w:left w:val="nil"/>
              <w:bottom w:val="single" w:sz="8" w:space="0" w:color="000000"/>
              <w:right w:val="nil"/>
            </w:tcBorders>
            <w:vAlign w:val="center"/>
            <w:hideMark/>
          </w:tcPr>
          <w:p w:rsidR="00424396" w:rsidRPr="00424396" w:rsidRDefault="00424396" w:rsidP="00424396">
            <w:pPr>
              <w:spacing w:after="0" w:line="240" w:lineRule="auto"/>
              <w:rPr>
                <w:rFonts w:ascii="Calibri" w:eastAsia="Times New Roman" w:hAnsi="Calibri" w:cs="Times New Roman"/>
                <w:b/>
                <w:bCs/>
                <w:color w:val="000000"/>
                <w:sz w:val="20"/>
                <w:szCs w:val="20"/>
              </w:rPr>
            </w:pPr>
          </w:p>
        </w:tc>
      </w:tr>
      <w:tr w:rsidR="00424396" w:rsidRPr="00424396" w:rsidTr="00424396">
        <w:trPr>
          <w:trHeight w:val="255"/>
          <w:jc w:val="center"/>
        </w:trPr>
        <w:tc>
          <w:tcPr>
            <w:tcW w:w="720" w:type="dxa"/>
            <w:tcBorders>
              <w:top w:val="nil"/>
              <w:left w:val="single" w:sz="4" w:space="0" w:color="auto"/>
              <w:bottom w:val="nil"/>
              <w:right w:val="single" w:sz="4" w:space="0" w:color="auto"/>
              <w:tl2br w:val="single" w:sz="4" w:space="0" w:color="auto"/>
            </w:tcBorders>
            <w:shd w:val="clear" w:color="auto" w:fill="auto"/>
            <w:noWrap/>
            <w:hideMark/>
          </w:tcPr>
          <w:p w:rsid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 xml:space="preserve">u        </w:t>
            </w:r>
          </w:p>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y</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4</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5</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6</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7</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8</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14</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21</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23</w:t>
            </w:r>
          </w:p>
        </w:tc>
      </w:tr>
      <w:tr w:rsidR="00424396" w:rsidRPr="00424396" w:rsidTr="00424396">
        <w:trPr>
          <w:trHeight w:val="255"/>
          <w:jc w:val="center"/>
        </w:trPr>
        <w:tc>
          <w:tcPr>
            <w:tcW w:w="720"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Module 5</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221</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222</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224</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-0.11</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225</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-0.11</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230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-0.11</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235</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-0.11</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239</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-0.11</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240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-0.11</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244</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-0.11</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246</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-0.11</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249</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-0.11</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253</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-0.11</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254</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259</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0.91</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265</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0.91</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269</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270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272</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0.91</w:t>
            </w:r>
          </w:p>
        </w:tc>
      </w:tr>
      <w:tr w:rsidR="00424396" w:rsidRPr="00424396" w:rsidTr="00424396">
        <w:trPr>
          <w:trHeight w:val="270"/>
          <w:jc w:val="center"/>
        </w:trPr>
        <w:tc>
          <w:tcPr>
            <w:tcW w:w="720" w:type="dxa"/>
            <w:tcBorders>
              <w:top w:val="nil"/>
              <w:left w:val="single" w:sz="4" w:space="0" w:color="auto"/>
              <w:bottom w:val="single" w:sz="8"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273</w:t>
            </w:r>
          </w:p>
        </w:tc>
        <w:tc>
          <w:tcPr>
            <w:tcW w:w="720" w:type="dxa"/>
            <w:tcBorders>
              <w:top w:val="nil"/>
              <w:left w:val="nil"/>
              <w:bottom w:val="single" w:sz="8"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8"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8"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8"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8"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8"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8"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8"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8"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8"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bl>
    <w:p w:rsidR="00424396" w:rsidRDefault="00424396" w:rsidP="00E664E4"/>
    <w:p w:rsidR="00F938ED" w:rsidRDefault="00F938ED">
      <w:r>
        <w:br w:type="page"/>
      </w:r>
    </w:p>
    <w:p w:rsidR="001F3AD3" w:rsidRDefault="00E664E4" w:rsidP="00E664E4">
      <w:pPr>
        <w:rPr>
          <w:rFonts w:eastAsiaTheme="minorEastAsia"/>
        </w:rPr>
      </w:pPr>
      <w:r>
        <w:lastRenderedPageBreak/>
        <w:t xml:space="preserve">Table 4.3 is the sensitivity factor matrix for all modules for a 10% decrease of the parameters included in the matrix. Twenty-eight of the 82 parameters tested at a 10% decrease resulted in a sensitivity factor above the threshold value for the 51 primary state variables. </w:t>
      </w:r>
      <w:r>
        <w:rPr>
          <w:rFonts w:eastAsiaTheme="minorEastAsia"/>
        </w:rPr>
        <w:t xml:space="preserve">A decrease in some of the parameters such as fractionation factors resulted in very large negative sensitivity factors (e.g., -999). These were mathematically correct but not realistic for actual operations. These are denoted in the tables by --. The matrices also have a lower triangular form because a state variable cannot be sensitive to a parameter that was changed in a module downstream of that state variable since there was no recycle between modules. This provided an additional check to the model. </w:t>
      </w:r>
    </w:p>
    <w:p w:rsidR="001F3AD3" w:rsidRDefault="001F3AD3" w:rsidP="00E664E4">
      <w:pPr>
        <w:rPr>
          <w:rFonts w:eastAsiaTheme="minorEastAsia"/>
        </w:rPr>
      </w:pPr>
      <w:r>
        <w:t>As with a 10% increase, all of the primary state variables were sensitive to changes in the incoming flow rate of elemental uranium in the U</w:t>
      </w:r>
      <w:r w:rsidRPr="003E45FE">
        <w:rPr>
          <w:vertAlign w:val="subscript"/>
        </w:rPr>
        <w:t>3</w:t>
      </w:r>
      <w:r>
        <w:t>O</w:t>
      </w:r>
      <w:r w:rsidRPr="003E45FE">
        <w:rPr>
          <w:vertAlign w:val="subscript"/>
        </w:rPr>
        <w:t>8</w:t>
      </w:r>
      <w:r>
        <w:t xml:space="preserve">, </w:t>
      </w:r>
      <m:oMath>
        <m:sSub>
          <m:sSubPr>
            <m:ctrlPr>
              <w:rPr>
                <w:rFonts w:ascii="Cambria Math" w:hAnsi="Cambria Math"/>
                <w:i/>
              </w:rPr>
            </m:ctrlPr>
          </m:sSubPr>
          <m:e>
            <m:r>
              <w:rPr>
                <w:rFonts w:ascii="Cambria Math" w:hAnsi="Cambria Math"/>
              </w:rPr>
              <m:t>F</m:t>
            </m:r>
          </m:e>
          <m:sub>
            <m:r>
              <w:rPr>
                <w:rFonts w:ascii="Cambria Math" w:hAnsi="Cambria Math"/>
              </w:rPr>
              <m:t>1A,U</m:t>
            </m:r>
          </m:sub>
        </m:sSub>
      </m:oMath>
      <w:r>
        <w:rPr>
          <w:rFonts w:eastAsiaTheme="minorEastAsia"/>
        </w:rPr>
        <w:t xml:space="preserve">. </w:t>
      </w:r>
      <w:r w:rsidR="00E664E4">
        <w:rPr>
          <w:rFonts w:eastAsiaTheme="minorEastAsia"/>
        </w:rPr>
        <w:t xml:space="preserve">For </w:t>
      </w:r>
      <m:oMath>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Mod1A</m:t>
            </m:r>
          </m:sub>
        </m:sSub>
      </m:oMath>
      <w:r w:rsidR="00E664E4">
        <w:rPr>
          <w:rFonts w:eastAsiaTheme="minorEastAsia"/>
        </w:rPr>
        <w:t xml:space="preserve"> (parameter 2), all of the sensitivity factors were above the threshold, and all of the sensitivity factors were 0.61 expect for two. Sensitivity factor </w:t>
      </w: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41,2</m:t>
            </m:r>
          </m:sub>
        </m:sSub>
      </m:oMath>
      <w:r w:rsidR="00E664E4">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92,2</m:t>
            </m:r>
          </m:sub>
        </m:sSub>
      </m:oMath>
      <w:r w:rsidR="00E664E4">
        <w:rPr>
          <w:rFonts w:eastAsiaTheme="minorEastAsia"/>
        </w:rPr>
        <w:t xml:space="preserve"> were -51.3. Th</w:t>
      </w:r>
      <w:proofErr w:type="spellStart"/>
      <w:r>
        <w:rPr>
          <w:rFonts w:eastAsiaTheme="minorEastAsia"/>
        </w:rPr>
        <w:t>ese</w:t>
      </w:r>
      <w:proofErr w:type="spellEnd"/>
      <w:r w:rsidR="00E664E4">
        <w:rPr>
          <w:rFonts w:eastAsiaTheme="minorEastAsia"/>
        </w:rPr>
        <w:t xml:space="preserve"> state variable</w:t>
      </w:r>
      <w:r>
        <w:rPr>
          <w:rFonts w:eastAsiaTheme="minorEastAsia"/>
        </w:rPr>
        <w:t>s</w:t>
      </w:r>
      <w:r w:rsidR="00E664E4">
        <w:rPr>
          <w:rFonts w:eastAsiaTheme="minorEastAsia"/>
        </w:rPr>
        <w:t xml:space="preserve"> w</w:t>
      </w:r>
      <w:r>
        <w:rPr>
          <w:rFonts w:eastAsiaTheme="minorEastAsia"/>
        </w:rPr>
        <w:t>ere</w:t>
      </w:r>
      <w:r w:rsidR="00E664E4">
        <w:rPr>
          <w:rFonts w:eastAsiaTheme="minorEastAsia"/>
        </w:rPr>
        <w:t xml:space="preserve"> the U</w:t>
      </w:r>
      <w:r w:rsidR="00E664E4" w:rsidRPr="0021654C">
        <w:rPr>
          <w:rFonts w:eastAsiaTheme="minorEastAsia"/>
          <w:vertAlign w:val="subscript"/>
        </w:rPr>
        <w:t>3</w:t>
      </w:r>
      <w:r w:rsidR="00E664E4">
        <w:rPr>
          <w:rFonts w:eastAsiaTheme="minorEastAsia"/>
        </w:rPr>
        <w:t>O</w:t>
      </w:r>
      <w:r w:rsidR="00E664E4" w:rsidRPr="0021654C">
        <w:rPr>
          <w:rFonts w:eastAsiaTheme="minorEastAsia"/>
          <w:vertAlign w:val="subscript"/>
        </w:rPr>
        <w:t>8</w:t>
      </w:r>
      <w:r w:rsidR="00E664E4">
        <w:rPr>
          <w:rFonts w:eastAsiaTheme="minorEastAsia"/>
        </w:rPr>
        <w:t xml:space="preserve"> in Streams 8 and 16 which were waste streams in Modules 1and 2</w:t>
      </w:r>
      <w:r>
        <w:rPr>
          <w:rFonts w:eastAsiaTheme="minorEastAsia"/>
        </w:rPr>
        <w:t>, respectively</w:t>
      </w:r>
      <w:r w:rsidR="00E664E4">
        <w:rPr>
          <w:rFonts w:eastAsiaTheme="minorEastAsia"/>
        </w:rPr>
        <w:t>. The parameter was extent of reaction based on U</w:t>
      </w:r>
      <w:r w:rsidR="00E664E4" w:rsidRPr="006C0990">
        <w:rPr>
          <w:rFonts w:eastAsiaTheme="minorEastAsia"/>
          <w:vertAlign w:val="subscript"/>
        </w:rPr>
        <w:t>3</w:t>
      </w:r>
      <w:r w:rsidR="00E664E4">
        <w:rPr>
          <w:rFonts w:eastAsiaTheme="minorEastAsia"/>
        </w:rPr>
        <w:t>O</w:t>
      </w:r>
      <w:r w:rsidR="00E664E4" w:rsidRPr="006C0990">
        <w:rPr>
          <w:rFonts w:eastAsiaTheme="minorEastAsia"/>
          <w:vertAlign w:val="subscript"/>
        </w:rPr>
        <w:t>8</w:t>
      </w:r>
      <w:r w:rsidR="00E664E4">
        <w:rPr>
          <w:rFonts w:eastAsiaTheme="minorEastAsia"/>
        </w:rPr>
        <w:t xml:space="preserve"> for the dissolver in Module 1. A decrease in extent of reaction resulted in additional U</w:t>
      </w:r>
      <w:r w:rsidR="00E664E4" w:rsidRPr="006C0990">
        <w:rPr>
          <w:rFonts w:eastAsiaTheme="minorEastAsia"/>
          <w:vertAlign w:val="subscript"/>
        </w:rPr>
        <w:t>3</w:t>
      </w:r>
      <w:r w:rsidR="00E664E4">
        <w:rPr>
          <w:rFonts w:eastAsiaTheme="minorEastAsia"/>
        </w:rPr>
        <w:t>O</w:t>
      </w:r>
      <w:r w:rsidR="00E664E4" w:rsidRPr="006C0990">
        <w:rPr>
          <w:rFonts w:eastAsiaTheme="minorEastAsia"/>
          <w:vertAlign w:val="subscript"/>
        </w:rPr>
        <w:t>8</w:t>
      </w:r>
      <w:r w:rsidR="00E664E4">
        <w:rPr>
          <w:rFonts w:eastAsiaTheme="minorEastAsia"/>
        </w:rPr>
        <w:t xml:space="preserve"> that was unreacted which increased the amount of U</w:t>
      </w:r>
      <w:r w:rsidR="00E664E4" w:rsidRPr="006C0990">
        <w:rPr>
          <w:rFonts w:eastAsiaTheme="minorEastAsia"/>
          <w:vertAlign w:val="subscript"/>
        </w:rPr>
        <w:t>3</w:t>
      </w:r>
      <w:r w:rsidR="00E664E4">
        <w:rPr>
          <w:rFonts w:eastAsiaTheme="minorEastAsia"/>
        </w:rPr>
        <w:t>O</w:t>
      </w:r>
      <w:r w:rsidR="00E664E4" w:rsidRPr="006C0990">
        <w:rPr>
          <w:rFonts w:eastAsiaTheme="minorEastAsia"/>
          <w:vertAlign w:val="subscript"/>
        </w:rPr>
        <w:t>8</w:t>
      </w:r>
      <w:r w:rsidR="00E664E4">
        <w:rPr>
          <w:rFonts w:eastAsiaTheme="minorEastAsia"/>
        </w:rPr>
        <w:t xml:space="preserve"> in the waste streams</w:t>
      </w:r>
      <w:r w:rsidR="008E6F8C">
        <w:rPr>
          <w:rFonts w:eastAsiaTheme="minorEastAsia"/>
        </w:rPr>
        <w:t xml:space="preserve">. </w:t>
      </w:r>
    </w:p>
    <w:p w:rsidR="001F3AD3" w:rsidRDefault="00E664E4" w:rsidP="00E664E4">
      <w:pPr>
        <w:rPr>
          <w:rFonts w:eastAsiaTheme="minorEastAsia"/>
        </w:rPr>
      </w:pPr>
      <w:r>
        <w:rPr>
          <w:rFonts w:eastAsiaTheme="minorEastAsia"/>
        </w:rPr>
        <w:t xml:space="preserve">For </w:t>
      </w: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Mod1B,14</m:t>
            </m:r>
          </m:sub>
        </m:sSub>
      </m:oMath>
      <w:r>
        <w:rPr>
          <w:rFonts w:eastAsiaTheme="minorEastAsia"/>
        </w:rPr>
        <w:t xml:space="preserve"> (parameter 3), all of the sensitivity factors were above the threshold, and all of the sensitivity factors were 0.30 expect for three. Sensitivity factors </w:t>
      </w: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3,3</m:t>
            </m:r>
          </m:sub>
        </m:sSub>
      </m:oMath>
      <w:r>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10,3</m:t>
            </m:r>
          </m:sub>
        </m:sSub>
      </m:oMath>
      <w:r>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40,3</m:t>
            </m:r>
          </m:sub>
        </m:sSub>
      </m:oMath>
      <w:r>
        <w:rPr>
          <w:rFonts w:eastAsiaTheme="minorEastAsia"/>
        </w:rPr>
        <w:t xml:space="preserve"> were -0.39, -0.78, and -53.6, respectively. The fir</w:t>
      </w:r>
      <w:proofErr w:type="spellStart"/>
      <w:r>
        <w:rPr>
          <w:rFonts w:eastAsiaTheme="minorEastAsia"/>
        </w:rPr>
        <w:t>st</w:t>
      </w:r>
      <w:proofErr w:type="spellEnd"/>
      <w:r>
        <w:rPr>
          <w:rFonts w:eastAsiaTheme="minorEastAsia"/>
        </w:rPr>
        <w:t xml:space="preserve"> two state variables were the uranyl nitrate in Streams 1 and 3 which were intermediate streams in Module 1, and the third state variable was the uranyl nitrate in Stream 8. This parameter was the filter fractionation for the vacuum filter in Module 1B. It determined the amount of uranyl nitrate that was sent from Stream 3 to Stream 4. A decrease in this fractionation would increase the amount of uranyl nitrate that was sent to the recycle section of Module 1. Therefore, the uranyl nitrate in the intermediate and waste streams was increased. </w:t>
      </w:r>
    </w:p>
    <w:p w:rsidR="001F3AD3" w:rsidRDefault="00E664E4" w:rsidP="00E664E4">
      <w:pPr>
        <w:rPr>
          <w:rFonts w:eastAsiaTheme="minorEastAsia"/>
        </w:rPr>
      </w:pPr>
      <w:r>
        <w:rPr>
          <w:rFonts w:eastAsiaTheme="minorEastAsia"/>
        </w:rPr>
        <w:t xml:space="preserve">For </w:t>
      </w: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Mod1C,14</m:t>
            </m:r>
          </m:sub>
        </m:sSub>
      </m:oMath>
      <w:r>
        <w:rPr>
          <w:rFonts w:eastAsiaTheme="minorEastAsia"/>
        </w:rPr>
        <w:t xml:space="preserve"> (parameter 5), only one state variable had a sensitivity factor above the threshold. Sensitivity factor </w:t>
      </w: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40,5</m:t>
            </m:r>
          </m:sub>
        </m:sSub>
      </m:oMath>
      <w:r>
        <w:rPr>
          <w:rFonts w:eastAsiaTheme="minorEastAsia"/>
        </w:rPr>
        <w:t xml:space="preserve"> was -3.5. For a 10% increase, the sensitivity factor was -3.8. There was a slight nonlinear response from the model to this parameter. Nonlinearity is discussed below.</w:t>
      </w:r>
      <w:r w:rsidR="001F3AD3">
        <w:rPr>
          <w:rFonts w:eastAsiaTheme="minorEastAsia"/>
        </w:rPr>
        <w:t xml:space="preserve"> </w:t>
      </w:r>
      <w:r>
        <w:rPr>
          <w:rFonts w:eastAsiaTheme="minorEastAsia"/>
        </w:rPr>
        <w:t xml:space="preserve">For </w:t>
      </w: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Mod1E,14</m:t>
            </m:r>
          </m:sub>
        </m:sSub>
      </m:oMath>
      <w:r>
        <w:rPr>
          <w:rFonts w:eastAsiaTheme="minorEastAsia"/>
        </w:rPr>
        <w:t xml:space="preserve"> (parameter 9), nearly all of the primary state variables downstream of this parameter had a sensitivity factor above the threshold. Sensitivity factor </w:t>
      </w: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i,9</m:t>
            </m:r>
          </m:sub>
        </m:sSub>
      </m:oMath>
      <w:r>
        <w:rPr>
          <w:rFonts w:eastAsiaTheme="minorEastAsia"/>
        </w:rPr>
        <w:t xml:space="preserve"> was one. This parameter determined the amount of uranyl nitrate that would be sent to waste in Module 1E. The other uranium components were sensitive because uranyl nitrate was the major component exiting Module 1 and was the uranium component in the fir</w:t>
      </w:r>
      <w:proofErr w:type="spellStart"/>
      <w:r>
        <w:rPr>
          <w:rFonts w:eastAsiaTheme="minorEastAsia"/>
        </w:rPr>
        <w:t>st</w:t>
      </w:r>
      <w:proofErr w:type="spellEnd"/>
      <w:r>
        <w:rPr>
          <w:rFonts w:eastAsiaTheme="minorEastAsia"/>
        </w:rPr>
        <w:t xml:space="preserve"> downstream reaction. A decrease in this component resulted in a decrease in all of the downstream state variables except Stream 16 which was waste and exited the process prior to the first downstream reaction from this para</w:t>
      </w:r>
      <w:r w:rsidR="001F3AD3">
        <w:rPr>
          <w:rFonts w:eastAsiaTheme="minorEastAsia"/>
        </w:rPr>
        <w:t>meter. The values we</w:t>
      </w:r>
      <w:r>
        <w:rPr>
          <w:rFonts w:eastAsiaTheme="minorEastAsia"/>
        </w:rPr>
        <w:t>re all one due to stoichiometry.</w:t>
      </w:r>
    </w:p>
    <w:p w:rsidR="00424396" w:rsidRDefault="00424396">
      <w:pPr>
        <w:rPr>
          <w:rFonts w:eastAsiaTheme="minorEastAsia"/>
        </w:rPr>
      </w:pPr>
      <w:r>
        <w:rPr>
          <w:rFonts w:eastAsiaTheme="minorEastAsia"/>
        </w:rPr>
        <w:br w:type="page"/>
      </w:r>
    </w:p>
    <w:tbl>
      <w:tblPr>
        <w:tblW w:w="9360" w:type="dxa"/>
        <w:jc w:val="center"/>
        <w:tblLayout w:type="fixed"/>
        <w:tblLook w:val="04A0" w:firstRow="1" w:lastRow="0" w:firstColumn="1" w:lastColumn="0" w:noHBand="0" w:noVBand="1"/>
      </w:tblPr>
      <w:tblGrid>
        <w:gridCol w:w="668"/>
        <w:gridCol w:w="668"/>
        <w:gridCol w:w="668"/>
        <w:gridCol w:w="668"/>
        <w:gridCol w:w="668"/>
        <w:gridCol w:w="668"/>
        <w:gridCol w:w="669"/>
        <w:gridCol w:w="669"/>
        <w:gridCol w:w="669"/>
        <w:gridCol w:w="669"/>
        <w:gridCol w:w="669"/>
        <w:gridCol w:w="669"/>
        <w:gridCol w:w="669"/>
        <w:gridCol w:w="669"/>
      </w:tblGrid>
      <w:tr w:rsidR="00424396" w:rsidRPr="00424396" w:rsidTr="00424396">
        <w:trPr>
          <w:trHeight w:val="300"/>
          <w:jc w:val="center"/>
        </w:trPr>
        <w:tc>
          <w:tcPr>
            <w:tcW w:w="720" w:type="dxa"/>
            <w:gridSpan w:val="14"/>
            <w:vMerge w:val="restart"/>
            <w:tcBorders>
              <w:top w:val="nil"/>
              <w:left w:val="nil"/>
              <w:bottom w:val="single" w:sz="8" w:space="0" w:color="000000"/>
              <w:right w:val="nil"/>
            </w:tcBorders>
            <w:shd w:val="clear" w:color="auto" w:fill="auto"/>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lastRenderedPageBreak/>
              <w:t>Table 4.3. Sensitivity Factors for the Primary State Variables for 10% Decrease in Each Parameter (All Modules)</w:t>
            </w:r>
          </w:p>
        </w:tc>
      </w:tr>
      <w:tr w:rsidR="00424396" w:rsidRPr="00424396" w:rsidTr="00424396">
        <w:trPr>
          <w:trHeight w:val="270"/>
          <w:jc w:val="center"/>
        </w:trPr>
        <w:tc>
          <w:tcPr>
            <w:tcW w:w="720" w:type="dxa"/>
            <w:gridSpan w:val="14"/>
            <w:vMerge/>
            <w:tcBorders>
              <w:top w:val="nil"/>
              <w:left w:val="nil"/>
              <w:bottom w:val="single" w:sz="8" w:space="0" w:color="000000"/>
              <w:right w:val="nil"/>
            </w:tcBorders>
            <w:vAlign w:val="center"/>
            <w:hideMark/>
          </w:tcPr>
          <w:p w:rsidR="00424396" w:rsidRPr="00424396" w:rsidRDefault="00424396" w:rsidP="00424396">
            <w:pPr>
              <w:spacing w:after="0" w:line="240" w:lineRule="auto"/>
              <w:rPr>
                <w:rFonts w:ascii="Calibri" w:eastAsia="Times New Roman" w:hAnsi="Calibri" w:cs="Times New Roman"/>
                <w:b/>
                <w:bCs/>
                <w:color w:val="000000"/>
                <w:sz w:val="20"/>
                <w:szCs w:val="20"/>
              </w:rPr>
            </w:pPr>
          </w:p>
        </w:tc>
      </w:tr>
      <w:tr w:rsidR="00424396" w:rsidRPr="00424396" w:rsidTr="00424396">
        <w:trPr>
          <w:trHeight w:val="255"/>
          <w:jc w:val="center"/>
        </w:trPr>
        <w:tc>
          <w:tcPr>
            <w:tcW w:w="720" w:type="dxa"/>
            <w:tcBorders>
              <w:top w:val="nil"/>
              <w:left w:val="single" w:sz="4" w:space="0" w:color="auto"/>
              <w:bottom w:val="nil"/>
              <w:right w:val="single" w:sz="4" w:space="0" w:color="auto"/>
              <w:tl2br w:val="single" w:sz="4" w:space="0" w:color="auto"/>
            </w:tcBorders>
            <w:shd w:val="clear" w:color="auto" w:fill="auto"/>
            <w:noWrap/>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u        y</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4</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5</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6</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7</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8</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9</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11</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12</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13</w:t>
            </w:r>
          </w:p>
        </w:tc>
      </w:tr>
      <w:tr w:rsidR="00424396" w:rsidRPr="00424396" w:rsidTr="00424396">
        <w:trPr>
          <w:trHeight w:val="255"/>
          <w:jc w:val="center"/>
        </w:trPr>
        <w:tc>
          <w:tcPr>
            <w:tcW w:w="720" w:type="dxa"/>
            <w:gridSpan w:val="1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Module 1</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3</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-0.39</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-0.78</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16</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40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-53.6</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-3.5</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0.34</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41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-51.3</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-1.3</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0.41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0.40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64</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70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gridSpan w:val="1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Module 2</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77</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84</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91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92</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-51.3</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0.52</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0.12</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0.40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98</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111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117</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w:t>
            </w:r>
          </w:p>
        </w:tc>
      </w:tr>
      <w:tr w:rsidR="00424396" w:rsidRPr="00424396" w:rsidTr="00424396">
        <w:trPr>
          <w:trHeight w:val="255"/>
          <w:jc w:val="center"/>
        </w:trPr>
        <w:tc>
          <w:tcPr>
            <w:tcW w:w="720" w:type="dxa"/>
            <w:gridSpan w:val="1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Module 3</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123</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128</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138</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148</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159</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163</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169</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171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gridSpan w:val="1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Module 4</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181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184</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198</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207</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208</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214</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215</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217</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218</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70"/>
          <w:jc w:val="center"/>
        </w:trPr>
        <w:tc>
          <w:tcPr>
            <w:tcW w:w="720" w:type="dxa"/>
            <w:tcBorders>
              <w:top w:val="nil"/>
              <w:left w:val="single" w:sz="4" w:space="0" w:color="auto"/>
              <w:bottom w:val="single" w:sz="8"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219</w:t>
            </w:r>
          </w:p>
        </w:tc>
        <w:tc>
          <w:tcPr>
            <w:tcW w:w="720" w:type="dxa"/>
            <w:tcBorders>
              <w:top w:val="nil"/>
              <w:left w:val="nil"/>
              <w:bottom w:val="single" w:sz="8"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8"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8"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8"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8"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8"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8"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8"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8"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8"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8"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8"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8"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bl>
    <w:p w:rsidR="00424396" w:rsidRDefault="00424396" w:rsidP="00E664E4"/>
    <w:p w:rsidR="00424396" w:rsidRDefault="00424396">
      <w:r>
        <w:br w:type="page"/>
      </w:r>
    </w:p>
    <w:tbl>
      <w:tblPr>
        <w:tblW w:w="9360" w:type="dxa"/>
        <w:jc w:val="center"/>
        <w:tblLayout w:type="fixed"/>
        <w:tblLook w:val="04A0" w:firstRow="1" w:lastRow="0" w:firstColumn="1" w:lastColumn="0" w:noHBand="0" w:noVBand="1"/>
      </w:tblPr>
      <w:tblGrid>
        <w:gridCol w:w="668"/>
        <w:gridCol w:w="668"/>
        <w:gridCol w:w="668"/>
        <w:gridCol w:w="668"/>
        <w:gridCol w:w="668"/>
        <w:gridCol w:w="668"/>
        <w:gridCol w:w="669"/>
        <w:gridCol w:w="669"/>
        <w:gridCol w:w="669"/>
        <w:gridCol w:w="669"/>
        <w:gridCol w:w="669"/>
        <w:gridCol w:w="669"/>
        <w:gridCol w:w="669"/>
        <w:gridCol w:w="669"/>
      </w:tblGrid>
      <w:tr w:rsidR="00424396" w:rsidRPr="00424396" w:rsidTr="00424396">
        <w:trPr>
          <w:trHeight w:val="255"/>
          <w:jc w:val="center"/>
        </w:trPr>
        <w:tc>
          <w:tcPr>
            <w:tcW w:w="720" w:type="dxa"/>
            <w:gridSpan w:val="14"/>
            <w:vMerge w:val="restart"/>
            <w:tcBorders>
              <w:top w:val="nil"/>
              <w:left w:val="nil"/>
              <w:bottom w:val="single" w:sz="8" w:space="0" w:color="000000"/>
              <w:right w:val="nil"/>
            </w:tcBorders>
            <w:shd w:val="clear" w:color="auto" w:fill="auto"/>
            <w:vAlign w:val="center"/>
            <w:hideMark/>
          </w:tcPr>
          <w:p w:rsidR="00424396" w:rsidRPr="00424396" w:rsidRDefault="00424396" w:rsidP="00F938ED">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lastRenderedPageBreak/>
              <w:t>Table 4.3. Sensitivity Factors for the Primary State Variables for 10% Decrease in Each Parameter (All Modules) (</w:t>
            </w:r>
            <w:r w:rsidR="00F938ED">
              <w:rPr>
                <w:rFonts w:ascii="Calibri" w:eastAsia="Times New Roman" w:hAnsi="Calibri" w:cs="Times New Roman"/>
                <w:b/>
                <w:bCs/>
                <w:color w:val="000000"/>
                <w:sz w:val="20"/>
                <w:szCs w:val="20"/>
              </w:rPr>
              <w:t>continued)</w:t>
            </w:r>
          </w:p>
        </w:tc>
      </w:tr>
      <w:tr w:rsidR="00424396" w:rsidRPr="00424396" w:rsidTr="00424396">
        <w:trPr>
          <w:trHeight w:val="270"/>
          <w:jc w:val="center"/>
        </w:trPr>
        <w:tc>
          <w:tcPr>
            <w:tcW w:w="720" w:type="dxa"/>
            <w:gridSpan w:val="14"/>
            <w:vMerge/>
            <w:tcBorders>
              <w:top w:val="nil"/>
              <w:left w:val="nil"/>
              <w:bottom w:val="single" w:sz="8" w:space="0" w:color="000000"/>
              <w:right w:val="nil"/>
            </w:tcBorders>
            <w:vAlign w:val="center"/>
            <w:hideMark/>
          </w:tcPr>
          <w:p w:rsidR="00424396" w:rsidRPr="00424396" w:rsidRDefault="00424396" w:rsidP="00424396">
            <w:pPr>
              <w:spacing w:after="0" w:line="240" w:lineRule="auto"/>
              <w:rPr>
                <w:rFonts w:ascii="Calibri" w:eastAsia="Times New Roman" w:hAnsi="Calibri" w:cs="Times New Roman"/>
                <w:b/>
                <w:bCs/>
                <w:color w:val="000000"/>
                <w:sz w:val="20"/>
                <w:szCs w:val="20"/>
              </w:rPr>
            </w:pPr>
          </w:p>
        </w:tc>
      </w:tr>
      <w:tr w:rsidR="00424396" w:rsidRPr="00424396" w:rsidTr="00424396">
        <w:trPr>
          <w:trHeight w:val="255"/>
          <w:jc w:val="center"/>
        </w:trPr>
        <w:tc>
          <w:tcPr>
            <w:tcW w:w="720" w:type="dxa"/>
            <w:tcBorders>
              <w:top w:val="nil"/>
              <w:left w:val="single" w:sz="4" w:space="0" w:color="auto"/>
              <w:bottom w:val="nil"/>
              <w:right w:val="single" w:sz="4" w:space="0" w:color="auto"/>
              <w:tl2br w:val="single" w:sz="4" w:space="0" w:color="auto"/>
            </w:tcBorders>
            <w:shd w:val="clear" w:color="auto" w:fill="auto"/>
            <w:noWrap/>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u        y</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3</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4</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5</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6</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7</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8</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9</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11</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12</w:t>
            </w:r>
          </w:p>
        </w:tc>
        <w:tc>
          <w:tcPr>
            <w:tcW w:w="720" w:type="dxa"/>
            <w:tcBorders>
              <w:top w:val="nil"/>
              <w:left w:val="nil"/>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13</w:t>
            </w:r>
          </w:p>
        </w:tc>
      </w:tr>
      <w:tr w:rsidR="00424396" w:rsidRPr="00424396" w:rsidTr="00424396">
        <w:trPr>
          <w:trHeight w:val="255"/>
          <w:jc w:val="center"/>
        </w:trPr>
        <w:tc>
          <w:tcPr>
            <w:tcW w:w="720" w:type="dxa"/>
            <w:gridSpan w:val="1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Module 5</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221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222</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224</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225</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235</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239</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240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244</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246</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249</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253</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254</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259</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265</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269</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270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55"/>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272</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r w:rsidR="00424396" w:rsidRPr="00424396" w:rsidTr="00424396">
        <w:trPr>
          <w:trHeight w:val="270"/>
          <w:jc w:val="center"/>
        </w:trPr>
        <w:tc>
          <w:tcPr>
            <w:tcW w:w="720" w:type="dxa"/>
            <w:tcBorders>
              <w:top w:val="nil"/>
              <w:left w:val="single" w:sz="4" w:space="0" w:color="auto"/>
              <w:bottom w:val="single" w:sz="8" w:space="0" w:color="auto"/>
              <w:right w:val="single" w:sz="4" w:space="0" w:color="auto"/>
            </w:tcBorders>
            <w:shd w:val="clear" w:color="auto" w:fill="auto"/>
            <w:noWrap/>
            <w:vAlign w:val="center"/>
            <w:hideMark/>
          </w:tcPr>
          <w:p w:rsidR="00424396" w:rsidRPr="00424396" w:rsidRDefault="00424396" w:rsidP="00424396">
            <w:pPr>
              <w:spacing w:after="0" w:line="240" w:lineRule="auto"/>
              <w:jc w:val="center"/>
              <w:rPr>
                <w:rFonts w:ascii="Calibri" w:eastAsia="Times New Roman" w:hAnsi="Calibri" w:cs="Times New Roman"/>
                <w:b/>
                <w:bCs/>
                <w:color w:val="000000"/>
                <w:sz w:val="20"/>
                <w:szCs w:val="20"/>
              </w:rPr>
            </w:pPr>
            <w:r w:rsidRPr="00424396">
              <w:rPr>
                <w:rFonts w:ascii="Calibri" w:eastAsia="Times New Roman" w:hAnsi="Calibri" w:cs="Times New Roman"/>
                <w:b/>
                <w:bCs/>
                <w:color w:val="000000"/>
                <w:sz w:val="20"/>
                <w:szCs w:val="20"/>
              </w:rPr>
              <w:t>273</w:t>
            </w:r>
          </w:p>
        </w:tc>
        <w:tc>
          <w:tcPr>
            <w:tcW w:w="720" w:type="dxa"/>
            <w:tcBorders>
              <w:top w:val="nil"/>
              <w:left w:val="nil"/>
              <w:bottom w:val="single" w:sz="8"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8"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0.61</w:t>
            </w:r>
          </w:p>
        </w:tc>
        <w:tc>
          <w:tcPr>
            <w:tcW w:w="720" w:type="dxa"/>
            <w:tcBorders>
              <w:top w:val="nil"/>
              <w:left w:val="nil"/>
              <w:bottom w:val="single" w:sz="8"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0.30</w:t>
            </w:r>
          </w:p>
        </w:tc>
        <w:tc>
          <w:tcPr>
            <w:tcW w:w="720" w:type="dxa"/>
            <w:tcBorders>
              <w:top w:val="nil"/>
              <w:left w:val="nil"/>
              <w:bottom w:val="single" w:sz="8"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8"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8"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8"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8"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8"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8"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8"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c>
          <w:tcPr>
            <w:tcW w:w="720" w:type="dxa"/>
            <w:tcBorders>
              <w:top w:val="nil"/>
              <w:left w:val="nil"/>
              <w:bottom w:val="single" w:sz="8"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 </w:t>
            </w:r>
          </w:p>
        </w:tc>
        <w:tc>
          <w:tcPr>
            <w:tcW w:w="720" w:type="dxa"/>
            <w:tcBorders>
              <w:top w:val="nil"/>
              <w:left w:val="nil"/>
              <w:bottom w:val="single" w:sz="8" w:space="0" w:color="auto"/>
              <w:right w:val="single" w:sz="4" w:space="0" w:color="auto"/>
            </w:tcBorders>
            <w:shd w:val="clear" w:color="auto" w:fill="auto"/>
            <w:noWrap/>
            <w:vAlign w:val="bottom"/>
            <w:hideMark/>
          </w:tcPr>
          <w:p w:rsidR="00424396" w:rsidRPr="00424396" w:rsidRDefault="00424396" w:rsidP="00424396">
            <w:pPr>
              <w:spacing w:after="0" w:line="240" w:lineRule="auto"/>
              <w:jc w:val="center"/>
              <w:rPr>
                <w:rFonts w:ascii="Calibri" w:eastAsia="Times New Roman" w:hAnsi="Calibri" w:cs="Times New Roman"/>
                <w:color w:val="000000"/>
                <w:sz w:val="20"/>
                <w:szCs w:val="20"/>
              </w:rPr>
            </w:pPr>
            <w:r w:rsidRPr="00424396">
              <w:rPr>
                <w:rFonts w:ascii="Calibri" w:eastAsia="Times New Roman" w:hAnsi="Calibri" w:cs="Times New Roman"/>
                <w:color w:val="000000"/>
                <w:sz w:val="20"/>
                <w:szCs w:val="20"/>
              </w:rPr>
              <w:t>1.0</w:t>
            </w:r>
          </w:p>
        </w:tc>
      </w:tr>
    </w:tbl>
    <w:p w:rsidR="00424396" w:rsidRDefault="00424396" w:rsidP="00E664E4"/>
    <w:p w:rsidR="00F938ED" w:rsidRDefault="00F938ED">
      <w:r>
        <w:br w:type="page"/>
      </w:r>
    </w:p>
    <w:p w:rsidR="00860518" w:rsidRDefault="00E664E4" w:rsidP="00E664E4">
      <w:r>
        <w:lastRenderedPageBreak/>
        <w:t xml:space="preserve">Table 4.4 is the sensitivity factor matrix for Module 3–5 for a 10% decrease of the parameters included in the matrix. Table 4.3 and 4.4 were divided this way for readability. </w:t>
      </w:r>
    </w:p>
    <w:p w:rsidR="00860518" w:rsidRDefault="00E664E4" w:rsidP="00E664E4">
      <w:pPr>
        <w:rPr>
          <w:rFonts w:eastAsiaTheme="minorEastAsia"/>
        </w:rPr>
      </w:pPr>
      <w:r>
        <w:rPr>
          <w:rFonts w:eastAsiaTheme="minorEastAsia"/>
        </w:rPr>
        <w:t xml:space="preserve">For </w:t>
      </w:r>
      <m:oMath>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Mod4D</m:t>
            </m:r>
          </m:sub>
        </m:sSub>
      </m:oMath>
      <w:r>
        <w:rPr>
          <w:rFonts w:eastAsiaTheme="minorEastAsia"/>
        </w:rPr>
        <w:t xml:space="preserve"> (parameter 18)</w:t>
      </w:r>
      <w:r w:rsidR="00860518">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Mod4E</m:t>
            </m:r>
          </m:sub>
        </m:sSub>
      </m:oMath>
      <w:r w:rsidR="00860518">
        <w:rPr>
          <w:rFonts w:eastAsiaTheme="minorEastAsia"/>
        </w:rPr>
        <w:t xml:space="preserve"> (parameter 19)</w:t>
      </w:r>
      <w:r>
        <w:rPr>
          <w:rFonts w:eastAsiaTheme="minorEastAsia"/>
        </w:rPr>
        <w:t xml:space="preserve">, all of the sensitivity factors were above the threshold, and most of the sensitivity factors were one downstream of this parameter. </w:t>
      </w:r>
      <w:r w:rsidR="00860518">
        <w:rPr>
          <w:rFonts w:eastAsiaTheme="minorEastAsia"/>
        </w:rPr>
        <w:t xml:space="preserve">Additionally, the sensitivity factors for parameters 18 and 19 were the same for all of the primary state variables. </w:t>
      </w:r>
      <w:r>
        <w:rPr>
          <w:rFonts w:eastAsiaTheme="minorEastAsia"/>
        </w:rPr>
        <w:t xml:space="preserve">Seven of the sensitivity factors were -19. These </w:t>
      </w:r>
      <w:r w:rsidR="00860518">
        <w:rPr>
          <w:rFonts w:eastAsiaTheme="minorEastAsia"/>
        </w:rPr>
        <w:t xml:space="preserve">state variables </w:t>
      </w:r>
      <w:r>
        <w:rPr>
          <w:rFonts w:eastAsiaTheme="minorEastAsia"/>
        </w:rPr>
        <w:t>were all UO</w:t>
      </w:r>
      <w:r w:rsidRPr="00734A11">
        <w:rPr>
          <w:rFonts w:eastAsiaTheme="minorEastAsia"/>
          <w:vertAlign w:val="subscript"/>
        </w:rPr>
        <w:t>2</w:t>
      </w:r>
      <w:r>
        <w:rPr>
          <w:rFonts w:eastAsiaTheme="minorEastAsia"/>
        </w:rPr>
        <w:t xml:space="preserve"> streams in Modules 4 and 5. </w:t>
      </w:r>
      <w:r w:rsidR="00860518">
        <w:rPr>
          <w:rFonts w:eastAsiaTheme="minorEastAsia"/>
        </w:rPr>
        <w:t xml:space="preserve">Parameter 18 </w:t>
      </w:r>
      <w:r>
        <w:rPr>
          <w:rFonts w:eastAsiaTheme="minorEastAsia"/>
        </w:rPr>
        <w:t>was a f</w:t>
      </w:r>
      <w:r w:rsidRPr="00734A11">
        <w:rPr>
          <w:rFonts w:eastAsiaTheme="minorEastAsia"/>
        </w:rPr>
        <w:t xml:space="preserve">low parameter that </w:t>
      </w:r>
      <w:r>
        <w:rPr>
          <w:rFonts w:eastAsiaTheme="minorEastAsia"/>
        </w:rPr>
        <w:t xml:space="preserve">was used to </w:t>
      </w:r>
      <w:r w:rsidRPr="00734A11">
        <w:rPr>
          <w:rFonts w:eastAsiaTheme="minorEastAsia"/>
        </w:rPr>
        <w:t>insure</w:t>
      </w:r>
      <w:r>
        <w:rPr>
          <w:rFonts w:eastAsiaTheme="minorEastAsia"/>
        </w:rPr>
        <w:t xml:space="preserve"> sufficient HF was</w:t>
      </w:r>
      <w:r w:rsidRPr="00734A11">
        <w:rPr>
          <w:rFonts w:eastAsiaTheme="minorEastAsia"/>
        </w:rPr>
        <w:t xml:space="preserve"> fed for conversion Mod</w:t>
      </w:r>
      <w:r>
        <w:rPr>
          <w:rFonts w:eastAsiaTheme="minorEastAsia"/>
        </w:rPr>
        <w:t xml:space="preserve">ule </w:t>
      </w:r>
      <w:r w:rsidRPr="00734A11">
        <w:rPr>
          <w:rFonts w:eastAsiaTheme="minorEastAsia"/>
        </w:rPr>
        <w:t>4D</w:t>
      </w:r>
      <w:r w:rsidR="00860518">
        <w:rPr>
          <w:rFonts w:eastAsiaTheme="minorEastAsia"/>
        </w:rPr>
        <w:t xml:space="preserve">, and parameter 19 was the extent of reaction for the </w:t>
      </w:r>
      <w:proofErr w:type="spellStart"/>
      <w:r w:rsidR="00860518">
        <w:rPr>
          <w:rFonts w:eastAsiaTheme="minorEastAsia"/>
        </w:rPr>
        <w:t>hydrofluorination</w:t>
      </w:r>
      <w:proofErr w:type="spellEnd"/>
      <w:r w:rsidR="00860518">
        <w:rPr>
          <w:rFonts w:eastAsiaTheme="minorEastAsia"/>
        </w:rPr>
        <w:t xml:space="preserve"> reaction that used HF to convert UO</w:t>
      </w:r>
      <w:r w:rsidR="00860518" w:rsidRPr="00860518">
        <w:rPr>
          <w:rFonts w:eastAsiaTheme="minorEastAsia"/>
          <w:vertAlign w:val="subscript"/>
        </w:rPr>
        <w:t>2</w:t>
      </w:r>
      <w:r w:rsidR="00860518">
        <w:rPr>
          <w:rFonts w:eastAsiaTheme="minorEastAsia"/>
        </w:rPr>
        <w:t xml:space="preserve"> to UF</w:t>
      </w:r>
      <w:r w:rsidR="00860518" w:rsidRPr="00860518">
        <w:rPr>
          <w:rFonts w:eastAsiaTheme="minorEastAsia"/>
          <w:vertAlign w:val="subscript"/>
        </w:rPr>
        <w:t>4</w:t>
      </w:r>
      <w:r w:rsidR="008E6F8C">
        <w:rPr>
          <w:rFonts w:eastAsiaTheme="minorEastAsia"/>
        </w:rPr>
        <w:t xml:space="preserve">. </w:t>
      </w:r>
      <w:r>
        <w:rPr>
          <w:rFonts w:eastAsiaTheme="minorEastAsia"/>
        </w:rPr>
        <w:t xml:space="preserve">If less HF was fed to the process </w:t>
      </w:r>
      <w:r w:rsidR="00860518">
        <w:rPr>
          <w:rFonts w:eastAsiaTheme="minorEastAsia"/>
        </w:rPr>
        <w:t>or if less UO</w:t>
      </w:r>
      <w:r w:rsidR="00860518" w:rsidRPr="00860518">
        <w:rPr>
          <w:rFonts w:eastAsiaTheme="minorEastAsia"/>
          <w:vertAlign w:val="subscript"/>
        </w:rPr>
        <w:t>2</w:t>
      </w:r>
      <w:r w:rsidR="00860518">
        <w:rPr>
          <w:rFonts w:eastAsiaTheme="minorEastAsia"/>
        </w:rPr>
        <w:t xml:space="preserve"> was converted to UF</w:t>
      </w:r>
      <w:r w:rsidR="00860518" w:rsidRPr="00860518">
        <w:rPr>
          <w:rFonts w:eastAsiaTheme="minorEastAsia"/>
          <w:vertAlign w:val="subscript"/>
        </w:rPr>
        <w:t>4</w:t>
      </w:r>
      <w:r w:rsidR="00860518">
        <w:rPr>
          <w:rFonts w:eastAsiaTheme="minorEastAsia"/>
        </w:rPr>
        <w:t xml:space="preserve"> due to a change in the extent of reaction, </w:t>
      </w:r>
      <w:r>
        <w:rPr>
          <w:rFonts w:eastAsiaTheme="minorEastAsia"/>
        </w:rPr>
        <w:t>then additional UO</w:t>
      </w:r>
      <w:r w:rsidRPr="00714690">
        <w:rPr>
          <w:rFonts w:eastAsiaTheme="minorEastAsia"/>
          <w:vertAlign w:val="subscript"/>
        </w:rPr>
        <w:t>2</w:t>
      </w:r>
      <w:r>
        <w:rPr>
          <w:rFonts w:eastAsiaTheme="minorEastAsia"/>
        </w:rPr>
        <w:t xml:space="preserve"> would be present downstream. </w:t>
      </w:r>
      <w:r w:rsidR="00E225B3">
        <w:rPr>
          <w:rFonts w:eastAsiaTheme="minorEastAsia"/>
        </w:rPr>
        <w:t>Therefore, it is reasonable for these seven state variables to be very sensitivity to changes in parameters 18 and 19.</w:t>
      </w:r>
    </w:p>
    <w:p w:rsidR="00860518" w:rsidRDefault="00E664E4" w:rsidP="00E664E4">
      <w:pPr>
        <w:rPr>
          <w:rFonts w:eastAsiaTheme="minorEastAsia"/>
        </w:rPr>
      </w:pPr>
      <w:r>
        <w:rPr>
          <w:rFonts w:eastAsiaTheme="minorEastAsia"/>
        </w:rPr>
        <w:t xml:space="preserve">For </w:t>
      </w:r>
      <m:oMath>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Mod5B</m:t>
            </m:r>
          </m:sub>
        </m:sSub>
      </m:oMath>
      <w:r>
        <w:rPr>
          <w:rFonts w:eastAsiaTheme="minorEastAsia"/>
        </w:rPr>
        <w:t xml:space="preserve"> (parameter 24), six of the sensitivity factors were above the threshold, and five of the sensitivity factors were one. The sixth sensitivity factor, </w:t>
      </w: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273,24</m:t>
            </m:r>
          </m:sub>
        </m:sSub>
      </m:oMath>
      <w:r>
        <w:rPr>
          <w:rFonts w:eastAsiaTheme="minorEastAsia"/>
        </w:rPr>
        <w:t>, was 0.89. The other state variables were Xss(235), Xss(244), Xss(246), Xss(249), and Xss(253). The</w:t>
      </w:r>
      <w:r w:rsidR="00860518">
        <w:rPr>
          <w:rFonts w:eastAsiaTheme="minorEastAsia"/>
        </w:rPr>
        <w:t>s</w:t>
      </w:r>
      <w:r>
        <w:rPr>
          <w:rFonts w:eastAsiaTheme="minorEastAsia"/>
        </w:rPr>
        <w:t xml:space="preserve">e were all downstream of the primary fluorination but upstream of the secondary fluorination except </w:t>
      </w:r>
      <w:proofErr w:type="spellStart"/>
      <w:r>
        <w:rPr>
          <w:rFonts w:eastAsiaTheme="minorEastAsia"/>
        </w:rPr>
        <w:t>Xss</w:t>
      </w:r>
      <w:proofErr w:type="spellEnd"/>
      <w:r>
        <w:rPr>
          <w:rFonts w:eastAsiaTheme="minorEastAsia"/>
        </w:rPr>
        <w:t xml:space="preserve">(273) which was the final product. The parameter was </w:t>
      </w:r>
      <w:r w:rsidR="00860518">
        <w:rPr>
          <w:rFonts w:eastAsiaTheme="minorEastAsia"/>
        </w:rPr>
        <w:t xml:space="preserve">the </w:t>
      </w:r>
      <w:r>
        <w:rPr>
          <w:rFonts w:eastAsiaTheme="minorEastAsia"/>
        </w:rPr>
        <w:t>extent of reaction based on UF</w:t>
      </w:r>
      <w:r w:rsidRPr="00B505E5">
        <w:rPr>
          <w:rFonts w:eastAsiaTheme="minorEastAsia"/>
          <w:vertAlign w:val="subscript"/>
        </w:rPr>
        <w:t>4</w:t>
      </w:r>
      <w:r>
        <w:rPr>
          <w:rFonts w:eastAsiaTheme="minorEastAsia"/>
        </w:rPr>
        <w:t xml:space="preserve"> for the primary fluorination process in Module 5. A decrease in extent of reaction resulted in a decrease in the amount in all of the uranium streams downstream of the process until it reached the secondary fluorination process. All of the values are one based on stoichiometry. The sixth sensitivity factor, </w:t>
      </w: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273,24</m:t>
            </m:r>
          </m:sub>
        </m:sSub>
      </m:oMath>
      <w:r>
        <w:rPr>
          <w:rFonts w:eastAsiaTheme="minorEastAsia"/>
        </w:rPr>
        <w:t>, which was less than one did not follow the stoichiometry since that state variable included the additional material from the secondary fluorination pro</w:t>
      </w:r>
      <w:proofErr w:type="spellStart"/>
      <w:r>
        <w:rPr>
          <w:rFonts w:eastAsiaTheme="minorEastAsia"/>
        </w:rPr>
        <w:t>cess</w:t>
      </w:r>
      <w:proofErr w:type="spellEnd"/>
      <w:r>
        <w:rPr>
          <w:rFonts w:eastAsiaTheme="minorEastAsia"/>
        </w:rPr>
        <w:t xml:space="preserve">. </w:t>
      </w:r>
    </w:p>
    <w:p w:rsidR="007513DF" w:rsidRDefault="00E664E4" w:rsidP="00E664E4">
      <w:pPr>
        <w:rPr>
          <w:rFonts w:asciiTheme="majorHAnsi" w:hAnsiTheme="majorHAnsi"/>
          <w:b/>
          <w:caps/>
        </w:rPr>
      </w:pPr>
      <w:r>
        <w:rPr>
          <w:rFonts w:eastAsiaTheme="minorEastAsia"/>
        </w:rPr>
        <w:t xml:space="preserve">For </w:t>
      </w:r>
      <m:oMath>
        <m:sSub>
          <m:sSubPr>
            <m:ctrlPr>
              <w:rPr>
                <w:rFonts w:ascii="Cambria Math" w:eastAsiaTheme="minorEastAsia" w:hAnsi="Cambria Math"/>
                <w:i/>
              </w:rPr>
            </m:ctrlPr>
          </m:sSubPr>
          <m:e>
            <m:r>
              <w:rPr>
                <w:rFonts w:ascii="Cambria Math" w:eastAsiaTheme="minorEastAsia" w:hAnsi="Cambria Math"/>
              </w:rPr>
              <m:t>K2</m:t>
            </m:r>
          </m:e>
          <m:sub>
            <m:r>
              <w:rPr>
                <w:rFonts w:ascii="Cambria Math" w:eastAsiaTheme="minorEastAsia" w:hAnsi="Cambria Math"/>
              </w:rPr>
              <m:t>Mod5C,15</m:t>
            </m:r>
          </m:sub>
        </m:sSub>
      </m:oMath>
      <w:r>
        <w:rPr>
          <w:rFonts w:eastAsiaTheme="minorEastAsia"/>
        </w:rPr>
        <w:t xml:space="preserve"> (parameter 27), four state variables had sensitivi</w:t>
      </w:r>
      <w:proofErr w:type="spellStart"/>
      <w:r w:rsidR="00860518">
        <w:rPr>
          <w:rFonts w:eastAsiaTheme="minorEastAsia"/>
        </w:rPr>
        <w:t>ty</w:t>
      </w:r>
      <w:proofErr w:type="spellEnd"/>
      <w:r w:rsidR="00860518">
        <w:rPr>
          <w:rFonts w:eastAsiaTheme="minorEastAsia"/>
        </w:rPr>
        <w:t xml:space="preserve"> factors above the threshold. </w:t>
      </w:r>
      <w:r>
        <w:rPr>
          <w:rFonts w:eastAsiaTheme="minorEastAsia"/>
        </w:rPr>
        <w:t xml:space="preserve">Sensitivity factors </w:t>
      </w: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259,27</m:t>
            </m:r>
          </m:sub>
        </m:sSub>
      </m:oMath>
      <w:r>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265,27</m:t>
            </m:r>
          </m:sub>
        </m:sSub>
      </m:oMath>
      <w:r>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272,27</m:t>
            </m:r>
          </m:sub>
        </m:sSub>
      </m:oMath>
      <w:r>
        <w:rPr>
          <w:rFonts w:eastAsiaTheme="minorEastAsia"/>
        </w:rPr>
        <w:t xml:space="preserve"> were -8.2. These state variables were the UF</w:t>
      </w:r>
      <w:r w:rsidRPr="00CA4445">
        <w:rPr>
          <w:rFonts w:eastAsiaTheme="minorEastAsia"/>
          <w:vertAlign w:val="subscript"/>
        </w:rPr>
        <w:t>6</w:t>
      </w:r>
      <w:r>
        <w:rPr>
          <w:rFonts w:eastAsiaTheme="minorEastAsia"/>
        </w:rPr>
        <w:t xml:space="preserve"> in Streams 55, 57, and 59 which were intermediate streams in Module 5. This parameter determined the amount of UF</w:t>
      </w:r>
      <w:r w:rsidRPr="00CA4445">
        <w:rPr>
          <w:rFonts w:eastAsiaTheme="minorEastAsia"/>
          <w:vertAlign w:val="subscript"/>
        </w:rPr>
        <w:t>6</w:t>
      </w:r>
      <w:r>
        <w:rPr>
          <w:rFonts w:eastAsiaTheme="minorEastAsia"/>
        </w:rPr>
        <w:t xml:space="preserve"> that was directed to Module 5D or Module 5F. For </w:t>
      </w:r>
      <m:oMath>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Mod5E</m:t>
            </m:r>
          </m:sub>
        </m:sSub>
      </m:oMath>
      <w:r>
        <w:rPr>
          <w:rFonts w:eastAsiaTheme="minorEastAsia"/>
        </w:rPr>
        <w:t xml:space="preserve"> (parameter 28), four of the sensitivity factors were above the threshold. The parameter was the extent of reaction based on UF</w:t>
      </w:r>
      <w:r w:rsidRPr="00B505E5">
        <w:rPr>
          <w:rFonts w:eastAsiaTheme="minorEastAsia"/>
          <w:vertAlign w:val="subscript"/>
        </w:rPr>
        <w:t>4</w:t>
      </w:r>
      <w:r>
        <w:rPr>
          <w:rFonts w:eastAsiaTheme="minorEastAsia"/>
        </w:rPr>
        <w:t xml:space="preserve"> for the secondary fluorination process in Module 5. Sensitivity factor </w:t>
      </w: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273,28</m:t>
            </m:r>
          </m:sub>
        </m:sSub>
      </m:oMath>
      <w:r>
        <w:rPr>
          <w:rFonts w:eastAsiaTheme="minorEastAsia"/>
        </w:rPr>
        <w:t xml:space="preserve"> was 0.1, and sensitivity factors </w:t>
      </w: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259,28</m:t>
            </m:r>
          </m:sub>
        </m:sSub>
      </m:oMath>
      <w:r>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265,28</m:t>
            </m:r>
          </m:sub>
        </m:sSub>
      </m:oMath>
      <w:r>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272,28</m:t>
            </m:r>
          </m:sub>
        </m:sSub>
      </m:oMath>
      <w:r>
        <w:rPr>
          <w:rFonts w:eastAsiaTheme="minorEastAsia"/>
        </w:rPr>
        <w:t xml:space="preserve"> were 0.92. These were all UF</w:t>
      </w:r>
      <w:r w:rsidRPr="00F66503">
        <w:rPr>
          <w:rFonts w:eastAsiaTheme="minorEastAsia"/>
          <w:vertAlign w:val="subscript"/>
        </w:rPr>
        <w:t>6</w:t>
      </w:r>
      <w:r>
        <w:rPr>
          <w:rFonts w:eastAsiaTheme="minorEastAsia"/>
        </w:rPr>
        <w:t xml:space="preserve"> streams downstream of the secondary fluorination process. A decrease in extent of reaction resulted in a decrease in the amount in all of the UF</w:t>
      </w:r>
      <w:r w:rsidRPr="00F66503">
        <w:rPr>
          <w:rFonts w:eastAsiaTheme="minorEastAsia"/>
          <w:vertAlign w:val="subscript"/>
        </w:rPr>
        <w:t>6</w:t>
      </w:r>
      <w:r>
        <w:rPr>
          <w:rFonts w:eastAsiaTheme="minorEastAsia"/>
        </w:rPr>
        <w:t xml:space="preserve"> streams downstream of the process. These were not one as would have been expected based on stoichiometry because there was already some UF</w:t>
      </w:r>
      <w:r w:rsidRPr="003664A8">
        <w:rPr>
          <w:rFonts w:eastAsiaTheme="minorEastAsia"/>
          <w:vertAlign w:val="subscript"/>
        </w:rPr>
        <w:t>6</w:t>
      </w:r>
      <w:r>
        <w:rPr>
          <w:rFonts w:eastAsiaTheme="minorEastAsia"/>
        </w:rPr>
        <w:t xml:space="preserve"> in the streams from the primary fluorination process.</w:t>
      </w:r>
      <w:r>
        <w:rPr>
          <w:rFonts w:asciiTheme="majorHAnsi" w:hAnsiTheme="majorHAnsi"/>
          <w:b/>
          <w:caps/>
        </w:rPr>
        <w:t xml:space="preserve"> </w:t>
      </w:r>
    </w:p>
    <w:p w:rsidR="007513DF" w:rsidRDefault="007513DF">
      <w:pPr>
        <w:rPr>
          <w:rFonts w:asciiTheme="majorHAnsi" w:hAnsiTheme="majorHAnsi"/>
          <w:b/>
          <w:caps/>
        </w:rPr>
      </w:pPr>
      <w:r>
        <w:rPr>
          <w:rFonts w:asciiTheme="majorHAnsi" w:hAnsiTheme="majorHAnsi"/>
          <w:b/>
          <w:caps/>
        </w:rPr>
        <w:br w:type="page"/>
      </w:r>
    </w:p>
    <w:tbl>
      <w:tblPr>
        <w:tblW w:w="9015" w:type="dxa"/>
        <w:jc w:val="center"/>
        <w:tblInd w:w="93" w:type="dxa"/>
        <w:tblLayout w:type="fixed"/>
        <w:tblLook w:val="04A0" w:firstRow="1" w:lastRow="0" w:firstColumn="1" w:lastColumn="0" w:noHBand="0" w:noVBand="1"/>
      </w:tblPr>
      <w:tblGrid>
        <w:gridCol w:w="601"/>
        <w:gridCol w:w="543"/>
        <w:gridCol w:w="544"/>
        <w:gridCol w:w="544"/>
        <w:gridCol w:w="544"/>
        <w:gridCol w:w="544"/>
        <w:gridCol w:w="544"/>
        <w:gridCol w:w="544"/>
        <w:gridCol w:w="544"/>
        <w:gridCol w:w="544"/>
        <w:gridCol w:w="544"/>
        <w:gridCol w:w="95"/>
        <w:gridCol w:w="449"/>
        <w:gridCol w:w="181"/>
        <w:gridCol w:w="363"/>
        <w:gridCol w:w="177"/>
        <w:gridCol w:w="367"/>
        <w:gridCol w:w="173"/>
        <w:gridCol w:w="371"/>
        <w:gridCol w:w="169"/>
        <w:gridCol w:w="630"/>
      </w:tblGrid>
      <w:tr w:rsidR="00E664E4" w:rsidRPr="001B7594" w:rsidTr="003D664B">
        <w:trPr>
          <w:trHeight w:val="255"/>
          <w:jc w:val="center"/>
        </w:trPr>
        <w:tc>
          <w:tcPr>
            <w:tcW w:w="9015" w:type="dxa"/>
            <w:gridSpan w:val="21"/>
            <w:vMerge w:val="restart"/>
            <w:tcBorders>
              <w:top w:val="nil"/>
              <w:left w:val="nil"/>
              <w:bottom w:val="single" w:sz="8" w:space="0" w:color="000000"/>
              <w:right w:val="nil"/>
            </w:tcBorders>
            <w:shd w:val="clear" w:color="auto" w:fill="auto"/>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lastRenderedPageBreak/>
              <w:t>Table 4.4. Sensitivity Factors for the Primary State Variables for 10% Decrea</w:t>
            </w:r>
            <w:r>
              <w:rPr>
                <w:rFonts w:ascii="Calibri" w:eastAsia="Times New Roman" w:hAnsi="Calibri" w:cs="Times New Roman"/>
                <w:b/>
                <w:bCs/>
                <w:color w:val="000000"/>
                <w:sz w:val="20"/>
                <w:szCs w:val="20"/>
              </w:rPr>
              <w:t>se in Each Parameter (Modules 3–</w:t>
            </w:r>
            <w:r w:rsidRPr="001B7594">
              <w:rPr>
                <w:rFonts w:ascii="Calibri" w:eastAsia="Times New Roman" w:hAnsi="Calibri" w:cs="Times New Roman"/>
                <w:b/>
                <w:bCs/>
                <w:color w:val="000000"/>
                <w:sz w:val="20"/>
                <w:szCs w:val="20"/>
              </w:rPr>
              <w:t>5)</w:t>
            </w:r>
          </w:p>
        </w:tc>
      </w:tr>
      <w:tr w:rsidR="00E664E4" w:rsidRPr="001B7594" w:rsidTr="003D664B">
        <w:trPr>
          <w:trHeight w:val="270"/>
          <w:jc w:val="center"/>
        </w:trPr>
        <w:tc>
          <w:tcPr>
            <w:tcW w:w="9015" w:type="dxa"/>
            <w:gridSpan w:val="21"/>
            <w:vMerge/>
            <w:tcBorders>
              <w:top w:val="nil"/>
              <w:left w:val="nil"/>
              <w:bottom w:val="single" w:sz="8" w:space="0" w:color="000000"/>
              <w:right w:val="nil"/>
            </w:tcBorders>
            <w:vAlign w:val="center"/>
            <w:hideMark/>
          </w:tcPr>
          <w:p w:rsidR="00E664E4" w:rsidRPr="001B7594" w:rsidRDefault="00E664E4" w:rsidP="003D664B">
            <w:pPr>
              <w:spacing w:after="0" w:line="240" w:lineRule="auto"/>
              <w:rPr>
                <w:rFonts w:ascii="Calibri" w:eastAsia="Times New Roman" w:hAnsi="Calibri" w:cs="Times New Roman"/>
                <w:b/>
                <w:bCs/>
                <w:color w:val="000000"/>
                <w:sz w:val="20"/>
                <w:szCs w:val="20"/>
              </w:rPr>
            </w:pPr>
          </w:p>
        </w:tc>
      </w:tr>
      <w:tr w:rsidR="00E664E4" w:rsidRPr="001B7594" w:rsidTr="003D664B">
        <w:trPr>
          <w:trHeight w:val="255"/>
          <w:jc w:val="center"/>
        </w:trPr>
        <w:tc>
          <w:tcPr>
            <w:tcW w:w="601" w:type="dxa"/>
            <w:tcBorders>
              <w:top w:val="nil"/>
              <w:left w:val="single" w:sz="4" w:space="0" w:color="auto"/>
              <w:bottom w:val="nil"/>
              <w:right w:val="single" w:sz="4" w:space="0" w:color="auto"/>
              <w:tl2br w:val="single" w:sz="4" w:space="0" w:color="auto"/>
            </w:tcBorders>
            <w:shd w:val="clear" w:color="auto" w:fill="auto"/>
            <w:noWrap/>
            <w:hideMark/>
          </w:tcPr>
          <w:p w:rsidR="00E664E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u</w:t>
            </w:r>
          </w:p>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y</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14</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15</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16</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17</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18</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19</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21</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22</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23</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24</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25</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26</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27</w:t>
            </w:r>
          </w:p>
        </w:tc>
        <w:tc>
          <w:tcPr>
            <w:tcW w:w="79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28</w:t>
            </w:r>
          </w:p>
        </w:tc>
      </w:tr>
      <w:tr w:rsidR="00E664E4" w:rsidRPr="001B7594" w:rsidTr="003D664B">
        <w:trPr>
          <w:trHeight w:val="255"/>
          <w:jc w:val="center"/>
        </w:trPr>
        <w:tc>
          <w:tcPr>
            <w:tcW w:w="9015" w:type="dxa"/>
            <w:gridSpan w:val="21"/>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Module 3</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123</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79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128</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79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138</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79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148</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79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159</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79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163</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79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169</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79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171</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79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r>
      <w:tr w:rsidR="00E664E4" w:rsidRPr="001B7594" w:rsidTr="003D664B">
        <w:trPr>
          <w:trHeight w:val="255"/>
          <w:jc w:val="center"/>
        </w:trPr>
        <w:tc>
          <w:tcPr>
            <w:tcW w:w="9015" w:type="dxa"/>
            <w:gridSpan w:val="21"/>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Module 4</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181</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79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184</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79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198</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79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207</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79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208</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-19</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-19</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79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214</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79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215</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-19</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-19</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79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217</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79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218</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79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219</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-19</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-19</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79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r>
      <w:tr w:rsidR="00E664E4" w:rsidRPr="001B7594" w:rsidTr="003D664B">
        <w:trPr>
          <w:trHeight w:val="255"/>
          <w:jc w:val="center"/>
        </w:trPr>
        <w:tc>
          <w:tcPr>
            <w:tcW w:w="9015" w:type="dxa"/>
            <w:gridSpan w:val="21"/>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Module 5</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221</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63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63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630"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222</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-19</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-19</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63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63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630"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224</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63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-0.11</w:t>
            </w:r>
          </w:p>
        </w:tc>
        <w:tc>
          <w:tcPr>
            <w:tcW w:w="63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630"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225</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-19</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-19</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63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-0.11</w:t>
            </w:r>
          </w:p>
        </w:tc>
        <w:tc>
          <w:tcPr>
            <w:tcW w:w="63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630"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230</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63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-0.11</w:t>
            </w:r>
          </w:p>
        </w:tc>
        <w:tc>
          <w:tcPr>
            <w:tcW w:w="63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630"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235</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63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-0.11</w:t>
            </w:r>
          </w:p>
        </w:tc>
        <w:tc>
          <w:tcPr>
            <w:tcW w:w="63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630"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239</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63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-0.11</w:t>
            </w:r>
          </w:p>
        </w:tc>
        <w:tc>
          <w:tcPr>
            <w:tcW w:w="63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630"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240</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-19</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-19</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63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-0.11</w:t>
            </w:r>
          </w:p>
        </w:tc>
        <w:tc>
          <w:tcPr>
            <w:tcW w:w="63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630"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244</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63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-0.11</w:t>
            </w:r>
          </w:p>
        </w:tc>
        <w:tc>
          <w:tcPr>
            <w:tcW w:w="63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630"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246</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63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-0.11</w:t>
            </w:r>
          </w:p>
        </w:tc>
        <w:tc>
          <w:tcPr>
            <w:tcW w:w="63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630"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249</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63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-0.11</w:t>
            </w:r>
          </w:p>
        </w:tc>
        <w:tc>
          <w:tcPr>
            <w:tcW w:w="63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253</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63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-0.11</w:t>
            </w:r>
          </w:p>
        </w:tc>
        <w:tc>
          <w:tcPr>
            <w:tcW w:w="63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254</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63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63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630"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259</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63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0.91</w:t>
            </w:r>
          </w:p>
        </w:tc>
        <w:tc>
          <w:tcPr>
            <w:tcW w:w="63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-8.2</w:t>
            </w:r>
          </w:p>
        </w:tc>
        <w:tc>
          <w:tcPr>
            <w:tcW w:w="630"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0.92</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265</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63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0.91</w:t>
            </w:r>
          </w:p>
        </w:tc>
        <w:tc>
          <w:tcPr>
            <w:tcW w:w="63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-8.2</w:t>
            </w:r>
          </w:p>
        </w:tc>
        <w:tc>
          <w:tcPr>
            <w:tcW w:w="630"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0.92</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269</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63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63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630"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270</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-19</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-19</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63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63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630"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r>
      <w:tr w:rsidR="00E664E4" w:rsidRPr="001B7594" w:rsidTr="003D664B">
        <w:trPr>
          <w:trHeight w:val="25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272</w:t>
            </w:r>
          </w:p>
        </w:tc>
        <w:tc>
          <w:tcPr>
            <w:tcW w:w="543"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639"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0.91</w:t>
            </w:r>
          </w:p>
        </w:tc>
        <w:tc>
          <w:tcPr>
            <w:tcW w:w="63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-8.2</w:t>
            </w:r>
          </w:p>
        </w:tc>
        <w:tc>
          <w:tcPr>
            <w:tcW w:w="630" w:type="dxa"/>
            <w:tcBorders>
              <w:top w:val="nil"/>
              <w:left w:val="nil"/>
              <w:bottom w:val="single" w:sz="4"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0.92</w:t>
            </w:r>
          </w:p>
        </w:tc>
      </w:tr>
      <w:tr w:rsidR="00E664E4" w:rsidRPr="001B7594" w:rsidTr="003D664B">
        <w:trPr>
          <w:trHeight w:val="270"/>
          <w:jc w:val="center"/>
        </w:trPr>
        <w:tc>
          <w:tcPr>
            <w:tcW w:w="601" w:type="dxa"/>
            <w:tcBorders>
              <w:top w:val="nil"/>
              <w:left w:val="single" w:sz="4" w:space="0" w:color="auto"/>
              <w:bottom w:val="single" w:sz="8"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b/>
                <w:bCs/>
                <w:color w:val="000000"/>
                <w:sz w:val="20"/>
                <w:szCs w:val="20"/>
              </w:rPr>
            </w:pPr>
            <w:r w:rsidRPr="001B7594">
              <w:rPr>
                <w:rFonts w:ascii="Calibri" w:eastAsia="Times New Roman" w:hAnsi="Calibri" w:cs="Times New Roman"/>
                <w:b/>
                <w:bCs/>
                <w:color w:val="000000"/>
                <w:sz w:val="20"/>
                <w:szCs w:val="20"/>
              </w:rPr>
              <w:t>273</w:t>
            </w:r>
          </w:p>
        </w:tc>
        <w:tc>
          <w:tcPr>
            <w:tcW w:w="543" w:type="dxa"/>
            <w:tcBorders>
              <w:top w:val="nil"/>
              <w:left w:val="nil"/>
              <w:bottom w:val="single" w:sz="8"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8"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8"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8"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8"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8"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1.0</w:t>
            </w:r>
          </w:p>
        </w:tc>
        <w:tc>
          <w:tcPr>
            <w:tcW w:w="544" w:type="dxa"/>
            <w:tcBorders>
              <w:top w:val="nil"/>
              <w:left w:val="nil"/>
              <w:bottom w:val="single" w:sz="8"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8"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4" w:type="dxa"/>
            <w:tcBorders>
              <w:top w:val="nil"/>
              <w:left w:val="nil"/>
              <w:bottom w:val="single" w:sz="8"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639" w:type="dxa"/>
            <w:gridSpan w:val="2"/>
            <w:tcBorders>
              <w:top w:val="nil"/>
              <w:left w:val="nil"/>
              <w:bottom w:val="single" w:sz="8"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630" w:type="dxa"/>
            <w:gridSpan w:val="2"/>
            <w:tcBorders>
              <w:top w:val="nil"/>
              <w:left w:val="nil"/>
              <w:bottom w:val="single" w:sz="8"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0.89</w:t>
            </w:r>
          </w:p>
        </w:tc>
        <w:tc>
          <w:tcPr>
            <w:tcW w:w="540" w:type="dxa"/>
            <w:gridSpan w:val="2"/>
            <w:tcBorders>
              <w:top w:val="nil"/>
              <w:left w:val="nil"/>
              <w:bottom w:val="single" w:sz="8"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8"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540" w:type="dxa"/>
            <w:gridSpan w:val="2"/>
            <w:tcBorders>
              <w:top w:val="nil"/>
              <w:left w:val="nil"/>
              <w:bottom w:val="single" w:sz="8"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 </w:t>
            </w:r>
          </w:p>
        </w:tc>
        <w:tc>
          <w:tcPr>
            <w:tcW w:w="630" w:type="dxa"/>
            <w:tcBorders>
              <w:top w:val="nil"/>
              <w:left w:val="nil"/>
              <w:bottom w:val="single" w:sz="8" w:space="0" w:color="auto"/>
              <w:right w:val="single" w:sz="4" w:space="0" w:color="auto"/>
            </w:tcBorders>
            <w:shd w:val="clear" w:color="auto" w:fill="auto"/>
            <w:noWrap/>
            <w:vAlign w:val="center"/>
            <w:hideMark/>
          </w:tcPr>
          <w:p w:rsidR="00E664E4" w:rsidRPr="001B7594" w:rsidRDefault="00E664E4" w:rsidP="003D664B">
            <w:pPr>
              <w:spacing w:after="0" w:line="240" w:lineRule="auto"/>
              <w:jc w:val="center"/>
              <w:rPr>
                <w:rFonts w:ascii="Calibri" w:eastAsia="Times New Roman" w:hAnsi="Calibri" w:cs="Times New Roman"/>
                <w:color w:val="000000"/>
                <w:sz w:val="20"/>
                <w:szCs w:val="20"/>
              </w:rPr>
            </w:pPr>
            <w:r w:rsidRPr="001B7594">
              <w:rPr>
                <w:rFonts w:ascii="Calibri" w:eastAsia="Times New Roman" w:hAnsi="Calibri" w:cs="Times New Roman"/>
                <w:color w:val="000000"/>
                <w:sz w:val="20"/>
                <w:szCs w:val="20"/>
              </w:rPr>
              <w:t>0.1</w:t>
            </w:r>
          </w:p>
        </w:tc>
      </w:tr>
    </w:tbl>
    <w:p w:rsidR="00E664E4" w:rsidRDefault="00E664E4" w:rsidP="00E664E4">
      <w:pPr>
        <w:rPr>
          <w:rFonts w:asciiTheme="majorHAnsi" w:hAnsiTheme="majorHAnsi"/>
          <w:b/>
          <w:caps/>
        </w:rPr>
      </w:pPr>
    </w:p>
    <w:p w:rsidR="00E664E4" w:rsidRDefault="00E664E4" w:rsidP="00E664E4">
      <w:r>
        <w:lastRenderedPageBreak/>
        <w:t>It was determined during the sensitivity analysis that the system was not linear. If the system was linear then both +10% and -10% would have the same value for sensitivity factor. Table 4.5 summarizes the cases where nonlinearity was observed. Four of the parameters resulted in nonlinear responses from three of the state variables. All four parameters were from Module 1 and the state variables were waste streams in Modules 1 and 2.</w:t>
      </w:r>
    </w:p>
    <w:p w:rsidR="00F938ED" w:rsidRDefault="00F938ED" w:rsidP="00E664E4"/>
    <w:p w:rsidR="00F938ED" w:rsidRDefault="00F938ED" w:rsidP="00F938ED">
      <w:pPr>
        <w:rPr>
          <w:rFonts w:asciiTheme="majorHAnsi" w:hAnsiTheme="majorHAnsi"/>
          <w:b/>
          <w:caps/>
        </w:rPr>
      </w:pPr>
      <w:r>
        <w:rPr>
          <w:rFonts w:asciiTheme="majorHAnsi" w:hAnsiTheme="majorHAnsi"/>
          <w:b/>
          <w:caps/>
        </w:rPr>
        <w:t>4</w:t>
      </w:r>
      <w:r w:rsidRPr="00436A8B">
        <w:rPr>
          <w:rFonts w:asciiTheme="majorHAnsi" w:hAnsiTheme="majorHAnsi"/>
          <w:b/>
          <w:caps/>
        </w:rPr>
        <w:t>.2 Base “Normal” Case</w:t>
      </w:r>
    </w:p>
    <w:p w:rsidR="00F938ED" w:rsidRDefault="00F938ED" w:rsidP="00F938ED">
      <w:r w:rsidRPr="005A3E48">
        <w:t xml:space="preserve">This section discusses the results of the base case model. </w:t>
      </w:r>
      <w:r>
        <w:t xml:space="preserve">This section </w:t>
      </w:r>
      <w:r w:rsidRPr="005A3E48">
        <w:t xml:space="preserve">includes the steady-state solution obtained using the </w:t>
      </w:r>
      <w:r>
        <w:t>‘</w:t>
      </w:r>
      <w:proofErr w:type="spellStart"/>
      <w:r>
        <w:t>fsolve</w:t>
      </w:r>
      <w:proofErr w:type="spellEnd"/>
      <w:r>
        <w:t>’</w:t>
      </w:r>
      <w:r w:rsidRPr="005A3E48">
        <w:t xml:space="preserve"> function in MATLAB®, the results for the overall material balances, and the generation of the base case data set and </w:t>
      </w:r>
      <w:r>
        <w:t xml:space="preserve">PCA </w:t>
      </w:r>
      <w:r w:rsidRPr="005A3E48">
        <w:t>model.</w:t>
      </w:r>
      <w:r>
        <w:t xml:space="preserve"> This section also includes the results of the control case that was used to verify the base case data.</w:t>
      </w:r>
    </w:p>
    <w:p w:rsidR="00F938ED" w:rsidRDefault="00F938ED" w:rsidP="00F938ED"/>
    <w:p w:rsidR="00F938ED" w:rsidRPr="00436A8B" w:rsidRDefault="00F938ED" w:rsidP="00F938ED">
      <w:pPr>
        <w:rPr>
          <w:rFonts w:asciiTheme="majorHAnsi" w:hAnsiTheme="majorHAnsi"/>
          <w:b/>
        </w:rPr>
      </w:pPr>
      <w:r w:rsidRPr="00436A8B">
        <w:rPr>
          <w:rFonts w:asciiTheme="majorHAnsi" w:hAnsiTheme="majorHAnsi"/>
          <w:b/>
        </w:rPr>
        <w:t>4.</w:t>
      </w:r>
      <w:r>
        <w:rPr>
          <w:rFonts w:asciiTheme="majorHAnsi" w:hAnsiTheme="majorHAnsi"/>
          <w:b/>
        </w:rPr>
        <w:t>2</w:t>
      </w:r>
      <w:r w:rsidRPr="00436A8B">
        <w:rPr>
          <w:rFonts w:asciiTheme="majorHAnsi" w:hAnsiTheme="majorHAnsi"/>
          <w:b/>
        </w:rPr>
        <w:t xml:space="preserve">.1 </w:t>
      </w:r>
      <w:r>
        <w:rPr>
          <w:rFonts w:asciiTheme="majorHAnsi" w:hAnsiTheme="majorHAnsi"/>
          <w:b/>
        </w:rPr>
        <w:t xml:space="preserve">Base Case </w:t>
      </w:r>
    </w:p>
    <w:p w:rsidR="00F938ED" w:rsidRDefault="00F938ED" w:rsidP="00F938ED">
      <w:r>
        <w:t xml:space="preserve">The steady-state solution </w:t>
      </w:r>
      <w:r w:rsidRPr="005A3E48">
        <w:t>(the molar flow rate of each component in each of the streams)</w:t>
      </w:r>
      <w:r>
        <w:t xml:space="preserve"> was</w:t>
      </w:r>
      <w:r w:rsidRPr="00941337">
        <w:t xml:space="preserve"> </w:t>
      </w:r>
      <w:r w:rsidRPr="005A3E48">
        <w:t>obtained from MATLAB® us</w:t>
      </w:r>
      <w:r>
        <w:t>ing ‘</w:t>
      </w:r>
      <w:proofErr w:type="spellStart"/>
      <w:r>
        <w:t>fsolve</w:t>
      </w:r>
      <w:proofErr w:type="spellEnd"/>
      <w:r>
        <w:t>’ and the nominal</w:t>
      </w:r>
      <w:r w:rsidRPr="005A3E48">
        <w:t xml:space="preserve"> values of the input variables shown in </w:t>
      </w:r>
      <w:r>
        <w:t>Table 3.11</w:t>
      </w:r>
      <w:r w:rsidRPr="005A3E48">
        <w:t>.</w:t>
      </w:r>
      <w:r>
        <w:t xml:space="preserve"> The steady-state solutions for Module 1–5 are shown in Tables 4.6–4.10, respectively. Table 4.11 shows the steady-state solution for the primary streams. Remember that as defined in Chapter 3, the primary state variables are the most important state variables to track throughout the system. Additionally, each of the primary state variables was a uranium-bearing component molar flow rate.</w:t>
      </w:r>
    </w:p>
    <w:p w:rsidR="00F938ED" w:rsidRDefault="00F938ED" w:rsidP="00F938ED"/>
    <w:tbl>
      <w:tblPr>
        <w:tblW w:w="8340" w:type="dxa"/>
        <w:jc w:val="center"/>
        <w:tblInd w:w="93" w:type="dxa"/>
        <w:tblLook w:val="04A0" w:firstRow="1" w:lastRow="0" w:firstColumn="1" w:lastColumn="0" w:noHBand="0" w:noVBand="1"/>
      </w:tblPr>
      <w:tblGrid>
        <w:gridCol w:w="419"/>
        <w:gridCol w:w="687"/>
        <w:gridCol w:w="630"/>
        <w:gridCol w:w="685"/>
        <w:gridCol w:w="686"/>
        <w:gridCol w:w="630"/>
        <w:gridCol w:w="685"/>
        <w:gridCol w:w="686"/>
        <w:gridCol w:w="630"/>
        <w:gridCol w:w="685"/>
        <w:gridCol w:w="686"/>
        <w:gridCol w:w="630"/>
        <w:gridCol w:w="685"/>
      </w:tblGrid>
      <w:tr w:rsidR="00E664E4" w:rsidRPr="00443773" w:rsidTr="003D664B">
        <w:trPr>
          <w:trHeight w:val="300"/>
          <w:jc w:val="center"/>
        </w:trPr>
        <w:tc>
          <w:tcPr>
            <w:tcW w:w="8340" w:type="dxa"/>
            <w:gridSpan w:val="13"/>
            <w:vMerge w:val="restart"/>
            <w:tcBorders>
              <w:top w:val="nil"/>
              <w:left w:val="nil"/>
              <w:bottom w:val="single" w:sz="8" w:space="0" w:color="000000"/>
              <w:right w:val="nil"/>
            </w:tcBorders>
            <w:shd w:val="clear" w:color="auto" w:fill="auto"/>
            <w:vAlign w:val="center"/>
            <w:hideMark/>
          </w:tcPr>
          <w:p w:rsidR="00E664E4" w:rsidRPr="00443773" w:rsidRDefault="00E664E4" w:rsidP="003D664B">
            <w:pPr>
              <w:spacing w:after="0" w:line="240" w:lineRule="auto"/>
              <w:jc w:val="center"/>
              <w:rPr>
                <w:rFonts w:ascii="Calibri" w:eastAsia="Times New Roman" w:hAnsi="Calibri" w:cs="Times New Roman"/>
                <w:b/>
                <w:bCs/>
                <w:color w:val="000000"/>
                <w:sz w:val="20"/>
                <w:szCs w:val="20"/>
              </w:rPr>
            </w:pPr>
            <w:r w:rsidRPr="00443773">
              <w:rPr>
                <w:rFonts w:ascii="Calibri" w:eastAsia="Times New Roman" w:hAnsi="Calibri" w:cs="Times New Roman"/>
                <w:b/>
                <w:bCs/>
                <w:color w:val="000000"/>
                <w:sz w:val="20"/>
                <w:szCs w:val="20"/>
              </w:rPr>
              <w:t>Table 4.5. Comparison of Sensitivity Factors for th</w:t>
            </w:r>
            <w:r>
              <w:rPr>
                <w:rFonts w:ascii="Calibri" w:eastAsia="Times New Roman" w:hAnsi="Calibri" w:cs="Times New Roman"/>
                <w:b/>
                <w:bCs/>
                <w:color w:val="000000"/>
                <w:sz w:val="20"/>
                <w:szCs w:val="20"/>
              </w:rPr>
              <w:t>e Primary State Variables for ±</w:t>
            </w:r>
            <w:r w:rsidRPr="00443773">
              <w:rPr>
                <w:rFonts w:ascii="Calibri" w:eastAsia="Times New Roman" w:hAnsi="Calibri" w:cs="Times New Roman"/>
                <w:b/>
                <w:bCs/>
                <w:color w:val="000000"/>
                <w:sz w:val="20"/>
                <w:szCs w:val="20"/>
              </w:rPr>
              <w:t>10% Changes in Selected Parameter</w:t>
            </w:r>
            <w:r w:rsidR="00B66898">
              <w:rPr>
                <w:rFonts w:ascii="Calibri" w:eastAsia="Times New Roman" w:hAnsi="Calibri" w:cs="Times New Roman"/>
                <w:b/>
                <w:bCs/>
                <w:color w:val="000000"/>
                <w:sz w:val="20"/>
                <w:szCs w:val="20"/>
              </w:rPr>
              <w:t>s</w:t>
            </w:r>
            <w:r w:rsidRPr="00443773">
              <w:rPr>
                <w:rFonts w:ascii="Calibri" w:eastAsia="Times New Roman" w:hAnsi="Calibri" w:cs="Times New Roman"/>
                <w:b/>
                <w:bCs/>
                <w:color w:val="000000"/>
                <w:sz w:val="20"/>
                <w:szCs w:val="20"/>
              </w:rPr>
              <w:t xml:space="preserve"> (All Modules)</w:t>
            </w:r>
          </w:p>
        </w:tc>
      </w:tr>
      <w:tr w:rsidR="00E664E4" w:rsidRPr="00443773" w:rsidTr="003D664B">
        <w:trPr>
          <w:trHeight w:val="315"/>
          <w:jc w:val="center"/>
        </w:trPr>
        <w:tc>
          <w:tcPr>
            <w:tcW w:w="8340" w:type="dxa"/>
            <w:gridSpan w:val="13"/>
            <w:vMerge/>
            <w:tcBorders>
              <w:top w:val="nil"/>
              <w:left w:val="nil"/>
              <w:bottom w:val="single" w:sz="8" w:space="0" w:color="000000"/>
              <w:right w:val="nil"/>
            </w:tcBorders>
            <w:vAlign w:val="center"/>
            <w:hideMark/>
          </w:tcPr>
          <w:p w:rsidR="00E664E4" w:rsidRPr="00443773" w:rsidRDefault="00E664E4" w:rsidP="003D664B">
            <w:pPr>
              <w:spacing w:after="0" w:line="240" w:lineRule="auto"/>
              <w:rPr>
                <w:rFonts w:ascii="Calibri" w:eastAsia="Times New Roman" w:hAnsi="Calibri" w:cs="Times New Roman"/>
                <w:b/>
                <w:bCs/>
                <w:color w:val="000000"/>
                <w:sz w:val="20"/>
                <w:szCs w:val="20"/>
              </w:rPr>
            </w:pPr>
          </w:p>
        </w:tc>
      </w:tr>
      <w:tr w:rsidR="00E664E4" w:rsidRPr="00443773" w:rsidTr="003D664B">
        <w:trPr>
          <w:trHeight w:val="300"/>
          <w:jc w:val="center"/>
        </w:trPr>
        <w:tc>
          <w:tcPr>
            <w:tcW w:w="335" w:type="dxa"/>
            <w:tcBorders>
              <w:top w:val="nil"/>
              <w:left w:val="single" w:sz="4" w:space="0" w:color="auto"/>
              <w:bottom w:val="nil"/>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b/>
                <w:bCs/>
                <w:color w:val="000000"/>
                <w:sz w:val="20"/>
                <w:szCs w:val="20"/>
              </w:rPr>
            </w:pPr>
            <w:r>
              <w:rPr>
                <w:noProof/>
              </w:rPr>
              <mc:AlternateContent>
                <mc:Choice Requires="wps">
                  <w:drawing>
                    <wp:anchor distT="0" distB="0" distL="114300" distR="114300" simplePos="0" relativeHeight="251659264" behindDoc="0" locked="0" layoutInCell="1" allowOverlap="1" wp14:anchorId="60A362CF" wp14:editId="7712889F">
                      <wp:simplePos x="0" y="0"/>
                      <wp:positionH relativeFrom="column">
                        <wp:posOffset>-73025</wp:posOffset>
                      </wp:positionH>
                      <wp:positionV relativeFrom="paragraph">
                        <wp:posOffset>-8255</wp:posOffset>
                      </wp:positionV>
                      <wp:extent cx="266700" cy="394970"/>
                      <wp:effectExtent l="0" t="0" r="19050" b="24130"/>
                      <wp:wrapNone/>
                      <wp:docPr id="264" name="Straight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66700" cy="3949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85" o:spid="_x0000_s1026" style="position:absolute;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5pt,-.65pt" to="15.25pt,3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" strokecolor="black [3040]">
                      <o:lock v:ext="edit" shapetype="f"/>
                    </v:line>
                  </w:pict>
                </mc:Fallback>
              </mc:AlternateContent>
            </w:r>
            <w:r w:rsidRPr="00443773">
              <w:rPr>
                <w:rFonts w:ascii="Calibri" w:eastAsia="Times New Roman" w:hAnsi="Calibri" w:cs="Times New Roman"/>
                <w:b/>
                <w:bCs/>
                <w:color w:val="000000"/>
                <w:sz w:val="20"/>
                <w:szCs w:val="20"/>
              </w:rPr>
              <w:t>u</w:t>
            </w:r>
          </w:p>
        </w:tc>
        <w:tc>
          <w:tcPr>
            <w:tcW w:w="2002" w:type="dxa"/>
            <w:gridSpan w:val="3"/>
            <w:tcBorders>
              <w:top w:val="nil"/>
              <w:left w:val="nil"/>
              <w:bottom w:val="single" w:sz="4" w:space="0" w:color="auto"/>
              <w:right w:val="single" w:sz="4" w:space="0" w:color="000000"/>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b/>
                <w:bCs/>
                <w:color w:val="000000"/>
                <w:sz w:val="20"/>
                <w:szCs w:val="20"/>
              </w:rPr>
            </w:pPr>
            <w:r w:rsidRPr="00443773">
              <w:rPr>
                <w:rFonts w:ascii="Calibri" w:eastAsia="Times New Roman" w:hAnsi="Calibri" w:cs="Times New Roman"/>
                <w:b/>
                <w:bCs/>
                <w:color w:val="000000"/>
                <w:sz w:val="20"/>
                <w:szCs w:val="20"/>
              </w:rPr>
              <w:t>5</w:t>
            </w:r>
          </w:p>
        </w:tc>
        <w:tc>
          <w:tcPr>
            <w:tcW w:w="2001" w:type="dxa"/>
            <w:gridSpan w:val="3"/>
            <w:tcBorders>
              <w:top w:val="nil"/>
              <w:left w:val="nil"/>
              <w:bottom w:val="single" w:sz="4" w:space="0" w:color="auto"/>
              <w:right w:val="single" w:sz="4" w:space="0" w:color="000000"/>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b/>
                <w:bCs/>
                <w:color w:val="000000"/>
                <w:sz w:val="20"/>
                <w:szCs w:val="20"/>
              </w:rPr>
            </w:pPr>
            <w:r w:rsidRPr="00443773">
              <w:rPr>
                <w:rFonts w:ascii="Calibri" w:eastAsia="Times New Roman" w:hAnsi="Calibri" w:cs="Times New Roman"/>
                <w:b/>
                <w:bCs/>
                <w:color w:val="000000"/>
                <w:sz w:val="20"/>
                <w:szCs w:val="20"/>
              </w:rPr>
              <w:t>6</w:t>
            </w:r>
          </w:p>
        </w:tc>
        <w:tc>
          <w:tcPr>
            <w:tcW w:w="2001" w:type="dxa"/>
            <w:gridSpan w:val="3"/>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b/>
                <w:bCs/>
                <w:color w:val="000000"/>
                <w:sz w:val="20"/>
                <w:szCs w:val="20"/>
              </w:rPr>
            </w:pPr>
            <w:r w:rsidRPr="00443773">
              <w:rPr>
                <w:rFonts w:ascii="Calibri" w:eastAsia="Times New Roman" w:hAnsi="Calibri" w:cs="Times New Roman"/>
                <w:b/>
                <w:bCs/>
                <w:color w:val="000000"/>
                <w:sz w:val="20"/>
                <w:szCs w:val="20"/>
              </w:rPr>
              <w:t>7</w:t>
            </w:r>
          </w:p>
        </w:tc>
        <w:tc>
          <w:tcPr>
            <w:tcW w:w="2001" w:type="dxa"/>
            <w:gridSpan w:val="3"/>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b/>
                <w:bCs/>
                <w:color w:val="000000"/>
                <w:sz w:val="20"/>
                <w:szCs w:val="20"/>
              </w:rPr>
            </w:pPr>
            <w:r w:rsidRPr="00443773">
              <w:rPr>
                <w:rFonts w:ascii="Calibri" w:eastAsia="Times New Roman" w:hAnsi="Calibri" w:cs="Times New Roman"/>
                <w:b/>
                <w:bCs/>
                <w:color w:val="000000"/>
                <w:sz w:val="20"/>
                <w:szCs w:val="20"/>
              </w:rPr>
              <w:t>8</w:t>
            </w:r>
          </w:p>
        </w:tc>
      </w:tr>
      <w:tr w:rsidR="00E664E4" w:rsidRPr="00443773" w:rsidTr="003D664B">
        <w:trPr>
          <w:trHeight w:val="300"/>
          <w:jc w:val="center"/>
        </w:trPr>
        <w:tc>
          <w:tcPr>
            <w:tcW w:w="335" w:type="dxa"/>
            <w:tcBorders>
              <w:top w:val="nil"/>
              <w:left w:val="single" w:sz="4" w:space="0" w:color="auto"/>
              <w:bottom w:val="nil"/>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b/>
                <w:bCs/>
                <w:color w:val="000000"/>
                <w:sz w:val="20"/>
                <w:szCs w:val="20"/>
              </w:rPr>
            </w:pPr>
            <w:r w:rsidRPr="00443773">
              <w:rPr>
                <w:rFonts w:ascii="Calibri" w:eastAsia="Times New Roman" w:hAnsi="Calibri" w:cs="Times New Roman"/>
                <w:b/>
                <w:bCs/>
                <w:color w:val="000000"/>
                <w:sz w:val="20"/>
                <w:szCs w:val="20"/>
              </w:rPr>
              <w:t>y</w:t>
            </w:r>
          </w:p>
        </w:tc>
        <w:tc>
          <w:tcPr>
            <w:tcW w:w="687"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b/>
                <w:bCs/>
                <w:color w:val="000000"/>
                <w:sz w:val="20"/>
                <w:szCs w:val="20"/>
              </w:rPr>
            </w:pPr>
            <w:r w:rsidRPr="00443773">
              <w:rPr>
                <w:rFonts w:ascii="Calibri" w:eastAsia="Times New Roman" w:hAnsi="Calibri" w:cs="Times New Roman"/>
                <w:b/>
                <w:bCs/>
                <w:color w:val="000000"/>
                <w:sz w:val="20"/>
                <w:szCs w:val="20"/>
              </w:rPr>
              <w:t>+10%</w:t>
            </w:r>
          </w:p>
        </w:tc>
        <w:tc>
          <w:tcPr>
            <w:tcW w:w="630"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b/>
                <w:bCs/>
                <w:color w:val="000000"/>
                <w:sz w:val="20"/>
                <w:szCs w:val="20"/>
              </w:rPr>
            </w:pPr>
            <w:r w:rsidRPr="00443773">
              <w:rPr>
                <w:rFonts w:ascii="Calibri" w:eastAsia="Times New Roman" w:hAnsi="Calibri" w:cs="Times New Roman"/>
                <w:b/>
                <w:bCs/>
                <w:color w:val="000000"/>
                <w:sz w:val="20"/>
                <w:szCs w:val="20"/>
              </w:rPr>
              <w:t>-10%</w:t>
            </w:r>
          </w:p>
        </w:tc>
        <w:tc>
          <w:tcPr>
            <w:tcW w:w="685"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b/>
                <w:bCs/>
                <w:color w:val="000000"/>
                <w:sz w:val="20"/>
                <w:szCs w:val="20"/>
              </w:rPr>
            </w:pPr>
            <w:r w:rsidRPr="00443773">
              <w:rPr>
                <w:rFonts w:ascii="Calibri" w:eastAsia="Times New Roman" w:hAnsi="Calibri" w:cs="Times New Roman"/>
                <w:b/>
                <w:bCs/>
                <w:color w:val="000000"/>
                <w:sz w:val="20"/>
                <w:szCs w:val="20"/>
              </w:rPr>
              <w:t>%Diff</w:t>
            </w:r>
          </w:p>
        </w:tc>
        <w:tc>
          <w:tcPr>
            <w:tcW w:w="686"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b/>
                <w:bCs/>
                <w:color w:val="000000"/>
                <w:sz w:val="20"/>
                <w:szCs w:val="20"/>
              </w:rPr>
            </w:pPr>
            <w:r w:rsidRPr="00443773">
              <w:rPr>
                <w:rFonts w:ascii="Calibri" w:eastAsia="Times New Roman" w:hAnsi="Calibri" w:cs="Times New Roman"/>
                <w:b/>
                <w:bCs/>
                <w:color w:val="000000"/>
                <w:sz w:val="20"/>
                <w:szCs w:val="20"/>
              </w:rPr>
              <w:t>+10%</w:t>
            </w:r>
          </w:p>
        </w:tc>
        <w:tc>
          <w:tcPr>
            <w:tcW w:w="630"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b/>
                <w:bCs/>
                <w:color w:val="000000"/>
                <w:sz w:val="20"/>
                <w:szCs w:val="20"/>
              </w:rPr>
            </w:pPr>
            <w:r w:rsidRPr="00443773">
              <w:rPr>
                <w:rFonts w:ascii="Calibri" w:eastAsia="Times New Roman" w:hAnsi="Calibri" w:cs="Times New Roman"/>
                <w:b/>
                <w:bCs/>
                <w:color w:val="000000"/>
                <w:sz w:val="20"/>
                <w:szCs w:val="20"/>
              </w:rPr>
              <w:t>-10%</w:t>
            </w:r>
          </w:p>
        </w:tc>
        <w:tc>
          <w:tcPr>
            <w:tcW w:w="685"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b/>
                <w:bCs/>
                <w:color w:val="000000"/>
                <w:sz w:val="20"/>
                <w:szCs w:val="20"/>
              </w:rPr>
            </w:pPr>
            <w:r w:rsidRPr="00443773">
              <w:rPr>
                <w:rFonts w:ascii="Calibri" w:eastAsia="Times New Roman" w:hAnsi="Calibri" w:cs="Times New Roman"/>
                <w:b/>
                <w:bCs/>
                <w:color w:val="000000"/>
                <w:sz w:val="20"/>
                <w:szCs w:val="20"/>
              </w:rPr>
              <w:t>%Diff</w:t>
            </w:r>
          </w:p>
        </w:tc>
        <w:tc>
          <w:tcPr>
            <w:tcW w:w="686"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b/>
                <w:bCs/>
                <w:color w:val="000000"/>
                <w:sz w:val="20"/>
                <w:szCs w:val="20"/>
              </w:rPr>
            </w:pPr>
            <w:r w:rsidRPr="00443773">
              <w:rPr>
                <w:rFonts w:ascii="Calibri" w:eastAsia="Times New Roman" w:hAnsi="Calibri" w:cs="Times New Roman"/>
                <w:b/>
                <w:bCs/>
                <w:color w:val="000000"/>
                <w:sz w:val="20"/>
                <w:szCs w:val="20"/>
              </w:rPr>
              <w:t>+10%</w:t>
            </w:r>
          </w:p>
        </w:tc>
        <w:tc>
          <w:tcPr>
            <w:tcW w:w="630"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b/>
                <w:bCs/>
                <w:color w:val="000000"/>
                <w:sz w:val="20"/>
                <w:szCs w:val="20"/>
              </w:rPr>
            </w:pPr>
            <w:r w:rsidRPr="00443773">
              <w:rPr>
                <w:rFonts w:ascii="Calibri" w:eastAsia="Times New Roman" w:hAnsi="Calibri" w:cs="Times New Roman"/>
                <w:b/>
                <w:bCs/>
                <w:color w:val="000000"/>
                <w:sz w:val="20"/>
                <w:szCs w:val="20"/>
              </w:rPr>
              <w:t>-10%</w:t>
            </w:r>
          </w:p>
        </w:tc>
        <w:tc>
          <w:tcPr>
            <w:tcW w:w="685"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b/>
                <w:bCs/>
                <w:color w:val="000000"/>
                <w:sz w:val="20"/>
                <w:szCs w:val="20"/>
              </w:rPr>
            </w:pPr>
            <w:r w:rsidRPr="00443773">
              <w:rPr>
                <w:rFonts w:ascii="Calibri" w:eastAsia="Times New Roman" w:hAnsi="Calibri" w:cs="Times New Roman"/>
                <w:b/>
                <w:bCs/>
                <w:color w:val="000000"/>
                <w:sz w:val="20"/>
                <w:szCs w:val="20"/>
              </w:rPr>
              <w:t>%Diff</w:t>
            </w:r>
          </w:p>
        </w:tc>
        <w:tc>
          <w:tcPr>
            <w:tcW w:w="686"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b/>
                <w:bCs/>
                <w:color w:val="000000"/>
                <w:sz w:val="20"/>
                <w:szCs w:val="20"/>
              </w:rPr>
            </w:pPr>
            <w:r w:rsidRPr="00443773">
              <w:rPr>
                <w:rFonts w:ascii="Calibri" w:eastAsia="Times New Roman" w:hAnsi="Calibri" w:cs="Times New Roman"/>
                <w:b/>
                <w:bCs/>
                <w:color w:val="000000"/>
                <w:sz w:val="20"/>
                <w:szCs w:val="20"/>
              </w:rPr>
              <w:t>+10%</w:t>
            </w:r>
          </w:p>
        </w:tc>
        <w:tc>
          <w:tcPr>
            <w:tcW w:w="630"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b/>
                <w:bCs/>
                <w:color w:val="000000"/>
                <w:sz w:val="20"/>
                <w:szCs w:val="20"/>
              </w:rPr>
            </w:pPr>
            <w:r w:rsidRPr="00443773">
              <w:rPr>
                <w:rFonts w:ascii="Calibri" w:eastAsia="Times New Roman" w:hAnsi="Calibri" w:cs="Times New Roman"/>
                <w:b/>
                <w:bCs/>
                <w:color w:val="000000"/>
                <w:sz w:val="20"/>
                <w:szCs w:val="20"/>
              </w:rPr>
              <w:t>-10%</w:t>
            </w:r>
          </w:p>
        </w:tc>
        <w:tc>
          <w:tcPr>
            <w:tcW w:w="685"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b/>
                <w:bCs/>
                <w:color w:val="000000"/>
                <w:sz w:val="20"/>
                <w:szCs w:val="20"/>
              </w:rPr>
            </w:pPr>
            <w:r w:rsidRPr="00443773">
              <w:rPr>
                <w:rFonts w:ascii="Calibri" w:eastAsia="Times New Roman" w:hAnsi="Calibri" w:cs="Times New Roman"/>
                <w:b/>
                <w:bCs/>
                <w:color w:val="000000"/>
                <w:sz w:val="20"/>
                <w:szCs w:val="20"/>
              </w:rPr>
              <w:t>%Diff</w:t>
            </w:r>
          </w:p>
        </w:tc>
      </w:tr>
      <w:tr w:rsidR="00E664E4" w:rsidRPr="00443773" w:rsidTr="003D664B">
        <w:trPr>
          <w:trHeight w:val="300"/>
          <w:jc w:val="center"/>
        </w:trPr>
        <w:tc>
          <w:tcPr>
            <w:tcW w:w="3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b/>
                <w:bCs/>
                <w:color w:val="000000"/>
                <w:sz w:val="20"/>
                <w:szCs w:val="20"/>
              </w:rPr>
            </w:pPr>
            <w:r w:rsidRPr="00443773">
              <w:rPr>
                <w:rFonts w:ascii="Calibri" w:eastAsia="Times New Roman" w:hAnsi="Calibri" w:cs="Times New Roman"/>
                <w:b/>
                <w:bCs/>
                <w:color w:val="000000"/>
                <w:sz w:val="20"/>
                <w:szCs w:val="20"/>
              </w:rPr>
              <w:t>40</w:t>
            </w:r>
          </w:p>
        </w:tc>
        <w:tc>
          <w:tcPr>
            <w:tcW w:w="687"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-3.8</w:t>
            </w:r>
          </w:p>
        </w:tc>
        <w:tc>
          <w:tcPr>
            <w:tcW w:w="630"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-3.5</w:t>
            </w:r>
          </w:p>
        </w:tc>
        <w:tc>
          <w:tcPr>
            <w:tcW w:w="685"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7.7</w:t>
            </w:r>
          </w:p>
        </w:tc>
        <w:tc>
          <w:tcPr>
            <w:tcW w:w="686"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 </w:t>
            </w:r>
          </w:p>
        </w:tc>
        <w:tc>
          <w:tcPr>
            <w:tcW w:w="630"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 </w:t>
            </w:r>
          </w:p>
        </w:tc>
        <w:tc>
          <w:tcPr>
            <w:tcW w:w="685"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 </w:t>
            </w:r>
          </w:p>
        </w:tc>
        <w:tc>
          <w:tcPr>
            <w:tcW w:w="686"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0.37</w:t>
            </w:r>
          </w:p>
        </w:tc>
        <w:tc>
          <w:tcPr>
            <w:tcW w:w="630"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0.34</w:t>
            </w:r>
          </w:p>
        </w:tc>
        <w:tc>
          <w:tcPr>
            <w:tcW w:w="685"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7.1</w:t>
            </w:r>
          </w:p>
        </w:tc>
        <w:tc>
          <w:tcPr>
            <w:tcW w:w="686"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 </w:t>
            </w:r>
          </w:p>
        </w:tc>
        <w:tc>
          <w:tcPr>
            <w:tcW w:w="630"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 </w:t>
            </w:r>
          </w:p>
        </w:tc>
        <w:tc>
          <w:tcPr>
            <w:tcW w:w="685"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rPr>
            </w:pPr>
            <w:r w:rsidRPr="00443773">
              <w:rPr>
                <w:rFonts w:ascii="Calibri" w:eastAsia="Times New Roman" w:hAnsi="Calibri" w:cs="Times New Roman"/>
                <w:color w:val="000000"/>
              </w:rPr>
              <w:t> </w:t>
            </w:r>
          </w:p>
        </w:tc>
      </w:tr>
      <w:tr w:rsidR="00E664E4" w:rsidRPr="00443773" w:rsidTr="003D664B">
        <w:trPr>
          <w:trHeight w:val="300"/>
          <w:jc w:val="center"/>
        </w:trPr>
        <w:tc>
          <w:tcPr>
            <w:tcW w:w="335" w:type="dxa"/>
            <w:tcBorders>
              <w:top w:val="nil"/>
              <w:left w:val="single" w:sz="4" w:space="0" w:color="auto"/>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b/>
                <w:bCs/>
                <w:color w:val="000000"/>
                <w:sz w:val="20"/>
                <w:szCs w:val="20"/>
              </w:rPr>
            </w:pPr>
            <w:r w:rsidRPr="00443773">
              <w:rPr>
                <w:rFonts w:ascii="Calibri" w:eastAsia="Times New Roman" w:hAnsi="Calibri" w:cs="Times New Roman"/>
                <w:b/>
                <w:bCs/>
                <w:color w:val="000000"/>
                <w:sz w:val="20"/>
                <w:szCs w:val="20"/>
              </w:rPr>
              <w:t>41</w:t>
            </w:r>
          </w:p>
        </w:tc>
        <w:tc>
          <w:tcPr>
            <w:tcW w:w="687"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 </w:t>
            </w:r>
          </w:p>
        </w:tc>
        <w:tc>
          <w:tcPr>
            <w:tcW w:w="630"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 </w:t>
            </w:r>
          </w:p>
        </w:tc>
        <w:tc>
          <w:tcPr>
            <w:tcW w:w="685"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 </w:t>
            </w:r>
          </w:p>
        </w:tc>
        <w:tc>
          <w:tcPr>
            <w:tcW w:w="686"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-1.6</w:t>
            </w:r>
          </w:p>
        </w:tc>
        <w:tc>
          <w:tcPr>
            <w:tcW w:w="630"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-1.3</w:t>
            </w:r>
          </w:p>
        </w:tc>
        <w:tc>
          <w:tcPr>
            <w:tcW w:w="685"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17.5</w:t>
            </w:r>
          </w:p>
        </w:tc>
        <w:tc>
          <w:tcPr>
            <w:tcW w:w="686"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0.45</w:t>
            </w:r>
          </w:p>
        </w:tc>
        <w:tc>
          <w:tcPr>
            <w:tcW w:w="630"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0.41</w:t>
            </w:r>
          </w:p>
        </w:tc>
        <w:tc>
          <w:tcPr>
            <w:tcW w:w="685"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8.6</w:t>
            </w:r>
          </w:p>
        </w:tc>
        <w:tc>
          <w:tcPr>
            <w:tcW w:w="686"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0.44</w:t>
            </w:r>
          </w:p>
        </w:tc>
        <w:tc>
          <w:tcPr>
            <w:tcW w:w="630"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0.40</w:t>
            </w:r>
          </w:p>
        </w:tc>
        <w:tc>
          <w:tcPr>
            <w:tcW w:w="685" w:type="dxa"/>
            <w:tcBorders>
              <w:top w:val="nil"/>
              <w:left w:val="nil"/>
              <w:bottom w:val="single" w:sz="4"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8.4</w:t>
            </w:r>
          </w:p>
        </w:tc>
      </w:tr>
      <w:tr w:rsidR="00E664E4" w:rsidRPr="00443773" w:rsidTr="003D664B">
        <w:trPr>
          <w:trHeight w:val="315"/>
          <w:jc w:val="center"/>
        </w:trPr>
        <w:tc>
          <w:tcPr>
            <w:tcW w:w="335" w:type="dxa"/>
            <w:tcBorders>
              <w:top w:val="nil"/>
              <w:left w:val="single" w:sz="4" w:space="0" w:color="auto"/>
              <w:bottom w:val="single" w:sz="8"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b/>
                <w:bCs/>
                <w:color w:val="000000"/>
                <w:sz w:val="20"/>
                <w:szCs w:val="20"/>
              </w:rPr>
            </w:pPr>
            <w:r w:rsidRPr="00443773">
              <w:rPr>
                <w:rFonts w:ascii="Calibri" w:eastAsia="Times New Roman" w:hAnsi="Calibri" w:cs="Times New Roman"/>
                <w:b/>
                <w:bCs/>
                <w:color w:val="000000"/>
                <w:sz w:val="20"/>
                <w:szCs w:val="20"/>
              </w:rPr>
              <w:t>92</w:t>
            </w:r>
          </w:p>
        </w:tc>
        <w:tc>
          <w:tcPr>
            <w:tcW w:w="687" w:type="dxa"/>
            <w:tcBorders>
              <w:top w:val="nil"/>
              <w:left w:val="nil"/>
              <w:bottom w:val="single" w:sz="8"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 </w:t>
            </w:r>
          </w:p>
        </w:tc>
        <w:tc>
          <w:tcPr>
            <w:tcW w:w="630" w:type="dxa"/>
            <w:tcBorders>
              <w:top w:val="nil"/>
              <w:left w:val="nil"/>
              <w:bottom w:val="single" w:sz="8"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 </w:t>
            </w:r>
          </w:p>
        </w:tc>
        <w:tc>
          <w:tcPr>
            <w:tcW w:w="685" w:type="dxa"/>
            <w:tcBorders>
              <w:top w:val="nil"/>
              <w:left w:val="nil"/>
              <w:bottom w:val="single" w:sz="8"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 </w:t>
            </w:r>
          </w:p>
        </w:tc>
        <w:tc>
          <w:tcPr>
            <w:tcW w:w="686" w:type="dxa"/>
            <w:tcBorders>
              <w:top w:val="nil"/>
              <w:left w:val="nil"/>
              <w:bottom w:val="single" w:sz="8"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0.63</w:t>
            </w:r>
          </w:p>
        </w:tc>
        <w:tc>
          <w:tcPr>
            <w:tcW w:w="630" w:type="dxa"/>
            <w:tcBorders>
              <w:top w:val="nil"/>
              <w:left w:val="nil"/>
              <w:bottom w:val="single" w:sz="8"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0.52</w:t>
            </w:r>
          </w:p>
        </w:tc>
        <w:tc>
          <w:tcPr>
            <w:tcW w:w="685" w:type="dxa"/>
            <w:tcBorders>
              <w:top w:val="nil"/>
              <w:left w:val="nil"/>
              <w:bottom w:val="single" w:sz="8"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17.5</w:t>
            </w:r>
          </w:p>
        </w:tc>
        <w:tc>
          <w:tcPr>
            <w:tcW w:w="686" w:type="dxa"/>
            <w:tcBorders>
              <w:top w:val="nil"/>
              <w:left w:val="nil"/>
              <w:bottom w:val="single" w:sz="8"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0.13</w:t>
            </w:r>
          </w:p>
        </w:tc>
        <w:tc>
          <w:tcPr>
            <w:tcW w:w="630" w:type="dxa"/>
            <w:tcBorders>
              <w:top w:val="nil"/>
              <w:left w:val="nil"/>
              <w:bottom w:val="single" w:sz="8"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0.12</w:t>
            </w:r>
          </w:p>
        </w:tc>
        <w:tc>
          <w:tcPr>
            <w:tcW w:w="685" w:type="dxa"/>
            <w:tcBorders>
              <w:top w:val="nil"/>
              <w:left w:val="nil"/>
              <w:bottom w:val="single" w:sz="8"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8.6</w:t>
            </w:r>
          </w:p>
        </w:tc>
        <w:tc>
          <w:tcPr>
            <w:tcW w:w="686" w:type="dxa"/>
            <w:tcBorders>
              <w:top w:val="nil"/>
              <w:left w:val="nil"/>
              <w:bottom w:val="single" w:sz="8"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0.44</w:t>
            </w:r>
          </w:p>
        </w:tc>
        <w:tc>
          <w:tcPr>
            <w:tcW w:w="630" w:type="dxa"/>
            <w:tcBorders>
              <w:top w:val="nil"/>
              <w:left w:val="nil"/>
              <w:bottom w:val="single" w:sz="8"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0.40</w:t>
            </w:r>
          </w:p>
        </w:tc>
        <w:tc>
          <w:tcPr>
            <w:tcW w:w="685" w:type="dxa"/>
            <w:tcBorders>
              <w:top w:val="nil"/>
              <w:left w:val="nil"/>
              <w:bottom w:val="single" w:sz="8" w:space="0" w:color="auto"/>
              <w:right w:val="single" w:sz="4" w:space="0" w:color="auto"/>
            </w:tcBorders>
            <w:shd w:val="clear" w:color="auto" w:fill="auto"/>
            <w:noWrap/>
            <w:vAlign w:val="center"/>
            <w:hideMark/>
          </w:tcPr>
          <w:p w:rsidR="00E664E4" w:rsidRPr="00443773" w:rsidRDefault="00E664E4" w:rsidP="003D664B">
            <w:pPr>
              <w:spacing w:after="0" w:line="240" w:lineRule="auto"/>
              <w:jc w:val="center"/>
              <w:rPr>
                <w:rFonts w:ascii="Calibri" w:eastAsia="Times New Roman" w:hAnsi="Calibri" w:cs="Times New Roman"/>
                <w:color w:val="000000"/>
                <w:sz w:val="20"/>
                <w:szCs w:val="20"/>
              </w:rPr>
            </w:pPr>
            <w:r w:rsidRPr="00443773">
              <w:rPr>
                <w:rFonts w:ascii="Calibri" w:eastAsia="Times New Roman" w:hAnsi="Calibri" w:cs="Times New Roman"/>
                <w:color w:val="000000"/>
                <w:sz w:val="20"/>
                <w:szCs w:val="20"/>
              </w:rPr>
              <w:t>8.4</w:t>
            </w:r>
          </w:p>
        </w:tc>
      </w:tr>
    </w:tbl>
    <w:p w:rsidR="00E664E4" w:rsidRDefault="00E664E4" w:rsidP="00E664E4"/>
    <w:p w:rsidR="00424396" w:rsidRDefault="00424396" w:rsidP="00E664E4"/>
    <w:p w:rsidR="005C239D" w:rsidRDefault="005C239D" w:rsidP="00E664E4">
      <w:r>
        <w:t xml:space="preserve"> </w:t>
      </w:r>
    </w:p>
    <w:p w:rsidR="00185A08" w:rsidRDefault="00185A08">
      <w:r>
        <w:br w:type="page"/>
      </w:r>
    </w:p>
    <w:tbl>
      <w:tblPr>
        <w:tblW w:w="9360" w:type="dxa"/>
        <w:jc w:val="center"/>
        <w:tblInd w:w="93" w:type="dxa"/>
        <w:tblLook w:val="04A0" w:firstRow="1" w:lastRow="0" w:firstColumn="1" w:lastColumn="0" w:noHBand="0" w:noVBand="1"/>
      </w:tblPr>
      <w:tblGrid>
        <w:gridCol w:w="1249"/>
        <w:gridCol w:w="494"/>
        <w:gridCol w:w="1376"/>
        <w:gridCol w:w="1175"/>
        <w:gridCol w:w="1175"/>
        <w:gridCol w:w="1376"/>
        <w:gridCol w:w="1139"/>
        <w:gridCol w:w="1376"/>
      </w:tblGrid>
      <w:tr w:rsidR="00185A08" w:rsidRPr="00185A08" w:rsidTr="00185A08">
        <w:trPr>
          <w:trHeight w:val="270"/>
          <w:jc w:val="center"/>
        </w:trPr>
        <w:tc>
          <w:tcPr>
            <w:tcW w:w="9360" w:type="dxa"/>
            <w:gridSpan w:val="8"/>
            <w:tcBorders>
              <w:top w:val="nil"/>
              <w:left w:val="nil"/>
              <w:bottom w:val="single" w:sz="8"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lastRenderedPageBreak/>
              <w:t>Table 4.6. Steady-State Component Molar Flow Rate (</w:t>
            </w:r>
            <w:proofErr w:type="spellStart"/>
            <w:r w:rsidRPr="00185A08">
              <w:rPr>
                <w:rFonts w:ascii="Calibri" w:eastAsia="Times New Roman" w:hAnsi="Calibri" w:cs="Times New Roman"/>
                <w:b/>
                <w:bCs/>
                <w:color w:val="000000"/>
                <w:sz w:val="20"/>
                <w:szCs w:val="20"/>
              </w:rPr>
              <w:t>mol</w:t>
            </w:r>
            <w:proofErr w:type="spellEnd"/>
            <w:r w:rsidRPr="00185A08">
              <w:rPr>
                <w:rFonts w:ascii="Calibri" w:eastAsia="Times New Roman" w:hAnsi="Calibri" w:cs="Times New Roman"/>
                <w:b/>
                <w:bCs/>
                <w:color w:val="000000"/>
                <w:sz w:val="20"/>
                <w:szCs w:val="20"/>
              </w:rPr>
              <w:t>/h) for Module 1</w:t>
            </w:r>
          </w:p>
        </w:tc>
      </w:tr>
      <w:tr w:rsidR="00185A08" w:rsidRPr="00185A08" w:rsidTr="00185A08">
        <w:trPr>
          <w:trHeight w:val="255"/>
          <w:jc w:val="center"/>
        </w:trPr>
        <w:tc>
          <w:tcPr>
            <w:tcW w:w="124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p>
        </w:tc>
        <w:tc>
          <w:tcPr>
            <w:tcW w:w="494"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p>
        </w:tc>
        <w:tc>
          <w:tcPr>
            <w:tcW w:w="7617" w:type="dxa"/>
            <w:gridSpan w:val="6"/>
            <w:tcBorders>
              <w:top w:val="single" w:sz="8" w:space="0" w:color="auto"/>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t>Stream Number (Stream Type)</w:t>
            </w:r>
          </w:p>
        </w:tc>
      </w:tr>
      <w:tr w:rsidR="00185A08" w:rsidRPr="00185A08" w:rsidTr="00185A08">
        <w:trPr>
          <w:trHeight w:val="255"/>
          <w:jc w:val="center"/>
        </w:trPr>
        <w:tc>
          <w:tcPr>
            <w:tcW w:w="1743" w:type="dxa"/>
            <w:gridSpan w:val="2"/>
            <w:tcBorders>
              <w:top w:val="nil"/>
              <w:left w:val="nil"/>
              <w:bottom w:val="nil"/>
              <w:right w:val="nil"/>
            </w:tcBorders>
            <w:shd w:val="clear" w:color="auto" w:fill="auto"/>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t>Component</w:t>
            </w:r>
          </w:p>
        </w:tc>
        <w:tc>
          <w:tcPr>
            <w:tcW w:w="1376" w:type="dxa"/>
            <w:tcBorders>
              <w:top w:val="nil"/>
              <w:left w:val="nil"/>
              <w:bottom w:val="nil"/>
              <w:right w:val="nil"/>
            </w:tcBorders>
            <w:shd w:val="clear" w:color="auto" w:fill="auto"/>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1A</w:t>
            </w:r>
          </w:p>
        </w:tc>
        <w:tc>
          <w:tcPr>
            <w:tcW w:w="1175" w:type="dxa"/>
            <w:tcBorders>
              <w:top w:val="nil"/>
              <w:left w:val="nil"/>
              <w:bottom w:val="nil"/>
              <w:right w:val="nil"/>
            </w:tcBorders>
            <w:shd w:val="clear" w:color="auto" w:fill="auto"/>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2A</w:t>
            </w:r>
          </w:p>
        </w:tc>
        <w:tc>
          <w:tcPr>
            <w:tcW w:w="1175" w:type="dxa"/>
            <w:tcBorders>
              <w:top w:val="nil"/>
              <w:left w:val="nil"/>
              <w:bottom w:val="nil"/>
              <w:right w:val="nil"/>
            </w:tcBorders>
            <w:shd w:val="clear" w:color="auto" w:fill="auto"/>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3A</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t>1</w:t>
            </w:r>
          </w:p>
        </w:tc>
        <w:tc>
          <w:tcPr>
            <w:tcW w:w="113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B050"/>
                <w:sz w:val="20"/>
                <w:szCs w:val="20"/>
              </w:rPr>
            </w:pPr>
            <w:r w:rsidRPr="00185A08">
              <w:rPr>
                <w:rFonts w:ascii="Calibri" w:eastAsia="Times New Roman" w:hAnsi="Calibri" w:cs="Times New Roman"/>
                <w:b/>
                <w:bCs/>
                <w:color w:val="00B050"/>
                <w:sz w:val="20"/>
                <w:szCs w:val="20"/>
              </w:rPr>
              <w:t>2</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t>3</w:t>
            </w:r>
          </w:p>
        </w:tc>
      </w:tr>
      <w:tr w:rsidR="00185A08" w:rsidRPr="00185A08" w:rsidTr="00185A08">
        <w:trPr>
          <w:trHeight w:val="255"/>
          <w:jc w:val="center"/>
        </w:trPr>
        <w:tc>
          <w:tcPr>
            <w:tcW w:w="1249" w:type="dxa"/>
            <w:tcBorders>
              <w:top w:val="nil"/>
              <w:left w:val="nil"/>
              <w:bottom w:val="single" w:sz="4" w:space="0" w:color="auto"/>
              <w:right w:val="nil"/>
            </w:tcBorders>
            <w:shd w:val="clear" w:color="auto" w:fill="auto"/>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t>Formula</w:t>
            </w:r>
          </w:p>
        </w:tc>
        <w:tc>
          <w:tcPr>
            <w:tcW w:w="494" w:type="dxa"/>
            <w:tcBorders>
              <w:top w:val="nil"/>
              <w:left w:val="nil"/>
              <w:bottom w:val="single" w:sz="4" w:space="0" w:color="auto"/>
              <w:right w:val="nil"/>
            </w:tcBorders>
            <w:shd w:val="clear" w:color="auto" w:fill="auto"/>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t>#</w:t>
            </w:r>
          </w:p>
        </w:tc>
        <w:tc>
          <w:tcPr>
            <w:tcW w:w="1376" w:type="dxa"/>
            <w:tcBorders>
              <w:top w:val="nil"/>
              <w:left w:val="nil"/>
              <w:bottom w:val="single" w:sz="4" w:space="0" w:color="auto"/>
              <w:right w:val="nil"/>
            </w:tcBorders>
            <w:shd w:val="clear" w:color="auto" w:fill="auto"/>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(Input)</w:t>
            </w:r>
          </w:p>
        </w:tc>
        <w:tc>
          <w:tcPr>
            <w:tcW w:w="1175" w:type="dxa"/>
            <w:tcBorders>
              <w:top w:val="nil"/>
              <w:left w:val="nil"/>
              <w:bottom w:val="single" w:sz="4" w:space="0" w:color="auto"/>
              <w:right w:val="nil"/>
            </w:tcBorders>
            <w:shd w:val="clear" w:color="auto" w:fill="auto"/>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(Input)</w:t>
            </w:r>
          </w:p>
        </w:tc>
        <w:tc>
          <w:tcPr>
            <w:tcW w:w="1175" w:type="dxa"/>
            <w:tcBorders>
              <w:top w:val="nil"/>
              <w:left w:val="nil"/>
              <w:bottom w:val="single" w:sz="4" w:space="0" w:color="auto"/>
              <w:right w:val="nil"/>
            </w:tcBorders>
            <w:shd w:val="clear" w:color="auto" w:fill="auto"/>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(Input)</w:t>
            </w:r>
          </w:p>
        </w:tc>
        <w:tc>
          <w:tcPr>
            <w:tcW w:w="1376" w:type="dxa"/>
            <w:tcBorders>
              <w:top w:val="nil"/>
              <w:left w:val="nil"/>
              <w:bottom w:val="single" w:sz="4"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t>(</w:t>
            </w:r>
            <w:proofErr w:type="spellStart"/>
            <w:r w:rsidRPr="00185A08">
              <w:rPr>
                <w:rFonts w:ascii="Calibri" w:eastAsia="Times New Roman" w:hAnsi="Calibri" w:cs="Times New Roman"/>
                <w:b/>
                <w:bCs/>
                <w:color w:val="000000"/>
                <w:sz w:val="20"/>
                <w:szCs w:val="20"/>
              </w:rPr>
              <w:t>Intermed</w:t>
            </w:r>
            <w:proofErr w:type="spellEnd"/>
            <w:r w:rsidRPr="00185A08">
              <w:rPr>
                <w:rFonts w:ascii="Calibri" w:eastAsia="Times New Roman" w:hAnsi="Calibri" w:cs="Times New Roman"/>
                <w:b/>
                <w:bCs/>
                <w:color w:val="000000"/>
                <w:sz w:val="20"/>
                <w:szCs w:val="20"/>
              </w:rPr>
              <w:t>.)</w:t>
            </w:r>
          </w:p>
        </w:tc>
        <w:tc>
          <w:tcPr>
            <w:tcW w:w="1139" w:type="dxa"/>
            <w:tcBorders>
              <w:top w:val="nil"/>
              <w:left w:val="nil"/>
              <w:bottom w:val="single" w:sz="4"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B050"/>
                <w:sz w:val="20"/>
                <w:szCs w:val="20"/>
              </w:rPr>
            </w:pPr>
            <w:r w:rsidRPr="00185A08">
              <w:rPr>
                <w:rFonts w:ascii="Calibri" w:eastAsia="Times New Roman" w:hAnsi="Calibri" w:cs="Times New Roman"/>
                <w:b/>
                <w:bCs/>
                <w:color w:val="00B050"/>
                <w:sz w:val="20"/>
                <w:szCs w:val="20"/>
              </w:rPr>
              <w:t>(Waste)</w:t>
            </w:r>
          </w:p>
        </w:tc>
        <w:tc>
          <w:tcPr>
            <w:tcW w:w="1376" w:type="dxa"/>
            <w:tcBorders>
              <w:top w:val="nil"/>
              <w:left w:val="nil"/>
              <w:bottom w:val="single" w:sz="4"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t>(</w:t>
            </w:r>
            <w:proofErr w:type="spellStart"/>
            <w:r w:rsidRPr="00185A08">
              <w:rPr>
                <w:rFonts w:ascii="Calibri" w:eastAsia="Times New Roman" w:hAnsi="Calibri" w:cs="Times New Roman"/>
                <w:b/>
                <w:bCs/>
                <w:color w:val="000000"/>
                <w:sz w:val="20"/>
                <w:szCs w:val="20"/>
              </w:rPr>
              <w:t>Intermed</w:t>
            </w:r>
            <w:proofErr w:type="spellEnd"/>
            <w:r w:rsidRPr="00185A08">
              <w:rPr>
                <w:rFonts w:ascii="Calibri" w:eastAsia="Times New Roman" w:hAnsi="Calibri" w:cs="Times New Roman"/>
                <w:b/>
                <w:bCs/>
                <w:color w:val="000000"/>
                <w:sz w:val="20"/>
                <w:szCs w:val="20"/>
              </w:rPr>
              <w:t>.)</w:t>
            </w:r>
          </w:p>
        </w:tc>
      </w:tr>
      <w:tr w:rsidR="00185A08" w:rsidRPr="00185A08" w:rsidTr="00185A08">
        <w:trPr>
          <w:trHeight w:val="300"/>
          <w:jc w:val="center"/>
        </w:trPr>
        <w:tc>
          <w:tcPr>
            <w:tcW w:w="124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H</w:t>
            </w:r>
            <w:r w:rsidRPr="00185A08">
              <w:rPr>
                <w:rFonts w:ascii="Calibri" w:eastAsia="Times New Roman" w:hAnsi="Calibri" w:cs="Times New Roman"/>
                <w:color w:val="000000"/>
                <w:sz w:val="20"/>
                <w:szCs w:val="20"/>
                <w:vertAlign w:val="subscript"/>
              </w:rPr>
              <w:t>2</w:t>
            </w:r>
            <w:r w:rsidRPr="00185A08">
              <w:rPr>
                <w:rFonts w:ascii="Calibri" w:eastAsia="Times New Roman" w:hAnsi="Calibri" w:cs="Times New Roman"/>
                <w:color w:val="000000"/>
                <w:sz w:val="20"/>
                <w:szCs w:val="20"/>
              </w:rPr>
              <w:t>O</w:t>
            </w:r>
          </w:p>
        </w:tc>
        <w:tc>
          <w:tcPr>
            <w:tcW w:w="494"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1</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0</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1.01 × 10</w:t>
            </w:r>
            <w:r w:rsidRPr="00185A08">
              <w:rPr>
                <w:rFonts w:ascii="Calibri" w:eastAsia="Times New Roman" w:hAnsi="Calibri" w:cs="Times New Roman"/>
                <w:b/>
                <w:bCs/>
                <w:color w:val="0070C0"/>
                <w:sz w:val="20"/>
                <w:szCs w:val="20"/>
                <w:vertAlign w:val="superscript"/>
              </w:rPr>
              <w:t>3</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3.84 × 10</w:t>
            </w:r>
            <w:r w:rsidRPr="00185A08">
              <w:rPr>
                <w:rFonts w:ascii="Calibri" w:eastAsia="Times New Roman" w:hAnsi="Calibri" w:cs="Times New Roman"/>
                <w:b/>
                <w:bCs/>
                <w:color w:val="0070C0"/>
                <w:sz w:val="20"/>
                <w:szCs w:val="20"/>
                <w:vertAlign w:val="superscript"/>
              </w:rPr>
              <w:t>3</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5.47 × 10</w:t>
            </w:r>
            <w:r w:rsidRPr="00185A08">
              <w:rPr>
                <w:rFonts w:ascii="Calibri" w:eastAsia="Times New Roman" w:hAnsi="Calibri" w:cs="Times New Roman"/>
                <w:color w:val="000000"/>
                <w:sz w:val="20"/>
                <w:szCs w:val="20"/>
                <w:vertAlign w:val="superscript"/>
              </w:rPr>
              <w:t>3</w:t>
            </w:r>
          </w:p>
        </w:tc>
        <w:tc>
          <w:tcPr>
            <w:tcW w:w="113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B050"/>
                <w:sz w:val="20"/>
                <w:szCs w:val="20"/>
              </w:rPr>
            </w:pPr>
            <w:r w:rsidRPr="00185A08">
              <w:rPr>
                <w:rFonts w:ascii="Calibri" w:eastAsia="Times New Roman" w:hAnsi="Calibri" w:cs="Times New Roman"/>
                <w:b/>
                <w:bCs/>
                <w:color w:val="00B050"/>
                <w:sz w:val="20"/>
                <w:szCs w:val="20"/>
              </w:rPr>
              <w:t>0</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5.81 × 10</w:t>
            </w:r>
            <w:r w:rsidRPr="00185A08">
              <w:rPr>
                <w:rFonts w:ascii="Calibri" w:eastAsia="Times New Roman" w:hAnsi="Calibri" w:cs="Times New Roman"/>
                <w:color w:val="000000"/>
                <w:sz w:val="20"/>
                <w:szCs w:val="20"/>
                <w:vertAlign w:val="superscript"/>
              </w:rPr>
              <w:t>3</w:t>
            </w:r>
          </w:p>
        </w:tc>
      </w:tr>
      <w:tr w:rsidR="00185A08" w:rsidRPr="00185A08" w:rsidTr="00185A08">
        <w:trPr>
          <w:trHeight w:val="285"/>
          <w:jc w:val="center"/>
        </w:trPr>
        <w:tc>
          <w:tcPr>
            <w:tcW w:w="124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NO</w:t>
            </w:r>
            <w:r w:rsidRPr="00185A08">
              <w:rPr>
                <w:rFonts w:ascii="Calibri" w:eastAsia="Times New Roman" w:hAnsi="Calibri" w:cs="Times New Roman"/>
                <w:color w:val="000000"/>
                <w:sz w:val="20"/>
                <w:szCs w:val="20"/>
                <w:vertAlign w:val="subscript"/>
              </w:rPr>
              <w:t>2</w:t>
            </w:r>
          </w:p>
        </w:tc>
        <w:tc>
          <w:tcPr>
            <w:tcW w:w="494"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4</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0</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0</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0</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0</w:t>
            </w:r>
          </w:p>
        </w:tc>
        <w:tc>
          <w:tcPr>
            <w:tcW w:w="113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B050"/>
                <w:sz w:val="20"/>
                <w:szCs w:val="20"/>
              </w:rPr>
            </w:pPr>
            <w:r w:rsidRPr="00185A08">
              <w:rPr>
                <w:rFonts w:ascii="Calibri" w:eastAsia="Times New Roman" w:hAnsi="Calibri" w:cs="Times New Roman"/>
                <w:b/>
                <w:bCs/>
                <w:color w:val="00B050"/>
                <w:sz w:val="20"/>
                <w:szCs w:val="20"/>
              </w:rPr>
              <w:t>138</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0</w:t>
            </w:r>
          </w:p>
        </w:tc>
      </w:tr>
      <w:tr w:rsidR="00185A08" w:rsidRPr="00185A08" w:rsidTr="00185A08">
        <w:trPr>
          <w:trHeight w:val="285"/>
          <w:jc w:val="center"/>
        </w:trPr>
        <w:tc>
          <w:tcPr>
            <w:tcW w:w="124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HNO</w:t>
            </w:r>
            <w:r w:rsidRPr="00185A08">
              <w:rPr>
                <w:rFonts w:ascii="Calibri" w:eastAsia="Times New Roman" w:hAnsi="Calibri" w:cs="Times New Roman"/>
                <w:color w:val="000000"/>
                <w:sz w:val="20"/>
                <w:szCs w:val="20"/>
                <w:vertAlign w:val="subscript"/>
              </w:rPr>
              <w:t>3</w:t>
            </w:r>
          </w:p>
        </w:tc>
        <w:tc>
          <w:tcPr>
            <w:tcW w:w="494"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9</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0</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672</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0</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120</w:t>
            </w:r>
          </w:p>
        </w:tc>
        <w:tc>
          <w:tcPr>
            <w:tcW w:w="113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B050"/>
                <w:sz w:val="20"/>
                <w:szCs w:val="20"/>
              </w:rPr>
            </w:pPr>
            <w:r w:rsidRPr="00185A08">
              <w:rPr>
                <w:rFonts w:ascii="Calibri" w:eastAsia="Times New Roman" w:hAnsi="Calibri" w:cs="Times New Roman"/>
                <w:b/>
                <w:bCs/>
                <w:color w:val="00B050"/>
                <w:sz w:val="20"/>
                <w:szCs w:val="20"/>
              </w:rPr>
              <w:t>0</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122</w:t>
            </w:r>
          </w:p>
        </w:tc>
      </w:tr>
      <w:tr w:rsidR="00185A08" w:rsidRPr="00185A08" w:rsidTr="00185A08">
        <w:trPr>
          <w:trHeight w:val="285"/>
          <w:jc w:val="center"/>
        </w:trPr>
        <w:tc>
          <w:tcPr>
            <w:tcW w:w="124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UO</w:t>
            </w:r>
            <w:r w:rsidRPr="00185A08">
              <w:rPr>
                <w:rFonts w:ascii="Calibri" w:eastAsia="Times New Roman" w:hAnsi="Calibri" w:cs="Times New Roman"/>
                <w:color w:val="000000"/>
                <w:sz w:val="20"/>
                <w:szCs w:val="20"/>
                <w:vertAlign w:val="subscript"/>
              </w:rPr>
              <w:t>2</w:t>
            </w:r>
            <w:r w:rsidRPr="00185A08">
              <w:rPr>
                <w:rFonts w:ascii="Calibri" w:eastAsia="Times New Roman" w:hAnsi="Calibri" w:cs="Times New Roman"/>
                <w:color w:val="000000"/>
                <w:sz w:val="20"/>
                <w:szCs w:val="20"/>
              </w:rPr>
              <w:t>(NO</w:t>
            </w:r>
            <w:r w:rsidRPr="00185A08">
              <w:rPr>
                <w:rFonts w:ascii="Calibri" w:eastAsia="Times New Roman" w:hAnsi="Calibri" w:cs="Times New Roman"/>
                <w:color w:val="000000"/>
                <w:sz w:val="20"/>
                <w:szCs w:val="20"/>
                <w:vertAlign w:val="subscript"/>
              </w:rPr>
              <w:t>3</w:t>
            </w:r>
            <w:r w:rsidRPr="00185A08">
              <w:rPr>
                <w:rFonts w:ascii="Calibri" w:eastAsia="Times New Roman" w:hAnsi="Calibri" w:cs="Times New Roman"/>
                <w:color w:val="000000"/>
                <w:sz w:val="20"/>
                <w:szCs w:val="20"/>
              </w:rPr>
              <w:t>)</w:t>
            </w:r>
            <w:r w:rsidRPr="00185A08">
              <w:rPr>
                <w:rFonts w:ascii="Calibri" w:eastAsia="Times New Roman" w:hAnsi="Calibri" w:cs="Times New Roman"/>
                <w:color w:val="000000"/>
                <w:sz w:val="20"/>
                <w:szCs w:val="20"/>
                <w:vertAlign w:val="subscript"/>
              </w:rPr>
              <w:t>2</w:t>
            </w:r>
          </w:p>
        </w:tc>
        <w:tc>
          <w:tcPr>
            <w:tcW w:w="494"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14</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0</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0</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0</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209</w:t>
            </w:r>
          </w:p>
        </w:tc>
        <w:tc>
          <w:tcPr>
            <w:tcW w:w="113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B050"/>
                <w:sz w:val="20"/>
                <w:szCs w:val="20"/>
              </w:rPr>
            </w:pPr>
            <w:r w:rsidRPr="00185A08">
              <w:rPr>
                <w:rFonts w:ascii="Calibri" w:eastAsia="Times New Roman" w:hAnsi="Calibri" w:cs="Times New Roman"/>
                <w:b/>
                <w:bCs/>
                <w:color w:val="00B050"/>
                <w:sz w:val="20"/>
                <w:szCs w:val="20"/>
              </w:rPr>
              <w:t>0</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211</w:t>
            </w:r>
          </w:p>
        </w:tc>
      </w:tr>
      <w:tr w:rsidR="00185A08" w:rsidRPr="00185A08" w:rsidTr="00185A08">
        <w:trPr>
          <w:trHeight w:val="285"/>
          <w:jc w:val="center"/>
        </w:trPr>
        <w:tc>
          <w:tcPr>
            <w:tcW w:w="124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U</w:t>
            </w:r>
            <w:r w:rsidRPr="00185A08">
              <w:rPr>
                <w:rFonts w:ascii="Calibri" w:eastAsia="Times New Roman" w:hAnsi="Calibri" w:cs="Times New Roman"/>
                <w:color w:val="000000"/>
                <w:sz w:val="20"/>
                <w:szCs w:val="20"/>
                <w:vertAlign w:val="subscript"/>
              </w:rPr>
              <w:t>3</w:t>
            </w:r>
            <w:r w:rsidRPr="00185A08">
              <w:rPr>
                <w:rFonts w:ascii="Calibri" w:eastAsia="Times New Roman" w:hAnsi="Calibri" w:cs="Times New Roman"/>
                <w:color w:val="000000"/>
                <w:sz w:val="20"/>
                <w:szCs w:val="20"/>
              </w:rPr>
              <w:t>O</w:t>
            </w:r>
            <w:r w:rsidRPr="00185A08">
              <w:rPr>
                <w:rFonts w:ascii="Calibri" w:eastAsia="Times New Roman" w:hAnsi="Calibri" w:cs="Times New Roman"/>
                <w:color w:val="000000"/>
                <w:sz w:val="20"/>
                <w:szCs w:val="20"/>
                <w:vertAlign w:val="subscript"/>
              </w:rPr>
              <w:t>8</w:t>
            </w:r>
          </w:p>
        </w:tc>
        <w:tc>
          <w:tcPr>
            <w:tcW w:w="494"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18</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70.0</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0</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0</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1.42</w:t>
            </w:r>
          </w:p>
        </w:tc>
        <w:tc>
          <w:tcPr>
            <w:tcW w:w="113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B050"/>
                <w:sz w:val="20"/>
                <w:szCs w:val="20"/>
              </w:rPr>
            </w:pPr>
            <w:r w:rsidRPr="00185A08">
              <w:rPr>
                <w:rFonts w:ascii="Calibri" w:eastAsia="Times New Roman" w:hAnsi="Calibri" w:cs="Times New Roman"/>
                <w:b/>
                <w:bCs/>
                <w:color w:val="00B050"/>
                <w:sz w:val="20"/>
                <w:szCs w:val="20"/>
              </w:rPr>
              <w:t>0</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2.02</w:t>
            </w:r>
          </w:p>
        </w:tc>
      </w:tr>
      <w:tr w:rsidR="00185A08" w:rsidRPr="00185A08" w:rsidTr="00185A08">
        <w:trPr>
          <w:trHeight w:val="255"/>
          <w:jc w:val="center"/>
        </w:trPr>
        <w:tc>
          <w:tcPr>
            <w:tcW w:w="124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Insoluble</w:t>
            </w:r>
          </w:p>
        </w:tc>
        <w:tc>
          <w:tcPr>
            <w:tcW w:w="494"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20</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10.4</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0</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0</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10.4</w:t>
            </w:r>
          </w:p>
        </w:tc>
        <w:tc>
          <w:tcPr>
            <w:tcW w:w="113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B050"/>
                <w:sz w:val="20"/>
                <w:szCs w:val="20"/>
              </w:rPr>
            </w:pPr>
            <w:r w:rsidRPr="00185A08">
              <w:rPr>
                <w:rFonts w:ascii="Calibri" w:eastAsia="Times New Roman" w:hAnsi="Calibri" w:cs="Times New Roman"/>
                <w:b/>
                <w:bCs/>
                <w:color w:val="00B050"/>
                <w:sz w:val="20"/>
                <w:szCs w:val="20"/>
              </w:rPr>
              <w:t>0</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10.5</w:t>
            </w:r>
          </w:p>
        </w:tc>
      </w:tr>
      <w:tr w:rsidR="00185A08" w:rsidRPr="00185A08" w:rsidTr="00185A08">
        <w:trPr>
          <w:trHeight w:val="270"/>
          <w:jc w:val="center"/>
        </w:trPr>
        <w:tc>
          <w:tcPr>
            <w:tcW w:w="1249" w:type="dxa"/>
            <w:tcBorders>
              <w:top w:val="nil"/>
              <w:left w:val="nil"/>
              <w:bottom w:val="single" w:sz="8"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Soluble</w:t>
            </w:r>
          </w:p>
        </w:tc>
        <w:tc>
          <w:tcPr>
            <w:tcW w:w="494" w:type="dxa"/>
            <w:tcBorders>
              <w:top w:val="nil"/>
              <w:left w:val="nil"/>
              <w:bottom w:val="single" w:sz="8"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21</w:t>
            </w:r>
          </w:p>
        </w:tc>
        <w:tc>
          <w:tcPr>
            <w:tcW w:w="1376" w:type="dxa"/>
            <w:tcBorders>
              <w:top w:val="nil"/>
              <w:left w:val="nil"/>
              <w:bottom w:val="single" w:sz="8"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10.4</w:t>
            </w:r>
          </w:p>
        </w:tc>
        <w:tc>
          <w:tcPr>
            <w:tcW w:w="1175" w:type="dxa"/>
            <w:tcBorders>
              <w:top w:val="nil"/>
              <w:left w:val="nil"/>
              <w:bottom w:val="single" w:sz="8"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0</w:t>
            </w:r>
          </w:p>
        </w:tc>
        <w:tc>
          <w:tcPr>
            <w:tcW w:w="1175" w:type="dxa"/>
            <w:tcBorders>
              <w:top w:val="nil"/>
              <w:left w:val="nil"/>
              <w:bottom w:val="single" w:sz="8"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0</w:t>
            </w:r>
          </w:p>
        </w:tc>
        <w:tc>
          <w:tcPr>
            <w:tcW w:w="1376" w:type="dxa"/>
            <w:tcBorders>
              <w:top w:val="nil"/>
              <w:left w:val="nil"/>
              <w:bottom w:val="single" w:sz="8"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10.6</w:t>
            </w:r>
          </w:p>
        </w:tc>
        <w:tc>
          <w:tcPr>
            <w:tcW w:w="1139" w:type="dxa"/>
            <w:tcBorders>
              <w:top w:val="nil"/>
              <w:left w:val="nil"/>
              <w:bottom w:val="single" w:sz="8"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B050"/>
                <w:sz w:val="20"/>
                <w:szCs w:val="20"/>
              </w:rPr>
            </w:pPr>
            <w:r w:rsidRPr="00185A08">
              <w:rPr>
                <w:rFonts w:ascii="Calibri" w:eastAsia="Times New Roman" w:hAnsi="Calibri" w:cs="Times New Roman"/>
                <w:b/>
                <w:bCs/>
                <w:color w:val="00B050"/>
                <w:sz w:val="20"/>
                <w:szCs w:val="20"/>
              </w:rPr>
              <w:t>0</w:t>
            </w:r>
          </w:p>
        </w:tc>
        <w:tc>
          <w:tcPr>
            <w:tcW w:w="1376" w:type="dxa"/>
            <w:tcBorders>
              <w:top w:val="nil"/>
              <w:left w:val="nil"/>
              <w:bottom w:val="single" w:sz="8"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10.7</w:t>
            </w:r>
          </w:p>
        </w:tc>
      </w:tr>
      <w:tr w:rsidR="00185A08" w:rsidRPr="00185A08" w:rsidTr="00185A08">
        <w:trPr>
          <w:trHeight w:val="255"/>
          <w:jc w:val="center"/>
        </w:trPr>
        <w:tc>
          <w:tcPr>
            <w:tcW w:w="1249" w:type="dxa"/>
            <w:tcBorders>
              <w:top w:val="nil"/>
              <w:left w:val="nil"/>
              <w:bottom w:val="nil"/>
              <w:right w:val="nil"/>
            </w:tcBorders>
            <w:shd w:val="clear" w:color="auto" w:fill="auto"/>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t> </w:t>
            </w:r>
          </w:p>
        </w:tc>
        <w:tc>
          <w:tcPr>
            <w:tcW w:w="494" w:type="dxa"/>
            <w:tcBorders>
              <w:top w:val="nil"/>
              <w:left w:val="nil"/>
              <w:bottom w:val="nil"/>
              <w:right w:val="nil"/>
            </w:tcBorders>
            <w:shd w:val="clear" w:color="auto" w:fill="auto"/>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t> </w:t>
            </w:r>
          </w:p>
        </w:tc>
        <w:tc>
          <w:tcPr>
            <w:tcW w:w="7617" w:type="dxa"/>
            <w:gridSpan w:val="6"/>
            <w:tcBorders>
              <w:top w:val="single" w:sz="8" w:space="0" w:color="auto"/>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t>Stream Number (Stream Type)</w:t>
            </w:r>
          </w:p>
        </w:tc>
      </w:tr>
      <w:tr w:rsidR="00185A08" w:rsidRPr="00185A08" w:rsidTr="00185A08">
        <w:trPr>
          <w:trHeight w:val="255"/>
          <w:jc w:val="center"/>
        </w:trPr>
        <w:tc>
          <w:tcPr>
            <w:tcW w:w="1743" w:type="dxa"/>
            <w:gridSpan w:val="2"/>
            <w:tcBorders>
              <w:top w:val="nil"/>
              <w:left w:val="nil"/>
              <w:bottom w:val="nil"/>
              <w:right w:val="nil"/>
            </w:tcBorders>
            <w:shd w:val="clear" w:color="auto" w:fill="auto"/>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t>Component</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t>4</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t>5</w:t>
            </w:r>
          </w:p>
        </w:tc>
        <w:tc>
          <w:tcPr>
            <w:tcW w:w="1175" w:type="dxa"/>
            <w:tcBorders>
              <w:top w:val="nil"/>
              <w:left w:val="nil"/>
              <w:bottom w:val="nil"/>
              <w:right w:val="nil"/>
            </w:tcBorders>
            <w:shd w:val="clear" w:color="auto" w:fill="auto"/>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4A</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t>6</w:t>
            </w:r>
          </w:p>
        </w:tc>
        <w:tc>
          <w:tcPr>
            <w:tcW w:w="113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t>7</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B050"/>
                <w:sz w:val="20"/>
                <w:szCs w:val="20"/>
              </w:rPr>
            </w:pPr>
            <w:r w:rsidRPr="00185A08">
              <w:rPr>
                <w:rFonts w:ascii="Calibri" w:eastAsia="Times New Roman" w:hAnsi="Calibri" w:cs="Times New Roman"/>
                <w:b/>
                <w:bCs/>
                <w:color w:val="00B050"/>
                <w:sz w:val="20"/>
                <w:szCs w:val="20"/>
              </w:rPr>
              <w:t>8</w:t>
            </w:r>
          </w:p>
        </w:tc>
      </w:tr>
      <w:tr w:rsidR="00185A08" w:rsidRPr="00185A08" w:rsidTr="00185A08">
        <w:trPr>
          <w:trHeight w:val="255"/>
          <w:jc w:val="center"/>
        </w:trPr>
        <w:tc>
          <w:tcPr>
            <w:tcW w:w="1249" w:type="dxa"/>
            <w:tcBorders>
              <w:top w:val="nil"/>
              <w:left w:val="nil"/>
              <w:bottom w:val="single" w:sz="4" w:space="0" w:color="auto"/>
              <w:right w:val="nil"/>
            </w:tcBorders>
            <w:shd w:val="clear" w:color="auto" w:fill="auto"/>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t>Formula</w:t>
            </w:r>
          </w:p>
        </w:tc>
        <w:tc>
          <w:tcPr>
            <w:tcW w:w="494" w:type="dxa"/>
            <w:tcBorders>
              <w:top w:val="nil"/>
              <w:left w:val="nil"/>
              <w:bottom w:val="single" w:sz="4" w:space="0" w:color="auto"/>
              <w:right w:val="nil"/>
            </w:tcBorders>
            <w:shd w:val="clear" w:color="auto" w:fill="auto"/>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t>#</w:t>
            </w:r>
          </w:p>
        </w:tc>
        <w:tc>
          <w:tcPr>
            <w:tcW w:w="1376" w:type="dxa"/>
            <w:tcBorders>
              <w:top w:val="nil"/>
              <w:left w:val="nil"/>
              <w:bottom w:val="single" w:sz="4"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t>(</w:t>
            </w:r>
            <w:proofErr w:type="spellStart"/>
            <w:r w:rsidRPr="00185A08">
              <w:rPr>
                <w:rFonts w:ascii="Calibri" w:eastAsia="Times New Roman" w:hAnsi="Calibri" w:cs="Times New Roman"/>
                <w:b/>
                <w:bCs/>
                <w:color w:val="000000"/>
                <w:sz w:val="20"/>
                <w:szCs w:val="20"/>
              </w:rPr>
              <w:t>Intermed</w:t>
            </w:r>
            <w:proofErr w:type="spellEnd"/>
            <w:r w:rsidRPr="00185A08">
              <w:rPr>
                <w:rFonts w:ascii="Calibri" w:eastAsia="Times New Roman" w:hAnsi="Calibri" w:cs="Times New Roman"/>
                <w:b/>
                <w:bCs/>
                <w:color w:val="000000"/>
                <w:sz w:val="20"/>
                <w:szCs w:val="20"/>
              </w:rPr>
              <w:t>.)</w:t>
            </w:r>
          </w:p>
        </w:tc>
        <w:tc>
          <w:tcPr>
            <w:tcW w:w="1175" w:type="dxa"/>
            <w:tcBorders>
              <w:top w:val="nil"/>
              <w:left w:val="nil"/>
              <w:bottom w:val="single" w:sz="4"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t>(Recycle)</w:t>
            </w:r>
          </w:p>
        </w:tc>
        <w:tc>
          <w:tcPr>
            <w:tcW w:w="1175" w:type="dxa"/>
            <w:tcBorders>
              <w:top w:val="nil"/>
              <w:left w:val="nil"/>
              <w:bottom w:val="single" w:sz="4" w:space="0" w:color="auto"/>
              <w:right w:val="nil"/>
            </w:tcBorders>
            <w:shd w:val="clear" w:color="auto" w:fill="auto"/>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(Input)</w:t>
            </w:r>
          </w:p>
        </w:tc>
        <w:tc>
          <w:tcPr>
            <w:tcW w:w="1376" w:type="dxa"/>
            <w:tcBorders>
              <w:top w:val="nil"/>
              <w:left w:val="nil"/>
              <w:bottom w:val="single" w:sz="4"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t>(Recycle)</w:t>
            </w:r>
          </w:p>
        </w:tc>
        <w:tc>
          <w:tcPr>
            <w:tcW w:w="1139" w:type="dxa"/>
            <w:tcBorders>
              <w:top w:val="nil"/>
              <w:left w:val="nil"/>
              <w:bottom w:val="single" w:sz="4"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t>(Recycle)</w:t>
            </w:r>
          </w:p>
        </w:tc>
        <w:tc>
          <w:tcPr>
            <w:tcW w:w="1376" w:type="dxa"/>
            <w:tcBorders>
              <w:top w:val="nil"/>
              <w:left w:val="nil"/>
              <w:bottom w:val="single" w:sz="4"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B050"/>
                <w:sz w:val="20"/>
                <w:szCs w:val="20"/>
              </w:rPr>
            </w:pPr>
            <w:r w:rsidRPr="00185A08">
              <w:rPr>
                <w:rFonts w:ascii="Calibri" w:eastAsia="Times New Roman" w:hAnsi="Calibri" w:cs="Times New Roman"/>
                <w:b/>
                <w:bCs/>
                <w:color w:val="00B050"/>
                <w:sz w:val="20"/>
                <w:szCs w:val="20"/>
              </w:rPr>
              <w:t>(Waste)</w:t>
            </w:r>
          </w:p>
        </w:tc>
      </w:tr>
      <w:tr w:rsidR="00185A08" w:rsidRPr="00185A08" w:rsidTr="00185A08">
        <w:trPr>
          <w:trHeight w:val="300"/>
          <w:jc w:val="center"/>
        </w:trPr>
        <w:tc>
          <w:tcPr>
            <w:tcW w:w="124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H</w:t>
            </w:r>
            <w:r w:rsidRPr="00185A08">
              <w:rPr>
                <w:rFonts w:ascii="Calibri" w:eastAsia="Times New Roman" w:hAnsi="Calibri" w:cs="Times New Roman"/>
                <w:color w:val="000000"/>
                <w:sz w:val="20"/>
                <w:szCs w:val="20"/>
                <w:vertAlign w:val="subscript"/>
              </w:rPr>
              <w:t>2</w:t>
            </w:r>
            <w:r w:rsidRPr="00185A08">
              <w:rPr>
                <w:rFonts w:ascii="Calibri" w:eastAsia="Times New Roman" w:hAnsi="Calibri" w:cs="Times New Roman"/>
                <w:color w:val="000000"/>
                <w:sz w:val="20"/>
                <w:szCs w:val="20"/>
              </w:rPr>
              <w:t>O</w:t>
            </w:r>
          </w:p>
        </w:tc>
        <w:tc>
          <w:tcPr>
            <w:tcW w:w="494"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1</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5.23 × 10</w:t>
            </w:r>
            <w:r w:rsidRPr="00185A08">
              <w:rPr>
                <w:rFonts w:ascii="Calibri" w:eastAsia="Times New Roman" w:hAnsi="Calibri" w:cs="Times New Roman"/>
                <w:color w:val="000000"/>
                <w:sz w:val="20"/>
                <w:szCs w:val="20"/>
                <w:vertAlign w:val="superscript"/>
              </w:rPr>
              <w:t>3</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581</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444</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1.37 × 10</w:t>
            </w:r>
            <w:r w:rsidRPr="00185A08">
              <w:rPr>
                <w:rFonts w:ascii="Calibri" w:eastAsia="Times New Roman" w:hAnsi="Calibri" w:cs="Times New Roman"/>
                <w:color w:val="000000"/>
                <w:sz w:val="20"/>
                <w:szCs w:val="20"/>
                <w:vertAlign w:val="superscript"/>
              </w:rPr>
              <w:t>3</w:t>
            </w:r>
          </w:p>
        </w:tc>
        <w:tc>
          <w:tcPr>
            <w:tcW w:w="113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1.03 × 10</w:t>
            </w:r>
            <w:r w:rsidRPr="00185A08">
              <w:rPr>
                <w:rFonts w:ascii="Calibri" w:eastAsia="Times New Roman" w:hAnsi="Calibri" w:cs="Times New Roman"/>
                <w:color w:val="000000"/>
                <w:sz w:val="20"/>
                <w:szCs w:val="20"/>
                <w:vertAlign w:val="superscript"/>
              </w:rPr>
              <w:t>3</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B050"/>
                <w:sz w:val="20"/>
                <w:szCs w:val="20"/>
              </w:rPr>
            </w:pPr>
            <w:r w:rsidRPr="00185A08">
              <w:rPr>
                <w:rFonts w:ascii="Calibri" w:eastAsia="Times New Roman" w:hAnsi="Calibri" w:cs="Times New Roman"/>
                <w:b/>
                <w:bCs/>
                <w:color w:val="00B050"/>
                <w:sz w:val="20"/>
                <w:szCs w:val="20"/>
              </w:rPr>
              <w:t>342</w:t>
            </w:r>
          </w:p>
        </w:tc>
      </w:tr>
      <w:tr w:rsidR="00185A08" w:rsidRPr="00185A08" w:rsidTr="00185A08">
        <w:trPr>
          <w:trHeight w:val="285"/>
          <w:jc w:val="center"/>
        </w:trPr>
        <w:tc>
          <w:tcPr>
            <w:tcW w:w="124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NO</w:t>
            </w:r>
            <w:r w:rsidRPr="00185A08">
              <w:rPr>
                <w:rFonts w:ascii="Calibri" w:eastAsia="Times New Roman" w:hAnsi="Calibri" w:cs="Times New Roman"/>
                <w:color w:val="000000"/>
                <w:sz w:val="20"/>
                <w:szCs w:val="20"/>
                <w:vertAlign w:val="subscript"/>
              </w:rPr>
              <w:t>2</w:t>
            </w:r>
          </w:p>
        </w:tc>
        <w:tc>
          <w:tcPr>
            <w:tcW w:w="494"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4</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0</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0</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0</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0</w:t>
            </w:r>
          </w:p>
        </w:tc>
        <w:tc>
          <w:tcPr>
            <w:tcW w:w="113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0</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B050"/>
                <w:sz w:val="20"/>
                <w:szCs w:val="20"/>
              </w:rPr>
            </w:pPr>
            <w:r w:rsidRPr="00185A08">
              <w:rPr>
                <w:rFonts w:ascii="Calibri" w:eastAsia="Times New Roman" w:hAnsi="Calibri" w:cs="Times New Roman"/>
                <w:b/>
                <w:bCs/>
                <w:color w:val="00B050"/>
                <w:sz w:val="20"/>
                <w:szCs w:val="20"/>
              </w:rPr>
              <w:t>0</w:t>
            </w:r>
          </w:p>
        </w:tc>
      </w:tr>
      <w:tr w:rsidR="00185A08" w:rsidRPr="00185A08" w:rsidTr="00185A08">
        <w:trPr>
          <w:trHeight w:val="285"/>
          <w:jc w:val="center"/>
        </w:trPr>
        <w:tc>
          <w:tcPr>
            <w:tcW w:w="124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HNO</w:t>
            </w:r>
            <w:r w:rsidRPr="00185A08">
              <w:rPr>
                <w:rFonts w:ascii="Calibri" w:eastAsia="Times New Roman" w:hAnsi="Calibri" w:cs="Times New Roman"/>
                <w:color w:val="000000"/>
                <w:sz w:val="20"/>
                <w:szCs w:val="20"/>
                <w:vertAlign w:val="subscript"/>
              </w:rPr>
              <w:t>3</w:t>
            </w:r>
          </w:p>
        </w:tc>
        <w:tc>
          <w:tcPr>
            <w:tcW w:w="494"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9</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118</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3.65</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0</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5.22</w:t>
            </w:r>
          </w:p>
        </w:tc>
        <w:tc>
          <w:tcPr>
            <w:tcW w:w="113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4.69</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B050"/>
                <w:sz w:val="20"/>
                <w:szCs w:val="20"/>
              </w:rPr>
            </w:pPr>
            <w:r w:rsidRPr="00185A08">
              <w:rPr>
                <w:rFonts w:ascii="Calibri" w:eastAsia="Times New Roman" w:hAnsi="Calibri" w:cs="Times New Roman"/>
                <w:b/>
                <w:bCs/>
                <w:color w:val="00B050"/>
                <w:sz w:val="20"/>
                <w:szCs w:val="20"/>
              </w:rPr>
              <w:t>0.522</w:t>
            </w:r>
          </w:p>
        </w:tc>
      </w:tr>
      <w:tr w:rsidR="00185A08" w:rsidRPr="00185A08" w:rsidTr="00185A08">
        <w:trPr>
          <w:trHeight w:val="285"/>
          <w:jc w:val="center"/>
        </w:trPr>
        <w:tc>
          <w:tcPr>
            <w:tcW w:w="124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UO</w:t>
            </w:r>
            <w:r w:rsidRPr="00185A08">
              <w:rPr>
                <w:rFonts w:ascii="Calibri" w:eastAsia="Times New Roman" w:hAnsi="Calibri" w:cs="Times New Roman"/>
                <w:color w:val="000000"/>
                <w:sz w:val="20"/>
                <w:szCs w:val="20"/>
                <w:vertAlign w:val="subscript"/>
              </w:rPr>
              <w:t>2</w:t>
            </w:r>
            <w:r w:rsidRPr="00185A08">
              <w:rPr>
                <w:rFonts w:ascii="Calibri" w:eastAsia="Times New Roman" w:hAnsi="Calibri" w:cs="Times New Roman"/>
                <w:color w:val="000000"/>
                <w:sz w:val="20"/>
                <w:szCs w:val="20"/>
              </w:rPr>
              <w:t>(NO</w:t>
            </w:r>
            <w:r w:rsidRPr="00185A08">
              <w:rPr>
                <w:rFonts w:ascii="Calibri" w:eastAsia="Times New Roman" w:hAnsi="Calibri" w:cs="Times New Roman"/>
                <w:color w:val="000000"/>
                <w:sz w:val="20"/>
                <w:szCs w:val="20"/>
                <w:vertAlign w:val="subscript"/>
              </w:rPr>
              <w:t>3</w:t>
            </w:r>
            <w:r w:rsidRPr="00185A08">
              <w:rPr>
                <w:rFonts w:ascii="Calibri" w:eastAsia="Times New Roman" w:hAnsi="Calibri" w:cs="Times New Roman"/>
                <w:color w:val="000000"/>
                <w:sz w:val="20"/>
                <w:szCs w:val="20"/>
              </w:rPr>
              <w:t>)</w:t>
            </w:r>
            <w:r w:rsidRPr="00185A08">
              <w:rPr>
                <w:rFonts w:ascii="Calibri" w:eastAsia="Times New Roman" w:hAnsi="Calibri" w:cs="Times New Roman"/>
                <w:color w:val="000000"/>
                <w:sz w:val="20"/>
                <w:szCs w:val="20"/>
                <w:vertAlign w:val="subscript"/>
              </w:rPr>
              <w:t>2</w:t>
            </w:r>
          </w:p>
        </w:tc>
        <w:tc>
          <w:tcPr>
            <w:tcW w:w="494"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14</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206</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4.21</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0</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5.75</w:t>
            </w:r>
          </w:p>
        </w:tc>
        <w:tc>
          <w:tcPr>
            <w:tcW w:w="113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4.60</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B050"/>
                <w:sz w:val="20"/>
                <w:szCs w:val="20"/>
              </w:rPr>
            </w:pPr>
            <w:r w:rsidRPr="00185A08">
              <w:rPr>
                <w:rFonts w:ascii="Calibri" w:eastAsia="Times New Roman" w:hAnsi="Calibri" w:cs="Times New Roman"/>
                <w:b/>
                <w:bCs/>
                <w:color w:val="00B050"/>
                <w:sz w:val="20"/>
                <w:szCs w:val="20"/>
              </w:rPr>
              <w:t>1.15</w:t>
            </w:r>
          </w:p>
        </w:tc>
      </w:tr>
      <w:tr w:rsidR="00185A08" w:rsidRPr="00185A08" w:rsidTr="00185A08">
        <w:trPr>
          <w:trHeight w:val="300"/>
          <w:jc w:val="center"/>
        </w:trPr>
        <w:tc>
          <w:tcPr>
            <w:tcW w:w="124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U</w:t>
            </w:r>
            <w:r w:rsidRPr="00185A08">
              <w:rPr>
                <w:rFonts w:ascii="Calibri" w:eastAsia="Times New Roman" w:hAnsi="Calibri" w:cs="Times New Roman"/>
                <w:color w:val="000000"/>
                <w:sz w:val="20"/>
                <w:szCs w:val="20"/>
                <w:vertAlign w:val="subscript"/>
              </w:rPr>
              <w:t>3</w:t>
            </w:r>
            <w:r w:rsidRPr="00185A08">
              <w:rPr>
                <w:rFonts w:ascii="Calibri" w:eastAsia="Times New Roman" w:hAnsi="Calibri" w:cs="Times New Roman"/>
                <w:color w:val="000000"/>
                <w:sz w:val="20"/>
                <w:szCs w:val="20"/>
              </w:rPr>
              <w:t>O</w:t>
            </w:r>
            <w:r w:rsidRPr="00185A08">
              <w:rPr>
                <w:rFonts w:ascii="Calibri" w:eastAsia="Times New Roman" w:hAnsi="Calibri" w:cs="Times New Roman"/>
                <w:color w:val="000000"/>
                <w:sz w:val="20"/>
                <w:szCs w:val="20"/>
                <w:vertAlign w:val="subscript"/>
              </w:rPr>
              <w:t>8</w:t>
            </w:r>
          </w:p>
        </w:tc>
        <w:tc>
          <w:tcPr>
            <w:tcW w:w="494"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18</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4.05 × 10</w:t>
            </w:r>
            <w:r w:rsidRPr="00185A08">
              <w:rPr>
                <w:rFonts w:ascii="Calibri" w:eastAsia="Times New Roman" w:hAnsi="Calibri" w:cs="Times New Roman"/>
                <w:color w:val="000000"/>
                <w:sz w:val="20"/>
                <w:szCs w:val="20"/>
                <w:vertAlign w:val="superscript"/>
              </w:rPr>
              <w:t>-2</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1.98</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0</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2.59</w:t>
            </w:r>
          </w:p>
        </w:tc>
        <w:tc>
          <w:tcPr>
            <w:tcW w:w="113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1.81</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B050"/>
                <w:sz w:val="20"/>
                <w:szCs w:val="20"/>
              </w:rPr>
            </w:pPr>
            <w:r w:rsidRPr="00185A08">
              <w:rPr>
                <w:rFonts w:ascii="Calibri" w:eastAsia="Times New Roman" w:hAnsi="Calibri" w:cs="Times New Roman"/>
                <w:b/>
                <w:bCs/>
                <w:color w:val="00B050"/>
                <w:sz w:val="20"/>
                <w:szCs w:val="20"/>
              </w:rPr>
              <w:t>0.776</w:t>
            </w:r>
          </w:p>
        </w:tc>
      </w:tr>
      <w:tr w:rsidR="00185A08" w:rsidRPr="00185A08" w:rsidTr="00185A08">
        <w:trPr>
          <w:trHeight w:val="255"/>
          <w:jc w:val="center"/>
        </w:trPr>
        <w:tc>
          <w:tcPr>
            <w:tcW w:w="124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Insoluble</w:t>
            </w:r>
          </w:p>
        </w:tc>
        <w:tc>
          <w:tcPr>
            <w:tcW w:w="494"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20</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0.105</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10.4</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0</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10.4</w:t>
            </w:r>
          </w:p>
        </w:tc>
        <w:tc>
          <w:tcPr>
            <w:tcW w:w="113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0.104</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B050"/>
                <w:sz w:val="20"/>
                <w:szCs w:val="20"/>
              </w:rPr>
            </w:pPr>
            <w:r w:rsidRPr="00185A08">
              <w:rPr>
                <w:rFonts w:ascii="Calibri" w:eastAsia="Times New Roman" w:hAnsi="Calibri" w:cs="Times New Roman"/>
                <w:b/>
                <w:bCs/>
                <w:color w:val="00B050"/>
                <w:sz w:val="20"/>
                <w:szCs w:val="20"/>
              </w:rPr>
              <w:t>10.3</w:t>
            </w:r>
          </w:p>
        </w:tc>
      </w:tr>
      <w:tr w:rsidR="00185A08" w:rsidRPr="00185A08" w:rsidTr="00185A08">
        <w:trPr>
          <w:trHeight w:val="315"/>
          <w:jc w:val="center"/>
        </w:trPr>
        <w:tc>
          <w:tcPr>
            <w:tcW w:w="1249" w:type="dxa"/>
            <w:tcBorders>
              <w:top w:val="nil"/>
              <w:left w:val="nil"/>
              <w:bottom w:val="single" w:sz="8"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Soluble</w:t>
            </w:r>
          </w:p>
        </w:tc>
        <w:tc>
          <w:tcPr>
            <w:tcW w:w="494" w:type="dxa"/>
            <w:tcBorders>
              <w:top w:val="nil"/>
              <w:left w:val="nil"/>
              <w:bottom w:val="single" w:sz="8"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21</w:t>
            </w:r>
          </w:p>
        </w:tc>
        <w:tc>
          <w:tcPr>
            <w:tcW w:w="1376" w:type="dxa"/>
            <w:tcBorders>
              <w:top w:val="nil"/>
              <w:left w:val="nil"/>
              <w:bottom w:val="single" w:sz="8"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10.4</w:t>
            </w:r>
          </w:p>
        </w:tc>
        <w:tc>
          <w:tcPr>
            <w:tcW w:w="1175" w:type="dxa"/>
            <w:tcBorders>
              <w:top w:val="nil"/>
              <w:left w:val="nil"/>
              <w:bottom w:val="single" w:sz="8"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0.322</w:t>
            </w:r>
          </w:p>
        </w:tc>
        <w:tc>
          <w:tcPr>
            <w:tcW w:w="1175" w:type="dxa"/>
            <w:tcBorders>
              <w:top w:val="nil"/>
              <w:left w:val="nil"/>
              <w:bottom w:val="single" w:sz="8"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70C0"/>
                <w:sz w:val="20"/>
                <w:szCs w:val="20"/>
              </w:rPr>
            </w:pPr>
            <w:r w:rsidRPr="00185A08">
              <w:rPr>
                <w:rFonts w:ascii="Calibri" w:eastAsia="Times New Roman" w:hAnsi="Calibri" w:cs="Times New Roman"/>
                <w:b/>
                <w:bCs/>
                <w:color w:val="0070C0"/>
                <w:sz w:val="20"/>
                <w:szCs w:val="20"/>
              </w:rPr>
              <w:t>0</w:t>
            </w:r>
          </w:p>
        </w:tc>
        <w:tc>
          <w:tcPr>
            <w:tcW w:w="1376" w:type="dxa"/>
            <w:tcBorders>
              <w:top w:val="nil"/>
              <w:left w:val="nil"/>
              <w:bottom w:val="single" w:sz="8"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0.480</w:t>
            </w:r>
          </w:p>
        </w:tc>
        <w:tc>
          <w:tcPr>
            <w:tcW w:w="1139" w:type="dxa"/>
            <w:tcBorders>
              <w:top w:val="nil"/>
              <w:left w:val="nil"/>
              <w:bottom w:val="single" w:sz="8"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0.475</w:t>
            </w:r>
          </w:p>
        </w:tc>
        <w:tc>
          <w:tcPr>
            <w:tcW w:w="1376" w:type="dxa"/>
            <w:tcBorders>
              <w:top w:val="nil"/>
              <w:left w:val="nil"/>
              <w:bottom w:val="single" w:sz="8"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B050"/>
                <w:sz w:val="20"/>
                <w:szCs w:val="20"/>
              </w:rPr>
            </w:pPr>
            <w:r w:rsidRPr="00185A08">
              <w:rPr>
                <w:rFonts w:ascii="Calibri" w:eastAsia="Times New Roman" w:hAnsi="Calibri" w:cs="Times New Roman"/>
                <w:b/>
                <w:bCs/>
                <w:color w:val="00B050"/>
                <w:sz w:val="20"/>
                <w:szCs w:val="20"/>
              </w:rPr>
              <w:t>4.80 × 10</w:t>
            </w:r>
            <w:r w:rsidRPr="00185A08">
              <w:rPr>
                <w:rFonts w:ascii="Calibri" w:eastAsia="Times New Roman" w:hAnsi="Calibri" w:cs="Times New Roman"/>
                <w:b/>
                <w:bCs/>
                <w:color w:val="00B050"/>
                <w:sz w:val="20"/>
                <w:szCs w:val="20"/>
                <w:vertAlign w:val="superscript"/>
              </w:rPr>
              <w:t>-3</w:t>
            </w:r>
          </w:p>
        </w:tc>
      </w:tr>
      <w:tr w:rsidR="00185A08" w:rsidRPr="00185A08" w:rsidTr="00185A08">
        <w:trPr>
          <w:trHeight w:val="255"/>
          <w:jc w:val="center"/>
        </w:trPr>
        <w:tc>
          <w:tcPr>
            <w:tcW w:w="1249" w:type="dxa"/>
            <w:tcBorders>
              <w:top w:val="nil"/>
              <w:left w:val="nil"/>
              <w:bottom w:val="nil"/>
              <w:right w:val="nil"/>
            </w:tcBorders>
            <w:shd w:val="clear" w:color="auto" w:fill="auto"/>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t> </w:t>
            </w:r>
          </w:p>
        </w:tc>
        <w:tc>
          <w:tcPr>
            <w:tcW w:w="494" w:type="dxa"/>
            <w:tcBorders>
              <w:top w:val="nil"/>
              <w:left w:val="nil"/>
              <w:bottom w:val="nil"/>
              <w:right w:val="nil"/>
            </w:tcBorders>
            <w:shd w:val="clear" w:color="auto" w:fill="auto"/>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t> </w:t>
            </w:r>
          </w:p>
        </w:tc>
        <w:tc>
          <w:tcPr>
            <w:tcW w:w="7617" w:type="dxa"/>
            <w:gridSpan w:val="6"/>
            <w:tcBorders>
              <w:top w:val="single" w:sz="8" w:space="0" w:color="auto"/>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t>Stream Number (Stream Type)</w:t>
            </w:r>
          </w:p>
        </w:tc>
      </w:tr>
      <w:tr w:rsidR="00185A08" w:rsidRPr="00185A08" w:rsidTr="00185A08">
        <w:trPr>
          <w:trHeight w:val="255"/>
          <w:jc w:val="center"/>
        </w:trPr>
        <w:tc>
          <w:tcPr>
            <w:tcW w:w="1743" w:type="dxa"/>
            <w:gridSpan w:val="2"/>
            <w:tcBorders>
              <w:top w:val="nil"/>
              <w:left w:val="nil"/>
              <w:bottom w:val="nil"/>
              <w:right w:val="nil"/>
            </w:tcBorders>
            <w:shd w:val="clear" w:color="auto" w:fill="auto"/>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t>Component</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t>9</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t>10</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t>11</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FF0000"/>
                <w:sz w:val="20"/>
                <w:szCs w:val="20"/>
              </w:rPr>
            </w:pPr>
            <w:r w:rsidRPr="00185A08">
              <w:rPr>
                <w:rFonts w:ascii="Calibri" w:eastAsia="Times New Roman" w:hAnsi="Calibri" w:cs="Times New Roman"/>
                <w:b/>
                <w:bCs/>
                <w:color w:val="FF0000"/>
                <w:sz w:val="20"/>
                <w:szCs w:val="20"/>
              </w:rPr>
              <w:t>12</w:t>
            </w:r>
          </w:p>
        </w:tc>
        <w:tc>
          <w:tcPr>
            <w:tcW w:w="113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B050"/>
                <w:sz w:val="20"/>
                <w:szCs w:val="20"/>
              </w:rPr>
            </w:pPr>
            <w:r w:rsidRPr="00185A08">
              <w:rPr>
                <w:rFonts w:ascii="Calibri" w:eastAsia="Times New Roman" w:hAnsi="Calibri" w:cs="Times New Roman"/>
                <w:b/>
                <w:bCs/>
                <w:color w:val="00B050"/>
                <w:sz w:val="20"/>
                <w:szCs w:val="20"/>
              </w:rPr>
              <w:t>13</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p>
        </w:tc>
      </w:tr>
      <w:tr w:rsidR="00185A08" w:rsidRPr="00185A08" w:rsidTr="00185A08">
        <w:trPr>
          <w:trHeight w:val="255"/>
          <w:jc w:val="center"/>
        </w:trPr>
        <w:tc>
          <w:tcPr>
            <w:tcW w:w="1249" w:type="dxa"/>
            <w:tcBorders>
              <w:top w:val="nil"/>
              <w:left w:val="nil"/>
              <w:bottom w:val="single" w:sz="4" w:space="0" w:color="auto"/>
              <w:right w:val="nil"/>
            </w:tcBorders>
            <w:shd w:val="clear" w:color="auto" w:fill="auto"/>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t>Formula</w:t>
            </w:r>
          </w:p>
        </w:tc>
        <w:tc>
          <w:tcPr>
            <w:tcW w:w="494" w:type="dxa"/>
            <w:tcBorders>
              <w:top w:val="nil"/>
              <w:left w:val="nil"/>
              <w:bottom w:val="single" w:sz="4" w:space="0" w:color="auto"/>
              <w:right w:val="nil"/>
            </w:tcBorders>
            <w:shd w:val="clear" w:color="auto" w:fill="auto"/>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t>#</w:t>
            </w:r>
          </w:p>
        </w:tc>
        <w:tc>
          <w:tcPr>
            <w:tcW w:w="1376" w:type="dxa"/>
            <w:tcBorders>
              <w:top w:val="nil"/>
              <w:left w:val="nil"/>
              <w:bottom w:val="single" w:sz="4"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t>(Recycle)</w:t>
            </w:r>
          </w:p>
        </w:tc>
        <w:tc>
          <w:tcPr>
            <w:tcW w:w="1175" w:type="dxa"/>
            <w:tcBorders>
              <w:top w:val="nil"/>
              <w:left w:val="nil"/>
              <w:bottom w:val="single" w:sz="4"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t>(Recycle)</w:t>
            </w:r>
          </w:p>
        </w:tc>
        <w:tc>
          <w:tcPr>
            <w:tcW w:w="1175" w:type="dxa"/>
            <w:tcBorders>
              <w:top w:val="nil"/>
              <w:left w:val="nil"/>
              <w:bottom w:val="single" w:sz="4"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0000"/>
                <w:sz w:val="20"/>
                <w:szCs w:val="20"/>
              </w:rPr>
            </w:pPr>
            <w:r w:rsidRPr="00185A08">
              <w:rPr>
                <w:rFonts w:ascii="Calibri" w:eastAsia="Times New Roman" w:hAnsi="Calibri" w:cs="Times New Roman"/>
                <w:b/>
                <w:bCs/>
                <w:color w:val="000000"/>
                <w:sz w:val="20"/>
                <w:szCs w:val="20"/>
              </w:rPr>
              <w:t>(Recycle)</w:t>
            </w:r>
          </w:p>
        </w:tc>
        <w:tc>
          <w:tcPr>
            <w:tcW w:w="1376" w:type="dxa"/>
            <w:tcBorders>
              <w:top w:val="nil"/>
              <w:left w:val="nil"/>
              <w:bottom w:val="single" w:sz="4"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FF0000"/>
                <w:sz w:val="20"/>
                <w:szCs w:val="20"/>
              </w:rPr>
            </w:pPr>
            <w:r w:rsidRPr="00185A08">
              <w:rPr>
                <w:rFonts w:ascii="Calibri" w:eastAsia="Times New Roman" w:hAnsi="Calibri" w:cs="Times New Roman"/>
                <w:b/>
                <w:bCs/>
                <w:color w:val="FF0000"/>
                <w:sz w:val="20"/>
                <w:szCs w:val="20"/>
              </w:rPr>
              <w:t>(Product)</w:t>
            </w:r>
          </w:p>
        </w:tc>
        <w:tc>
          <w:tcPr>
            <w:tcW w:w="1139" w:type="dxa"/>
            <w:tcBorders>
              <w:top w:val="nil"/>
              <w:left w:val="nil"/>
              <w:bottom w:val="single" w:sz="4"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B050"/>
                <w:sz w:val="20"/>
                <w:szCs w:val="20"/>
              </w:rPr>
            </w:pPr>
            <w:r w:rsidRPr="00185A08">
              <w:rPr>
                <w:rFonts w:ascii="Calibri" w:eastAsia="Times New Roman" w:hAnsi="Calibri" w:cs="Times New Roman"/>
                <w:b/>
                <w:bCs/>
                <w:color w:val="00B050"/>
                <w:sz w:val="20"/>
                <w:szCs w:val="20"/>
              </w:rPr>
              <w:t>(Waste)</w:t>
            </w:r>
          </w:p>
        </w:tc>
        <w:tc>
          <w:tcPr>
            <w:tcW w:w="1376" w:type="dxa"/>
            <w:tcBorders>
              <w:top w:val="nil"/>
              <w:left w:val="nil"/>
              <w:bottom w:val="single" w:sz="4"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 </w:t>
            </w:r>
          </w:p>
        </w:tc>
      </w:tr>
      <w:tr w:rsidR="00185A08" w:rsidRPr="00185A08" w:rsidTr="00185A08">
        <w:trPr>
          <w:trHeight w:val="300"/>
          <w:jc w:val="center"/>
        </w:trPr>
        <w:tc>
          <w:tcPr>
            <w:tcW w:w="124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H</w:t>
            </w:r>
            <w:r w:rsidRPr="00185A08">
              <w:rPr>
                <w:rFonts w:ascii="Calibri" w:eastAsia="Times New Roman" w:hAnsi="Calibri" w:cs="Times New Roman"/>
                <w:color w:val="000000"/>
                <w:sz w:val="20"/>
                <w:szCs w:val="20"/>
                <w:vertAlign w:val="subscript"/>
              </w:rPr>
              <w:t>2</w:t>
            </w:r>
            <w:r w:rsidRPr="00185A08">
              <w:rPr>
                <w:rFonts w:ascii="Calibri" w:eastAsia="Times New Roman" w:hAnsi="Calibri" w:cs="Times New Roman"/>
                <w:color w:val="000000"/>
                <w:sz w:val="20"/>
                <w:szCs w:val="20"/>
              </w:rPr>
              <w:t>O</w:t>
            </w:r>
          </w:p>
        </w:tc>
        <w:tc>
          <w:tcPr>
            <w:tcW w:w="494"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1</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342</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342</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342</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FF0000"/>
                <w:sz w:val="20"/>
                <w:szCs w:val="20"/>
              </w:rPr>
            </w:pPr>
            <w:r w:rsidRPr="00185A08">
              <w:rPr>
                <w:rFonts w:ascii="Calibri" w:eastAsia="Times New Roman" w:hAnsi="Calibri" w:cs="Times New Roman"/>
                <w:b/>
                <w:bCs/>
                <w:color w:val="FF0000"/>
                <w:sz w:val="20"/>
                <w:szCs w:val="20"/>
              </w:rPr>
              <w:t>5.22 × 10</w:t>
            </w:r>
            <w:r w:rsidRPr="00185A08">
              <w:rPr>
                <w:rFonts w:ascii="Calibri" w:eastAsia="Times New Roman" w:hAnsi="Calibri" w:cs="Times New Roman"/>
                <w:b/>
                <w:bCs/>
                <w:color w:val="FF0000"/>
                <w:sz w:val="20"/>
                <w:szCs w:val="20"/>
                <w:vertAlign w:val="superscript"/>
              </w:rPr>
              <w:t>3</w:t>
            </w:r>
          </w:p>
        </w:tc>
        <w:tc>
          <w:tcPr>
            <w:tcW w:w="113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B050"/>
                <w:sz w:val="20"/>
                <w:szCs w:val="20"/>
              </w:rPr>
            </w:pPr>
            <w:r w:rsidRPr="00185A08">
              <w:rPr>
                <w:rFonts w:ascii="Calibri" w:eastAsia="Times New Roman" w:hAnsi="Calibri" w:cs="Times New Roman"/>
                <w:b/>
                <w:bCs/>
                <w:color w:val="00B050"/>
                <w:sz w:val="20"/>
                <w:szCs w:val="20"/>
              </w:rPr>
              <w:t>5.23</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p>
        </w:tc>
      </w:tr>
      <w:tr w:rsidR="00185A08" w:rsidRPr="00185A08" w:rsidTr="00185A08">
        <w:trPr>
          <w:trHeight w:val="285"/>
          <w:jc w:val="center"/>
        </w:trPr>
        <w:tc>
          <w:tcPr>
            <w:tcW w:w="124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NO</w:t>
            </w:r>
            <w:r w:rsidRPr="00185A08">
              <w:rPr>
                <w:rFonts w:ascii="Calibri" w:eastAsia="Times New Roman" w:hAnsi="Calibri" w:cs="Times New Roman"/>
                <w:color w:val="000000"/>
                <w:sz w:val="20"/>
                <w:szCs w:val="20"/>
                <w:vertAlign w:val="subscript"/>
              </w:rPr>
              <w:t>2</w:t>
            </w:r>
          </w:p>
        </w:tc>
        <w:tc>
          <w:tcPr>
            <w:tcW w:w="494"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4</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0</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0</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0</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FF0000"/>
                <w:sz w:val="20"/>
                <w:szCs w:val="20"/>
              </w:rPr>
            </w:pPr>
            <w:r w:rsidRPr="00185A08">
              <w:rPr>
                <w:rFonts w:ascii="Calibri" w:eastAsia="Times New Roman" w:hAnsi="Calibri" w:cs="Times New Roman"/>
                <w:b/>
                <w:bCs/>
                <w:color w:val="FF0000"/>
                <w:sz w:val="20"/>
                <w:szCs w:val="20"/>
              </w:rPr>
              <w:t>0</w:t>
            </w:r>
          </w:p>
        </w:tc>
        <w:tc>
          <w:tcPr>
            <w:tcW w:w="113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B050"/>
                <w:sz w:val="20"/>
                <w:szCs w:val="20"/>
              </w:rPr>
            </w:pPr>
            <w:r w:rsidRPr="00185A08">
              <w:rPr>
                <w:rFonts w:ascii="Calibri" w:eastAsia="Times New Roman" w:hAnsi="Calibri" w:cs="Times New Roman"/>
                <w:b/>
                <w:bCs/>
                <w:color w:val="00B050"/>
                <w:sz w:val="20"/>
                <w:szCs w:val="20"/>
              </w:rPr>
              <w:t>0</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p>
        </w:tc>
      </w:tr>
      <w:tr w:rsidR="00185A08" w:rsidRPr="00185A08" w:rsidTr="00185A08">
        <w:trPr>
          <w:trHeight w:val="300"/>
          <w:jc w:val="center"/>
        </w:trPr>
        <w:tc>
          <w:tcPr>
            <w:tcW w:w="124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HNO</w:t>
            </w:r>
            <w:r w:rsidRPr="00185A08">
              <w:rPr>
                <w:rFonts w:ascii="Calibri" w:eastAsia="Times New Roman" w:hAnsi="Calibri" w:cs="Times New Roman"/>
                <w:color w:val="000000"/>
                <w:sz w:val="20"/>
                <w:szCs w:val="20"/>
                <w:vertAlign w:val="subscript"/>
              </w:rPr>
              <w:t>3</w:t>
            </w:r>
          </w:p>
        </w:tc>
        <w:tc>
          <w:tcPr>
            <w:tcW w:w="494"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9</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1.56</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1.56</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1.56</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FF0000"/>
                <w:sz w:val="20"/>
                <w:szCs w:val="20"/>
              </w:rPr>
            </w:pPr>
            <w:r w:rsidRPr="00185A08">
              <w:rPr>
                <w:rFonts w:ascii="Calibri" w:eastAsia="Times New Roman" w:hAnsi="Calibri" w:cs="Times New Roman"/>
                <w:b/>
                <w:bCs/>
                <w:color w:val="FF0000"/>
                <w:sz w:val="20"/>
                <w:szCs w:val="20"/>
              </w:rPr>
              <w:t>118</w:t>
            </w:r>
          </w:p>
        </w:tc>
        <w:tc>
          <w:tcPr>
            <w:tcW w:w="113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B050"/>
                <w:sz w:val="20"/>
                <w:szCs w:val="20"/>
              </w:rPr>
            </w:pPr>
            <w:r w:rsidRPr="00185A08">
              <w:rPr>
                <w:rFonts w:ascii="Calibri" w:eastAsia="Times New Roman" w:hAnsi="Calibri" w:cs="Times New Roman"/>
                <w:b/>
                <w:bCs/>
                <w:color w:val="00B050"/>
                <w:sz w:val="20"/>
                <w:szCs w:val="20"/>
              </w:rPr>
              <w:t>1.18 × 10</w:t>
            </w:r>
            <w:r w:rsidRPr="00185A08">
              <w:rPr>
                <w:rFonts w:ascii="Calibri" w:eastAsia="Times New Roman" w:hAnsi="Calibri" w:cs="Times New Roman"/>
                <w:b/>
                <w:bCs/>
                <w:color w:val="00B050"/>
                <w:sz w:val="20"/>
                <w:szCs w:val="20"/>
                <w:vertAlign w:val="superscript"/>
              </w:rPr>
              <w:t>-2</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p>
        </w:tc>
      </w:tr>
      <w:tr w:rsidR="00185A08" w:rsidRPr="00185A08" w:rsidTr="00185A08">
        <w:trPr>
          <w:trHeight w:val="300"/>
          <w:jc w:val="center"/>
        </w:trPr>
        <w:tc>
          <w:tcPr>
            <w:tcW w:w="124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UO</w:t>
            </w:r>
            <w:r w:rsidRPr="00185A08">
              <w:rPr>
                <w:rFonts w:ascii="Calibri" w:eastAsia="Times New Roman" w:hAnsi="Calibri" w:cs="Times New Roman"/>
                <w:color w:val="000000"/>
                <w:sz w:val="20"/>
                <w:szCs w:val="20"/>
                <w:vertAlign w:val="subscript"/>
              </w:rPr>
              <w:t>2</w:t>
            </w:r>
            <w:r w:rsidRPr="00185A08">
              <w:rPr>
                <w:rFonts w:ascii="Calibri" w:eastAsia="Times New Roman" w:hAnsi="Calibri" w:cs="Times New Roman"/>
                <w:color w:val="000000"/>
                <w:sz w:val="20"/>
                <w:szCs w:val="20"/>
              </w:rPr>
              <w:t>(NO</w:t>
            </w:r>
            <w:r w:rsidRPr="00185A08">
              <w:rPr>
                <w:rFonts w:ascii="Calibri" w:eastAsia="Times New Roman" w:hAnsi="Calibri" w:cs="Times New Roman"/>
                <w:color w:val="000000"/>
                <w:sz w:val="20"/>
                <w:szCs w:val="20"/>
                <w:vertAlign w:val="subscript"/>
              </w:rPr>
              <w:t>3</w:t>
            </w:r>
            <w:r w:rsidRPr="00185A08">
              <w:rPr>
                <w:rFonts w:ascii="Calibri" w:eastAsia="Times New Roman" w:hAnsi="Calibri" w:cs="Times New Roman"/>
                <w:color w:val="000000"/>
                <w:sz w:val="20"/>
                <w:szCs w:val="20"/>
              </w:rPr>
              <w:t>)</w:t>
            </w:r>
            <w:r w:rsidRPr="00185A08">
              <w:rPr>
                <w:rFonts w:ascii="Calibri" w:eastAsia="Times New Roman" w:hAnsi="Calibri" w:cs="Times New Roman"/>
                <w:color w:val="000000"/>
                <w:sz w:val="20"/>
                <w:szCs w:val="20"/>
                <w:vertAlign w:val="subscript"/>
              </w:rPr>
              <w:t>2</w:t>
            </w:r>
          </w:p>
        </w:tc>
        <w:tc>
          <w:tcPr>
            <w:tcW w:w="494"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14</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1.53</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1.53</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1.53</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FF0000"/>
                <w:sz w:val="20"/>
                <w:szCs w:val="20"/>
              </w:rPr>
            </w:pPr>
            <w:r w:rsidRPr="00185A08">
              <w:rPr>
                <w:rFonts w:ascii="Calibri" w:eastAsia="Times New Roman" w:hAnsi="Calibri" w:cs="Times New Roman"/>
                <w:b/>
                <w:bCs/>
                <w:color w:val="FF0000"/>
                <w:sz w:val="20"/>
                <w:szCs w:val="20"/>
              </w:rPr>
              <w:t>206</w:t>
            </w:r>
          </w:p>
        </w:tc>
        <w:tc>
          <w:tcPr>
            <w:tcW w:w="113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B050"/>
                <w:sz w:val="20"/>
                <w:szCs w:val="20"/>
              </w:rPr>
            </w:pPr>
            <w:r w:rsidRPr="00185A08">
              <w:rPr>
                <w:rFonts w:ascii="Calibri" w:eastAsia="Times New Roman" w:hAnsi="Calibri" w:cs="Times New Roman"/>
                <w:b/>
                <w:bCs/>
                <w:color w:val="00B050"/>
                <w:sz w:val="20"/>
                <w:szCs w:val="20"/>
              </w:rPr>
              <w:t>2.06 × 10</w:t>
            </w:r>
            <w:r w:rsidRPr="00185A08">
              <w:rPr>
                <w:rFonts w:ascii="Calibri" w:eastAsia="Times New Roman" w:hAnsi="Calibri" w:cs="Times New Roman"/>
                <w:b/>
                <w:bCs/>
                <w:color w:val="00B050"/>
                <w:sz w:val="20"/>
                <w:szCs w:val="20"/>
                <w:vertAlign w:val="superscript"/>
              </w:rPr>
              <w:t>-2</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p>
        </w:tc>
      </w:tr>
      <w:tr w:rsidR="00185A08" w:rsidRPr="00185A08" w:rsidTr="00185A08">
        <w:trPr>
          <w:trHeight w:val="300"/>
          <w:jc w:val="center"/>
        </w:trPr>
        <w:tc>
          <w:tcPr>
            <w:tcW w:w="124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U</w:t>
            </w:r>
            <w:r w:rsidRPr="00185A08">
              <w:rPr>
                <w:rFonts w:ascii="Calibri" w:eastAsia="Times New Roman" w:hAnsi="Calibri" w:cs="Times New Roman"/>
                <w:color w:val="000000"/>
                <w:sz w:val="20"/>
                <w:szCs w:val="20"/>
                <w:vertAlign w:val="subscript"/>
              </w:rPr>
              <w:t>3</w:t>
            </w:r>
            <w:r w:rsidRPr="00185A08">
              <w:rPr>
                <w:rFonts w:ascii="Calibri" w:eastAsia="Times New Roman" w:hAnsi="Calibri" w:cs="Times New Roman"/>
                <w:color w:val="000000"/>
                <w:sz w:val="20"/>
                <w:szCs w:val="20"/>
              </w:rPr>
              <w:t>O</w:t>
            </w:r>
            <w:r w:rsidRPr="00185A08">
              <w:rPr>
                <w:rFonts w:ascii="Calibri" w:eastAsia="Times New Roman" w:hAnsi="Calibri" w:cs="Times New Roman"/>
                <w:color w:val="000000"/>
                <w:sz w:val="20"/>
                <w:szCs w:val="20"/>
                <w:vertAlign w:val="subscript"/>
              </w:rPr>
              <w:t>8</w:t>
            </w:r>
          </w:p>
        </w:tc>
        <w:tc>
          <w:tcPr>
            <w:tcW w:w="494"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18</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0.603</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0.603</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0.603</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FF0000"/>
                <w:sz w:val="20"/>
                <w:szCs w:val="20"/>
              </w:rPr>
            </w:pPr>
            <w:r w:rsidRPr="00185A08">
              <w:rPr>
                <w:rFonts w:ascii="Calibri" w:eastAsia="Times New Roman" w:hAnsi="Calibri" w:cs="Times New Roman"/>
                <w:b/>
                <w:bCs/>
                <w:color w:val="FF0000"/>
                <w:sz w:val="20"/>
                <w:szCs w:val="20"/>
              </w:rPr>
              <w:t>4.05 × 10</w:t>
            </w:r>
            <w:r w:rsidRPr="00185A08">
              <w:rPr>
                <w:rFonts w:ascii="Calibri" w:eastAsia="Times New Roman" w:hAnsi="Calibri" w:cs="Times New Roman"/>
                <w:b/>
                <w:bCs/>
                <w:color w:val="FF0000"/>
                <w:sz w:val="20"/>
                <w:szCs w:val="20"/>
                <w:vertAlign w:val="superscript"/>
              </w:rPr>
              <w:t>-2</w:t>
            </w:r>
          </w:p>
        </w:tc>
        <w:tc>
          <w:tcPr>
            <w:tcW w:w="113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B050"/>
                <w:sz w:val="20"/>
                <w:szCs w:val="20"/>
              </w:rPr>
            </w:pPr>
            <w:r w:rsidRPr="00185A08">
              <w:rPr>
                <w:rFonts w:ascii="Calibri" w:eastAsia="Times New Roman" w:hAnsi="Calibri" w:cs="Times New Roman"/>
                <w:b/>
                <w:bCs/>
                <w:color w:val="00B050"/>
                <w:sz w:val="20"/>
                <w:szCs w:val="20"/>
              </w:rPr>
              <w:t>4.05 × 10</w:t>
            </w:r>
            <w:r w:rsidRPr="00185A08">
              <w:rPr>
                <w:rFonts w:ascii="Calibri" w:eastAsia="Times New Roman" w:hAnsi="Calibri" w:cs="Times New Roman"/>
                <w:b/>
                <w:bCs/>
                <w:color w:val="00B050"/>
                <w:sz w:val="20"/>
                <w:szCs w:val="20"/>
                <w:vertAlign w:val="superscript"/>
              </w:rPr>
              <w:t>-6</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p>
        </w:tc>
      </w:tr>
      <w:tr w:rsidR="00185A08" w:rsidRPr="00185A08" w:rsidTr="00185A08">
        <w:trPr>
          <w:trHeight w:val="300"/>
          <w:jc w:val="center"/>
        </w:trPr>
        <w:tc>
          <w:tcPr>
            <w:tcW w:w="124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Insoluble</w:t>
            </w:r>
          </w:p>
        </w:tc>
        <w:tc>
          <w:tcPr>
            <w:tcW w:w="494"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20</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3.47 × 10</w:t>
            </w:r>
            <w:r w:rsidRPr="00185A08">
              <w:rPr>
                <w:rFonts w:ascii="Calibri" w:eastAsia="Times New Roman" w:hAnsi="Calibri" w:cs="Times New Roman"/>
                <w:color w:val="000000"/>
                <w:sz w:val="20"/>
                <w:szCs w:val="20"/>
                <w:vertAlign w:val="superscript"/>
              </w:rPr>
              <w:t>-2</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3.47 × 10</w:t>
            </w:r>
            <w:r w:rsidRPr="00185A08">
              <w:rPr>
                <w:rFonts w:ascii="Calibri" w:eastAsia="Times New Roman" w:hAnsi="Calibri" w:cs="Times New Roman"/>
                <w:color w:val="000000"/>
                <w:sz w:val="20"/>
                <w:szCs w:val="20"/>
                <w:vertAlign w:val="superscript"/>
              </w:rPr>
              <w:t>-2</w:t>
            </w:r>
          </w:p>
        </w:tc>
        <w:tc>
          <w:tcPr>
            <w:tcW w:w="1175"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3.47 × 10</w:t>
            </w:r>
            <w:r w:rsidRPr="00185A08">
              <w:rPr>
                <w:rFonts w:ascii="Calibri" w:eastAsia="Times New Roman" w:hAnsi="Calibri" w:cs="Times New Roman"/>
                <w:color w:val="000000"/>
                <w:sz w:val="20"/>
                <w:szCs w:val="20"/>
                <w:vertAlign w:val="superscript"/>
              </w:rPr>
              <w:t>-2</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FF0000"/>
                <w:sz w:val="20"/>
                <w:szCs w:val="20"/>
              </w:rPr>
            </w:pPr>
            <w:r w:rsidRPr="00185A08">
              <w:rPr>
                <w:rFonts w:ascii="Calibri" w:eastAsia="Times New Roman" w:hAnsi="Calibri" w:cs="Times New Roman"/>
                <w:b/>
                <w:bCs/>
                <w:color w:val="FF0000"/>
                <w:sz w:val="20"/>
                <w:szCs w:val="20"/>
              </w:rPr>
              <w:t>2.09 × 10</w:t>
            </w:r>
            <w:r w:rsidRPr="00185A08">
              <w:rPr>
                <w:rFonts w:ascii="Calibri" w:eastAsia="Times New Roman" w:hAnsi="Calibri" w:cs="Times New Roman"/>
                <w:b/>
                <w:bCs/>
                <w:color w:val="FF0000"/>
                <w:sz w:val="20"/>
                <w:szCs w:val="20"/>
                <w:vertAlign w:val="superscript"/>
              </w:rPr>
              <w:t>-2</w:t>
            </w:r>
          </w:p>
        </w:tc>
        <w:tc>
          <w:tcPr>
            <w:tcW w:w="1139"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B050"/>
                <w:sz w:val="20"/>
                <w:szCs w:val="20"/>
              </w:rPr>
            </w:pPr>
            <w:r w:rsidRPr="00185A08">
              <w:rPr>
                <w:rFonts w:ascii="Calibri" w:eastAsia="Times New Roman" w:hAnsi="Calibri" w:cs="Times New Roman"/>
                <w:b/>
                <w:bCs/>
                <w:color w:val="00B050"/>
                <w:sz w:val="20"/>
                <w:szCs w:val="20"/>
              </w:rPr>
              <w:t>8.38 × 10</w:t>
            </w:r>
            <w:r w:rsidRPr="00185A08">
              <w:rPr>
                <w:rFonts w:ascii="Calibri" w:eastAsia="Times New Roman" w:hAnsi="Calibri" w:cs="Times New Roman"/>
                <w:b/>
                <w:bCs/>
                <w:color w:val="00B050"/>
                <w:sz w:val="20"/>
                <w:szCs w:val="20"/>
                <w:vertAlign w:val="superscript"/>
              </w:rPr>
              <w:t>-2</w:t>
            </w:r>
          </w:p>
        </w:tc>
        <w:tc>
          <w:tcPr>
            <w:tcW w:w="1376" w:type="dxa"/>
            <w:tcBorders>
              <w:top w:val="nil"/>
              <w:left w:val="nil"/>
              <w:bottom w:val="nil"/>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p>
        </w:tc>
      </w:tr>
      <w:tr w:rsidR="00185A08" w:rsidRPr="00185A08" w:rsidTr="00185A08">
        <w:trPr>
          <w:trHeight w:val="315"/>
          <w:jc w:val="center"/>
        </w:trPr>
        <w:tc>
          <w:tcPr>
            <w:tcW w:w="1249" w:type="dxa"/>
            <w:tcBorders>
              <w:top w:val="nil"/>
              <w:left w:val="nil"/>
              <w:bottom w:val="single" w:sz="8"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Soluble</w:t>
            </w:r>
          </w:p>
        </w:tc>
        <w:tc>
          <w:tcPr>
            <w:tcW w:w="494" w:type="dxa"/>
            <w:tcBorders>
              <w:top w:val="nil"/>
              <w:left w:val="nil"/>
              <w:bottom w:val="single" w:sz="8"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21</w:t>
            </w:r>
          </w:p>
        </w:tc>
        <w:tc>
          <w:tcPr>
            <w:tcW w:w="1376" w:type="dxa"/>
            <w:tcBorders>
              <w:top w:val="nil"/>
              <w:left w:val="nil"/>
              <w:bottom w:val="single" w:sz="8"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0.158</w:t>
            </w:r>
          </w:p>
        </w:tc>
        <w:tc>
          <w:tcPr>
            <w:tcW w:w="1175" w:type="dxa"/>
            <w:tcBorders>
              <w:top w:val="nil"/>
              <w:left w:val="nil"/>
              <w:bottom w:val="single" w:sz="8"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0.158</w:t>
            </w:r>
          </w:p>
        </w:tc>
        <w:tc>
          <w:tcPr>
            <w:tcW w:w="1175" w:type="dxa"/>
            <w:tcBorders>
              <w:top w:val="nil"/>
              <w:left w:val="nil"/>
              <w:bottom w:val="single" w:sz="8"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0.158</w:t>
            </w:r>
          </w:p>
        </w:tc>
        <w:tc>
          <w:tcPr>
            <w:tcW w:w="1376" w:type="dxa"/>
            <w:tcBorders>
              <w:top w:val="nil"/>
              <w:left w:val="nil"/>
              <w:bottom w:val="single" w:sz="8"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FF0000"/>
                <w:sz w:val="20"/>
                <w:szCs w:val="20"/>
              </w:rPr>
            </w:pPr>
            <w:r w:rsidRPr="00185A08">
              <w:rPr>
                <w:rFonts w:ascii="Calibri" w:eastAsia="Times New Roman" w:hAnsi="Calibri" w:cs="Times New Roman"/>
                <w:b/>
                <w:bCs/>
                <w:color w:val="FF0000"/>
                <w:sz w:val="20"/>
                <w:szCs w:val="20"/>
              </w:rPr>
              <w:t>10.4</w:t>
            </w:r>
          </w:p>
        </w:tc>
        <w:tc>
          <w:tcPr>
            <w:tcW w:w="1139" w:type="dxa"/>
            <w:tcBorders>
              <w:top w:val="nil"/>
              <w:left w:val="nil"/>
              <w:bottom w:val="single" w:sz="8"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b/>
                <w:bCs/>
                <w:color w:val="00B050"/>
                <w:sz w:val="20"/>
                <w:szCs w:val="20"/>
              </w:rPr>
            </w:pPr>
            <w:r w:rsidRPr="00185A08">
              <w:rPr>
                <w:rFonts w:ascii="Calibri" w:eastAsia="Times New Roman" w:hAnsi="Calibri" w:cs="Times New Roman"/>
                <w:b/>
                <w:bCs/>
                <w:color w:val="00B050"/>
                <w:sz w:val="20"/>
                <w:szCs w:val="20"/>
              </w:rPr>
              <w:t>1.04 × 10</w:t>
            </w:r>
            <w:r w:rsidRPr="00185A08">
              <w:rPr>
                <w:rFonts w:ascii="Calibri" w:eastAsia="Times New Roman" w:hAnsi="Calibri" w:cs="Times New Roman"/>
                <w:b/>
                <w:bCs/>
                <w:color w:val="00B050"/>
                <w:sz w:val="20"/>
                <w:szCs w:val="20"/>
                <w:vertAlign w:val="superscript"/>
              </w:rPr>
              <w:t>-3</w:t>
            </w:r>
          </w:p>
        </w:tc>
        <w:tc>
          <w:tcPr>
            <w:tcW w:w="1376" w:type="dxa"/>
            <w:tcBorders>
              <w:top w:val="nil"/>
              <w:left w:val="nil"/>
              <w:bottom w:val="single" w:sz="8" w:space="0" w:color="auto"/>
              <w:right w:val="nil"/>
            </w:tcBorders>
            <w:shd w:val="clear" w:color="auto" w:fill="auto"/>
            <w:noWrap/>
            <w:vAlign w:val="center"/>
            <w:hideMark/>
          </w:tcPr>
          <w:p w:rsidR="00185A08" w:rsidRPr="00185A08" w:rsidRDefault="00185A08" w:rsidP="00185A08">
            <w:pPr>
              <w:spacing w:after="0" w:line="240" w:lineRule="auto"/>
              <w:jc w:val="center"/>
              <w:rPr>
                <w:rFonts w:ascii="Calibri" w:eastAsia="Times New Roman" w:hAnsi="Calibri" w:cs="Times New Roman"/>
                <w:color w:val="000000"/>
                <w:sz w:val="20"/>
                <w:szCs w:val="20"/>
              </w:rPr>
            </w:pPr>
            <w:r w:rsidRPr="00185A08">
              <w:rPr>
                <w:rFonts w:ascii="Calibri" w:eastAsia="Times New Roman" w:hAnsi="Calibri" w:cs="Times New Roman"/>
                <w:color w:val="000000"/>
                <w:sz w:val="20"/>
                <w:szCs w:val="20"/>
              </w:rPr>
              <w:t> </w:t>
            </w:r>
          </w:p>
        </w:tc>
      </w:tr>
    </w:tbl>
    <w:p w:rsidR="00185A08" w:rsidRDefault="00185A08" w:rsidP="00E664E4"/>
    <w:p w:rsidR="0095728C" w:rsidRDefault="0095728C">
      <w:r>
        <w:br w:type="page"/>
      </w:r>
    </w:p>
    <w:tbl>
      <w:tblPr>
        <w:tblW w:w="9360" w:type="dxa"/>
        <w:jc w:val="center"/>
        <w:tblInd w:w="93" w:type="dxa"/>
        <w:tblLook w:val="04A0" w:firstRow="1" w:lastRow="0" w:firstColumn="1" w:lastColumn="0" w:noHBand="0" w:noVBand="1"/>
      </w:tblPr>
      <w:tblGrid>
        <w:gridCol w:w="1488"/>
        <w:gridCol w:w="590"/>
        <w:gridCol w:w="1643"/>
        <w:gridCol w:w="1391"/>
        <w:gridCol w:w="1499"/>
        <w:gridCol w:w="1643"/>
        <w:gridCol w:w="1106"/>
      </w:tblGrid>
      <w:tr w:rsidR="0095728C" w:rsidRPr="0095728C" w:rsidTr="0095728C">
        <w:trPr>
          <w:trHeight w:val="270"/>
          <w:jc w:val="center"/>
        </w:trPr>
        <w:tc>
          <w:tcPr>
            <w:tcW w:w="9360" w:type="dxa"/>
            <w:gridSpan w:val="7"/>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lastRenderedPageBreak/>
              <w:t>Table 4.7. Steady-State Component Molar Flow Rate (</w:t>
            </w:r>
            <w:proofErr w:type="spellStart"/>
            <w:r w:rsidRPr="0095728C">
              <w:rPr>
                <w:rFonts w:ascii="Calibri" w:eastAsia="Times New Roman" w:hAnsi="Calibri" w:cs="Times New Roman"/>
                <w:b/>
                <w:bCs/>
                <w:color w:val="000000"/>
                <w:sz w:val="20"/>
                <w:szCs w:val="20"/>
              </w:rPr>
              <w:t>mol</w:t>
            </w:r>
            <w:proofErr w:type="spellEnd"/>
            <w:r w:rsidRPr="0095728C">
              <w:rPr>
                <w:rFonts w:ascii="Calibri" w:eastAsia="Times New Roman" w:hAnsi="Calibri" w:cs="Times New Roman"/>
                <w:b/>
                <w:bCs/>
                <w:color w:val="000000"/>
                <w:sz w:val="20"/>
                <w:szCs w:val="20"/>
              </w:rPr>
              <w:t>/h) for Module 2</w:t>
            </w:r>
          </w:p>
        </w:tc>
      </w:tr>
      <w:tr w:rsidR="0095728C" w:rsidRPr="0095728C" w:rsidTr="0095728C">
        <w:trPr>
          <w:trHeight w:val="255"/>
          <w:jc w:val="center"/>
        </w:trPr>
        <w:tc>
          <w:tcPr>
            <w:tcW w:w="148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c>
          <w:tcPr>
            <w:tcW w:w="59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c>
          <w:tcPr>
            <w:tcW w:w="7282" w:type="dxa"/>
            <w:gridSpan w:val="5"/>
            <w:tcBorders>
              <w:top w:val="single" w:sz="8" w:space="0" w:color="auto"/>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Stream Number (Stream Type)</w:t>
            </w:r>
          </w:p>
        </w:tc>
      </w:tr>
      <w:tr w:rsidR="0095728C" w:rsidRPr="0095728C" w:rsidTr="0095728C">
        <w:trPr>
          <w:trHeight w:val="255"/>
          <w:jc w:val="center"/>
        </w:trPr>
        <w:tc>
          <w:tcPr>
            <w:tcW w:w="2078" w:type="dxa"/>
            <w:gridSpan w:val="2"/>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Component</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12</w:t>
            </w:r>
          </w:p>
        </w:tc>
        <w:tc>
          <w:tcPr>
            <w:tcW w:w="13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5A</w:t>
            </w:r>
          </w:p>
        </w:tc>
        <w:tc>
          <w:tcPr>
            <w:tcW w:w="14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6A</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14</w:t>
            </w:r>
          </w:p>
        </w:tc>
        <w:tc>
          <w:tcPr>
            <w:tcW w:w="110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7A</w:t>
            </w:r>
          </w:p>
        </w:tc>
      </w:tr>
      <w:tr w:rsidR="0095728C" w:rsidRPr="0095728C" w:rsidTr="0095728C">
        <w:trPr>
          <w:trHeight w:val="255"/>
          <w:jc w:val="center"/>
        </w:trPr>
        <w:tc>
          <w:tcPr>
            <w:tcW w:w="1488"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Formula</w:t>
            </w:r>
          </w:p>
        </w:tc>
        <w:tc>
          <w:tcPr>
            <w:tcW w:w="590"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
        </w:tc>
        <w:tc>
          <w:tcPr>
            <w:tcW w:w="1643"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(Input)</w:t>
            </w:r>
          </w:p>
        </w:tc>
        <w:tc>
          <w:tcPr>
            <w:tcW w:w="1391"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(Input)</w:t>
            </w:r>
          </w:p>
        </w:tc>
        <w:tc>
          <w:tcPr>
            <w:tcW w:w="1499"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(Input)</w:t>
            </w:r>
          </w:p>
        </w:tc>
        <w:tc>
          <w:tcPr>
            <w:tcW w:w="1643"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roofErr w:type="spellStart"/>
            <w:r w:rsidRPr="0095728C">
              <w:rPr>
                <w:rFonts w:ascii="Calibri" w:eastAsia="Times New Roman" w:hAnsi="Calibri" w:cs="Times New Roman"/>
                <w:b/>
                <w:bCs/>
                <w:color w:val="000000"/>
                <w:sz w:val="20"/>
                <w:szCs w:val="20"/>
              </w:rPr>
              <w:t>Intermed</w:t>
            </w:r>
            <w:proofErr w:type="spellEnd"/>
            <w:r w:rsidRPr="0095728C">
              <w:rPr>
                <w:rFonts w:ascii="Calibri" w:eastAsia="Times New Roman" w:hAnsi="Calibri" w:cs="Times New Roman"/>
                <w:b/>
                <w:bCs/>
                <w:color w:val="000000"/>
                <w:sz w:val="20"/>
                <w:szCs w:val="20"/>
              </w:rPr>
              <w:t>.)</w:t>
            </w:r>
          </w:p>
        </w:tc>
        <w:tc>
          <w:tcPr>
            <w:tcW w:w="1106"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(Input)</w:t>
            </w:r>
          </w:p>
        </w:tc>
      </w:tr>
      <w:tr w:rsidR="0095728C" w:rsidRPr="0095728C" w:rsidTr="0095728C">
        <w:trPr>
          <w:trHeight w:val="300"/>
          <w:jc w:val="center"/>
        </w:trPr>
        <w:tc>
          <w:tcPr>
            <w:tcW w:w="148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H</w:t>
            </w:r>
            <w:r w:rsidRPr="0095728C">
              <w:rPr>
                <w:rFonts w:ascii="Calibri" w:eastAsia="Times New Roman" w:hAnsi="Calibri" w:cs="Times New Roman"/>
                <w:color w:val="000000"/>
                <w:sz w:val="20"/>
                <w:szCs w:val="20"/>
                <w:vertAlign w:val="subscript"/>
              </w:rPr>
              <w:t>2</w:t>
            </w:r>
            <w:r w:rsidRPr="0095728C">
              <w:rPr>
                <w:rFonts w:ascii="Calibri" w:eastAsia="Times New Roman" w:hAnsi="Calibri" w:cs="Times New Roman"/>
                <w:color w:val="000000"/>
                <w:sz w:val="20"/>
                <w:szCs w:val="20"/>
              </w:rPr>
              <w:t>O</w:t>
            </w:r>
          </w:p>
        </w:tc>
        <w:tc>
          <w:tcPr>
            <w:tcW w:w="59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5.22 × 10</w:t>
            </w:r>
            <w:r w:rsidRPr="0095728C">
              <w:rPr>
                <w:rFonts w:ascii="Calibri" w:eastAsia="Times New Roman" w:hAnsi="Calibri" w:cs="Times New Roman"/>
                <w:b/>
                <w:bCs/>
                <w:color w:val="0070C0"/>
                <w:sz w:val="20"/>
                <w:szCs w:val="20"/>
                <w:vertAlign w:val="superscript"/>
              </w:rPr>
              <w:t>3</w:t>
            </w:r>
          </w:p>
        </w:tc>
        <w:tc>
          <w:tcPr>
            <w:tcW w:w="13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222</w:t>
            </w:r>
          </w:p>
        </w:tc>
        <w:tc>
          <w:tcPr>
            <w:tcW w:w="14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7.78 × 10</w:t>
            </w:r>
            <w:r w:rsidRPr="0095728C">
              <w:rPr>
                <w:rFonts w:ascii="Calibri" w:eastAsia="Times New Roman" w:hAnsi="Calibri" w:cs="Times New Roman"/>
                <w:color w:val="000000"/>
                <w:sz w:val="20"/>
                <w:szCs w:val="20"/>
                <w:vertAlign w:val="superscript"/>
              </w:rPr>
              <w:t>3</w:t>
            </w:r>
          </w:p>
        </w:tc>
        <w:tc>
          <w:tcPr>
            <w:tcW w:w="110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r>
      <w:tr w:rsidR="0095728C" w:rsidRPr="0095728C" w:rsidTr="0095728C">
        <w:trPr>
          <w:trHeight w:val="285"/>
          <w:jc w:val="center"/>
        </w:trPr>
        <w:tc>
          <w:tcPr>
            <w:tcW w:w="148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HNO</w:t>
            </w:r>
            <w:r w:rsidRPr="0095728C">
              <w:rPr>
                <w:rFonts w:ascii="Calibri" w:eastAsia="Times New Roman" w:hAnsi="Calibri" w:cs="Times New Roman"/>
                <w:color w:val="000000"/>
                <w:sz w:val="20"/>
                <w:szCs w:val="20"/>
                <w:vertAlign w:val="subscript"/>
              </w:rPr>
              <w:t>3</w:t>
            </w:r>
          </w:p>
        </w:tc>
        <w:tc>
          <w:tcPr>
            <w:tcW w:w="59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9</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3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4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12.7</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131</w:t>
            </w:r>
          </w:p>
        </w:tc>
        <w:tc>
          <w:tcPr>
            <w:tcW w:w="110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r>
      <w:tr w:rsidR="0095728C" w:rsidRPr="0095728C" w:rsidTr="0095728C">
        <w:trPr>
          <w:trHeight w:val="255"/>
          <w:jc w:val="center"/>
        </w:trPr>
        <w:tc>
          <w:tcPr>
            <w:tcW w:w="148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TBP</w:t>
            </w:r>
          </w:p>
        </w:tc>
        <w:tc>
          <w:tcPr>
            <w:tcW w:w="59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11</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118</w:t>
            </w:r>
          </w:p>
        </w:tc>
        <w:tc>
          <w:tcPr>
            <w:tcW w:w="13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4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0.263</w:t>
            </w:r>
          </w:p>
        </w:tc>
        <w:tc>
          <w:tcPr>
            <w:tcW w:w="110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263</w:t>
            </w:r>
          </w:p>
        </w:tc>
      </w:tr>
      <w:tr w:rsidR="0095728C" w:rsidRPr="0095728C" w:rsidTr="0095728C">
        <w:trPr>
          <w:trHeight w:val="285"/>
          <w:jc w:val="center"/>
        </w:trPr>
        <w:tc>
          <w:tcPr>
            <w:tcW w:w="148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UO</w:t>
            </w:r>
            <w:r w:rsidRPr="0095728C">
              <w:rPr>
                <w:rFonts w:ascii="Calibri" w:eastAsia="Times New Roman" w:hAnsi="Calibri" w:cs="Times New Roman"/>
                <w:color w:val="000000"/>
                <w:sz w:val="20"/>
                <w:szCs w:val="20"/>
                <w:vertAlign w:val="subscript"/>
              </w:rPr>
              <w:t>2</w:t>
            </w:r>
            <w:r w:rsidRPr="0095728C">
              <w:rPr>
                <w:rFonts w:ascii="Calibri" w:eastAsia="Times New Roman" w:hAnsi="Calibri" w:cs="Times New Roman"/>
                <w:color w:val="000000"/>
                <w:sz w:val="20"/>
                <w:szCs w:val="20"/>
              </w:rPr>
              <w:t>(NO</w:t>
            </w:r>
            <w:r w:rsidRPr="0095728C">
              <w:rPr>
                <w:rFonts w:ascii="Calibri" w:eastAsia="Times New Roman" w:hAnsi="Calibri" w:cs="Times New Roman"/>
                <w:color w:val="000000"/>
                <w:sz w:val="20"/>
                <w:szCs w:val="20"/>
                <w:vertAlign w:val="subscript"/>
              </w:rPr>
              <w:t>3</w:t>
            </w:r>
            <w:r w:rsidRPr="0095728C">
              <w:rPr>
                <w:rFonts w:ascii="Calibri" w:eastAsia="Times New Roman" w:hAnsi="Calibri" w:cs="Times New Roman"/>
                <w:color w:val="000000"/>
                <w:sz w:val="20"/>
                <w:szCs w:val="20"/>
              </w:rPr>
              <w:t>)</w:t>
            </w:r>
            <w:r w:rsidRPr="0095728C">
              <w:rPr>
                <w:rFonts w:ascii="Calibri" w:eastAsia="Times New Roman" w:hAnsi="Calibri" w:cs="Times New Roman"/>
                <w:color w:val="000000"/>
                <w:sz w:val="20"/>
                <w:szCs w:val="20"/>
                <w:vertAlign w:val="subscript"/>
              </w:rPr>
              <w:t>2</w:t>
            </w:r>
          </w:p>
        </w:tc>
        <w:tc>
          <w:tcPr>
            <w:tcW w:w="59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14</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206</w:t>
            </w:r>
          </w:p>
        </w:tc>
        <w:tc>
          <w:tcPr>
            <w:tcW w:w="13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4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207</w:t>
            </w:r>
          </w:p>
        </w:tc>
        <w:tc>
          <w:tcPr>
            <w:tcW w:w="110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r>
      <w:tr w:rsidR="0095728C" w:rsidRPr="0095728C" w:rsidTr="0095728C">
        <w:trPr>
          <w:trHeight w:val="300"/>
          <w:jc w:val="center"/>
        </w:trPr>
        <w:tc>
          <w:tcPr>
            <w:tcW w:w="148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U</w:t>
            </w:r>
            <w:r w:rsidRPr="0095728C">
              <w:rPr>
                <w:rFonts w:ascii="Calibri" w:eastAsia="Times New Roman" w:hAnsi="Calibri" w:cs="Times New Roman"/>
                <w:color w:val="000000"/>
                <w:sz w:val="20"/>
                <w:szCs w:val="20"/>
                <w:vertAlign w:val="subscript"/>
              </w:rPr>
              <w:t>3</w:t>
            </w:r>
            <w:r w:rsidRPr="0095728C">
              <w:rPr>
                <w:rFonts w:ascii="Calibri" w:eastAsia="Times New Roman" w:hAnsi="Calibri" w:cs="Times New Roman"/>
                <w:color w:val="000000"/>
                <w:sz w:val="20"/>
                <w:szCs w:val="20"/>
              </w:rPr>
              <w:t>O</w:t>
            </w:r>
            <w:r w:rsidRPr="0095728C">
              <w:rPr>
                <w:rFonts w:ascii="Calibri" w:eastAsia="Times New Roman" w:hAnsi="Calibri" w:cs="Times New Roman"/>
                <w:color w:val="000000"/>
                <w:sz w:val="20"/>
                <w:szCs w:val="20"/>
                <w:vertAlign w:val="subscript"/>
              </w:rPr>
              <w:t>8</w:t>
            </w:r>
          </w:p>
        </w:tc>
        <w:tc>
          <w:tcPr>
            <w:tcW w:w="59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18</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4.05 × 10</w:t>
            </w:r>
            <w:r w:rsidRPr="0095728C">
              <w:rPr>
                <w:rFonts w:ascii="Calibri" w:eastAsia="Times New Roman" w:hAnsi="Calibri" w:cs="Times New Roman"/>
                <w:b/>
                <w:bCs/>
                <w:color w:val="0070C0"/>
                <w:sz w:val="20"/>
                <w:szCs w:val="20"/>
                <w:vertAlign w:val="superscript"/>
              </w:rPr>
              <w:t>-2</w:t>
            </w:r>
          </w:p>
        </w:tc>
        <w:tc>
          <w:tcPr>
            <w:tcW w:w="13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4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4.05 × 10</w:t>
            </w:r>
            <w:r w:rsidRPr="0095728C">
              <w:rPr>
                <w:rFonts w:ascii="Calibri" w:eastAsia="Times New Roman" w:hAnsi="Calibri" w:cs="Times New Roman"/>
                <w:color w:val="000000"/>
                <w:sz w:val="20"/>
                <w:szCs w:val="20"/>
                <w:vertAlign w:val="superscript"/>
              </w:rPr>
              <w:t>-2</w:t>
            </w:r>
          </w:p>
        </w:tc>
        <w:tc>
          <w:tcPr>
            <w:tcW w:w="110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r>
      <w:tr w:rsidR="0095728C" w:rsidRPr="0095728C" w:rsidTr="0095728C">
        <w:trPr>
          <w:trHeight w:val="300"/>
          <w:jc w:val="center"/>
        </w:trPr>
        <w:tc>
          <w:tcPr>
            <w:tcW w:w="148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Insoluble</w:t>
            </w:r>
          </w:p>
        </w:tc>
        <w:tc>
          <w:tcPr>
            <w:tcW w:w="59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20</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2.09 × 10</w:t>
            </w:r>
            <w:r w:rsidRPr="0095728C">
              <w:rPr>
                <w:rFonts w:ascii="Calibri" w:eastAsia="Times New Roman" w:hAnsi="Calibri" w:cs="Times New Roman"/>
                <w:b/>
                <w:bCs/>
                <w:color w:val="0070C0"/>
                <w:sz w:val="20"/>
                <w:szCs w:val="20"/>
                <w:vertAlign w:val="superscript"/>
              </w:rPr>
              <w:t>-2</w:t>
            </w:r>
          </w:p>
        </w:tc>
        <w:tc>
          <w:tcPr>
            <w:tcW w:w="13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4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2.10 × 10</w:t>
            </w:r>
            <w:r w:rsidRPr="0095728C">
              <w:rPr>
                <w:rFonts w:ascii="Calibri" w:eastAsia="Times New Roman" w:hAnsi="Calibri" w:cs="Times New Roman"/>
                <w:color w:val="000000"/>
                <w:sz w:val="20"/>
                <w:szCs w:val="20"/>
                <w:vertAlign w:val="superscript"/>
              </w:rPr>
              <w:t>-2</w:t>
            </w:r>
          </w:p>
        </w:tc>
        <w:tc>
          <w:tcPr>
            <w:tcW w:w="110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r>
      <w:tr w:rsidR="0095728C" w:rsidRPr="0095728C" w:rsidTr="0095728C">
        <w:trPr>
          <w:trHeight w:val="270"/>
          <w:jc w:val="center"/>
        </w:trPr>
        <w:tc>
          <w:tcPr>
            <w:tcW w:w="1488"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Soluble</w:t>
            </w:r>
          </w:p>
        </w:tc>
        <w:tc>
          <w:tcPr>
            <w:tcW w:w="590"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21</w:t>
            </w:r>
          </w:p>
        </w:tc>
        <w:tc>
          <w:tcPr>
            <w:tcW w:w="1643"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10.4</w:t>
            </w:r>
          </w:p>
        </w:tc>
        <w:tc>
          <w:tcPr>
            <w:tcW w:w="1391"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499"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643"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11.5</w:t>
            </w:r>
          </w:p>
        </w:tc>
        <w:tc>
          <w:tcPr>
            <w:tcW w:w="1106"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r>
      <w:tr w:rsidR="0095728C" w:rsidRPr="0095728C" w:rsidTr="0095728C">
        <w:trPr>
          <w:trHeight w:val="255"/>
          <w:jc w:val="center"/>
        </w:trPr>
        <w:tc>
          <w:tcPr>
            <w:tcW w:w="148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c>
          <w:tcPr>
            <w:tcW w:w="59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c>
          <w:tcPr>
            <w:tcW w:w="7282" w:type="dxa"/>
            <w:gridSpan w:val="5"/>
            <w:tcBorders>
              <w:top w:val="single" w:sz="8" w:space="0" w:color="auto"/>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Stream Number (Stream Type)</w:t>
            </w:r>
          </w:p>
        </w:tc>
      </w:tr>
      <w:tr w:rsidR="0095728C" w:rsidRPr="0095728C" w:rsidTr="0095728C">
        <w:trPr>
          <w:trHeight w:val="255"/>
          <w:jc w:val="center"/>
        </w:trPr>
        <w:tc>
          <w:tcPr>
            <w:tcW w:w="2078" w:type="dxa"/>
            <w:gridSpan w:val="2"/>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Component</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15</w:t>
            </w:r>
          </w:p>
        </w:tc>
        <w:tc>
          <w:tcPr>
            <w:tcW w:w="13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16</w:t>
            </w:r>
          </w:p>
        </w:tc>
        <w:tc>
          <w:tcPr>
            <w:tcW w:w="14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8A</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17</w:t>
            </w:r>
          </w:p>
        </w:tc>
        <w:tc>
          <w:tcPr>
            <w:tcW w:w="110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255"/>
          <w:jc w:val="center"/>
        </w:trPr>
        <w:tc>
          <w:tcPr>
            <w:tcW w:w="1488"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Formula</w:t>
            </w:r>
          </w:p>
        </w:tc>
        <w:tc>
          <w:tcPr>
            <w:tcW w:w="590"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
        </w:tc>
        <w:tc>
          <w:tcPr>
            <w:tcW w:w="1643"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roofErr w:type="spellStart"/>
            <w:r w:rsidRPr="0095728C">
              <w:rPr>
                <w:rFonts w:ascii="Calibri" w:eastAsia="Times New Roman" w:hAnsi="Calibri" w:cs="Times New Roman"/>
                <w:b/>
                <w:bCs/>
                <w:color w:val="000000"/>
                <w:sz w:val="20"/>
                <w:szCs w:val="20"/>
              </w:rPr>
              <w:t>Intermed</w:t>
            </w:r>
            <w:proofErr w:type="spellEnd"/>
            <w:r w:rsidRPr="0095728C">
              <w:rPr>
                <w:rFonts w:ascii="Calibri" w:eastAsia="Times New Roman" w:hAnsi="Calibri" w:cs="Times New Roman"/>
                <w:b/>
                <w:bCs/>
                <w:color w:val="000000"/>
                <w:sz w:val="20"/>
                <w:szCs w:val="20"/>
              </w:rPr>
              <w:t>.)</w:t>
            </w:r>
          </w:p>
        </w:tc>
        <w:tc>
          <w:tcPr>
            <w:tcW w:w="1391"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(Waste)</w:t>
            </w:r>
          </w:p>
        </w:tc>
        <w:tc>
          <w:tcPr>
            <w:tcW w:w="1499"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(Input)</w:t>
            </w:r>
          </w:p>
        </w:tc>
        <w:tc>
          <w:tcPr>
            <w:tcW w:w="1643"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roofErr w:type="spellStart"/>
            <w:r w:rsidRPr="0095728C">
              <w:rPr>
                <w:rFonts w:ascii="Calibri" w:eastAsia="Times New Roman" w:hAnsi="Calibri" w:cs="Times New Roman"/>
                <w:b/>
                <w:bCs/>
                <w:color w:val="000000"/>
                <w:sz w:val="20"/>
                <w:szCs w:val="20"/>
              </w:rPr>
              <w:t>Intermed</w:t>
            </w:r>
            <w:proofErr w:type="spellEnd"/>
            <w:r w:rsidRPr="0095728C">
              <w:rPr>
                <w:rFonts w:ascii="Calibri" w:eastAsia="Times New Roman" w:hAnsi="Calibri" w:cs="Times New Roman"/>
                <w:b/>
                <w:bCs/>
                <w:color w:val="000000"/>
                <w:sz w:val="20"/>
                <w:szCs w:val="20"/>
              </w:rPr>
              <w:t>.)</w:t>
            </w:r>
          </w:p>
        </w:tc>
        <w:tc>
          <w:tcPr>
            <w:tcW w:w="1106"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 </w:t>
            </w:r>
          </w:p>
        </w:tc>
      </w:tr>
      <w:tr w:rsidR="0095728C" w:rsidRPr="0095728C" w:rsidTr="0095728C">
        <w:trPr>
          <w:trHeight w:val="300"/>
          <w:jc w:val="center"/>
        </w:trPr>
        <w:tc>
          <w:tcPr>
            <w:tcW w:w="148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H</w:t>
            </w:r>
            <w:r w:rsidRPr="0095728C">
              <w:rPr>
                <w:rFonts w:ascii="Calibri" w:eastAsia="Times New Roman" w:hAnsi="Calibri" w:cs="Times New Roman"/>
                <w:color w:val="000000"/>
                <w:sz w:val="20"/>
                <w:szCs w:val="20"/>
                <w:vertAlign w:val="subscript"/>
              </w:rPr>
              <w:t>2</w:t>
            </w:r>
            <w:r w:rsidRPr="0095728C">
              <w:rPr>
                <w:rFonts w:ascii="Calibri" w:eastAsia="Times New Roman" w:hAnsi="Calibri" w:cs="Times New Roman"/>
                <w:color w:val="000000"/>
                <w:sz w:val="20"/>
                <w:szCs w:val="20"/>
              </w:rPr>
              <w:t>O</w:t>
            </w:r>
          </w:p>
        </w:tc>
        <w:tc>
          <w:tcPr>
            <w:tcW w:w="59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7.78</w:t>
            </w:r>
          </w:p>
        </w:tc>
        <w:tc>
          <w:tcPr>
            <w:tcW w:w="13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7.77 × 10</w:t>
            </w:r>
            <w:r w:rsidRPr="0095728C">
              <w:rPr>
                <w:rFonts w:ascii="Calibri" w:eastAsia="Times New Roman" w:hAnsi="Calibri" w:cs="Times New Roman"/>
                <w:b/>
                <w:bCs/>
                <w:color w:val="00B050"/>
                <w:sz w:val="20"/>
                <w:szCs w:val="20"/>
                <w:vertAlign w:val="superscript"/>
              </w:rPr>
              <w:t>3</w:t>
            </w:r>
          </w:p>
        </w:tc>
        <w:tc>
          <w:tcPr>
            <w:tcW w:w="14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2.33 × 10</w:t>
            </w:r>
            <w:r w:rsidRPr="0095728C">
              <w:rPr>
                <w:rFonts w:ascii="Calibri" w:eastAsia="Times New Roman" w:hAnsi="Calibri" w:cs="Times New Roman"/>
                <w:b/>
                <w:bCs/>
                <w:color w:val="0070C0"/>
                <w:sz w:val="20"/>
                <w:szCs w:val="20"/>
                <w:vertAlign w:val="superscript"/>
              </w:rPr>
              <w:t>3</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2.34</w:t>
            </w:r>
          </w:p>
        </w:tc>
        <w:tc>
          <w:tcPr>
            <w:tcW w:w="110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300"/>
          <w:jc w:val="center"/>
        </w:trPr>
        <w:tc>
          <w:tcPr>
            <w:tcW w:w="148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HNO</w:t>
            </w:r>
            <w:r w:rsidRPr="0095728C">
              <w:rPr>
                <w:rFonts w:ascii="Calibri" w:eastAsia="Times New Roman" w:hAnsi="Calibri" w:cs="Times New Roman"/>
                <w:color w:val="000000"/>
                <w:sz w:val="20"/>
                <w:szCs w:val="20"/>
                <w:vertAlign w:val="subscript"/>
              </w:rPr>
              <w:t>3</w:t>
            </w:r>
          </w:p>
        </w:tc>
        <w:tc>
          <w:tcPr>
            <w:tcW w:w="59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9</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0.131</w:t>
            </w:r>
          </w:p>
        </w:tc>
        <w:tc>
          <w:tcPr>
            <w:tcW w:w="13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131</w:t>
            </w:r>
          </w:p>
        </w:tc>
        <w:tc>
          <w:tcPr>
            <w:tcW w:w="14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6.54 × 10</w:t>
            </w:r>
            <w:r w:rsidRPr="0095728C">
              <w:rPr>
                <w:rFonts w:ascii="Calibri" w:eastAsia="Times New Roman" w:hAnsi="Calibri" w:cs="Times New Roman"/>
                <w:color w:val="000000"/>
                <w:sz w:val="20"/>
                <w:szCs w:val="20"/>
                <w:vertAlign w:val="superscript"/>
              </w:rPr>
              <w:t>-4</w:t>
            </w:r>
          </w:p>
        </w:tc>
        <w:tc>
          <w:tcPr>
            <w:tcW w:w="110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255"/>
          <w:jc w:val="center"/>
        </w:trPr>
        <w:tc>
          <w:tcPr>
            <w:tcW w:w="148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TBP</w:t>
            </w:r>
          </w:p>
        </w:tc>
        <w:tc>
          <w:tcPr>
            <w:tcW w:w="59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11</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263</w:t>
            </w:r>
          </w:p>
        </w:tc>
        <w:tc>
          <w:tcPr>
            <w:tcW w:w="13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0.263</w:t>
            </w:r>
          </w:p>
        </w:tc>
        <w:tc>
          <w:tcPr>
            <w:tcW w:w="14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263</w:t>
            </w:r>
          </w:p>
        </w:tc>
        <w:tc>
          <w:tcPr>
            <w:tcW w:w="110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285"/>
          <w:jc w:val="center"/>
        </w:trPr>
        <w:tc>
          <w:tcPr>
            <w:tcW w:w="148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UO</w:t>
            </w:r>
            <w:r w:rsidRPr="0095728C">
              <w:rPr>
                <w:rFonts w:ascii="Calibri" w:eastAsia="Times New Roman" w:hAnsi="Calibri" w:cs="Times New Roman"/>
                <w:color w:val="000000"/>
                <w:sz w:val="20"/>
                <w:szCs w:val="20"/>
                <w:vertAlign w:val="subscript"/>
              </w:rPr>
              <w:t>2</w:t>
            </w:r>
            <w:r w:rsidRPr="0095728C">
              <w:rPr>
                <w:rFonts w:ascii="Calibri" w:eastAsia="Times New Roman" w:hAnsi="Calibri" w:cs="Times New Roman"/>
                <w:color w:val="000000"/>
                <w:sz w:val="20"/>
                <w:szCs w:val="20"/>
              </w:rPr>
              <w:t>(NO</w:t>
            </w:r>
            <w:r w:rsidRPr="0095728C">
              <w:rPr>
                <w:rFonts w:ascii="Calibri" w:eastAsia="Times New Roman" w:hAnsi="Calibri" w:cs="Times New Roman"/>
                <w:color w:val="000000"/>
                <w:sz w:val="20"/>
                <w:szCs w:val="20"/>
                <w:vertAlign w:val="subscript"/>
              </w:rPr>
              <w:t>3</w:t>
            </w:r>
            <w:r w:rsidRPr="0095728C">
              <w:rPr>
                <w:rFonts w:ascii="Calibri" w:eastAsia="Times New Roman" w:hAnsi="Calibri" w:cs="Times New Roman"/>
                <w:color w:val="000000"/>
                <w:sz w:val="20"/>
                <w:szCs w:val="20"/>
              </w:rPr>
              <w:t>)</w:t>
            </w:r>
            <w:r w:rsidRPr="0095728C">
              <w:rPr>
                <w:rFonts w:ascii="Calibri" w:eastAsia="Times New Roman" w:hAnsi="Calibri" w:cs="Times New Roman"/>
                <w:color w:val="000000"/>
                <w:sz w:val="20"/>
                <w:szCs w:val="20"/>
                <w:vertAlign w:val="subscript"/>
              </w:rPr>
              <w:t>2</w:t>
            </w:r>
          </w:p>
        </w:tc>
        <w:tc>
          <w:tcPr>
            <w:tcW w:w="59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14</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206</w:t>
            </w:r>
          </w:p>
        </w:tc>
        <w:tc>
          <w:tcPr>
            <w:tcW w:w="13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1.03</w:t>
            </w:r>
          </w:p>
        </w:tc>
        <w:tc>
          <w:tcPr>
            <w:tcW w:w="14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205</w:t>
            </w:r>
          </w:p>
        </w:tc>
        <w:tc>
          <w:tcPr>
            <w:tcW w:w="110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300"/>
          <w:jc w:val="center"/>
        </w:trPr>
        <w:tc>
          <w:tcPr>
            <w:tcW w:w="148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U</w:t>
            </w:r>
            <w:r w:rsidRPr="0095728C">
              <w:rPr>
                <w:rFonts w:ascii="Calibri" w:eastAsia="Times New Roman" w:hAnsi="Calibri" w:cs="Times New Roman"/>
                <w:color w:val="000000"/>
                <w:sz w:val="20"/>
                <w:szCs w:val="20"/>
                <w:vertAlign w:val="subscript"/>
              </w:rPr>
              <w:t>3</w:t>
            </w:r>
            <w:r w:rsidRPr="0095728C">
              <w:rPr>
                <w:rFonts w:ascii="Calibri" w:eastAsia="Times New Roman" w:hAnsi="Calibri" w:cs="Times New Roman"/>
                <w:color w:val="000000"/>
                <w:sz w:val="20"/>
                <w:szCs w:val="20"/>
              </w:rPr>
              <w:t>O</w:t>
            </w:r>
            <w:r w:rsidRPr="0095728C">
              <w:rPr>
                <w:rFonts w:ascii="Calibri" w:eastAsia="Times New Roman" w:hAnsi="Calibri" w:cs="Times New Roman"/>
                <w:color w:val="000000"/>
                <w:sz w:val="20"/>
                <w:szCs w:val="20"/>
                <w:vertAlign w:val="subscript"/>
              </w:rPr>
              <w:t>8</w:t>
            </w:r>
          </w:p>
        </w:tc>
        <w:tc>
          <w:tcPr>
            <w:tcW w:w="59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18</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4.05 × 10</w:t>
            </w:r>
            <w:r w:rsidRPr="0095728C">
              <w:rPr>
                <w:rFonts w:ascii="Calibri" w:eastAsia="Times New Roman" w:hAnsi="Calibri" w:cs="Times New Roman"/>
                <w:color w:val="000000"/>
                <w:sz w:val="20"/>
                <w:szCs w:val="20"/>
                <w:vertAlign w:val="superscript"/>
              </w:rPr>
              <w:t>-2</w:t>
            </w:r>
          </w:p>
        </w:tc>
        <w:tc>
          <w:tcPr>
            <w:tcW w:w="13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4.05 × 10</w:t>
            </w:r>
            <w:r w:rsidRPr="0095728C">
              <w:rPr>
                <w:rFonts w:ascii="Calibri" w:eastAsia="Times New Roman" w:hAnsi="Calibri" w:cs="Times New Roman"/>
                <w:b/>
                <w:bCs/>
                <w:color w:val="00B050"/>
                <w:sz w:val="20"/>
                <w:szCs w:val="20"/>
                <w:vertAlign w:val="superscript"/>
              </w:rPr>
              <w:t>-2</w:t>
            </w:r>
          </w:p>
        </w:tc>
        <w:tc>
          <w:tcPr>
            <w:tcW w:w="14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4.05 × 10</w:t>
            </w:r>
            <w:r w:rsidRPr="0095728C">
              <w:rPr>
                <w:rFonts w:ascii="Calibri" w:eastAsia="Times New Roman" w:hAnsi="Calibri" w:cs="Times New Roman"/>
                <w:color w:val="000000"/>
                <w:sz w:val="20"/>
                <w:szCs w:val="20"/>
                <w:vertAlign w:val="superscript"/>
              </w:rPr>
              <w:t>-8</w:t>
            </w:r>
          </w:p>
        </w:tc>
        <w:tc>
          <w:tcPr>
            <w:tcW w:w="110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300"/>
          <w:jc w:val="center"/>
        </w:trPr>
        <w:tc>
          <w:tcPr>
            <w:tcW w:w="148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Insoluble</w:t>
            </w:r>
          </w:p>
        </w:tc>
        <w:tc>
          <w:tcPr>
            <w:tcW w:w="59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20</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2.10 × 10</w:t>
            </w:r>
            <w:r w:rsidRPr="0095728C">
              <w:rPr>
                <w:rFonts w:ascii="Calibri" w:eastAsia="Times New Roman" w:hAnsi="Calibri" w:cs="Times New Roman"/>
                <w:color w:val="000000"/>
                <w:sz w:val="20"/>
                <w:szCs w:val="20"/>
                <w:vertAlign w:val="superscript"/>
              </w:rPr>
              <w:t>-2</w:t>
            </w:r>
          </w:p>
        </w:tc>
        <w:tc>
          <w:tcPr>
            <w:tcW w:w="13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2.09 × 10</w:t>
            </w:r>
            <w:r w:rsidRPr="0095728C">
              <w:rPr>
                <w:rFonts w:ascii="Calibri" w:eastAsia="Times New Roman" w:hAnsi="Calibri" w:cs="Times New Roman"/>
                <w:b/>
                <w:bCs/>
                <w:color w:val="00B050"/>
                <w:sz w:val="20"/>
                <w:szCs w:val="20"/>
                <w:vertAlign w:val="superscript"/>
              </w:rPr>
              <w:t>-2</w:t>
            </w:r>
          </w:p>
        </w:tc>
        <w:tc>
          <w:tcPr>
            <w:tcW w:w="14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2.10 × 10</w:t>
            </w:r>
            <w:r w:rsidRPr="0095728C">
              <w:rPr>
                <w:rFonts w:ascii="Calibri" w:eastAsia="Times New Roman" w:hAnsi="Calibri" w:cs="Times New Roman"/>
                <w:color w:val="000000"/>
                <w:sz w:val="20"/>
                <w:szCs w:val="20"/>
                <w:vertAlign w:val="superscript"/>
              </w:rPr>
              <w:t>-8</w:t>
            </w:r>
          </w:p>
        </w:tc>
        <w:tc>
          <w:tcPr>
            <w:tcW w:w="110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315"/>
          <w:jc w:val="center"/>
        </w:trPr>
        <w:tc>
          <w:tcPr>
            <w:tcW w:w="1488"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Soluble</w:t>
            </w:r>
          </w:p>
        </w:tc>
        <w:tc>
          <w:tcPr>
            <w:tcW w:w="590"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21</w:t>
            </w:r>
          </w:p>
        </w:tc>
        <w:tc>
          <w:tcPr>
            <w:tcW w:w="1643"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1.15</w:t>
            </w:r>
          </w:p>
        </w:tc>
        <w:tc>
          <w:tcPr>
            <w:tcW w:w="1391"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10.3</w:t>
            </w:r>
          </w:p>
        </w:tc>
        <w:tc>
          <w:tcPr>
            <w:tcW w:w="1499"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643"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5.75 × 10</w:t>
            </w:r>
            <w:r w:rsidRPr="0095728C">
              <w:rPr>
                <w:rFonts w:ascii="Calibri" w:eastAsia="Times New Roman" w:hAnsi="Calibri" w:cs="Times New Roman"/>
                <w:color w:val="000000"/>
                <w:sz w:val="20"/>
                <w:szCs w:val="20"/>
                <w:vertAlign w:val="superscript"/>
              </w:rPr>
              <w:t>-2</w:t>
            </w:r>
          </w:p>
        </w:tc>
        <w:tc>
          <w:tcPr>
            <w:tcW w:w="1106"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 </w:t>
            </w:r>
          </w:p>
        </w:tc>
      </w:tr>
      <w:tr w:rsidR="0095728C" w:rsidRPr="0095728C" w:rsidTr="0095728C">
        <w:trPr>
          <w:trHeight w:val="255"/>
          <w:jc w:val="center"/>
        </w:trPr>
        <w:tc>
          <w:tcPr>
            <w:tcW w:w="148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c>
          <w:tcPr>
            <w:tcW w:w="59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c>
          <w:tcPr>
            <w:tcW w:w="7282" w:type="dxa"/>
            <w:gridSpan w:val="5"/>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Stream Number (Stream Type)</w:t>
            </w:r>
          </w:p>
        </w:tc>
      </w:tr>
      <w:tr w:rsidR="0095728C" w:rsidRPr="0095728C" w:rsidTr="0095728C">
        <w:trPr>
          <w:trHeight w:val="255"/>
          <w:jc w:val="center"/>
        </w:trPr>
        <w:tc>
          <w:tcPr>
            <w:tcW w:w="2078" w:type="dxa"/>
            <w:gridSpan w:val="2"/>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Component</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18</w:t>
            </w:r>
          </w:p>
        </w:tc>
        <w:tc>
          <w:tcPr>
            <w:tcW w:w="13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9A</w:t>
            </w:r>
          </w:p>
        </w:tc>
        <w:tc>
          <w:tcPr>
            <w:tcW w:w="14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19</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20</w:t>
            </w:r>
          </w:p>
        </w:tc>
        <w:tc>
          <w:tcPr>
            <w:tcW w:w="110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255"/>
          <w:jc w:val="center"/>
        </w:trPr>
        <w:tc>
          <w:tcPr>
            <w:tcW w:w="1488"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Formula</w:t>
            </w:r>
          </w:p>
        </w:tc>
        <w:tc>
          <w:tcPr>
            <w:tcW w:w="590"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
        </w:tc>
        <w:tc>
          <w:tcPr>
            <w:tcW w:w="1643"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(Recycle)</w:t>
            </w:r>
          </w:p>
        </w:tc>
        <w:tc>
          <w:tcPr>
            <w:tcW w:w="1391"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(Input)</w:t>
            </w:r>
          </w:p>
        </w:tc>
        <w:tc>
          <w:tcPr>
            <w:tcW w:w="1499"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(Product)</w:t>
            </w:r>
          </w:p>
        </w:tc>
        <w:tc>
          <w:tcPr>
            <w:tcW w:w="1643"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(Waste)</w:t>
            </w:r>
          </w:p>
        </w:tc>
        <w:tc>
          <w:tcPr>
            <w:tcW w:w="1106"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 </w:t>
            </w:r>
          </w:p>
        </w:tc>
      </w:tr>
      <w:tr w:rsidR="0095728C" w:rsidRPr="0095728C" w:rsidTr="0095728C">
        <w:trPr>
          <w:trHeight w:val="300"/>
          <w:jc w:val="center"/>
        </w:trPr>
        <w:tc>
          <w:tcPr>
            <w:tcW w:w="148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H</w:t>
            </w:r>
            <w:r w:rsidRPr="0095728C">
              <w:rPr>
                <w:rFonts w:ascii="Calibri" w:eastAsia="Times New Roman" w:hAnsi="Calibri" w:cs="Times New Roman"/>
                <w:color w:val="000000"/>
                <w:sz w:val="20"/>
                <w:szCs w:val="20"/>
                <w:vertAlign w:val="subscript"/>
              </w:rPr>
              <w:t>2</w:t>
            </w:r>
            <w:r w:rsidRPr="0095728C">
              <w:rPr>
                <w:rFonts w:ascii="Calibri" w:eastAsia="Times New Roman" w:hAnsi="Calibri" w:cs="Times New Roman"/>
                <w:color w:val="000000"/>
                <w:sz w:val="20"/>
                <w:szCs w:val="20"/>
              </w:rPr>
              <w:t>O</w:t>
            </w:r>
          </w:p>
        </w:tc>
        <w:tc>
          <w:tcPr>
            <w:tcW w:w="59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2.34 × 10</w:t>
            </w:r>
            <w:r w:rsidRPr="0095728C">
              <w:rPr>
                <w:rFonts w:ascii="Calibri" w:eastAsia="Times New Roman" w:hAnsi="Calibri" w:cs="Times New Roman"/>
                <w:color w:val="000000"/>
                <w:sz w:val="20"/>
                <w:szCs w:val="20"/>
                <w:vertAlign w:val="superscript"/>
              </w:rPr>
              <w:t>3</w:t>
            </w:r>
          </w:p>
        </w:tc>
        <w:tc>
          <w:tcPr>
            <w:tcW w:w="13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5.27 × 10</w:t>
            </w:r>
            <w:r w:rsidRPr="0095728C">
              <w:rPr>
                <w:rFonts w:ascii="Calibri" w:eastAsia="Times New Roman" w:hAnsi="Calibri" w:cs="Times New Roman"/>
                <w:b/>
                <w:bCs/>
                <w:color w:val="0070C0"/>
                <w:sz w:val="20"/>
                <w:szCs w:val="20"/>
                <w:vertAlign w:val="superscript"/>
              </w:rPr>
              <w:t>3</w:t>
            </w:r>
          </w:p>
        </w:tc>
        <w:tc>
          <w:tcPr>
            <w:tcW w:w="14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5.28 × 10</w:t>
            </w:r>
            <w:r w:rsidRPr="0095728C">
              <w:rPr>
                <w:rFonts w:ascii="Calibri" w:eastAsia="Times New Roman" w:hAnsi="Calibri" w:cs="Times New Roman"/>
                <w:b/>
                <w:bCs/>
                <w:color w:val="FF0000"/>
                <w:sz w:val="20"/>
                <w:szCs w:val="20"/>
                <w:vertAlign w:val="superscript"/>
              </w:rPr>
              <w:t>3</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0.528</w:t>
            </w:r>
          </w:p>
        </w:tc>
        <w:tc>
          <w:tcPr>
            <w:tcW w:w="110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300"/>
          <w:jc w:val="center"/>
        </w:trPr>
        <w:tc>
          <w:tcPr>
            <w:tcW w:w="148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HNO</w:t>
            </w:r>
            <w:r w:rsidRPr="0095728C">
              <w:rPr>
                <w:rFonts w:ascii="Calibri" w:eastAsia="Times New Roman" w:hAnsi="Calibri" w:cs="Times New Roman"/>
                <w:color w:val="000000"/>
                <w:sz w:val="20"/>
                <w:szCs w:val="20"/>
                <w:vertAlign w:val="subscript"/>
              </w:rPr>
              <w:t>3</w:t>
            </w:r>
          </w:p>
        </w:tc>
        <w:tc>
          <w:tcPr>
            <w:tcW w:w="59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9</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0.130</w:t>
            </w:r>
          </w:p>
        </w:tc>
        <w:tc>
          <w:tcPr>
            <w:tcW w:w="13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4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6.51 × 10</w:t>
            </w:r>
            <w:r w:rsidRPr="0095728C">
              <w:rPr>
                <w:rFonts w:ascii="Calibri" w:eastAsia="Times New Roman" w:hAnsi="Calibri" w:cs="Times New Roman"/>
                <w:b/>
                <w:bCs/>
                <w:color w:val="FF0000"/>
                <w:sz w:val="20"/>
                <w:szCs w:val="20"/>
                <w:vertAlign w:val="superscript"/>
              </w:rPr>
              <w:t>-4</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3.27 × 10</w:t>
            </w:r>
            <w:r w:rsidRPr="0095728C">
              <w:rPr>
                <w:rFonts w:ascii="Calibri" w:eastAsia="Times New Roman" w:hAnsi="Calibri" w:cs="Times New Roman"/>
                <w:b/>
                <w:bCs/>
                <w:color w:val="00B050"/>
                <w:sz w:val="20"/>
                <w:szCs w:val="20"/>
                <w:vertAlign w:val="superscript"/>
              </w:rPr>
              <w:t>-6</w:t>
            </w:r>
          </w:p>
        </w:tc>
        <w:tc>
          <w:tcPr>
            <w:tcW w:w="110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255"/>
          <w:jc w:val="center"/>
        </w:trPr>
        <w:tc>
          <w:tcPr>
            <w:tcW w:w="148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TBP</w:t>
            </w:r>
          </w:p>
        </w:tc>
        <w:tc>
          <w:tcPr>
            <w:tcW w:w="59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11</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0.263</w:t>
            </w:r>
          </w:p>
        </w:tc>
        <w:tc>
          <w:tcPr>
            <w:tcW w:w="13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4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0</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263</w:t>
            </w:r>
          </w:p>
        </w:tc>
        <w:tc>
          <w:tcPr>
            <w:tcW w:w="110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285"/>
          <w:jc w:val="center"/>
        </w:trPr>
        <w:tc>
          <w:tcPr>
            <w:tcW w:w="148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UO</w:t>
            </w:r>
            <w:r w:rsidRPr="0095728C">
              <w:rPr>
                <w:rFonts w:ascii="Calibri" w:eastAsia="Times New Roman" w:hAnsi="Calibri" w:cs="Times New Roman"/>
                <w:color w:val="000000"/>
                <w:sz w:val="20"/>
                <w:szCs w:val="20"/>
                <w:vertAlign w:val="subscript"/>
              </w:rPr>
              <w:t>2</w:t>
            </w:r>
            <w:r w:rsidRPr="0095728C">
              <w:rPr>
                <w:rFonts w:ascii="Calibri" w:eastAsia="Times New Roman" w:hAnsi="Calibri" w:cs="Times New Roman"/>
                <w:color w:val="000000"/>
                <w:sz w:val="20"/>
                <w:szCs w:val="20"/>
              </w:rPr>
              <w:t>(NO</w:t>
            </w:r>
            <w:r w:rsidRPr="0095728C">
              <w:rPr>
                <w:rFonts w:ascii="Calibri" w:eastAsia="Times New Roman" w:hAnsi="Calibri" w:cs="Times New Roman"/>
                <w:color w:val="000000"/>
                <w:sz w:val="20"/>
                <w:szCs w:val="20"/>
                <w:vertAlign w:val="subscript"/>
              </w:rPr>
              <w:t>3</w:t>
            </w:r>
            <w:r w:rsidRPr="0095728C">
              <w:rPr>
                <w:rFonts w:ascii="Calibri" w:eastAsia="Times New Roman" w:hAnsi="Calibri" w:cs="Times New Roman"/>
                <w:color w:val="000000"/>
                <w:sz w:val="20"/>
                <w:szCs w:val="20"/>
              </w:rPr>
              <w:t>)</w:t>
            </w:r>
            <w:r w:rsidRPr="0095728C">
              <w:rPr>
                <w:rFonts w:ascii="Calibri" w:eastAsia="Times New Roman" w:hAnsi="Calibri" w:cs="Times New Roman"/>
                <w:color w:val="000000"/>
                <w:sz w:val="20"/>
                <w:szCs w:val="20"/>
                <w:vertAlign w:val="subscript"/>
              </w:rPr>
              <w:t>2</w:t>
            </w:r>
          </w:p>
        </w:tc>
        <w:tc>
          <w:tcPr>
            <w:tcW w:w="59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14</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0.206</w:t>
            </w:r>
          </w:p>
        </w:tc>
        <w:tc>
          <w:tcPr>
            <w:tcW w:w="13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4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205</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0.205</w:t>
            </w:r>
          </w:p>
        </w:tc>
        <w:tc>
          <w:tcPr>
            <w:tcW w:w="110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300"/>
          <w:jc w:val="center"/>
        </w:trPr>
        <w:tc>
          <w:tcPr>
            <w:tcW w:w="148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U</w:t>
            </w:r>
            <w:r w:rsidRPr="0095728C">
              <w:rPr>
                <w:rFonts w:ascii="Calibri" w:eastAsia="Times New Roman" w:hAnsi="Calibri" w:cs="Times New Roman"/>
                <w:color w:val="000000"/>
                <w:sz w:val="20"/>
                <w:szCs w:val="20"/>
                <w:vertAlign w:val="subscript"/>
              </w:rPr>
              <w:t>3</w:t>
            </w:r>
            <w:r w:rsidRPr="0095728C">
              <w:rPr>
                <w:rFonts w:ascii="Calibri" w:eastAsia="Times New Roman" w:hAnsi="Calibri" w:cs="Times New Roman"/>
                <w:color w:val="000000"/>
                <w:sz w:val="20"/>
                <w:szCs w:val="20"/>
              </w:rPr>
              <w:t>O</w:t>
            </w:r>
            <w:r w:rsidRPr="0095728C">
              <w:rPr>
                <w:rFonts w:ascii="Calibri" w:eastAsia="Times New Roman" w:hAnsi="Calibri" w:cs="Times New Roman"/>
                <w:color w:val="000000"/>
                <w:sz w:val="20"/>
                <w:szCs w:val="20"/>
                <w:vertAlign w:val="subscript"/>
              </w:rPr>
              <w:t>8</w:t>
            </w:r>
          </w:p>
        </w:tc>
        <w:tc>
          <w:tcPr>
            <w:tcW w:w="59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18</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4.05 × 10</w:t>
            </w:r>
            <w:r w:rsidRPr="0095728C">
              <w:rPr>
                <w:rFonts w:ascii="Calibri" w:eastAsia="Times New Roman" w:hAnsi="Calibri" w:cs="Times New Roman"/>
                <w:color w:val="000000"/>
                <w:sz w:val="20"/>
                <w:szCs w:val="20"/>
                <w:vertAlign w:val="superscript"/>
              </w:rPr>
              <w:t>-5</w:t>
            </w:r>
          </w:p>
        </w:tc>
        <w:tc>
          <w:tcPr>
            <w:tcW w:w="13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4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4.05 × 10</w:t>
            </w:r>
            <w:r w:rsidRPr="0095728C">
              <w:rPr>
                <w:rFonts w:ascii="Calibri" w:eastAsia="Times New Roman" w:hAnsi="Calibri" w:cs="Times New Roman"/>
                <w:b/>
                <w:bCs/>
                <w:color w:val="FF0000"/>
                <w:sz w:val="20"/>
                <w:szCs w:val="20"/>
                <w:vertAlign w:val="superscript"/>
              </w:rPr>
              <w:t>-11</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4.05 × 10</w:t>
            </w:r>
            <w:r w:rsidRPr="0095728C">
              <w:rPr>
                <w:rFonts w:ascii="Calibri" w:eastAsia="Times New Roman" w:hAnsi="Calibri" w:cs="Times New Roman"/>
                <w:b/>
                <w:bCs/>
                <w:color w:val="00B050"/>
                <w:sz w:val="20"/>
                <w:szCs w:val="20"/>
                <w:vertAlign w:val="superscript"/>
              </w:rPr>
              <w:t>-8</w:t>
            </w:r>
          </w:p>
        </w:tc>
        <w:tc>
          <w:tcPr>
            <w:tcW w:w="110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300"/>
          <w:jc w:val="center"/>
        </w:trPr>
        <w:tc>
          <w:tcPr>
            <w:tcW w:w="148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Insoluble</w:t>
            </w:r>
          </w:p>
        </w:tc>
        <w:tc>
          <w:tcPr>
            <w:tcW w:w="59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20</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2.09 × 10</w:t>
            </w:r>
            <w:r w:rsidRPr="0095728C">
              <w:rPr>
                <w:rFonts w:ascii="Calibri" w:eastAsia="Times New Roman" w:hAnsi="Calibri" w:cs="Times New Roman"/>
                <w:color w:val="000000"/>
                <w:sz w:val="20"/>
                <w:szCs w:val="20"/>
                <w:vertAlign w:val="superscript"/>
              </w:rPr>
              <w:t>-5</w:t>
            </w:r>
          </w:p>
        </w:tc>
        <w:tc>
          <w:tcPr>
            <w:tcW w:w="13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4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0</w:t>
            </w:r>
          </w:p>
        </w:tc>
        <w:tc>
          <w:tcPr>
            <w:tcW w:w="1643"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2.10 × 10</w:t>
            </w:r>
            <w:r w:rsidRPr="0095728C">
              <w:rPr>
                <w:rFonts w:ascii="Calibri" w:eastAsia="Times New Roman" w:hAnsi="Calibri" w:cs="Times New Roman"/>
                <w:b/>
                <w:bCs/>
                <w:color w:val="00B050"/>
                <w:sz w:val="20"/>
                <w:szCs w:val="20"/>
                <w:vertAlign w:val="superscript"/>
              </w:rPr>
              <w:t>-8</w:t>
            </w:r>
          </w:p>
        </w:tc>
        <w:tc>
          <w:tcPr>
            <w:tcW w:w="110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315"/>
          <w:jc w:val="center"/>
        </w:trPr>
        <w:tc>
          <w:tcPr>
            <w:tcW w:w="1488"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Soluble</w:t>
            </w:r>
          </w:p>
        </w:tc>
        <w:tc>
          <w:tcPr>
            <w:tcW w:w="590"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21</w:t>
            </w:r>
          </w:p>
        </w:tc>
        <w:tc>
          <w:tcPr>
            <w:tcW w:w="1643"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1.09</w:t>
            </w:r>
          </w:p>
        </w:tc>
        <w:tc>
          <w:tcPr>
            <w:tcW w:w="1391"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499"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5.72 × 10</w:t>
            </w:r>
            <w:r w:rsidRPr="0095728C">
              <w:rPr>
                <w:rFonts w:ascii="Calibri" w:eastAsia="Times New Roman" w:hAnsi="Calibri" w:cs="Times New Roman"/>
                <w:b/>
                <w:bCs/>
                <w:color w:val="FF0000"/>
                <w:sz w:val="20"/>
                <w:szCs w:val="20"/>
                <w:vertAlign w:val="superscript"/>
              </w:rPr>
              <w:t>-2</w:t>
            </w:r>
          </w:p>
        </w:tc>
        <w:tc>
          <w:tcPr>
            <w:tcW w:w="1643"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2.87 × 10</w:t>
            </w:r>
            <w:r w:rsidRPr="0095728C">
              <w:rPr>
                <w:rFonts w:ascii="Calibri" w:eastAsia="Times New Roman" w:hAnsi="Calibri" w:cs="Times New Roman"/>
                <w:b/>
                <w:bCs/>
                <w:color w:val="00B050"/>
                <w:sz w:val="20"/>
                <w:szCs w:val="20"/>
                <w:vertAlign w:val="superscript"/>
              </w:rPr>
              <w:t>-4</w:t>
            </w:r>
          </w:p>
        </w:tc>
        <w:tc>
          <w:tcPr>
            <w:tcW w:w="1106"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 </w:t>
            </w:r>
          </w:p>
        </w:tc>
      </w:tr>
    </w:tbl>
    <w:p w:rsidR="00185A08" w:rsidRDefault="00185A08" w:rsidP="00E664E4"/>
    <w:p w:rsidR="0095728C" w:rsidRDefault="0095728C">
      <w:r>
        <w:br w:type="page"/>
      </w:r>
    </w:p>
    <w:tbl>
      <w:tblPr>
        <w:tblW w:w="9360" w:type="dxa"/>
        <w:jc w:val="center"/>
        <w:tblInd w:w="93" w:type="dxa"/>
        <w:tblLook w:val="04A0" w:firstRow="1" w:lastRow="0" w:firstColumn="1" w:lastColumn="0" w:noHBand="0" w:noVBand="1"/>
      </w:tblPr>
      <w:tblGrid>
        <w:gridCol w:w="1898"/>
        <w:gridCol w:w="516"/>
        <w:gridCol w:w="1368"/>
        <w:gridCol w:w="1436"/>
        <w:gridCol w:w="1436"/>
        <w:gridCol w:w="1368"/>
        <w:gridCol w:w="1338"/>
      </w:tblGrid>
      <w:tr w:rsidR="0095728C" w:rsidRPr="0095728C" w:rsidTr="0095728C">
        <w:trPr>
          <w:trHeight w:val="270"/>
          <w:jc w:val="center"/>
        </w:trPr>
        <w:tc>
          <w:tcPr>
            <w:tcW w:w="9360" w:type="dxa"/>
            <w:gridSpan w:val="7"/>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lastRenderedPageBreak/>
              <w:t>Table 4.8. Steady-State Component Molar Flow Rate (</w:t>
            </w:r>
            <w:proofErr w:type="spellStart"/>
            <w:r w:rsidRPr="0095728C">
              <w:rPr>
                <w:rFonts w:ascii="Calibri" w:eastAsia="Times New Roman" w:hAnsi="Calibri" w:cs="Times New Roman"/>
                <w:b/>
                <w:bCs/>
                <w:color w:val="000000"/>
                <w:sz w:val="20"/>
                <w:szCs w:val="20"/>
              </w:rPr>
              <w:t>mol</w:t>
            </w:r>
            <w:proofErr w:type="spellEnd"/>
            <w:r w:rsidRPr="0095728C">
              <w:rPr>
                <w:rFonts w:ascii="Calibri" w:eastAsia="Times New Roman" w:hAnsi="Calibri" w:cs="Times New Roman"/>
                <w:b/>
                <w:bCs/>
                <w:color w:val="000000"/>
                <w:sz w:val="20"/>
                <w:szCs w:val="20"/>
              </w:rPr>
              <w:t>/h) for Module 3</w:t>
            </w:r>
          </w:p>
        </w:tc>
      </w:tr>
      <w:tr w:rsidR="0095728C" w:rsidRPr="0095728C" w:rsidTr="0095728C">
        <w:trPr>
          <w:trHeight w:val="255"/>
          <w:jc w:val="center"/>
        </w:trPr>
        <w:tc>
          <w:tcPr>
            <w:tcW w:w="189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c>
          <w:tcPr>
            <w:tcW w:w="51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c>
          <w:tcPr>
            <w:tcW w:w="6946" w:type="dxa"/>
            <w:gridSpan w:val="5"/>
            <w:tcBorders>
              <w:top w:val="single" w:sz="8" w:space="0" w:color="auto"/>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Stream Number (Stream Type)</w:t>
            </w:r>
          </w:p>
        </w:tc>
      </w:tr>
      <w:tr w:rsidR="0095728C" w:rsidRPr="0095728C" w:rsidTr="0095728C">
        <w:trPr>
          <w:trHeight w:val="255"/>
          <w:jc w:val="center"/>
        </w:trPr>
        <w:tc>
          <w:tcPr>
            <w:tcW w:w="2414" w:type="dxa"/>
            <w:gridSpan w:val="2"/>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Component</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19</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21</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22</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23</w:t>
            </w:r>
          </w:p>
        </w:tc>
        <w:tc>
          <w:tcPr>
            <w:tcW w:w="13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24</w:t>
            </w:r>
          </w:p>
        </w:tc>
      </w:tr>
      <w:tr w:rsidR="0095728C" w:rsidRPr="0095728C" w:rsidTr="0095728C">
        <w:trPr>
          <w:trHeight w:val="255"/>
          <w:jc w:val="center"/>
        </w:trPr>
        <w:tc>
          <w:tcPr>
            <w:tcW w:w="1898"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Formula</w:t>
            </w:r>
          </w:p>
        </w:tc>
        <w:tc>
          <w:tcPr>
            <w:tcW w:w="516"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
        </w:tc>
        <w:tc>
          <w:tcPr>
            <w:tcW w:w="1368"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(Input)</w:t>
            </w:r>
          </w:p>
        </w:tc>
        <w:tc>
          <w:tcPr>
            <w:tcW w:w="1436"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(Waste)</w:t>
            </w:r>
          </w:p>
        </w:tc>
        <w:tc>
          <w:tcPr>
            <w:tcW w:w="1436"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roofErr w:type="spellStart"/>
            <w:r w:rsidRPr="0095728C">
              <w:rPr>
                <w:rFonts w:ascii="Calibri" w:eastAsia="Times New Roman" w:hAnsi="Calibri" w:cs="Times New Roman"/>
                <w:b/>
                <w:bCs/>
                <w:color w:val="000000"/>
                <w:sz w:val="20"/>
                <w:szCs w:val="20"/>
              </w:rPr>
              <w:t>Intermed</w:t>
            </w:r>
            <w:proofErr w:type="spellEnd"/>
            <w:r w:rsidRPr="0095728C">
              <w:rPr>
                <w:rFonts w:ascii="Calibri" w:eastAsia="Times New Roman" w:hAnsi="Calibri" w:cs="Times New Roman"/>
                <w:b/>
                <w:bCs/>
                <w:color w:val="000000"/>
                <w:sz w:val="20"/>
                <w:szCs w:val="20"/>
              </w:rPr>
              <w:t>.)</w:t>
            </w:r>
          </w:p>
        </w:tc>
        <w:tc>
          <w:tcPr>
            <w:tcW w:w="1368"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(Dep. Input)</w:t>
            </w:r>
          </w:p>
        </w:tc>
        <w:tc>
          <w:tcPr>
            <w:tcW w:w="1338"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(Dep. Input)</w:t>
            </w:r>
          </w:p>
        </w:tc>
      </w:tr>
      <w:tr w:rsidR="0095728C" w:rsidRPr="0095728C" w:rsidTr="0095728C">
        <w:trPr>
          <w:trHeight w:val="300"/>
          <w:jc w:val="center"/>
        </w:trPr>
        <w:tc>
          <w:tcPr>
            <w:tcW w:w="189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H</w:t>
            </w:r>
            <w:r w:rsidRPr="0095728C">
              <w:rPr>
                <w:rFonts w:ascii="Calibri" w:eastAsia="Times New Roman" w:hAnsi="Calibri" w:cs="Times New Roman"/>
                <w:sz w:val="20"/>
                <w:szCs w:val="20"/>
                <w:vertAlign w:val="subscript"/>
              </w:rPr>
              <w:t>2</w:t>
            </w:r>
            <w:r w:rsidRPr="0095728C">
              <w:rPr>
                <w:rFonts w:ascii="Calibri" w:eastAsia="Times New Roman" w:hAnsi="Calibri" w:cs="Times New Roman"/>
                <w:sz w:val="20"/>
                <w:szCs w:val="20"/>
              </w:rPr>
              <w:t>O</w:t>
            </w:r>
          </w:p>
        </w:tc>
        <w:tc>
          <w:tcPr>
            <w:tcW w:w="51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5.28 × 10</w:t>
            </w:r>
            <w:r w:rsidRPr="0095728C">
              <w:rPr>
                <w:rFonts w:ascii="Calibri" w:eastAsia="Times New Roman" w:hAnsi="Calibri" w:cs="Times New Roman"/>
                <w:b/>
                <w:bCs/>
                <w:color w:val="0070C0"/>
                <w:sz w:val="20"/>
                <w:szCs w:val="20"/>
                <w:vertAlign w:val="superscript"/>
              </w:rPr>
              <w:t>3</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3.17 × 10</w:t>
            </w:r>
            <w:r w:rsidRPr="0095728C">
              <w:rPr>
                <w:rFonts w:ascii="Calibri" w:eastAsia="Times New Roman" w:hAnsi="Calibri" w:cs="Times New Roman"/>
                <w:b/>
                <w:bCs/>
                <w:color w:val="00B050"/>
                <w:sz w:val="20"/>
                <w:szCs w:val="20"/>
                <w:vertAlign w:val="superscript"/>
              </w:rPr>
              <w:t>3</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2.11 × 10</w:t>
            </w:r>
            <w:r w:rsidRPr="0095728C">
              <w:rPr>
                <w:rFonts w:ascii="Calibri" w:eastAsia="Times New Roman" w:hAnsi="Calibri" w:cs="Times New Roman"/>
                <w:color w:val="000000"/>
                <w:sz w:val="20"/>
                <w:szCs w:val="20"/>
                <w:vertAlign w:val="superscript"/>
              </w:rPr>
              <w:t>3</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923</w:t>
            </w:r>
          </w:p>
        </w:tc>
        <w:tc>
          <w:tcPr>
            <w:tcW w:w="13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r>
      <w:tr w:rsidR="0095728C" w:rsidRPr="0095728C" w:rsidTr="0095728C">
        <w:trPr>
          <w:trHeight w:val="300"/>
          <w:jc w:val="center"/>
        </w:trPr>
        <w:tc>
          <w:tcPr>
            <w:tcW w:w="189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NH</w:t>
            </w:r>
            <w:r w:rsidRPr="0095728C">
              <w:rPr>
                <w:rFonts w:ascii="Calibri" w:eastAsia="Times New Roman" w:hAnsi="Calibri" w:cs="Times New Roman"/>
                <w:sz w:val="20"/>
                <w:szCs w:val="20"/>
                <w:vertAlign w:val="subscript"/>
              </w:rPr>
              <w:t>3</w:t>
            </w:r>
          </w:p>
        </w:tc>
        <w:tc>
          <w:tcPr>
            <w:tcW w:w="51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3</w:t>
            </w:r>
          </w:p>
        </w:tc>
        <w:tc>
          <w:tcPr>
            <w:tcW w:w="136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3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1.85 × 10</w:t>
            </w:r>
            <w:r w:rsidRPr="0095728C">
              <w:rPr>
                <w:rFonts w:ascii="Calibri" w:eastAsia="Times New Roman" w:hAnsi="Calibri" w:cs="Times New Roman"/>
                <w:color w:val="000000"/>
                <w:sz w:val="20"/>
                <w:szCs w:val="20"/>
                <w:vertAlign w:val="superscript"/>
              </w:rPr>
              <w:t>3</w:t>
            </w:r>
          </w:p>
        </w:tc>
      </w:tr>
      <w:tr w:rsidR="0095728C" w:rsidRPr="0095728C" w:rsidTr="0095728C">
        <w:trPr>
          <w:trHeight w:val="300"/>
          <w:jc w:val="center"/>
        </w:trPr>
        <w:tc>
          <w:tcPr>
            <w:tcW w:w="189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HNO</w:t>
            </w:r>
            <w:r w:rsidRPr="0095728C">
              <w:rPr>
                <w:rFonts w:ascii="Calibri" w:eastAsia="Times New Roman" w:hAnsi="Calibri" w:cs="Times New Roman"/>
                <w:sz w:val="20"/>
                <w:szCs w:val="20"/>
                <w:vertAlign w:val="subscript"/>
              </w:rPr>
              <w:t>3</w:t>
            </w:r>
          </w:p>
        </w:tc>
        <w:tc>
          <w:tcPr>
            <w:tcW w:w="51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9</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6.51 × 10</w:t>
            </w:r>
            <w:r w:rsidRPr="0095728C">
              <w:rPr>
                <w:rFonts w:ascii="Calibri" w:eastAsia="Times New Roman" w:hAnsi="Calibri" w:cs="Times New Roman"/>
                <w:b/>
                <w:bCs/>
                <w:color w:val="0070C0"/>
                <w:sz w:val="20"/>
                <w:szCs w:val="20"/>
                <w:vertAlign w:val="superscript"/>
              </w:rPr>
              <w:t>-4</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3.91 × 10</w:t>
            </w:r>
            <w:r w:rsidRPr="0095728C">
              <w:rPr>
                <w:rFonts w:ascii="Calibri" w:eastAsia="Times New Roman" w:hAnsi="Calibri" w:cs="Times New Roman"/>
                <w:b/>
                <w:bCs/>
                <w:color w:val="00B050"/>
                <w:sz w:val="20"/>
                <w:szCs w:val="20"/>
                <w:vertAlign w:val="superscript"/>
              </w:rPr>
              <w:t>-4</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2.60 × 10</w:t>
            </w:r>
            <w:r w:rsidRPr="0095728C">
              <w:rPr>
                <w:rFonts w:ascii="Calibri" w:eastAsia="Times New Roman" w:hAnsi="Calibri" w:cs="Times New Roman"/>
                <w:color w:val="000000"/>
                <w:sz w:val="20"/>
                <w:szCs w:val="20"/>
                <w:vertAlign w:val="superscript"/>
              </w:rPr>
              <w:t>-4</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3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r>
      <w:tr w:rsidR="0095728C" w:rsidRPr="0095728C" w:rsidTr="0095728C">
        <w:trPr>
          <w:trHeight w:val="300"/>
          <w:jc w:val="center"/>
        </w:trPr>
        <w:tc>
          <w:tcPr>
            <w:tcW w:w="189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UO</w:t>
            </w:r>
            <w:r w:rsidRPr="0095728C">
              <w:rPr>
                <w:rFonts w:ascii="Calibri" w:eastAsia="Times New Roman" w:hAnsi="Calibri" w:cs="Times New Roman"/>
                <w:sz w:val="20"/>
                <w:szCs w:val="20"/>
                <w:vertAlign w:val="subscript"/>
              </w:rPr>
              <w:t>2</w:t>
            </w:r>
            <w:r w:rsidRPr="0095728C">
              <w:rPr>
                <w:rFonts w:ascii="Calibri" w:eastAsia="Times New Roman" w:hAnsi="Calibri" w:cs="Times New Roman"/>
                <w:sz w:val="20"/>
                <w:szCs w:val="20"/>
              </w:rPr>
              <w:t>(NO</w:t>
            </w:r>
            <w:r w:rsidRPr="0095728C">
              <w:rPr>
                <w:rFonts w:ascii="Calibri" w:eastAsia="Times New Roman" w:hAnsi="Calibri" w:cs="Times New Roman"/>
                <w:sz w:val="20"/>
                <w:szCs w:val="20"/>
                <w:vertAlign w:val="subscript"/>
              </w:rPr>
              <w:t>3</w:t>
            </w:r>
            <w:r w:rsidRPr="0095728C">
              <w:rPr>
                <w:rFonts w:ascii="Calibri" w:eastAsia="Times New Roman" w:hAnsi="Calibri" w:cs="Times New Roman"/>
                <w:sz w:val="20"/>
                <w:szCs w:val="20"/>
              </w:rPr>
              <w:t>)</w:t>
            </w:r>
            <w:r w:rsidRPr="0095728C">
              <w:rPr>
                <w:rFonts w:ascii="Calibri" w:eastAsia="Times New Roman" w:hAnsi="Calibri" w:cs="Times New Roman"/>
                <w:sz w:val="20"/>
                <w:szCs w:val="20"/>
                <w:vertAlign w:val="subscript"/>
              </w:rPr>
              <w:t>2</w:t>
            </w:r>
          </w:p>
        </w:tc>
        <w:tc>
          <w:tcPr>
            <w:tcW w:w="51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14</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205</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2.05 × 10</w:t>
            </w:r>
            <w:r w:rsidRPr="0095728C">
              <w:rPr>
                <w:rFonts w:ascii="Calibri" w:eastAsia="Times New Roman" w:hAnsi="Calibri" w:cs="Times New Roman"/>
                <w:b/>
                <w:bCs/>
                <w:color w:val="00B050"/>
                <w:sz w:val="20"/>
                <w:szCs w:val="20"/>
                <w:vertAlign w:val="superscript"/>
              </w:rPr>
              <w:t>-2</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205</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3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r>
      <w:tr w:rsidR="0095728C" w:rsidRPr="0095728C" w:rsidTr="0095728C">
        <w:trPr>
          <w:trHeight w:val="300"/>
          <w:jc w:val="center"/>
        </w:trPr>
        <w:tc>
          <w:tcPr>
            <w:tcW w:w="189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w:t>
            </w:r>
            <w:r w:rsidRPr="0095728C">
              <w:rPr>
                <w:rFonts w:ascii="Calibri" w:eastAsia="Times New Roman" w:hAnsi="Calibri" w:cs="Times New Roman"/>
                <w:sz w:val="20"/>
                <w:szCs w:val="20"/>
                <w:vertAlign w:val="subscript"/>
              </w:rPr>
              <w:t>3</w:t>
            </w:r>
            <w:r w:rsidRPr="0095728C">
              <w:rPr>
                <w:rFonts w:ascii="Calibri" w:eastAsia="Times New Roman" w:hAnsi="Calibri" w:cs="Times New Roman"/>
                <w:sz w:val="20"/>
                <w:szCs w:val="20"/>
              </w:rPr>
              <w:t>O</w:t>
            </w:r>
            <w:r w:rsidRPr="0095728C">
              <w:rPr>
                <w:rFonts w:ascii="Calibri" w:eastAsia="Times New Roman" w:hAnsi="Calibri" w:cs="Times New Roman"/>
                <w:sz w:val="20"/>
                <w:szCs w:val="20"/>
                <w:vertAlign w:val="subscript"/>
              </w:rPr>
              <w:t>8</w:t>
            </w:r>
          </w:p>
        </w:tc>
        <w:tc>
          <w:tcPr>
            <w:tcW w:w="51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18</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4.05 × 10</w:t>
            </w:r>
            <w:r w:rsidRPr="0095728C">
              <w:rPr>
                <w:rFonts w:ascii="Calibri" w:eastAsia="Times New Roman" w:hAnsi="Calibri" w:cs="Times New Roman"/>
                <w:b/>
                <w:bCs/>
                <w:color w:val="0070C0"/>
                <w:sz w:val="20"/>
                <w:szCs w:val="20"/>
                <w:vertAlign w:val="superscript"/>
              </w:rPr>
              <w:t>-11</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4.05 × 10</w:t>
            </w:r>
            <w:r w:rsidRPr="0095728C">
              <w:rPr>
                <w:rFonts w:ascii="Calibri" w:eastAsia="Times New Roman" w:hAnsi="Calibri" w:cs="Times New Roman"/>
                <w:b/>
                <w:bCs/>
                <w:color w:val="00B050"/>
                <w:sz w:val="20"/>
                <w:szCs w:val="20"/>
                <w:vertAlign w:val="superscript"/>
              </w:rPr>
              <w:t>-15</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4.05 × 10</w:t>
            </w:r>
            <w:r w:rsidRPr="0095728C">
              <w:rPr>
                <w:rFonts w:ascii="Calibri" w:eastAsia="Times New Roman" w:hAnsi="Calibri" w:cs="Times New Roman"/>
                <w:color w:val="000000"/>
                <w:sz w:val="20"/>
                <w:szCs w:val="20"/>
                <w:vertAlign w:val="superscript"/>
              </w:rPr>
              <w:t>-11</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3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r>
      <w:tr w:rsidR="0095728C" w:rsidRPr="0095728C" w:rsidTr="0095728C">
        <w:trPr>
          <w:trHeight w:val="315"/>
          <w:jc w:val="center"/>
        </w:trPr>
        <w:tc>
          <w:tcPr>
            <w:tcW w:w="1898" w:type="dxa"/>
            <w:tcBorders>
              <w:top w:val="nil"/>
              <w:left w:val="nil"/>
              <w:bottom w:val="single" w:sz="8"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soluble</w:t>
            </w:r>
          </w:p>
        </w:tc>
        <w:tc>
          <w:tcPr>
            <w:tcW w:w="516" w:type="dxa"/>
            <w:tcBorders>
              <w:top w:val="nil"/>
              <w:left w:val="nil"/>
              <w:bottom w:val="single" w:sz="8"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21</w:t>
            </w:r>
          </w:p>
        </w:tc>
        <w:tc>
          <w:tcPr>
            <w:tcW w:w="1368"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5.72 × 10</w:t>
            </w:r>
            <w:r w:rsidRPr="0095728C">
              <w:rPr>
                <w:rFonts w:ascii="Calibri" w:eastAsia="Times New Roman" w:hAnsi="Calibri" w:cs="Times New Roman"/>
                <w:b/>
                <w:bCs/>
                <w:color w:val="0070C0"/>
                <w:sz w:val="20"/>
                <w:szCs w:val="20"/>
                <w:vertAlign w:val="superscript"/>
              </w:rPr>
              <w:t>-2</w:t>
            </w:r>
          </w:p>
        </w:tc>
        <w:tc>
          <w:tcPr>
            <w:tcW w:w="1436"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5.72 × 10</w:t>
            </w:r>
            <w:r w:rsidRPr="0095728C">
              <w:rPr>
                <w:rFonts w:ascii="Calibri" w:eastAsia="Times New Roman" w:hAnsi="Calibri" w:cs="Times New Roman"/>
                <w:b/>
                <w:bCs/>
                <w:color w:val="00B050"/>
                <w:sz w:val="20"/>
                <w:szCs w:val="20"/>
                <w:vertAlign w:val="superscript"/>
              </w:rPr>
              <w:t>-6</w:t>
            </w:r>
          </w:p>
        </w:tc>
        <w:tc>
          <w:tcPr>
            <w:tcW w:w="1436"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5.72 × 10</w:t>
            </w:r>
            <w:r w:rsidRPr="0095728C">
              <w:rPr>
                <w:rFonts w:ascii="Calibri" w:eastAsia="Times New Roman" w:hAnsi="Calibri" w:cs="Times New Roman"/>
                <w:color w:val="000000"/>
                <w:sz w:val="20"/>
                <w:szCs w:val="20"/>
                <w:vertAlign w:val="superscript"/>
              </w:rPr>
              <w:t>-2</w:t>
            </w:r>
          </w:p>
        </w:tc>
        <w:tc>
          <w:tcPr>
            <w:tcW w:w="1368"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338"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r>
      <w:tr w:rsidR="0095728C" w:rsidRPr="0095728C" w:rsidTr="0095728C">
        <w:trPr>
          <w:trHeight w:val="255"/>
          <w:jc w:val="center"/>
        </w:trPr>
        <w:tc>
          <w:tcPr>
            <w:tcW w:w="189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c>
          <w:tcPr>
            <w:tcW w:w="51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c>
          <w:tcPr>
            <w:tcW w:w="6946" w:type="dxa"/>
            <w:gridSpan w:val="5"/>
            <w:tcBorders>
              <w:top w:val="single" w:sz="8" w:space="0" w:color="auto"/>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Stream Number (Stream Type)</w:t>
            </w:r>
          </w:p>
        </w:tc>
      </w:tr>
      <w:tr w:rsidR="0095728C" w:rsidRPr="0095728C" w:rsidTr="0095728C">
        <w:trPr>
          <w:trHeight w:val="255"/>
          <w:jc w:val="center"/>
        </w:trPr>
        <w:tc>
          <w:tcPr>
            <w:tcW w:w="2414" w:type="dxa"/>
            <w:gridSpan w:val="2"/>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Component</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25</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26</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27</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10A</w:t>
            </w:r>
          </w:p>
        </w:tc>
        <w:tc>
          <w:tcPr>
            <w:tcW w:w="13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255"/>
          <w:jc w:val="center"/>
        </w:trPr>
        <w:tc>
          <w:tcPr>
            <w:tcW w:w="1898"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Formula</w:t>
            </w:r>
          </w:p>
        </w:tc>
        <w:tc>
          <w:tcPr>
            <w:tcW w:w="516"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
        </w:tc>
        <w:tc>
          <w:tcPr>
            <w:tcW w:w="1368"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(Dep. Input)</w:t>
            </w:r>
          </w:p>
        </w:tc>
        <w:tc>
          <w:tcPr>
            <w:tcW w:w="1436"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roofErr w:type="spellStart"/>
            <w:r w:rsidRPr="0095728C">
              <w:rPr>
                <w:rFonts w:ascii="Calibri" w:eastAsia="Times New Roman" w:hAnsi="Calibri" w:cs="Times New Roman"/>
                <w:b/>
                <w:bCs/>
                <w:color w:val="000000"/>
                <w:sz w:val="20"/>
                <w:szCs w:val="20"/>
              </w:rPr>
              <w:t>Intermed</w:t>
            </w:r>
            <w:proofErr w:type="spellEnd"/>
            <w:r w:rsidRPr="0095728C">
              <w:rPr>
                <w:rFonts w:ascii="Calibri" w:eastAsia="Times New Roman" w:hAnsi="Calibri" w:cs="Times New Roman"/>
                <w:b/>
                <w:bCs/>
                <w:color w:val="000000"/>
                <w:sz w:val="20"/>
                <w:szCs w:val="20"/>
              </w:rPr>
              <w:t>.)</w:t>
            </w:r>
          </w:p>
        </w:tc>
        <w:tc>
          <w:tcPr>
            <w:tcW w:w="1436"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roofErr w:type="spellStart"/>
            <w:r w:rsidRPr="0095728C">
              <w:rPr>
                <w:rFonts w:ascii="Calibri" w:eastAsia="Times New Roman" w:hAnsi="Calibri" w:cs="Times New Roman"/>
                <w:b/>
                <w:bCs/>
                <w:color w:val="000000"/>
                <w:sz w:val="20"/>
                <w:szCs w:val="20"/>
              </w:rPr>
              <w:t>Intermed</w:t>
            </w:r>
            <w:proofErr w:type="spellEnd"/>
            <w:r w:rsidRPr="0095728C">
              <w:rPr>
                <w:rFonts w:ascii="Calibri" w:eastAsia="Times New Roman" w:hAnsi="Calibri" w:cs="Times New Roman"/>
                <w:b/>
                <w:bCs/>
                <w:color w:val="000000"/>
                <w:sz w:val="20"/>
                <w:szCs w:val="20"/>
              </w:rPr>
              <w:t>.)</w:t>
            </w:r>
          </w:p>
        </w:tc>
        <w:tc>
          <w:tcPr>
            <w:tcW w:w="1368"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(Input)</w:t>
            </w:r>
          </w:p>
        </w:tc>
        <w:tc>
          <w:tcPr>
            <w:tcW w:w="1338"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 </w:t>
            </w:r>
          </w:p>
        </w:tc>
      </w:tr>
      <w:tr w:rsidR="0095728C" w:rsidRPr="0095728C" w:rsidTr="0095728C">
        <w:trPr>
          <w:trHeight w:val="300"/>
          <w:jc w:val="center"/>
        </w:trPr>
        <w:tc>
          <w:tcPr>
            <w:tcW w:w="189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H</w:t>
            </w:r>
            <w:r w:rsidRPr="0095728C">
              <w:rPr>
                <w:rFonts w:ascii="Calibri" w:eastAsia="Times New Roman" w:hAnsi="Calibri" w:cs="Times New Roman"/>
                <w:sz w:val="20"/>
                <w:szCs w:val="20"/>
                <w:vertAlign w:val="subscript"/>
              </w:rPr>
              <w:t>2</w:t>
            </w:r>
            <w:r w:rsidRPr="0095728C">
              <w:rPr>
                <w:rFonts w:ascii="Calibri" w:eastAsia="Times New Roman" w:hAnsi="Calibri" w:cs="Times New Roman"/>
                <w:sz w:val="20"/>
                <w:szCs w:val="20"/>
              </w:rPr>
              <w:t>O</w:t>
            </w:r>
          </w:p>
        </w:tc>
        <w:tc>
          <w:tcPr>
            <w:tcW w:w="51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3.03 × 10</w:t>
            </w:r>
            <w:r w:rsidRPr="0095728C">
              <w:rPr>
                <w:rFonts w:ascii="Calibri" w:eastAsia="Times New Roman" w:hAnsi="Calibri" w:cs="Times New Roman"/>
                <w:color w:val="000000"/>
                <w:sz w:val="20"/>
                <w:szCs w:val="20"/>
                <w:vertAlign w:val="superscript"/>
              </w:rPr>
              <w:t>3</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2.42 × 10</w:t>
            </w:r>
            <w:r w:rsidRPr="0095728C">
              <w:rPr>
                <w:rFonts w:ascii="Calibri" w:eastAsia="Times New Roman" w:hAnsi="Calibri" w:cs="Times New Roman"/>
                <w:color w:val="000000"/>
                <w:sz w:val="20"/>
                <w:szCs w:val="20"/>
                <w:vertAlign w:val="superscript"/>
              </w:rPr>
              <w:t>3</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311</w:t>
            </w:r>
          </w:p>
        </w:tc>
        <w:tc>
          <w:tcPr>
            <w:tcW w:w="13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300"/>
          <w:jc w:val="center"/>
        </w:trPr>
        <w:tc>
          <w:tcPr>
            <w:tcW w:w="189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NH</w:t>
            </w:r>
            <w:r w:rsidRPr="0095728C">
              <w:rPr>
                <w:rFonts w:ascii="Calibri" w:eastAsia="Times New Roman" w:hAnsi="Calibri" w:cs="Times New Roman"/>
                <w:sz w:val="20"/>
                <w:szCs w:val="20"/>
                <w:vertAlign w:val="subscript"/>
              </w:rPr>
              <w:t>3</w:t>
            </w:r>
          </w:p>
        </w:tc>
        <w:tc>
          <w:tcPr>
            <w:tcW w:w="51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3</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1.85 × 10</w:t>
            </w:r>
            <w:r w:rsidRPr="0095728C">
              <w:rPr>
                <w:rFonts w:ascii="Calibri" w:eastAsia="Times New Roman" w:hAnsi="Calibri" w:cs="Times New Roman"/>
                <w:color w:val="000000"/>
                <w:sz w:val="20"/>
                <w:szCs w:val="20"/>
                <w:vertAlign w:val="superscript"/>
              </w:rPr>
              <w:t>3</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616</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3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285"/>
          <w:jc w:val="center"/>
        </w:trPr>
        <w:tc>
          <w:tcPr>
            <w:tcW w:w="189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CO</w:t>
            </w:r>
            <w:r w:rsidRPr="0095728C">
              <w:rPr>
                <w:rFonts w:ascii="Calibri" w:eastAsia="Times New Roman" w:hAnsi="Calibri" w:cs="Times New Roman"/>
                <w:sz w:val="20"/>
                <w:szCs w:val="20"/>
                <w:vertAlign w:val="subscript"/>
              </w:rPr>
              <w:t>2</w:t>
            </w:r>
          </w:p>
        </w:tc>
        <w:tc>
          <w:tcPr>
            <w:tcW w:w="51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8</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923</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923</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308</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3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300"/>
          <w:jc w:val="center"/>
        </w:trPr>
        <w:tc>
          <w:tcPr>
            <w:tcW w:w="189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HNO</w:t>
            </w:r>
            <w:r w:rsidRPr="0095728C">
              <w:rPr>
                <w:rFonts w:ascii="Calibri" w:eastAsia="Times New Roman" w:hAnsi="Calibri" w:cs="Times New Roman"/>
                <w:sz w:val="20"/>
                <w:szCs w:val="20"/>
                <w:vertAlign w:val="subscript"/>
              </w:rPr>
              <w:t>3</w:t>
            </w:r>
          </w:p>
        </w:tc>
        <w:tc>
          <w:tcPr>
            <w:tcW w:w="51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9</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2.60 × 10</w:t>
            </w:r>
            <w:r w:rsidRPr="0095728C">
              <w:rPr>
                <w:rFonts w:ascii="Calibri" w:eastAsia="Times New Roman" w:hAnsi="Calibri" w:cs="Times New Roman"/>
                <w:color w:val="000000"/>
                <w:sz w:val="20"/>
                <w:szCs w:val="20"/>
                <w:vertAlign w:val="superscript"/>
              </w:rPr>
              <w:t>-4</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2.60 × 10</w:t>
            </w:r>
            <w:r w:rsidRPr="0095728C">
              <w:rPr>
                <w:rFonts w:ascii="Calibri" w:eastAsia="Times New Roman" w:hAnsi="Calibri" w:cs="Times New Roman"/>
                <w:color w:val="000000"/>
                <w:sz w:val="20"/>
                <w:szCs w:val="20"/>
                <w:vertAlign w:val="superscript"/>
              </w:rPr>
              <w:t>-4</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3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285"/>
          <w:jc w:val="center"/>
        </w:trPr>
        <w:tc>
          <w:tcPr>
            <w:tcW w:w="189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CH</w:t>
            </w:r>
            <w:r w:rsidRPr="0095728C">
              <w:rPr>
                <w:rFonts w:ascii="Calibri" w:eastAsia="Times New Roman" w:hAnsi="Calibri" w:cs="Times New Roman"/>
                <w:sz w:val="20"/>
                <w:szCs w:val="20"/>
                <w:vertAlign w:val="subscript"/>
              </w:rPr>
              <w:t>3</w:t>
            </w:r>
            <w:r w:rsidRPr="0095728C">
              <w:rPr>
                <w:rFonts w:ascii="Calibri" w:eastAsia="Times New Roman" w:hAnsi="Calibri" w:cs="Times New Roman"/>
                <w:sz w:val="20"/>
                <w:szCs w:val="20"/>
              </w:rPr>
              <w:t>OH</w:t>
            </w:r>
          </w:p>
        </w:tc>
        <w:tc>
          <w:tcPr>
            <w:tcW w:w="51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10</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87.4</w:t>
            </w:r>
          </w:p>
        </w:tc>
        <w:tc>
          <w:tcPr>
            <w:tcW w:w="13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285"/>
          <w:jc w:val="center"/>
        </w:trPr>
        <w:tc>
          <w:tcPr>
            <w:tcW w:w="189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NH</w:t>
            </w:r>
            <w:r w:rsidRPr="0095728C">
              <w:rPr>
                <w:rFonts w:ascii="Calibri" w:eastAsia="Times New Roman" w:hAnsi="Calibri" w:cs="Times New Roman"/>
                <w:sz w:val="20"/>
                <w:szCs w:val="20"/>
                <w:vertAlign w:val="subscript"/>
              </w:rPr>
              <w:t>4</w:t>
            </w:r>
            <w:r w:rsidRPr="0095728C">
              <w:rPr>
                <w:rFonts w:ascii="Calibri" w:eastAsia="Times New Roman" w:hAnsi="Calibri" w:cs="Times New Roman"/>
                <w:sz w:val="20"/>
                <w:szCs w:val="20"/>
              </w:rPr>
              <w:t>NO</w:t>
            </w:r>
            <w:r w:rsidRPr="0095728C">
              <w:rPr>
                <w:rFonts w:ascii="Calibri" w:eastAsia="Times New Roman" w:hAnsi="Calibri" w:cs="Times New Roman"/>
                <w:sz w:val="20"/>
                <w:szCs w:val="20"/>
                <w:vertAlign w:val="subscript"/>
              </w:rPr>
              <w:t>3</w:t>
            </w:r>
          </w:p>
        </w:tc>
        <w:tc>
          <w:tcPr>
            <w:tcW w:w="51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12</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410</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3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285"/>
          <w:jc w:val="center"/>
        </w:trPr>
        <w:tc>
          <w:tcPr>
            <w:tcW w:w="189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(NH</w:t>
            </w:r>
            <w:r w:rsidRPr="0095728C">
              <w:rPr>
                <w:rFonts w:ascii="Calibri" w:eastAsia="Times New Roman" w:hAnsi="Calibri" w:cs="Times New Roman"/>
                <w:sz w:val="20"/>
                <w:szCs w:val="20"/>
                <w:vertAlign w:val="subscript"/>
              </w:rPr>
              <w:t>4</w:t>
            </w:r>
            <w:r w:rsidRPr="0095728C">
              <w:rPr>
                <w:rFonts w:ascii="Calibri" w:eastAsia="Times New Roman" w:hAnsi="Calibri" w:cs="Times New Roman"/>
                <w:sz w:val="20"/>
                <w:szCs w:val="20"/>
              </w:rPr>
              <w:t>)</w:t>
            </w:r>
            <w:r w:rsidRPr="0095728C">
              <w:rPr>
                <w:rFonts w:ascii="Calibri" w:eastAsia="Times New Roman" w:hAnsi="Calibri" w:cs="Times New Roman"/>
                <w:sz w:val="20"/>
                <w:szCs w:val="20"/>
                <w:vertAlign w:val="subscript"/>
              </w:rPr>
              <w:t>2</w:t>
            </w:r>
            <w:r w:rsidRPr="0095728C">
              <w:rPr>
                <w:rFonts w:ascii="Calibri" w:eastAsia="Times New Roman" w:hAnsi="Calibri" w:cs="Times New Roman"/>
                <w:sz w:val="20"/>
                <w:szCs w:val="20"/>
              </w:rPr>
              <w:t>CO</w:t>
            </w:r>
            <w:r w:rsidRPr="0095728C">
              <w:rPr>
                <w:rFonts w:ascii="Calibri" w:eastAsia="Times New Roman" w:hAnsi="Calibri" w:cs="Times New Roman"/>
                <w:sz w:val="20"/>
                <w:szCs w:val="20"/>
                <w:vertAlign w:val="subscript"/>
              </w:rPr>
              <w:t>3</w:t>
            </w:r>
            <w:r w:rsidRPr="0095728C">
              <w:rPr>
                <w:rFonts w:ascii="Calibri" w:eastAsia="Times New Roman" w:hAnsi="Calibri" w:cs="Times New Roman"/>
                <w:sz w:val="20"/>
                <w:szCs w:val="20"/>
              </w:rPr>
              <w:t>.H</w:t>
            </w:r>
            <w:r w:rsidRPr="0095728C">
              <w:rPr>
                <w:rFonts w:ascii="Calibri" w:eastAsia="Times New Roman" w:hAnsi="Calibri" w:cs="Times New Roman"/>
                <w:sz w:val="20"/>
                <w:szCs w:val="20"/>
                <w:vertAlign w:val="subscript"/>
              </w:rPr>
              <w:t>2</w:t>
            </w:r>
            <w:r w:rsidRPr="0095728C">
              <w:rPr>
                <w:rFonts w:ascii="Calibri" w:eastAsia="Times New Roman" w:hAnsi="Calibri" w:cs="Times New Roman"/>
                <w:sz w:val="20"/>
                <w:szCs w:val="20"/>
              </w:rPr>
              <w:t>O</w:t>
            </w:r>
          </w:p>
        </w:tc>
        <w:tc>
          <w:tcPr>
            <w:tcW w:w="51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13</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49.1</w:t>
            </w:r>
          </w:p>
        </w:tc>
        <w:tc>
          <w:tcPr>
            <w:tcW w:w="13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300"/>
          <w:jc w:val="center"/>
        </w:trPr>
        <w:tc>
          <w:tcPr>
            <w:tcW w:w="189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UO</w:t>
            </w:r>
            <w:r w:rsidRPr="0095728C">
              <w:rPr>
                <w:rFonts w:ascii="Calibri" w:eastAsia="Times New Roman" w:hAnsi="Calibri" w:cs="Times New Roman"/>
                <w:sz w:val="20"/>
                <w:szCs w:val="20"/>
                <w:vertAlign w:val="subscript"/>
              </w:rPr>
              <w:t>2</w:t>
            </w:r>
            <w:r w:rsidRPr="0095728C">
              <w:rPr>
                <w:rFonts w:ascii="Calibri" w:eastAsia="Times New Roman" w:hAnsi="Calibri" w:cs="Times New Roman"/>
                <w:sz w:val="20"/>
                <w:szCs w:val="20"/>
              </w:rPr>
              <w:t>(NO</w:t>
            </w:r>
            <w:r w:rsidRPr="0095728C">
              <w:rPr>
                <w:rFonts w:ascii="Calibri" w:eastAsia="Times New Roman" w:hAnsi="Calibri" w:cs="Times New Roman"/>
                <w:sz w:val="20"/>
                <w:szCs w:val="20"/>
                <w:vertAlign w:val="subscript"/>
              </w:rPr>
              <w:t>3</w:t>
            </w:r>
            <w:r w:rsidRPr="0095728C">
              <w:rPr>
                <w:rFonts w:ascii="Calibri" w:eastAsia="Times New Roman" w:hAnsi="Calibri" w:cs="Times New Roman"/>
                <w:sz w:val="20"/>
                <w:szCs w:val="20"/>
              </w:rPr>
              <w:t>)</w:t>
            </w:r>
            <w:r w:rsidRPr="0095728C">
              <w:rPr>
                <w:rFonts w:ascii="Calibri" w:eastAsia="Times New Roman" w:hAnsi="Calibri" w:cs="Times New Roman"/>
                <w:sz w:val="20"/>
                <w:szCs w:val="20"/>
                <w:vertAlign w:val="subscript"/>
              </w:rPr>
              <w:t>2</w:t>
            </w:r>
          </w:p>
        </w:tc>
        <w:tc>
          <w:tcPr>
            <w:tcW w:w="51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14</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205</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2.05 × 10</w:t>
            </w:r>
            <w:r w:rsidRPr="0095728C">
              <w:rPr>
                <w:rFonts w:ascii="Calibri" w:eastAsia="Times New Roman" w:hAnsi="Calibri" w:cs="Times New Roman"/>
                <w:color w:val="000000"/>
                <w:sz w:val="20"/>
                <w:szCs w:val="20"/>
                <w:vertAlign w:val="superscript"/>
              </w:rPr>
              <w:t>-2</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3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300"/>
          <w:jc w:val="center"/>
        </w:trPr>
        <w:tc>
          <w:tcPr>
            <w:tcW w:w="189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w:t>
            </w:r>
            <w:r w:rsidRPr="0095728C">
              <w:rPr>
                <w:rFonts w:ascii="Calibri" w:eastAsia="Times New Roman" w:hAnsi="Calibri" w:cs="Times New Roman"/>
                <w:sz w:val="20"/>
                <w:szCs w:val="20"/>
                <w:vertAlign w:val="subscript"/>
              </w:rPr>
              <w:t>3</w:t>
            </w:r>
            <w:r w:rsidRPr="0095728C">
              <w:rPr>
                <w:rFonts w:ascii="Calibri" w:eastAsia="Times New Roman" w:hAnsi="Calibri" w:cs="Times New Roman"/>
                <w:sz w:val="20"/>
                <w:szCs w:val="20"/>
              </w:rPr>
              <w:t>O</w:t>
            </w:r>
            <w:r w:rsidRPr="0095728C">
              <w:rPr>
                <w:rFonts w:ascii="Calibri" w:eastAsia="Times New Roman" w:hAnsi="Calibri" w:cs="Times New Roman"/>
                <w:sz w:val="20"/>
                <w:szCs w:val="20"/>
                <w:vertAlign w:val="subscript"/>
              </w:rPr>
              <w:t>8</w:t>
            </w:r>
          </w:p>
        </w:tc>
        <w:tc>
          <w:tcPr>
            <w:tcW w:w="51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18</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4.05 × 10</w:t>
            </w:r>
            <w:r w:rsidRPr="0095728C">
              <w:rPr>
                <w:rFonts w:ascii="Calibri" w:eastAsia="Times New Roman" w:hAnsi="Calibri" w:cs="Times New Roman"/>
                <w:color w:val="000000"/>
                <w:sz w:val="20"/>
                <w:szCs w:val="20"/>
                <w:vertAlign w:val="superscript"/>
              </w:rPr>
              <w:t>-11</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4.05 × 10</w:t>
            </w:r>
            <w:r w:rsidRPr="0095728C">
              <w:rPr>
                <w:rFonts w:ascii="Calibri" w:eastAsia="Times New Roman" w:hAnsi="Calibri" w:cs="Times New Roman"/>
                <w:color w:val="000000"/>
                <w:sz w:val="20"/>
                <w:szCs w:val="20"/>
                <w:vertAlign w:val="superscript"/>
              </w:rPr>
              <w:t>-11</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3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285"/>
          <w:jc w:val="center"/>
        </w:trPr>
        <w:tc>
          <w:tcPr>
            <w:tcW w:w="189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(NH</w:t>
            </w:r>
            <w:r w:rsidRPr="0095728C">
              <w:rPr>
                <w:rFonts w:ascii="Calibri" w:eastAsia="Times New Roman" w:hAnsi="Calibri" w:cs="Times New Roman"/>
                <w:sz w:val="20"/>
                <w:szCs w:val="20"/>
                <w:vertAlign w:val="subscript"/>
              </w:rPr>
              <w:t>4</w:t>
            </w:r>
            <w:r w:rsidRPr="0095728C">
              <w:rPr>
                <w:rFonts w:ascii="Calibri" w:eastAsia="Times New Roman" w:hAnsi="Calibri" w:cs="Times New Roman"/>
                <w:sz w:val="20"/>
                <w:szCs w:val="20"/>
              </w:rPr>
              <w:t>)</w:t>
            </w:r>
            <w:r w:rsidRPr="0095728C">
              <w:rPr>
                <w:rFonts w:ascii="Calibri" w:eastAsia="Times New Roman" w:hAnsi="Calibri" w:cs="Times New Roman"/>
                <w:sz w:val="20"/>
                <w:szCs w:val="20"/>
                <w:vertAlign w:val="subscript"/>
              </w:rPr>
              <w:t>4</w:t>
            </w:r>
            <w:r w:rsidRPr="0095728C">
              <w:rPr>
                <w:rFonts w:ascii="Calibri" w:eastAsia="Times New Roman" w:hAnsi="Calibri" w:cs="Times New Roman"/>
                <w:sz w:val="20"/>
                <w:szCs w:val="20"/>
              </w:rPr>
              <w:t>UO</w:t>
            </w:r>
            <w:r w:rsidRPr="0095728C">
              <w:rPr>
                <w:rFonts w:ascii="Calibri" w:eastAsia="Times New Roman" w:hAnsi="Calibri" w:cs="Times New Roman"/>
                <w:sz w:val="20"/>
                <w:szCs w:val="20"/>
                <w:vertAlign w:val="subscript"/>
              </w:rPr>
              <w:t>2</w:t>
            </w:r>
            <w:r w:rsidRPr="0095728C">
              <w:rPr>
                <w:rFonts w:ascii="Calibri" w:eastAsia="Times New Roman" w:hAnsi="Calibri" w:cs="Times New Roman"/>
                <w:sz w:val="20"/>
                <w:szCs w:val="20"/>
              </w:rPr>
              <w:t>(CO</w:t>
            </w:r>
            <w:r w:rsidRPr="0095728C">
              <w:rPr>
                <w:rFonts w:ascii="Calibri" w:eastAsia="Times New Roman" w:hAnsi="Calibri" w:cs="Times New Roman"/>
                <w:sz w:val="20"/>
                <w:szCs w:val="20"/>
                <w:vertAlign w:val="subscript"/>
              </w:rPr>
              <w:t>3</w:t>
            </w:r>
            <w:r w:rsidRPr="0095728C">
              <w:rPr>
                <w:rFonts w:ascii="Calibri" w:eastAsia="Times New Roman" w:hAnsi="Calibri" w:cs="Times New Roman"/>
                <w:sz w:val="20"/>
                <w:szCs w:val="20"/>
              </w:rPr>
              <w:t>)</w:t>
            </w:r>
            <w:r w:rsidRPr="0095728C">
              <w:rPr>
                <w:rFonts w:ascii="Calibri" w:eastAsia="Times New Roman" w:hAnsi="Calibri" w:cs="Times New Roman"/>
                <w:sz w:val="20"/>
                <w:szCs w:val="20"/>
                <w:vertAlign w:val="subscript"/>
              </w:rPr>
              <w:t>3</w:t>
            </w:r>
          </w:p>
        </w:tc>
        <w:tc>
          <w:tcPr>
            <w:tcW w:w="51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19</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205</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3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315"/>
          <w:jc w:val="center"/>
        </w:trPr>
        <w:tc>
          <w:tcPr>
            <w:tcW w:w="1898" w:type="dxa"/>
            <w:tcBorders>
              <w:top w:val="nil"/>
              <w:left w:val="nil"/>
              <w:bottom w:val="single" w:sz="8"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soluble</w:t>
            </w:r>
          </w:p>
        </w:tc>
        <w:tc>
          <w:tcPr>
            <w:tcW w:w="516" w:type="dxa"/>
            <w:tcBorders>
              <w:top w:val="nil"/>
              <w:left w:val="nil"/>
              <w:bottom w:val="single" w:sz="8"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21</w:t>
            </w:r>
          </w:p>
        </w:tc>
        <w:tc>
          <w:tcPr>
            <w:tcW w:w="1368"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436"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5.72 × 10</w:t>
            </w:r>
            <w:r w:rsidRPr="0095728C">
              <w:rPr>
                <w:rFonts w:ascii="Calibri" w:eastAsia="Times New Roman" w:hAnsi="Calibri" w:cs="Times New Roman"/>
                <w:color w:val="000000"/>
                <w:sz w:val="20"/>
                <w:szCs w:val="20"/>
                <w:vertAlign w:val="superscript"/>
              </w:rPr>
              <w:t>-2</w:t>
            </w:r>
          </w:p>
        </w:tc>
        <w:tc>
          <w:tcPr>
            <w:tcW w:w="1436"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5.72 × 10</w:t>
            </w:r>
            <w:r w:rsidRPr="0095728C">
              <w:rPr>
                <w:rFonts w:ascii="Calibri" w:eastAsia="Times New Roman" w:hAnsi="Calibri" w:cs="Times New Roman"/>
                <w:color w:val="000000"/>
                <w:sz w:val="20"/>
                <w:szCs w:val="20"/>
                <w:vertAlign w:val="superscript"/>
              </w:rPr>
              <w:t>-2</w:t>
            </w:r>
          </w:p>
        </w:tc>
        <w:tc>
          <w:tcPr>
            <w:tcW w:w="1368"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338"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 </w:t>
            </w:r>
          </w:p>
        </w:tc>
      </w:tr>
      <w:tr w:rsidR="0095728C" w:rsidRPr="0095728C" w:rsidTr="0095728C">
        <w:trPr>
          <w:trHeight w:val="255"/>
          <w:jc w:val="center"/>
        </w:trPr>
        <w:tc>
          <w:tcPr>
            <w:tcW w:w="189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c>
          <w:tcPr>
            <w:tcW w:w="51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c>
          <w:tcPr>
            <w:tcW w:w="6946" w:type="dxa"/>
            <w:gridSpan w:val="5"/>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Stream Number (Stream Type)</w:t>
            </w:r>
          </w:p>
        </w:tc>
      </w:tr>
      <w:tr w:rsidR="0095728C" w:rsidRPr="0095728C" w:rsidTr="0095728C">
        <w:trPr>
          <w:trHeight w:val="255"/>
          <w:jc w:val="center"/>
        </w:trPr>
        <w:tc>
          <w:tcPr>
            <w:tcW w:w="2414" w:type="dxa"/>
            <w:gridSpan w:val="2"/>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Component</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28</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29</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30</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31</w:t>
            </w:r>
          </w:p>
        </w:tc>
        <w:tc>
          <w:tcPr>
            <w:tcW w:w="13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255"/>
          <w:jc w:val="center"/>
        </w:trPr>
        <w:tc>
          <w:tcPr>
            <w:tcW w:w="1898"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Formula</w:t>
            </w:r>
          </w:p>
        </w:tc>
        <w:tc>
          <w:tcPr>
            <w:tcW w:w="516"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
        </w:tc>
        <w:tc>
          <w:tcPr>
            <w:tcW w:w="1368"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(Waste)</w:t>
            </w:r>
          </w:p>
        </w:tc>
        <w:tc>
          <w:tcPr>
            <w:tcW w:w="1436"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roofErr w:type="spellStart"/>
            <w:r w:rsidRPr="0095728C">
              <w:rPr>
                <w:rFonts w:ascii="Calibri" w:eastAsia="Times New Roman" w:hAnsi="Calibri" w:cs="Times New Roman"/>
                <w:b/>
                <w:bCs/>
                <w:color w:val="000000"/>
                <w:sz w:val="20"/>
                <w:szCs w:val="20"/>
              </w:rPr>
              <w:t>Intermed</w:t>
            </w:r>
            <w:proofErr w:type="spellEnd"/>
            <w:r w:rsidRPr="0095728C">
              <w:rPr>
                <w:rFonts w:ascii="Calibri" w:eastAsia="Times New Roman" w:hAnsi="Calibri" w:cs="Times New Roman"/>
                <w:b/>
                <w:bCs/>
                <w:color w:val="000000"/>
                <w:sz w:val="20"/>
                <w:szCs w:val="20"/>
              </w:rPr>
              <w:t>.)</w:t>
            </w:r>
          </w:p>
        </w:tc>
        <w:tc>
          <w:tcPr>
            <w:tcW w:w="1436"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(Product)</w:t>
            </w:r>
          </w:p>
        </w:tc>
        <w:tc>
          <w:tcPr>
            <w:tcW w:w="1368"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(Waste)</w:t>
            </w:r>
          </w:p>
        </w:tc>
        <w:tc>
          <w:tcPr>
            <w:tcW w:w="1338"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 </w:t>
            </w:r>
          </w:p>
        </w:tc>
      </w:tr>
      <w:tr w:rsidR="0095728C" w:rsidRPr="0095728C" w:rsidTr="0095728C">
        <w:trPr>
          <w:trHeight w:val="300"/>
          <w:jc w:val="center"/>
        </w:trPr>
        <w:tc>
          <w:tcPr>
            <w:tcW w:w="189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H</w:t>
            </w:r>
            <w:r w:rsidRPr="0095728C">
              <w:rPr>
                <w:rFonts w:ascii="Calibri" w:eastAsia="Times New Roman" w:hAnsi="Calibri" w:cs="Times New Roman"/>
                <w:sz w:val="20"/>
                <w:szCs w:val="20"/>
                <w:vertAlign w:val="subscript"/>
              </w:rPr>
              <w:t>2</w:t>
            </w:r>
            <w:r w:rsidRPr="0095728C">
              <w:rPr>
                <w:rFonts w:ascii="Calibri" w:eastAsia="Times New Roman" w:hAnsi="Calibri" w:cs="Times New Roman"/>
                <w:sz w:val="20"/>
                <w:szCs w:val="20"/>
              </w:rPr>
              <w:t>O</w:t>
            </w:r>
          </w:p>
        </w:tc>
        <w:tc>
          <w:tcPr>
            <w:tcW w:w="51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2.73 × 10</w:t>
            </w:r>
            <w:r w:rsidRPr="0095728C">
              <w:rPr>
                <w:rFonts w:ascii="Calibri" w:eastAsia="Times New Roman" w:hAnsi="Calibri" w:cs="Times New Roman"/>
                <w:color w:val="000000"/>
                <w:sz w:val="20"/>
                <w:szCs w:val="20"/>
                <w:vertAlign w:val="superscript"/>
              </w:rPr>
              <w:t>3</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164</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2.56 × 10</w:t>
            </w:r>
            <w:r w:rsidRPr="0095728C">
              <w:rPr>
                <w:rFonts w:ascii="Calibri" w:eastAsia="Times New Roman" w:hAnsi="Calibri" w:cs="Times New Roman"/>
                <w:b/>
                <w:bCs/>
                <w:color w:val="00B050"/>
                <w:sz w:val="20"/>
                <w:szCs w:val="20"/>
                <w:vertAlign w:val="superscript"/>
              </w:rPr>
              <w:t>3</w:t>
            </w:r>
          </w:p>
        </w:tc>
        <w:tc>
          <w:tcPr>
            <w:tcW w:w="13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285"/>
          <w:jc w:val="center"/>
        </w:trPr>
        <w:tc>
          <w:tcPr>
            <w:tcW w:w="189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NH</w:t>
            </w:r>
            <w:r w:rsidRPr="0095728C">
              <w:rPr>
                <w:rFonts w:ascii="Calibri" w:eastAsia="Times New Roman" w:hAnsi="Calibri" w:cs="Times New Roman"/>
                <w:sz w:val="20"/>
                <w:szCs w:val="20"/>
                <w:vertAlign w:val="subscript"/>
              </w:rPr>
              <w:t>3</w:t>
            </w:r>
          </w:p>
        </w:tc>
        <w:tc>
          <w:tcPr>
            <w:tcW w:w="51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3</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616</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0</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w:t>
            </w:r>
          </w:p>
        </w:tc>
        <w:tc>
          <w:tcPr>
            <w:tcW w:w="13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285"/>
          <w:jc w:val="center"/>
        </w:trPr>
        <w:tc>
          <w:tcPr>
            <w:tcW w:w="189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CO</w:t>
            </w:r>
            <w:r w:rsidRPr="0095728C">
              <w:rPr>
                <w:rFonts w:ascii="Calibri" w:eastAsia="Times New Roman" w:hAnsi="Calibri" w:cs="Times New Roman"/>
                <w:sz w:val="20"/>
                <w:szCs w:val="20"/>
                <w:vertAlign w:val="subscript"/>
              </w:rPr>
              <w:t>2</w:t>
            </w:r>
          </w:p>
        </w:tc>
        <w:tc>
          <w:tcPr>
            <w:tcW w:w="51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8</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308</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0</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w:t>
            </w:r>
          </w:p>
        </w:tc>
        <w:tc>
          <w:tcPr>
            <w:tcW w:w="13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300"/>
          <w:jc w:val="center"/>
        </w:trPr>
        <w:tc>
          <w:tcPr>
            <w:tcW w:w="189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HNO</w:t>
            </w:r>
            <w:r w:rsidRPr="0095728C">
              <w:rPr>
                <w:rFonts w:ascii="Calibri" w:eastAsia="Times New Roman" w:hAnsi="Calibri" w:cs="Times New Roman"/>
                <w:sz w:val="20"/>
                <w:szCs w:val="20"/>
                <w:vertAlign w:val="subscript"/>
              </w:rPr>
              <w:t>3</w:t>
            </w:r>
          </w:p>
        </w:tc>
        <w:tc>
          <w:tcPr>
            <w:tcW w:w="51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9</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2.60 × 10</w:t>
            </w:r>
            <w:r w:rsidRPr="0095728C">
              <w:rPr>
                <w:rFonts w:ascii="Calibri" w:eastAsia="Times New Roman" w:hAnsi="Calibri" w:cs="Times New Roman"/>
                <w:color w:val="000000"/>
                <w:sz w:val="20"/>
                <w:szCs w:val="20"/>
                <w:vertAlign w:val="superscript"/>
              </w:rPr>
              <w:t>-4</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0</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2.60 × 10</w:t>
            </w:r>
            <w:r w:rsidRPr="0095728C">
              <w:rPr>
                <w:rFonts w:ascii="Calibri" w:eastAsia="Times New Roman" w:hAnsi="Calibri" w:cs="Times New Roman"/>
                <w:b/>
                <w:bCs/>
                <w:color w:val="00B050"/>
                <w:sz w:val="20"/>
                <w:szCs w:val="20"/>
                <w:vertAlign w:val="superscript"/>
              </w:rPr>
              <w:t>-4</w:t>
            </w:r>
          </w:p>
        </w:tc>
        <w:tc>
          <w:tcPr>
            <w:tcW w:w="13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285"/>
          <w:jc w:val="center"/>
        </w:trPr>
        <w:tc>
          <w:tcPr>
            <w:tcW w:w="189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CH</w:t>
            </w:r>
            <w:r w:rsidRPr="0095728C">
              <w:rPr>
                <w:rFonts w:ascii="Calibri" w:eastAsia="Times New Roman" w:hAnsi="Calibri" w:cs="Times New Roman"/>
                <w:sz w:val="20"/>
                <w:szCs w:val="20"/>
                <w:vertAlign w:val="subscript"/>
              </w:rPr>
              <w:t>3</w:t>
            </w:r>
            <w:r w:rsidRPr="0095728C">
              <w:rPr>
                <w:rFonts w:ascii="Calibri" w:eastAsia="Times New Roman" w:hAnsi="Calibri" w:cs="Times New Roman"/>
                <w:sz w:val="20"/>
                <w:szCs w:val="20"/>
              </w:rPr>
              <w:t>OH</w:t>
            </w:r>
          </w:p>
        </w:tc>
        <w:tc>
          <w:tcPr>
            <w:tcW w:w="51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10</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87.4</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0</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87.4</w:t>
            </w:r>
          </w:p>
        </w:tc>
        <w:tc>
          <w:tcPr>
            <w:tcW w:w="13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285"/>
          <w:jc w:val="center"/>
        </w:trPr>
        <w:tc>
          <w:tcPr>
            <w:tcW w:w="189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NH</w:t>
            </w:r>
            <w:r w:rsidRPr="0095728C">
              <w:rPr>
                <w:rFonts w:ascii="Calibri" w:eastAsia="Times New Roman" w:hAnsi="Calibri" w:cs="Times New Roman"/>
                <w:sz w:val="20"/>
                <w:szCs w:val="20"/>
                <w:vertAlign w:val="subscript"/>
              </w:rPr>
              <w:t>4</w:t>
            </w:r>
            <w:r w:rsidRPr="0095728C">
              <w:rPr>
                <w:rFonts w:ascii="Calibri" w:eastAsia="Times New Roman" w:hAnsi="Calibri" w:cs="Times New Roman"/>
                <w:sz w:val="20"/>
                <w:szCs w:val="20"/>
              </w:rPr>
              <w:t>NO</w:t>
            </w:r>
            <w:r w:rsidRPr="0095728C">
              <w:rPr>
                <w:rFonts w:ascii="Calibri" w:eastAsia="Times New Roman" w:hAnsi="Calibri" w:cs="Times New Roman"/>
                <w:sz w:val="20"/>
                <w:szCs w:val="20"/>
                <w:vertAlign w:val="subscript"/>
              </w:rPr>
              <w:t>3</w:t>
            </w:r>
          </w:p>
        </w:tc>
        <w:tc>
          <w:tcPr>
            <w:tcW w:w="51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12</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410</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0</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410</w:t>
            </w:r>
          </w:p>
        </w:tc>
        <w:tc>
          <w:tcPr>
            <w:tcW w:w="13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285"/>
          <w:jc w:val="center"/>
        </w:trPr>
        <w:tc>
          <w:tcPr>
            <w:tcW w:w="189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(NH</w:t>
            </w:r>
            <w:r w:rsidRPr="0095728C">
              <w:rPr>
                <w:rFonts w:ascii="Calibri" w:eastAsia="Times New Roman" w:hAnsi="Calibri" w:cs="Times New Roman"/>
                <w:sz w:val="20"/>
                <w:szCs w:val="20"/>
                <w:vertAlign w:val="subscript"/>
              </w:rPr>
              <w:t>4</w:t>
            </w:r>
            <w:r w:rsidRPr="0095728C">
              <w:rPr>
                <w:rFonts w:ascii="Calibri" w:eastAsia="Times New Roman" w:hAnsi="Calibri" w:cs="Times New Roman"/>
                <w:sz w:val="20"/>
                <w:szCs w:val="20"/>
              </w:rPr>
              <w:t>)</w:t>
            </w:r>
            <w:r w:rsidRPr="0095728C">
              <w:rPr>
                <w:rFonts w:ascii="Calibri" w:eastAsia="Times New Roman" w:hAnsi="Calibri" w:cs="Times New Roman"/>
                <w:sz w:val="20"/>
                <w:szCs w:val="20"/>
                <w:vertAlign w:val="subscript"/>
              </w:rPr>
              <w:t>2</w:t>
            </w:r>
            <w:r w:rsidRPr="0095728C">
              <w:rPr>
                <w:rFonts w:ascii="Calibri" w:eastAsia="Times New Roman" w:hAnsi="Calibri" w:cs="Times New Roman"/>
                <w:sz w:val="20"/>
                <w:szCs w:val="20"/>
              </w:rPr>
              <w:t>CO</w:t>
            </w:r>
            <w:r w:rsidRPr="0095728C">
              <w:rPr>
                <w:rFonts w:ascii="Calibri" w:eastAsia="Times New Roman" w:hAnsi="Calibri" w:cs="Times New Roman"/>
                <w:sz w:val="20"/>
                <w:szCs w:val="20"/>
                <w:vertAlign w:val="subscript"/>
              </w:rPr>
              <w:t>3</w:t>
            </w:r>
            <w:r w:rsidRPr="0095728C">
              <w:rPr>
                <w:rFonts w:ascii="Calibri" w:eastAsia="Times New Roman" w:hAnsi="Calibri" w:cs="Times New Roman"/>
                <w:sz w:val="20"/>
                <w:szCs w:val="20"/>
              </w:rPr>
              <w:t>.H</w:t>
            </w:r>
            <w:r w:rsidRPr="0095728C">
              <w:rPr>
                <w:rFonts w:ascii="Calibri" w:eastAsia="Times New Roman" w:hAnsi="Calibri" w:cs="Times New Roman"/>
                <w:sz w:val="20"/>
                <w:szCs w:val="20"/>
                <w:vertAlign w:val="subscript"/>
              </w:rPr>
              <w:t>2</w:t>
            </w:r>
            <w:r w:rsidRPr="0095728C">
              <w:rPr>
                <w:rFonts w:ascii="Calibri" w:eastAsia="Times New Roman" w:hAnsi="Calibri" w:cs="Times New Roman"/>
                <w:sz w:val="20"/>
                <w:szCs w:val="20"/>
              </w:rPr>
              <w:t>O</w:t>
            </w:r>
          </w:p>
        </w:tc>
        <w:tc>
          <w:tcPr>
            <w:tcW w:w="51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13</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49.1</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0</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49.1</w:t>
            </w:r>
          </w:p>
        </w:tc>
        <w:tc>
          <w:tcPr>
            <w:tcW w:w="13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300"/>
          <w:jc w:val="center"/>
        </w:trPr>
        <w:tc>
          <w:tcPr>
            <w:tcW w:w="189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UO</w:t>
            </w:r>
            <w:r w:rsidRPr="0095728C">
              <w:rPr>
                <w:rFonts w:ascii="Calibri" w:eastAsia="Times New Roman" w:hAnsi="Calibri" w:cs="Times New Roman"/>
                <w:sz w:val="20"/>
                <w:szCs w:val="20"/>
                <w:vertAlign w:val="subscript"/>
              </w:rPr>
              <w:t>2</w:t>
            </w:r>
            <w:r w:rsidRPr="0095728C">
              <w:rPr>
                <w:rFonts w:ascii="Calibri" w:eastAsia="Times New Roman" w:hAnsi="Calibri" w:cs="Times New Roman"/>
                <w:sz w:val="20"/>
                <w:szCs w:val="20"/>
              </w:rPr>
              <w:t>(NO</w:t>
            </w:r>
            <w:r w:rsidRPr="0095728C">
              <w:rPr>
                <w:rFonts w:ascii="Calibri" w:eastAsia="Times New Roman" w:hAnsi="Calibri" w:cs="Times New Roman"/>
                <w:sz w:val="20"/>
                <w:szCs w:val="20"/>
                <w:vertAlign w:val="subscript"/>
              </w:rPr>
              <w:t>3</w:t>
            </w:r>
            <w:r w:rsidRPr="0095728C">
              <w:rPr>
                <w:rFonts w:ascii="Calibri" w:eastAsia="Times New Roman" w:hAnsi="Calibri" w:cs="Times New Roman"/>
                <w:sz w:val="20"/>
                <w:szCs w:val="20"/>
              </w:rPr>
              <w:t>)</w:t>
            </w:r>
            <w:r w:rsidRPr="0095728C">
              <w:rPr>
                <w:rFonts w:ascii="Calibri" w:eastAsia="Times New Roman" w:hAnsi="Calibri" w:cs="Times New Roman"/>
                <w:sz w:val="20"/>
                <w:szCs w:val="20"/>
                <w:vertAlign w:val="subscript"/>
              </w:rPr>
              <w:t>2</w:t>
            </w:r>
          </w:p>
        </w:tc>
        <w:tc>
          <w:tcPr>
            <w:tcW w:w="51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14</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2.05 × 10</w:t>
            </w:r>
            <w:r w:rsidRPr="0095728C">
              <w:rPr>
                <w:rFonts w:ascii="Calibri" w:eastAsia="Times New Roman" w:hAnsi="Calibri" w:cs="Times New Roman"/>
                <w:color w:val="000000"/>
                <w:sz w:val="20"/>
                <w:szCs w:val="20"/>
                <w:vertAlign w:val="superscript"/>
              </w:rPr>
              <w:t>-2</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0</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2.05 × 10</w:t>
            </w:r>
            <w:r w:rsidRPr="0095728C">
              <w:rPr>
                <w:rFonts w:ascii="Calibri" w:eastAsia="Times New Roman" w:hAnsi="Calibri" w:cs="Times New Roman"/>
                <w:b/>
                <w:bCs/>
                <w:color w:val="00B050"/>
                <w:sz w:val="20"/>
                <w:szCs w:val="20"/>
                <w:vertAlign w:val="superscript"/>
              </w:rPr>
              <w:t>-2</w:t>
            </w:r>
          </w:p>
        </w:tc>
        <w:tc>
          <w:tcPr>
            <w:tcW w:w="13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300"/>
          <w:jc w:val="center"/>
        </w:trPr>
        <w:tc>
          <w:tcPr>
            <w:tcW w:w="189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w:t>
            </w:r>
            <w:r w:rsidRPr="0095728C">
              <w:rPr>
                <w:rFonts w:ascii="Calibri" w:eastAsia="Times New Roman" w:hAnsi="Calibri" w:cs="Times New Roman"/>
                <w:sz w:val="20"/>
                <w:szCs w:val="20"/>
                <w:vertAlign w:val="subscript"/>
              </w:rPr>
              <w:t>3</w:t>
            </w:r>
            <w:r w:rsidRPr="0095728C">
              <w:rPr>
                <w:rFonts w:ascii="Calibri" w:eastAsia="Times New Roman" w:hAnsi="Calibri" w:cs="Times New Roman"/>
                <w:sz w:val="20"/>
                <w:szCs w:val="20"/>
              </w:rPr>
              <w:t>O</w:t>
            </w:r>
            <w:r w:rsidRPr="0095728C">
              <w:rPr>
                <w:rFonts w:ascii="Calibri" w:eastAsia="Times New Roman" w:hAnsi="Calibri" w:cs="Times New Roman"/>
                <w:sz w:val="20"/>
                <w:szCs w:val="20"/>
                <w:vertAlign w:val="subscript"/>
              </w:rPr>
              <w:t>8</w:t>
            </w:r>
          </w:p>
        </w:tc>
        <w:tc>
          <w:tcPr>
            <w:tcW w:w="51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18</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4.05 × 10</w:t>
            </w:r>
            <w:r w:rsidRPr="0095728C">
              <w:rPr>
                <w:rFonts w:ascii="Calibri" w:eastAsia="Times New Roman" w:hAnsi="Calibri" w:cs="Times New Roman"/>
                <w:color w:val="000000"/>
                <w:sz w:val="20"/>
                <w:szCs w:val="20"/>
                <w:vertAlign w:val="superscript"/>
              </w:rPr>
              <w:t>-11</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4.03 × 10</w:t>
            </w:r>
            <w:r w:rsidRPr="0095728C">
              <w:rPr>
                <w:rFonts w:ascii="Calibri" w:eastAsia="Times New Roman" w:hAnsi="Calibri" w:cs="Times New Roman"/>
                <w:b/>
                <w:bCs/>
                <w:color w:val="FF0000"/>
                <w:sz w:val="20"/>
                <w:szCs w:val="20"/>
                <w:vertAlign w:val="superscript"/>
              </w:rPr>
              <w:t>-11</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2.02 × 10</w:t>
            </w:r>
            <w:r w:rsidRPr="0095728C">
              <w:rPr>
                <w:rFonts w:ascii="Calibri" w:eastAsia="Times New Roman" w:hAnsi="Calibri" w:cs="Times New Roman"/>
                <w:b/>
                <w:bCs/>
                <w:color w:val="00B050"/>
                <w:sz w:val="20"/>
                <w:szCs w:val="20"/>
                <w:vertAlign w:val="superscript"/>
              </w:rPr>
              <w:t>-13</w:t>
            </w:r>
          </w:p>
        </w:tc>
        <w:tc>
          <w:tcPr>
            <w:tcW w:w="13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285"/>
          <w:jc w:val="center"/>
        </w:trPr>
        <w:tc>
          <w:tcPr>
            <w:tcW w:w="189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(NH</w:t>
            </w:r>
            <w:r w:rsidRPr="0095728C">
              <w:rPr>
                <w:rFonts w:ascii="Calibri" w:eastAsia="Times New Roman" w:hAnsi="Calibri" w:cs="Times New Roman"/>
                <w:sz w:val="20"/>
                <w:szCs w:val="20"/>
                <w:vertAlign w:val="subscript"/>
              </w:rPr>
              <w:t>4</w:t>
            </w:r>
            <w:r w:rsidRPr="0095728C">
              <w:rPr>
                <w:rFonts w:ascii="Calibri" w:eastAsia="Times New Roman" w:hAnsi="Calibri" w:cs="Times New Roman"/>
                <w:sz w:val="20"/>
                <w:szCs w:val="20"/>
              </w:rPr>
              <w:t>)</w:t>
            </w:r>
            <w:r w:rsidRPr="0095728C">
              <w:rPr>
                <w:rFonts w:ascii="Calibri" w:eastAsia="Times New Roman" w:hAnsi="Calibri" w:cs="Times New Roman"/>
                <w:sz w:val="20"/>
                <w:szCs w:val="20"/>
                <w:vertAlign w:val="subscript"/>
              </w:rPr>
              <w:t>4</w:t>
            </w:r>
            <w:r w:rsidRPr="0095728C">
              <w:rPr>
                <w:rFonts w:ascii="Calibri" w:eastAsia="Times New Roman" w:hAnsi="Calibri" w:cs="Times New Roman"/>
                <w:sz w:val="20"/>
                <w:szCs w:val="20"/>
              </w:rPr>
              <w:t>UO</w:t>
            </w:r>
            <w:r w:rsidRPr="0095728C">
              <w:rPr>
                <w:rFonts w:ascii="Calibri" w:eastAsia="Times New Roman" w:hAnsi="Calibri" w:cs="Times New Roman"/>
                <w:sz w:val="20"/>
                <w:szCs w:val="20"/>
                <w:vertAlign w:val="subscript"/>
              </w:rPr>
              <w:t>2</w:t>
            </w:r>
            <w:r w:rsidRPr="0095728C">
              <w:rPr>
                <w:rFonts w:ascii="Calibri" w:eastAsia="Times New Roman" w:hAnsi="Calibri" w:cs="Times New Roman"/>
                <w:sz w:val="20"/>
                <w:szCs w:val="20"/>
              </w:rPr>
              <w:t>(CO</w:t>
            </w:r>
            <w:r w:rsidRPr="0095728C">
              <w:rPr>
                <w:rFonts w:ascii="Calibri" w:eastAsia="Times New Roman" w:hAnsi="Calibri" w:cs="Times New Roman"/>
                <w:sz w:val="20"/>
                <w:szCs w:val="20"/>
                <w:vertAlign w:val="subscript"/>
              </w:rPr>
              <w:t>3</w:t>
            </w:r>
            <w:r w:rsidRPr="0095728C">
              <w:rPr>
                <w:rFonts w:ascii="Calibri" w:eastAsia="Times New Roman" w:hAnsi="Calibri" w:cs="Times New Roman"/>
                <w:sz w:val="20"/>
                <w:szCs w:val="20"/>
              </w:rPr>
              <w:t>)</w:t>
            </w:r>
            <w:r w:rsidRPr="0095728C">
              <w:rPr>
                <w:rFonts w:ascii="Calibri" w:eastAsia="Times New Roman" w:hAnsi="Calibri" w:cs="Times New Roman"/>
                <w:sz w:val="20"/>
                <w:szCs w:val="20"/>
                <w:vertAlign w:val="subscript"/>
              </w:rPr>
              <w:t>3</w:t>
            </w:r>
          </w:p>
        </w:tc>
        <w:tc>
          <w:tcPr>
            <w:tcW w:w="51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19</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205</w:t>
            </w:r>
          </w:p>
        </w:tc>
        <w:tc>
          <w:tcPr>
            <w:tcW w:w="143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204</w:t>
            </w:r>
          </w:p>
        </w:tc>
        <w:tc>
          <w:tcPr>
            <w:tcW w:w="136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1.03</w:t>
            </w:r>
          </w:p>
        </w:tc>
        <w:tc>
          <w:tcPr>
            <w:tcW w:w="13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315"/>
          <w:jc w:val="center"/>
        </w:trPr>
        <w:tc>
          <w:tcPr>
            <w:tcW w:w="1898" w:type="dxa"/>
            <w:tcBorders>
              <w:top w:val="nil"/>
              <w:left w:val="nil"/>
              <w:bottom w:val="single" w:sz="8"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soluble</w:t>
            </w:r>
          </w:p>
        </w:tc>
        <w:tc>
          <w:tcPr>
            <w:tcW w:w="516" w:type="dxa"/>
            <w:tcBorders>
              <w:top w:val="nil"/>
              <w:left w:val="nil"/>
              <w:bottom w:val="single" w:sz="8"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21</w:t>
            </w:r>
          </w:p>
        </w:tc>
        <w:tc>
          <w:tcPr>
            <w:tcW w:w="1368"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w:t>
            </w:r>
          </w:p>
        </w:tc>
        <w:tc>
          <w:tcPr>
            <w:tcW w:w="1436"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5.72 × 10</w:t>
            </w:r>
            <w:r w:rsidRPr="0095728C">
              <w:rPr>
                <w:rFonts w:ascii="Calibri" w:eastAsia="Times New Roman" w:hAnsi="Calibri" w:cs="Times New Roman"/>
                <w:color w:val="000000"/>
                <w:sz w:val="20"/>
                <w:szCs w:val="20"/>
                <w:vertAlign w:val="superscript"/>
              </w:rPr>
              <w:t>-2</w:t>
            </w:r>
          </w:p>
        </w:tc>
        <w:tc>
          <w:tcPr>
            <w:tcW w:w="1436"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0</w:t>
            </w:r>
          </w:p>
        </w:tc>
        <w:tc>
          <w:tcPr>
            <w:tcW w:w="1368"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5.72 × 10</w:t>
            </w:r>
            <w:r w:rsidRPr="0095728C">
              <w:rPr>
                <w:rFonts w:ascii="Calibri" w:eastAsia="Times New Roman" w:hAnsi="Calibri" w:cs="Times New Roman"/>
                <w:b/>
                <w:bCs/>
                <w:color w:val="00B050"/>
                <w:sz w:val="20"/>
                <w:szCs w:val="20"/>
                <w:vertAlign w:val="superscript"/>
              </w:rPr>
              <w:t>-2</w:t>
            </w:r>
          </w:p>
        </w:tc>
        <w:tc>
          <w:tcPr>
            <w:tcW w:w="1338"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 </w:t>
            </w:r>
          </w:p>
        </w:tc>
      </w:tr>
    </w:tbl>
    <w:p w:rsidR="0095728C" w:rsidRDefault="0095728C" w:rsidP="00E664E4"/>
    <w:p w:rsidR="0095728C" w:rsidRDefault="0095728C" w:rsidP="00E664E4"/>
    <w:tbl>
      <w:tblPr>
        <w:tblW w:w="9360" w:type="dxa"/>
        <w:jc w:val="center"/>
        <w:tblInd w:w="93" w:type="dxa"/>
        <w:tblLook w:val="04A0" w:firstRow="1" w:lastRow="0" w:firstColumn="1" w:lastColumn="0" w:noHBand="0" w:noVBand="1"/>
      </w:tblPr>
      <w:tblGrid>
        <w:gridCol w:w="1620"/>
        <w:gridCol w:w="441"/>
        <w:gridCol w:w="1174"/>
        <w:gridCol w:w="1225"/>
        <w:gridCol w:w="1225"/>
        <w:gridCol w:w="1225"/>
        <w:gridCol w:w="1225"/>
        <w:gridCol w:w="1225"/>
      </w:tblGrid>
      <w:tr w:rsidR="0095728C" w:rsidRPr="0095728C" w:rsidTr="0095728C">
        <w:trPr>
          <w:trHeight w:val="270"/>
          <w:jc w:val="center"/>
        </w:trPr>
        <w:tc>
          <w:tcPr>
            <w:tcW w:w="8200" w:type="dxa"/>
            <w:gridSpan w:val="8"/>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lastRenderedPageBreak/>
              <w:t>Table 4.9. Steady-State Component Molar Flow Rate (</w:t>
            </w:r>
            <w:proofErr w:type="spellStart"/>
            <w:r w:rsidRPr="0095728C">
              <w:rPr>
                <w:rFonts w:ascii="Calibri" w:eastAsia="Times New Roman" w:hAnsi="Calibri" w:cs="Times New Roman"/>
                <w:b/>
                <w:bCs/>
                <w:color w:val="000000"/>
                <w:sz w:val="20"/>
                <w:szCs w:val="20"/>
              </w:rPr>
              <w:t>mol</w:t>
            </w:r>
            <w:proofErr w:type="spellEnd"/>
            <w:r w:rsidRPr="0095728C">
              <w:rPr>
                <w:rFonts w:ascii="Calibri" w:eastAsia="Times New Roman" w:hAnsi="Calibri" w:cs="Times New Roman"/>
                <w:b/>
                <w:bCs/>
                <w:color w:val="000000"/>
                <w:sz w:val="20"/>
                <w:szCs w:val="20"/>
              </w:rPr>
              <w:t>/h) for Module 4</w:t>
            </w:r>
          </w:p>
        </w:tc>
      </w:tr>
      <w:tr w:rsidR="0095728C" w:rsidRPr="0095728C" w:rsidTr="0095728C">
        <w:trPr>
          <w:trHeight w:val="255"/>
          <w:jc w:val="center"/>
        </w:trPr>
        <w:tc>
          <w:tcPr>
            <w:tcW w:w="150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c>
          <w:tcPr>
            <w:tcW w:w="29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c>
          <w:tcPr>
            <w:tcW w:w="6404" w:type="dxa"/>
            <w:gridSpan w:val="6"/>
            <w:tcBorders>
              <w:top w:val="single" w:sz="8" w:space="0" w:color="auto"/>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Stream Number (Stream Type)</w:t>
            </w:r>
          </w:p>
        </w:tc>
      </w:tr>
      <w:tr w:rsidR="0095728C" w:rsidRPr="0095728C" w:rsidTr="0095728C">
        <w:trPr>
          <w:trHeight w:val="255"/>
          <w:jc w:val="center"/>
        </w:trPr>
        <w:tc>
          <w:tcPr>
            <w:tcW w:w="1796" w:type="dxa"/>
            <w:gridSpan w:val="2"/>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Component</w:t>
            </w:r>
          </w:p>
        </w:tc>
        <w:tc>
          <w:tcPr>
            <w:tcW w:w="111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30</w:t>
            </w:r>
          </w:p>
        </w:tc>
        <w:tc>
          <w:tcPr>
            <w:tcW w:w="109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32</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33</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34</w:t>
            </w:r>
          </w:p>
        </w:tc>
        <w:tc>
          <w:tcPr>
            <w:tcW w:w="10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35</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36</w:t>
            </w:r>
          </w:p>
        </w:tc>
      </w:tr>
      <w:tr w:rsidR="0095728C" w:rsidRPr="0095728C" w:rsidTr="0095728C">
        <w:trPr>
          <w:trHeight w:val="255"/>
          <w:jc w:val="center"/>
        </w:trPr>
        <w:tc>
          <w:tcPr>
            <w:tcW w:w="1502"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Formula</w:t>
            </w:r>
          </w:p>
        </w:tc>
        <w:tc>
          <w:tcPr>
            <w:tcW w:w="294"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
        </w:tc>
        <w:tc>
          <w:tcPr>
            <w:tcW w:w="1118"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(Input)</w:t>
            </w:r>
          </w:p>
        </w:tc>
        <w:tc>
          <w:tcPr>
            <w:tcW w:w="1092"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(Dep. Input)</w:t>
            </w:r>
          </w:p>
        </w:tc>
        <w:tc>
          <w:tcPr>
            <w:tcW w:w="1038"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roofErr w:type="spellStart"/>
            <w:r w:rsidRPr="0095728C">
              <w:rPr>
                <w:rFonts w:ascii="Calibri" w:eastAsia="Times New Roman" w:hAnsi="Calibri" w:cs="Times New Roman"/>
                <w:b/>
                <w:bCs/>
                <w:color w:val="000000"/>
                <w:sz w:val="20"/>
                <w:szCs w:val="20"/>
              </w:rPr>
              <w:t>Intermed</w:t>
            </w:r>
            <w:proofErr w:type="spellEnd"/>
            <w:r w:rsidRPr="0095728C">
              <w:rPr>
                <w:rFonts w:ascii="Calibri" w:eastAsia="Times New Roman" w:hAnsi="Calibri" w:cs="Times New Roman"/>
                <w:b/>
                <w:bCs/>
                <w:color w:val="000000"/>
                <w:sz w:val="20"/>
                <w:szCs w:val="20"/>
              </w:rPr>
              <w:t>.)</w:t>
            </w:r>
          </w:p>
        </w:tc>
        <w:tc>
          <w:tcPr>
            <w:tcW w:w="1038"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roofErr w:type="spellStart"/>
            <w:r w:rsidRPr="0095728C">
              <w:rPr>
                <w:rFonts w:ascii="Calibri" w:eastAsia="Times New Roman" w:hAnsi="Calibri" w:cs="Times New Roman"/>
                <w:b/>
                <w:bCs/>
                <w:color w:val="000000"/>
                <w:sz w:val="20"/>
                <w:szCs w:val="20"/>
              </w:rPr>
              <w:t>Intermed</w:t>
            </w:r>
            <w:proofErr w:type="spellEnd"/>
            <w:r w:rsidRPr="0095728C">
              <w:rPr>
                <w:rFonts w:ascii="Calibri" w:eastAsia="Times New Roman" w:hAnsi="Calibri" w:cs="Times New Roman"/>
                <w:b/>
                <w:bCs/>
                <w:color w:val="000000"/>
                <w:sz w:val="20"/>
                <w:szCs w:val="20"/>
              </w:rPr>
              <w:t>.)</w:t>
            </w:r>
          </w:p>
        </w:tc>
        <w:tc>
          <w:tcPr>
            <w:tcW w:w="1080"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roofErr w:type="spellStart"/>
            <w:r w:rsidRPr="0095728C">
              <w:rPr>
                <w:rFonts w:ascii="Calibri" w:eastAsia="Times New Roman" w:hAnsi="Calibri" w:cs="Times New Roman"/>
                <w:b/>
                <w:bCs/>
                <w:color w:val="000000"/>
                <w:sz w:val="20"/>
                <w:szCs w:val="20"/>
              </w:rPr>
              <w:t>Intermed</w:t>
            </w:r>
            <w:proofErr w:type="spellEnd"/>
            <w:r w:rsidRPr="0095728C">
              <w:rPr>
                <w:rFonts w:ascii="Calibri" w:eastAsia="Times New Roman" w:hAnsi="Calibri" w:cs="Times New Roman"/>
                <w:b/>
                <w:bCs/>
                <w:color w:val="000000"/>
                <w:sz w:val="20"/>
                <w:szCs w:val="20"/>
              </w:rPr>
              <w:t>.)</w:t>
            </w:r>
          </w:p>
        </w:tc>
        <w:tc>
          <w:tcPr>
            <w:tcW w:w="1038"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roofErr w:type="spellStart"/>
            <w:r w:rsidRPr="0095728C">
              <w:rPr>
                <w:rFonts w:ascii="Calibri" w:eastAsia="Times New Roman" w:hAnsi="Calibri" w:cs="Times New Roman"/>
                <w:b/>
                <w:bCs/>
                <w:color w:val="000000"/>
                <w:sz w:val="20"/>
                <w:szCs w:val="20"/>
              </w:rPr>
              <w:t>Intermed</w:t>
            </w:r>
            <w:proofErr w:type="spellEnd"/>
            <w:r w:rsidRPr="0095728C">
              <w:rPr>
                <w:rFonts w:ascii="Calibri" w:eastAsia="Times New Roman" w:hAnsi="Calibri" w:cs="Times New Roman"/>
                <w:b/>
                <w:bCs/>
                <w:color w:val="000000"/>
                <w:sz w:val="20"/>
                <w:szCs w:val="20"/>
              </w:rPr>
              <w:t>.)</w:t>
            </w:r>
          </w:p>
        </w:tc>
      </w:tr>
      <w:tr w:rsidR="0095728C" w:rsidRPr="0095728C" w:rsidTr="0095728C">
        <w:trPr>
          <w:trHeight w:val="285"/>
          <w:jc w:val="center"/>
        </w:trPr>
        <w:tc>
          <w:tcPr>
            <w:tcW w:w="1502"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H</w:t>
            </w:r>
            <w:r w:rsidRPr="0095728C">
              <w:rPr>
                <w:rFonts w:ascii="Calibri" w:eastAsia="Times New Roman" w:hAnsi="Calibri" w:cs="Times New Roman"/>
                <w:sz w:val="20"/>
                <w:szCs w:val="20"/>
                <w:vertAlign w:val="subscript"/>
              </w:rPr>
              <w:t>2</w:t>
            </w:r>
            <w:r w:rsidRPr="0095728C">
              <w:rPr>
                <w:rFonts w:ascii="Calibri" w:eastAsia="Times New Roman" w:hAnsi="Calibri" w:cs="Times New Roman"/>
                <w:sz w:val="20"/>
                <w:szCs w:val="20"/>
              </w:rPr>
              <w:t>O</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w:t>
            </w:r>
          </w:p>
        </w:tc>
        <w:tc>
          <w:tcPr>
            <w:tcW w:w="111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164</w:t>
            </w:r>
          </w:p>
        </w:tc>
        <w:tc>
          <w:tcPr>
            <w:tcW w:w="109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776</w:t>
            </w:r>
          </w:p>
        </w:tc>
        <w:tc>
          <w:tcPr>
            <w:tcW w:w="10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776</w:t>
            </w:r>
          </w:p>
        </w:tc>
      </w:tr>
      <w:tr w:rsidR="0095728C" w:rsidRPr="0095728C" w:rsidTr="0095728C">
        <w:trPr>
          <w:trHeight w:val="285"/>
          <w:jc w:val="center"/>
        </w:trPr>
        <w:tc>
          <w:tcPr>
            <w:tcW w:w="1502"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N</w:t>
            </w:r>
            <w:r w:rsidRPr="0095728C">
              <w:rPr>
                <w:rFonts w:ascii="Calibri" w:eastAsia="Times New Roman" w:hAnsi="Calibri" w:cs="Times New Roman"/>
                <w:sz w:val="20"/>
                <w:szCs w:val="20"/>
                <w:vertAlign w:val="subscript"/>
              </w:rPr>
              <w:t>2</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2</w:t>
            </w:r>
          </w:p>
        </w:tc>
        <w:tc>
          <w:tcPr>
            <w:tcW w:w="111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09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85.1</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85.1</w:t>
            </w:r>
          </w:p>
        </w:tc>
        <w:tc>
          <w:tcPr>
            <w:tcW w:w="10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85.1</w:t>
            </w:r>
          </w:p>
        </w:tc>
      </w:tr>
      <w:tr w:rsidR="0095728C" w:rsidRPr="0095728C" w:rsidTr="0095728C">
        <w:trPr>
          <w:trHeight w:val="285"/>
          <w:jc w:val="center"/>
        </w:trPr>
        <w:tc>
          <w:tcPr>
            <w:tcW w:w="1502"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NH</w:t>
            </w:r>
            <w:r w:rsidRPr="0095728C">
              <w:rPr>
                <w:rFonts w:ascii="Calibri" w:eastAsia="Times New Roman" w:hAnsi="Calibri" w:cs="Times New Roman"/>
                <w:sz w:val="20"/>
                <w:szCs w:val="20"/>
                <w:vertAlign w:val="subscript"/>
              </w:rPr>
              <w:t>3</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3</w:t>
            </w:r>
          </w:p>
        </w:tc>
        <w:tc>
          <w:tcPr>
            <w:tcW w:w="111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09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170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816</w:t>
            </w:r>
          </w:p>
        </w:tc>
        <w:tc>
          <w:tcPr>
            <w:tcW w:w="10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816</w:t>
            </w:r>
          </w:p>
        </w:tc>
      </w:tr>
      <w:tr w:rsidR="0095728C" w:rsidRPr="0095728C" w:rsidTr="0095728C">
        <w:trPr>
          <w:trHeight w:val="285"/>
          <w:jc w:val="center"/>
        </w:trPr>
        <w:tc>
          <w:tcPr>
            <w:tcW w:w="1502"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H</w:t>
            </w:r>
            <w:r w:rsidRPr="0095728C">
              <w:rPr>
                <w:rFonts w:ascii="Calibri" w:eastAsia="Times New Roman" w:hAnsi="Calibri" w:cs="Times New Roman"/>
                <w:sz w:val="20"/>
                <w:szCs w:val="20"/>
                <w:vertAlign w:val="subscript"/>
              </w:rPr>
              <w:t>2</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5</w:t>
            </w:r>
          </w:p>
        </w:tc>
        <w:tc>
          <w:tcPr>
            <w:tcW w:w="111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09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255</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51.1</w:t>
            </w:r>
          </w:p>
        </w:tc>
        <w:tc>
          <w:tcPr>
            <w:tcW w:w="10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51.1</w:t>
            </w:r>
          </w:p>
        </w:tc>
      </w:tr>
      <w:tr w:rsidR="0095728C" w:rsidRPr="0095728C" w:rsidTr="0095728C">
        <w:trPr>
          <w:trHeight w:val="255"/>
          <w:jc w:val="center"/>
        </w:trPr>
        <w:tc>
          <w:tcPr>
            <w:tcW w:w="1502"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HF</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6</w:t>
            </w:r>
          </w:p>
        </w:tc>
        <w:tc>
          <w:tcPr>
            <w:tcW w:w="111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09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r>
      <w:tr w:rsidR="0095728C" w:rsidRPr="0095728C" w:rsidTr="0095728C">
        <w:trPr>
          <w:trHeight w:val="285"/>
          <w:jc w:val="center"/>
        </w:trPr>
        <w:tc>
          <w:tcPr>
            <w:tcW w:w="1502"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CO</w:t>
            </w:r>
            <w:r w:rsidRPr="0095728C">
              <w:rPr>
                <w:rFonts w:ascii="Calibri" w:eastAsia="Times New Roman" w:hAnsi="Calibri" w:cs="Times New Roman"/>
                <w:sz w:val="20"/>
                <w:szCs w:val="20"/>
                <w:vertAlign w:val="subscript"/>
              </w:rPr>
              <w:t>2</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8</w:t>
            </w:r>
          </w:p>
        </w:tc>
        <w:tc>
          <w:tcPr>
            <w:tcW w:w="111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09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612</w:t>
            </w:r>
          </w:p>
        </w:tc>
        <w:tc>
          <w:tcPr>
            <w:tcW w:w="10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612</w:t>
            </w:r>
          </w:p>
        </w:tc>
      </w:tr>
      <w:tr w:rsidR="0095728C" w:rsidRPr="0095728C" w:rsidTr="0095728C">
        <w:trPr>
          <w:trHeight w:val="285"/>
          <w:jc w:val="center"/>
        </w:trPr>
        <w:tc>
          <w:tcPr>
            <w:tcW w:w="1502"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UF</w:t>
            </w:r>
            <w:r w:rsidRPr="0095728C">
              <w:rPr>
                <w:rFonts w:ascii="Calibri" w:eastAsia="Times New Roman" w:hAnsi="Calibri" w:cs="Times New Roman"/>
                <w:sz w:val="20"/>
                <w:szCs w:val="20"/>
                <w:vertAlign w:val="subscript"/>
              </w:rPr>
              <w:t>4</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16</w:t>
            </w:r>
          </w:p>
        </w:tc>
        <w:tc>
          <w:tcPr>
            <w:tcW w:w="111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09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r>
      <w:tr w:rsidR="0095728C" w:rsidRPr="0095728C" w:rsidTr="0095728C">
        <w:trPr>
          <w:trHeight w:val="285"/>
          <w:jc w:val="center"/>
        </w:trPr>
        <w:tc>
          <w:tcPr>
            <w:tcW w:w="1502"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UO</w:t>
            </w:r>
            <w:r w:rsidRPr="0095728C">
              <w:rPr>
                <w:rFonts w:ascii="Calibri" w:eastAsia="Times New Roman" w:hAnsi="Calibri" w:cs="Times New Roman"/>
                <w:sz w:val="20"/>
                <w:szCs w:val="20"/>
                <w:vertAlign w:val="subscript"/>
              </w:rPr>
              <w:t>2</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17</w:t>
            </w:r>
          </w:p>
        </w:tc>
        <w:tc>
          <w:tcPr>
            <w:tcW w:w="111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09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204</w:t>
            </w:r>
          </w:p>
        </w:tc>
        <w:tc>
          <w:tcPr>
            <w:tcW w:w="10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204</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r>
      <w:tr w:rsidR="0095728C" w:rsidRPr="0095728C" w:rsidTr="0095728C">
        <w:trPr>
          <w:trHeight w:val="300"/>
          <w:jc w:val="center"/>
        </w:trPr>
        <w:tc>
          <w:tcPr>
            <w:tcW w:w="1502"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w:t>
            </w:r>
            <w:r w:rsidRPr="0095728C">
              <w:rPr>
                <w:rFonts w:ascii="Calibri" w:eastAsia="Times New Roman" w:hAnsi="Calibri" w:cs="Times New Roman"/>
                <w:sz w:val="20"/>
                <w:szCs w:val="20"/>
                <w:vertAlign w:val="subscript"/>
              </w:rPr>
              <w:t>3</w:t>
            </w:r>
            <w:r w:rsidRPr="0095728C">
              <w:rPr>
                <w:rFonts w:ascii="Calibri" w:eastAsia="Times New Roman" w:hAnsi="Calibri" w:cs="Times New Roman"/>
                <w:sz w:val="20"/>
                <w:szCs w:val="20"/>
              </w:rPr>
              <w:t>O</w:t>
            </w:r>
            <w:r w:rsidRPr="0095728C">
              <w:rPr>
                <w:rFonts w:ascii="Calibri" w:eastAsia="Times New Roman" w:hAnsi="Calibri" w:cs="Times New Roman"/>
                <w:sz w:val="20"/>
                <w:szCs w:val="20"/>
                <w:vertAlign w:val="subscript"/>
              </w:rPr>
              <w:t>8</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18</w:t>
            </w:r>
          </w:p>
        </w:tc>
        <w:tc>
          <w:tcPr>
            <w:tcW w:w="111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4.03 × 10</w:t>
            </w:r>
            <w:r w:rsidRPr="0095728C">
              <w:rPr>
                <w:rFonts w:ascii="Calibri" w:eastAsia="Times New Roman" w:hAnsi="Calibri" w:cs="Times New Roman"/>
                <w:b/>
                <w:bCs/>
                <w:color w:val="0070C0"/>
                <w:sz w:val="20"/>
                <w:szCs w:val="20"/>
                <w:vertAlign w:val="superscript"/>
              </w:rPr>
              <w:t>-11</w:t>
            </w:r>
          </w:p>
        </w:tc>
        <w:tc>
          <w:tcPr>
            <w:tcW w:w="109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4.03 × 10</w:t>
            </w:r>
            <w:r w:rsidRPr="0095728C">
              <w:rPr>
                <w:rFonts w:ascii="Calibri" w:eastAsia="Times New Roman" w:hAnsi="Calibri" w:cs="Times New Roman"/>
                <w:color w:val="000000"/>
                <w:sz w:val="20"/>
                <w:szCs w:val="20"/>
                <w:vertAlign w:val="superscript"/>
              </w:rPr>
              <w:t>-11</w:t>
            </w:r>
          </w:p>
        </w:tc>
        <w:tc>
          <w:tcPr>
            <w:tcW w:w="10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4.03 × 10</w:t>
            </w:r>
            <w:r w:rsidRPr="0095728C">
              <w:rPr>
                <w:rFonts w:ascii="Calibri" w:eastAsia="Times New Roman" w:hAnsi="Calibri" w:cs="Times New Roman"/>
                <w:color w:val="000000"/>
                <w:sz w:val="20"/>
                <w:szCs w:val="20"/>
                <w:vertAlign w:val="superscript"/>
              </w:rPr>
              <w:t>-11</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r>
      <w:tr w:rsidR="0095728C" w:rsidRPr="0095728C" w:rsidTr="0095728C">
        <w:trPr>
          <w:trHeight w:val="315"/>
          <w:jc w:val="center"/>
        </w:trPr>
        <w:tc>
          <w:tcPr>
            <w:tcW w:w="1502" w:type="dxa"/>
            <w:tcBorders>
              <w:top w:val="nil"/>
              <w:left w:val="nil"/>
              <w:bottom w:val="single" w:sz="8"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(NH</w:t>
            </w:r>
            <w:r w:rsidRPr="0095728C">
              <w:rPr>
                <w:rFonts w:ascii="Calibri" w:eastAsia="Times New Roman" w:hAnsi="Calibri" w:cs="Times New Roman"/>
                <w:sz w:val="20"/>
                <w:szCs w:val="20"/>
                <w:vertAlign w:val="subscript"/>
              </w:rPr>
              <w:t>4</w:t>
            </w:r>
            <w:r w:rsidRPr="0095728C">
              <w:rPr>
                <w:rFonts w:ascii="Calibri" w:eastAsia="Times New Roman" w:hAnsi="Calibri" w:cs="Times New Roman"/>
                <w:sz w:val="20"/>
                <w:szCs w:val="20"/>
              </w:rPr>
              <w:t>)</w:t>
            </w:r>
            <w:r w:rsidRPr="0095728C">
              <w:rPr>
                <w:rFonts w:ascii="Calibri" w:eastAsia="Times New Roman" w:hAnsi="Calibri" w:cs="Times New Roman"/>
                <w:sz w:val="20"/>
                <w:szCs w:val="20"/>
                <w:vertAlign w:val="subscript"/>
              </w:rPr>
              <w:t>4</w:t>
            </w:r>
            <w:r w:rsidRPr="0095728C">
              <w:rPr>
                <w:rFonts w:ascii="Calibri" w:eastAsia="Times New Roman" w:hAnsi="Calibri" w:cs="Times New Roman"/>
                <w:sz w:val="20"/>
                <w:szCs w:val="20"/>
              </w:rPr>
              <w:t>UO</w:t>
            </w:r>
            <w:r w:rsidRPr="0095728C">
              <w:rPr>
                <w:rFonts w:ascii="Calibri" w:eastAsia="Times New Roman" w:hAnsi="Calibri" w:cs="Times New Roman"/>
                <w:sz w:val="20"/>
                <w:szCs w:val="20"/>
                <w:vertAlign w:val="subscript"/>
              </w:rPr>
              <w:t>2</w:t>
            </w:r>
            <w:r w:rsidRPr="0095728C">
              <w:rPr>
                <w:rFonts w:ascii="Calibri" w:eastAsia="Times New Roman" w:hAnsi="Calibri" w:cs="Times New Roman"/>
                <w:sz w:val="20"/>
                <w:szCs w:val="20"/>
              </w:rPr>
              <w:t>(CO</w:t>
            </w:r>
            <w:r w:rsidRPr="0095728C">
              <w:rPr>
                <w:rFonts w:ascii="Calibri" w:eastAsia="Times New Roman" w:hAnsi="Calibri" w:cs="Times New Roman"/>
                <w:sz w:val="20"/>
                <w:szCs w:val="20"/>
                <w:vertAlign w:val="subscript"/>
              </w:rPr>
              <w:t>3</w:t>
            </w:r>
            <w:r w:rsidRPr="0095728C">
              <w:rPr>
                <w:rFonts w:ascii="Calibri" w:eastAsia="Times New Roman" w:hAnsi="Calibri" w:cs="Times New Roman"/>
                <w:sz w:val="20"/>
                <w:szCs w:val="20"/>
              </w:rPr>
              <w:t>)</w:t>
            </w:r>
            <w:r w:rsidRPr="0095728C">
              <w:rPr>
                <w:rFonts w:ascii="Calibri" w:eastAsia="Times New Roman" w:hAnsi="Calibri" w:cs="Times New Roman"/>
                <w:sz w:val="20"/>
                <w:szCs w:val="20"/>
                <w:vertAlign w:val="subscript"/>
              </w:rPr>
              <w:t>3</w:t>
            </w:r>
          </w:p>
        </w:tc>
        <w:tc>
          <w:tcPr>
            <w:tcW w:w="294" w:type="dxa"/>
            <w:tcBorders>
              <w:top w:val="nil"/>
              <w:left w:val="nil"/>
              <w:bottom w:val="single" w:sz="8"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19</w:t>
            </w:r>
          </w:p>
        </w:tc>
        <w:tc>
          <w:tcPr>
            <w:tcW w:w="111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204</w:t>
            </w:r>
          </w:p>
        </w:tc>
        <w:tc>
          <w:tcPr>
            <w:tcW w:w="1092"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2.04 × 10</w:t>
            </w:r>
            <w:r w:rsidRPr="0095728C">
              <w:rPr>
                <w:rFonts w:ascii="Calibri" w:eastAsia="Times New Roman" w:hAnsi="Calibri" w:cs="Times New Roman"/>
                <w:color w:val="000000"/>
                <w:sz w:val="20"/>
                <w:szCs w:val="20"/>
                <w:vertAlign w:val="superscript"/>
              </w:rPr>
              <w:t>-2</w:t>
            </w:r>
          </w:p>
        </w:tc>
        <w:tc>
          <w:tcPr>
            <w:tcW w:w="1080"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2.04 × 10</w:t>
            </w:r>
            <w:r w:rsidRPr="0095728C">
              <w:rPr>
                <w:rFonts w:ascii="Calibri" w:eastAsia="Times New Roman" w:hAnsi="Calibri" w:cs="Times New Roman"/>
                <w:color w:val="000000"/>
                <w:sz w:val="20"/>
                <w:szCs w:val="20"/>
                <w:vertAlign w:val="superscript"/>
              </w:rPr>
              <w:t>-2</w:t>
            </w:r>
          </w:p>
        </w:tc>
        <w:tc>
          <w:tcPr>
            <w:tcW w:w="1038"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r>
      <w:tr w:rsidR="0095728C" w:rsidRPr="0095728C" w:rsidTr="0095728C">
        <w:trPr>
          <w:trHeight w:val="255"/>
          <w:jc w:val="center"/>
        </w:trPr>
        <w:tc>
          <w:tcPr>
            <w:tcW w:w="150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c>
          <w:tcPr>
            <w:tcW w:w="29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c>
          <w:tcPr>
            <w:tcW w:w="6404" w:type="dxa"/>
            <w:gridSpan w:val="6"/>
            <w:tcBorders>
              <w:top w:val="single" w:sz="8" w:space="0" w:color="auto"/>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Stream Number (Stream Type)</w:t>
            </w:r>
          </w:p>
        </w:tc>
      </w:tr>
      <w:tr w:rsidR="0095728C" w:rsidRPr="0095728C" w:rsidTr="0095728C">
        <w:trPr>
          <w:trHeight w:val="255"/>
          <w:jc w:val="center"/>
        </w:trPr>
        <w:tc>
          <w:tcPr>
            <w:tcW w:w="1796" w:type="dxa"/>
            <w:gridSpan w:val="2"/>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Component</w:t>
            </w:r>
          </w:p>
        </w:tc>
        <w:tc>
          <w:tcPr>
            <w:tcW w:w="111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11A</w:t>
            </w:r>
          </w:p>
        </w:tc>
        <w:tc>
          <w:tcPr>
            <w:tcW w:w="109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37</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38</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39</w:t>
            </w:r>
          </w:p>
        </w:tc>
        <w:tc>
          <w:tcPr>
            <w:tcW w:w="1080"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12A</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255"/>
          <w:jc w:val="center"/>
        </w:trPr>
        <w:tc>
          <w:tcPr>
            <w:tcW w:w="1502"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Formula</w:t>
            </w:r>
          </w:p>
        </w:tc>
        <w:tc>
          <w:tcPr>
            <w:tcW w:w="294"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
        </w:tc>
        <w:tc>
          <w:tcPr>
            <w:tcW w:w="1118"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(Input)</w:t>
            </w:r>
          </w:p>
        </w:tc>
        <w:tc>
          <w:tcPr>
            <w:tcW w:w="1092"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roofErr w:type="spellStart"/>
            <w:r w:rsidRPr="0095728C">
              <w:rPr>
                <w:rFonts w:ascii="Calibri" w:eastAsia="Times New Roman" w:hAnsi="Calibri" w:cs="Times New Roman"/>
                <w:b/>
                <w:bCs/>
                <w:color w:val="000000"/>
                <w:sz w:val="20"/>
                <w:szCs w:val="20"/>
              </w:rPr>
              <w:t>Intermed</w:t>
            </w:r>
            <w:proofErr w:type="spellEnd"/>
            <w:r w:rsidRPr="0095728C">
              <w:rPr>
                <w:rFonts w:ascii="Calibri" w:eastAsia="Times New Roman" w:hAnsi="Calibri" w:cs="Times New Roman"/>
                <w:b/>
                <w:bCs/>
                <w:color w:val="000000"/>
                <w:sz w:val="20"/>
                <w:szCs w:val="20"/>
              </w:rPr>
              <w:t>.)</w:t>
            </w:r>
          </w:p>
        </w:tc>
        <w:tc>
          <w:tcPr>
            <w:tcW w:w="1038"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(Waste)</w:t>
            </w:r>
          </w:p>
        </w:tc>
        <w:tc>
          <w:tcPr>
            <w:tcW w:w="1038"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roofErr w:type="spellStart"/>
            <w:r w:rsidRPr="0095728C">
              <w:rPr>
                <w:rFonts w:ascii="Calibri" w:eastAsia="Times New Roman" w:hAnsi="Calibri" w:cs="Times New Roman"/>
                <w:b/>
                <w:bCs/>
                <w:color w:val="000000"/>
                <w:sz w:val="20"/>
                <w:szCs w:val="20"/>
              </w:rPr>
              <w:t>Intermed</w:t>
            </w:r>
            <w:proofErr w:type="spellEnd"/>
            <w:r w:rsidRPr="0095728C">
              <w:rPr>
                <w:rFonts w:ascii="Calibri" w:eastAsia="Times New Roman" w:hAnsi="Calibri" w:cs="Times New Roman"/>
                <w:b/>
                <w:bCs/>
                <w:color w:val="000000"/>
                <w:sz w:val="20"/>
                <w:szCs w:val="20"/>
              </w:rPr>
              <w:t>.)</w:t>
            </w:r>
          </w:p>
        </w:tc>
        <w:tc>
          <w:tcPr>
            <w:tcW w:w="1080"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(Input)</w:t>
            </w:r>
          </w:p>
        </w:tc>
        <w:tc>
          <w:tcPr>
            <w:tcW w:w="1038"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 </w:t>
            </w:r>
          </w:p>
        </w:tc>
      </w:tr>
      <w:tr w:rsidR="0095728C" w:rsidRPr="0095728C" w:rsidTr="0095728C">
        <w:trPr>
          <w:trHeight w:val="285"/>
          <w:jc w:val="center"/>
        </w:trPr>
        <w:tc>
          <w:tcPr>
            <w:tcW w:w="1502"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H</w:t>
            </w:r>
            <w:r w:rsidRPr="0095728C">
              <w:rPr>
                <w:rFonts w:ascii="Calibri" w:eastAsia="Times New Roman" w:hAnsi="Calibri" w:cs="Times New Roman"/>
                <w:sz w:val="20"/>
                <w:szCs w:val="20"/>
                <w:vertAlign w:val="subscript"/>
              </w:rPr>
              <w:t>2</w:t>
            </w:r>
            <w:r w:rsidRPr="0095728C">
              <w:rPr>
                <w:rFonts w:ascii="Calibri" w:eastAsia="Times New Roman" w:hAnsi="Calibri" w:cs="Times New Roman"/>
                <w:sz w:val="20"/>
                <w:szCs w:val="20"/>
              </w:rPr>
              <w:t>O</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w:t>
            </w:r>
          </w:p>
        </w:tc>
        <w:tc>
          <w:tcPr>
            <w:tcW w:w="111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09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776</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300"/>
          <w:jc w:val="center"/>
        </w:trPr>
        <w:tc>
          <w:tcPr>
            <w:tcW w:w="1502"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N</w:t>
            </w:r>
            <w:r w:rsidRPr="0095728C">
              <w:rPr>
                <w:rFonts w:ascii="Calibri" w:eastAsia="Times New Roman" w:hAnsi="Calibri" w:cs="Times New Roman"/>
                <w:sz w:val="20"/>
                <w:szCs w:val="20"/>
                <w:vertAlign w:val="subscript"/>
              </w:rPr>
              <w:t>2</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2</w:t>
            </w:r>
          </w:p>
        </w:tc>
        <w:tc>
          <w:tcPr>
            <w:tcW w:w="111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500</w:t>
            </w:r>
          </w:p>
        </w:tc>
        <w:tc>
          <w:tcPr>
            <w:tcW w:w="109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500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585</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1.50 × 10</w:t>
            </w:r>
            <w:r w:rsidRPr="0095728C">
              <w:rPr>
                <w:rFonts w:ascii="Calibri" w:eastAsia="Times New Roman" w:hAnsi="Calibri" w:cs="Times New Roman"/>
                <w:b/>
                <w:bCs/>
                <w:color w:val="0070C0"/>
                <w:sz w:val="20"/>
                <w:szCs w:val="20"/>
                <w:vertAlign w:val="superscript"/>
              </w:rPr>
              <w:t>3</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285"/>
          <w:jc w:val="center"/>
        </w:trPr>
        <w:tc>
          <w:tcPr>
            <w:tcW w:w="1502"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NH</w:t>
            </w:r>
            <w:r w:rsidRPr="0095728C">
              <w:rPr>
                <w:rFonts w:ascii="Calibri" w:eastAsia="Times New Roman" w:hAnsi="Calibri" w:cs="Times New Roman"/>
                <w:sz w:val="20"/>
                <w:szCs w:val="20"/>
                <w:vertAlign w:val="subscript"/>
              </w:rPr>
              <w:t>3</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3</w:t>
            </w:r>
          </w:p>
        </w:tc>
        <w:tc>
          <w:tcPr>
            <w:tcW w:w="111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09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816</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285"/>
          <w:jc w:val="center"/>
        </w:trPr>
        <w:tc>
          <w:tcPr>
            <w:tcW w:w="1502"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H</w:t>
            </w:r>
            <w:r w:rsidRPr="0095728C">
              <w:rPr>
                <w:rFonts w:ascii="Calibri" w:eastAsia="Times New Roman" w:hAnsi="Calibri" w:cs="Times New Roman"/>
                <w:sz w:val="20"/>
                <w:szCs w:val="20"/>
                <w:vertAlign w:val="subscript"/>
              </w:rPr>
              <w:t>2</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5</w:t>
            </w:r>
          </w:p>
        </w:tc>
        <w:tc>
          <w:tcPr>
            <w:tcW w:w="111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09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51.1</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255"/>
          <w:jc w:val="center"/>
        </w:trPr>
        <w:tc>
          <w:tcPr>
            <w:tcW w:w="1502"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HF</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6</w:t>
            </w:r>
          </w:p>
        </w:tc>
        <w:tc>
          <w:tcPr>
            <w:tcW w:w="111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09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285"/>
          <w:jc w:val="center"/>
        </w:trPr>
        <w:tc>
          <w:tcPr>
            <w:tcW w:w="1502"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CO</w:t>
            </w:r>
            <w:r w:rsidRPr="0095728C">
              <w:rPr>
                <w:rFonts w:ascii="Calibri" w:eastAsia="Times New Roman" w:hAnsi="Calibri" w:cs="Times New Roman"/>
                <w:sz w:val="20"/>
                <w:szCs w:val="20"/>
                <w:vertAlign w:val="subscript"/>
              </w:rPr>
              <w:t>2</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8</w:t>
            </w:r>
          </w:p>
        </w:tc>
        <w:tc>
          <w:tcPr>
            <w:tcW w:w="111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09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612</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285"/>
          <w:jc w:val="center"/>
        </w:trPr>
        <w:tc>
          <w:tcPr>
            <w:tcW w:w="1502"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UF</w:t>
            </w:r>
            <w:r w:rsidRPr="0095728C">
              <w:rPr>
                <w:rFonts w:ascii="Calibri" w:eastAsia="Times New Roman" w:hAnsi="Calibri" w:cs="Times New Roman"/>
                <w:sz w:val="20"/>
                <w:szCs w:val="20"/>
                <w:vertAlign w:val="subscript"/>
              </w:rPr>
              <w:t>4</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16</w:t>
            </w:r>
          </w:p>
        </w:tc>
        <w:tc>
          <w:tcPr>
            <w:tcW w:w="111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09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285"/>
          <w:jc w:val="center"/>
        </w:trPr>
        <w:tc>
          <w:tcPr>
            <w:tcW w:w="1502"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UO</w:t>
            </w:r>
            <w:r w:rsidRPr="0095728C">
              <w:rPr>
                <w:rFonts w:ascii="Calibri" w:eastAsia="Times New Roman" w:hAnsi="Calibri" w:cs="Times New Roman"/>
                <w:sz w:val="20"/>
                <w:szCs w:val="20"/>
                <w:vertAlign w:val="subscript"/>
              </w:rPr>
              <w:t>2</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17</w:t>
            </w:r>
          </w:p>
        </w:tc>
        <w:tc>
          <w:tcPr>
            <w:tcW w:w="111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09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204</w:t>
            </w:r>
          </w:p>
        </w:tc>
        <w:tc>
          <w:tcPr>
            <w:tcW w:w="10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300"/>
          <w:jc w:val="center"/>
        </w:trPr>
        <w:tc>
          <w:tcPr>
            <w:tcW w:w="1502"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w:t>
            </w:r>
            <w:r w:rsidRPr="0095728C">
              <w:rPr>
                <w:rFonts w:ascii="Calibri" w:eastAsia="Times New Roman" w:hAnsi="Calibri" w:cs="Times New Roman"/>
                <w:sz w:val="20"/>
                <w:szCs w:val="20"/>
                <w:vertAlign w:val="subscript"/>
              </w:rPr>
              <w:t>3</w:t>
            </w:r>
            <w:r w:rsidRPr="0095728C">
              <w:rPr>
                <w:rFonts w:ascii="Calibri" w:eastAsia="Times New Roman" w:hAnsi="Calibri" w:cs="Times New Roman"/>
                <w:sz w:val="20"/>
                <w:szCs w:val="20"/>
              </w:rPr>
              <w:t>O</w:t>
            </w:r>
            <w:r w:rsidRPr="0095728C">
              <w:rPr>
                <w:rFonts w:ascii="Calibri" w:eastAsia="Times New Roman" w:hAnsi="Calibri" w:cs="Times New Roman"/>
                <w:sz w:val="20"/>
                <w:szCs w:val="20"/>
                <w:vertAlign w:val="subscript"/>
              </w:rPr>
              <w:t>8</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18</w:t>
            </w:r>
          </w:p>
        </w:tc>
        <w:tc>
          <w:tcPr>
            <w:tcW w:w="1118"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09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4.03 × 10</w:t>
            </w:r>
            <w:r w:rsidRPr="0095728C">
              <w:rPr>
                <w:rFonts w:ascii="Calibri" w:eastAsia="Times New Roman" w:hAnsi="Calibri" w:cs="Times New Roman"/>
                <w:color w:val="000000"/>
                <w:sz w:val="20"/>
                <w:szCs w:val="20"/>
                <w:vertAlign w:val="superscript"/>
              </w:rPr>
              <w:t>-11</w:t>
            </w:r>
          </w:p>
        </w:tc>
        <w:tc>
          <w:tcPr>
            <w:tcW w:w="10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315"/>
          <w:jc w:val="center"/>
        </w:trPr>
        <w:tc>
          <w:tcPr>
            <w:tcW w:w="1502" w:type="dxa"/>
            <w:tcBorders>
              <w:top w:val="nil"/>
              <w:left w:val="nil"/>
              <w:bottom w:val="single" w:sz="8"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(NH</w:t>
            </w:r>
            <w:r w:rsidRPr="0095728C">
              <w:rPr>
                <w:rFonts w:ascii="Calibri" w:eastAsia="Times New Roman" w:hAnsi="Calibri" w:cs="Times New Roman"/>
                <w:sz w:val="20"/>
                <w:szCs w:val="20"/>
                <w:vertAlign w:val="subscript"/>
              </w:rPr>
              <w:t>4</w:t>
            </w:r>
            <w:r w:rsidRPr="0095728C">
              <w:rPr>
                <w:rFonts w:ascii="Calibri" w:eastAsia="Times New Roman" w:hAnsi="Calibri" w:cs="Times New Roman"/>
                <w:sz w:val="20"/>
                <w:szCs w:val="20"/>
              </w:rPr>
              <w:t>)</w:t>
            </w:r>
            <w:r w:rsidRPr="0095728C">
              <w:rPr>
                <w:rFonts w:ascii="Calibri" w:eastAsia="Times New Roman" w:hAnsi="Calibri" w:cs="Times New Roman"/>
                <w:sz w:val="20"/>
                <w:szCs w:val="20"/>
                <w:vertAlign w:val="subscript"/>
              </w:rPr>
              <w:t>4</w:t>
            </w:r>
            <w:r w:rsidRPr="0095728C">
              <w:rPr>
                <w:rFonts w:ascii="Calibri" w:eastAsia="Times New Roman" w:hAnsi="Calibri" w:cs="Times New Roman"/>
                <w:sz w:val="20"/>
                <w:szCs w:val="20"/>
              </w:rPr>
              <w:t>UO</w:t>
            </w:r>
            <w:r w:rsidRPr="0095728C">
              <w:rPr>
                <w:rFonts w:ascii="Calibri" w:eastAsia="Times New Roman" w:hAnsi="Calibri" w:cs="Times New Roman"/>
                <w:sz w:val="20"/>
                <w:szCs w:val="20"/>
                <w:vertAlign w:val="subscript"/>
              </w:rPr>
              <w:t>2</w:t>
            </w:r>
            <w:r w:rsidRPr="0095728C">
              <w:rPr>
                <w:rFonts w:ascii="Calibri" w:eastAsia="Times New Roman" w:hAnsi="Calibri" w:cs="Times New Roman"/>
                <w:sz w:val="20"/>
                <w:szCs w:val="20"/>
              </w:rPr>
              <w:t>(CO</w:t>
            </w:r>
            <w:r w:rsidRPr="0095728C">
              <w:rPr>
                <w:rFonts w:ascii="Calibri" w:eastAsia="Times New Roman" w:hAnsi="Calibri" w:cs="Times New Roman"/>
                <w:sz w:val="20"/>
                <w:szCs w:val="20"/>
                <w:vertAlign w:val="subscript"/>
              </w:rPr>
              <w:t>3</w:t>
            </w:r>
            <w:r w:rsidRPr="0095728C">
              <w:rPr>
                <w:rFonts w:ascii="Calibri" w:eastAsia="Times New Roman" w:hAnsi="Calibri" w:cs="Times New Roman"/>
                <w:sz w:val="20"/>
                <w:szCs w:val="20"/>
              </w:rPr>
              <w:t>)</w:t>
            </w:r>
            <w:r w:rsidRPr="0095728C">
              <w:rPr>
                <w:rFonts w:ascii="Calibri" w:eastAsia="Times New Roman" w:hAnsi="Calibri" w:cs="Times New Roman"/>
                <w:sz w:val="20"/>
                <w:szCs w:val="20"/>
                <w:vertAlign w:val="subscript"/>
              </w:rPr>
              <w:t>3</w:t>
            </w:r>
          </w:p>
        </w:tc>
        <w:tc>
          <w:tcPr>
            <w:tcW w:w="294" w:type="dxa"/>
            <w:tcBorders>
              <w:top w:val="nil"/>
              <w:left w:val="nil"/>
              <w:bottom w:val="single" w:sz="8"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19</w:t>
            </w:r>
          </w:p>
        </w:tc>
        <w:tc>
          <w:tcPr>
            <w:tcW w:w="1118" w:type="dxa"/>
            <w:tcBorders>
              <w:top w:val="nil"/>
              <w:left w:val="nil"/>
              <w:bottom w:val="single" w:sz="8"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092"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w:t>
            </w:r>
          </w:p>
        </w:tc>
        <w:tc>
          <w:tcPr>
            <w:tcW w:w="1038"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2.04 × 10</w:t>
            </w:r>
            <w:r w:rsidRPr="0095728C">
              <w:rPr>
                <w:rFonts w:ascii="Calibri" w:eastAsia="Times New Roman" w:hAnsi="Calibri" w:cs="Times New Roman"/>
                <w:color w:val="000000"/>
                <w:sz w:val="20"/>
                <w:szCs w:val="20"/>
                <w:vertAlign w:val="superscript"/>
              </w:rPr>
              <w:t>-2</w:t>
            </w:r>
          </w:p>
        </w:tc>
        <w:tc>
          <w:tcPr>
            <w:tcW w:w="10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255"/>
          <w:jc w:val="center"/>
        </w:trPr>
        <w:tc>
          <w:tcPr>
            <w:tcW w:w="150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c>
          <w:tcPr>
            <w:tcW w:w="29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c>
          <w:tcPr>
            <w:tcW w:w="6404" w:type="dxa"/>
            <w:gridSpan w:val="6"/>
            <w:tcBorders>
              <w:top w:val="single" w:sz="8" w:space="0" w:color="auto"/>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Stream Number (Stream Type)</w:t>
            </w:r>
          </w:p>
        </w:tc>
      </w:tr>
      <w:tr w:rsidR="0095728C" w:rsidRPr="0095728C" w:rsidTr="0095728C">
        <w:trPr>
          <w:trHeight w:val="255"/>
          <w:jc w:val="center"/>
        </w:trPr>
        <w:tc>
          <w:tcPr>
            <w:tcW w:w="1796" w:type="dxa"/>
            <w:gridSpan w:val="2"/>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Component</w:t>
            </w:r>
          </w:p>
        </w:tc>
        <w:tc>
          <w:tcPr>
            <w:tcW w:w="111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40</w:t>
            </w:r>
          </w:p>
        </w:tc>
        <w:tc>
          <w:tcPr>
            <w:tcW w:w="109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41</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42</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43</w:t>
            </w:r>
          </w:p>
        </w:tc>
        <w:tc>
          <w:tcPr>
            <w:tcW w:w="10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44</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255"/>
          <w:jc w:val="center"/>
        </w:trPr>
        <w:tc>
          <w:tcPr>
            <w:tcW w:w="1502"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Formula</w:t>
            </w:r>
          </w:p>
        </w:tc>
        <w:tc>
          <w:tcPr>
            <w:tcW w:w="294"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
        </w:tc>
        <w:tc>
          <w:tcPr>
            <w:tcW w:w="1118"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(Dep. Input)</w:t>
            </w:r>
          </w:p>
        </w:tc>
        <w:tc>
          <w:tcPr>
            <w:tcW w:w="1092"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roofErr w:type="spellStart"/>
            <w:r w:rsidRPr="0095728C">
              <w:rPr>
                <w:rFonts w:ascii="Calibri" w:eastAsia="Times New Roman" w:hAnsi="Calibri" w:cs="Times New Roman"/>
                <w:b/>
                <w:bCs/>
                <w:color w:val="000000"/>
                <w:sz w:val="20"/>
                <w:szCs w:val="20"/>
              </w:rPr>
              <w:t>Intermed</w:t>
            </w:r>
            <w:proofErr w:type="spellEnd"/>
            <w:r w:rsidRPr="0095728C">
              <w:rPr>
                <w:rFonts w:ascii="Calibri" w:eastAsia="Times New Roman" w:hAnsi="Calibri" w:cs="Times New Roman"/>
                <w:b/>
                <w:bCs/>
                <w:color w:val="000000"/>
                <w:sz w:val="20"/>
                <w:szCs w:val="20"/>
              </w:rPr>
              <w:t>.)</w:t>
            </w:r>
          </w:p>
        </w:tc>
        <w:tc>
          <w:tcPr>
            <w:tcW w:w="1038"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roofErr w:type="spellStart"/>
            <w:r w:rsidRPr="0095728C">
              <w:rPr>
                <w:rFonts w:ascii="Calibri" w:eastAsia="Times New Roman" w:hAnsi="Calibri" w:cs="Times New Roman"/>
                <w:b/>
                <w:bCs/>
                <w:color w:val="000000"/>
                <w:sz w:val="20"/>
                <w:szCs w:val="20"/>
              </w:rPr>
              <w:t>Intermed</w:t>
            </w:r>
            <w:proofErr w:type="spellEnd"/>
            <w:r w:rsidRPr="0095728C">
              <w:rPr>
                <w:rFonts w:ascii="Calibri" w:eastAsia="Times New Roman" w:hAnsi="Calibri" w:cs="Times New Roman"/>
                <w:b/>
                <w:bCs/>
                <w:color w:val="000000"/>
                <w:sz w:val="20"/>
                <w:szCs w:val="20"/>
              </w:rPr>
              <w:t>.)</w:t>
            </w:r>
          </w:p>
        </w:tc>
        <w:tc>
          <w:tcPr>
            <w:tcW w:w="1038"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(Waste)</w:t>
            </w:r>
          </w:p>
        </w:tc>
        <w:tc>
          <w:tcPr>
            <w:tcW w:w="1080"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(Product)</w:t>
            </w:r>
          </w:p>
        </w:tc>
        <w:tc>
          <w:tcPr>
            <w:tcW w:w="1038"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 </w:t>
            </w:r>
          </w:p>
        </w:tc>
      </w:tr>
      <w:tr w:rsidR="0095728C" w:rsidRPr="0095728C" w:rsidTr="0095728C">
        <w:trPr>
          <w:trHeight w:val="285"/>
          <w:jc w:val="center"/>
        </w:trPr>
        <w:tc>
          <w:tcPr>
            <w:tcW w:w="1502"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H</w:t>
            </w:r>
            <w:r w:rsidRPr="0095728C">
              <w:rPr>
                <w:rFonts w:ascii="Calibri" w:eastAsia="Times New Roman" w:hAnsi="Calibri" w:cs="Times New Roman"/>
                <w:sz w:val="20"/>
                <w:szCs w:val="20"/>
                <w:vertAlign w:val="subscript"/>
              </w:rPr>
              <w:t>2</w:t>
            </w:r>
            <w:r w:rsidRPr="0095728C">
              <w:rPr>
                <w:rFonts w:ascii="Calibri" w:eastAsia="Times New Roman" w:hAnsi="Calibri" w:cs="Times New Roman"/>
                <w:sz w:val="20"/>
                <w:szCs w:val="20"/>
              </w:rPr>
              <w:t>O</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w:t>
            </w:r>
          </w:p>
        </w:tc>
        <w:tc>
          <w:tcPr>
            <w:tcW w:w="111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9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388</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388</w:t>
            </w:r>
          </w:p>
        </w:tc>
        <w:tc>
          <w:tcPr>
            <w:tcW w:w="10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300"/>
          <w:jc w:val="center"/>
        </w:trPr>
        <w:tc>
          <w:tcPr>
            <w:tcW w:w="1502"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N</w:t>
            </w:r>
            <w:r w:rsidRPr="0095728C">
              <w:rPr>
                <w:rFonts w:ascii="Calibri" w:eastAsia="Times New Roman" w:hAnsi="Calibri" w:cs="Times New Roman"/>
                <w:sz w:val="20"/>
                <w:szCs w:val="20"/>
                <w:vertAlign w:val="subscript"/>
              </w:rPr>
              <w:t>2</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2</w:t>
            </w:r>
          </w:p>
        </w:tc>
        <w:tc>
          <w:tcPr>
            <w:tcW w:w="111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9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1.50 × 10</w:t>
            </w:r>
            <w:r w:rsidRPr="0095728C">
              <w:rPr>
                <w:rFonts w:ascii="Calibri" w:eastAsia="Times New Roman" w:hAnsi="Calibri" w:cs="Times New Roman"/>
                <w:color w:val="000000"/>
                <w:sz w:val="20"/>
                <w:szCs w:val="20"/>
                <w:vertAlign w:val="superscript"/>
              </w:rPr>
              <w:t>3</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1.50 × 10</w:t>
            </w:r>
            <w:r w:rsidRPr="0095728C">
              <w:rPr>
                <w:rFonts w:ascii="Calibri" w:eastAsia="Times New Roman" w:hAnsi="Calibri" w:cs="Times New Roman"/>
                <w:color w:val="000000"/>
                <w:sz w:val="20"/>
                <w:szCs w:val="20"/>
                <w:vertAlign w:val="superscript"/>
              </w:rPr>
              <w:t>3</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1.50 × 10</w:t>
            </w:r>
            <w:r w:rsidRPr="0095728C">
              <w:rPr>
                <w:rFonts w:ascii="Calibri" w:eastAsia="Times New Roman" w:hAnsi="Calibri" w:cs="Times New Roman"/>
                <w:b/>
                <w:bCs/>
                <w:color w:val="00B050"/>
                <w:sz w:val="20"/>
                <w:szCs w:val="20"/>
                <w:vertAlign w:val="superscript"/>
              </w:rPr>
              <w:t>3</w:t>
            </w:r>
          </w:p>
        </w:tc>
        <w:tc>
          <w:tcPr>
            <w:tcW w:w="10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285"/>
          <w:jc w:val="center"/>
        </w:trPr>
        <w:tc>
          <w:tcPr>
            <w:tcW w:w="1502"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NH</w:t>
            </w:r>
            <w:r w:rsidRPr="0095728C">
              <w:rPr>
                <w:rFonts w:ascii="Calibri" w:eastAsia="Times New Roman" w:hAnsi="Calibri" w:cs="Times New Roman"/>
                <w:sz w:val="20"/>
                <w:szCs w:val="20"/>
                <w:vertAlign w:val="subscript"/>
              </w:rPr>
              <w:t>3</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3</w:t>
            </w:r>
          </w:p>
        </w:tc>
        <w:tc>
          <w:tcPr>
            <w:tcW w:w="111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9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w:t>
            </w:r>
          </w:p>
        </w:tc>
        <w:tc>
          <w:tcPr>
            <w:tcW w:w="10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285"/>
          <w:jc w:val="center"/>
        </w:trPr>
        <w:tc>
          <w:tcPr>
            <w:tcW w:w="1502"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H</w:t>
            </w:r>
            <w:r w:rsidRPr="0095728C">
              <w:rPr>
                <w:rFonts w:ascii="Calibri" w:eastAsia="Times New Roman" w:hAnsi="Calibri" w:cs="Times New Roman"/>
                <w:sz w:val="20"/>
                <w:szCs w:val="20"/>
                <w:vertAlign w:val="subscript"/>
              </w:rPr>
              <w:t>2</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5</w:t>
            </w:r>
          </w:p>
        </w:tc>
        <w:tc>
          <w:tcPr>
            <w:tcW w:w="111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9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w:t>
            </w:r>
          </w:p>
        </w:tc>
        <w:tc>
          <w:tcPr>
            <w:tcW w:w="10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300"/>
          <w:jc w:val="center"/>
        </w:trPr>
        <w:tc>
          <w:tcPr>
            <w:tcW w:w="1502"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HF</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6</w:t>
            </w:r>
          </w:p>
        </w:tc>
        <w:tc>
          <w:tcPr>
            <w:tcW w:w="111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776</w:t>
            </w:r>
          </w:p>
        </w:tc>
        <w:tc>
          <w:tcPr>
            <w:tcW w:w="109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776</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7.76 × 10</w:t>
            </w:r>
            <w:r w:rsidRPr="0095728C">
              <w:rPr>
                <w:rFonts w:ascii="Calibri" w:eastAsia="Times New Roman" w:hAnsi="Calibri" w:cs="Times New Roman"/>
                <w:color w:val="000000"/>
                <w:sz w:val="20"/>
                <w:szCs w:val="20"/>
                <w:vertAlign w:val="superscript"/>
              </w:rPr>
              <w:t>-2</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7.76 × 10</w:t>
            </w:r>
            <w:r w:rsidRPr="0095728C">
              <w:rPr>
                <w:rFonts w:ascii="Calibri" w:eastAsia="Times New Roman" w:hAnsi="Calibri" w:cs="Times New Roman"/>
                <w:b/>
                <w:bCs/>
                <w:color w:val="00B050"/>
                <w:sz w:val="20"/>
                <w:szCs w:val="20"/>
                <w:vertAlign w:val="superscript"/>
              </w:rPr>
              <w:t>-2</w:t>
            </w:r>
          </w:p>
        </w:tc>
        <w:tc>
          <w:tcPr>
            <w:tcW w:w="10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285"/>
          <w:jc w:val="center"/>
        </w:trPr>
        <w:tc>
          <w:tcPr>
            <w:tcW w:w="1502"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CO</w:t>
            </w:r>
            <w:r w:rsidRPr="0095728C">
              <w:rPr>
                <w:rFonts w:ascii="Calibri" w:eastAsia="Times New Roman" w:hAnsi="Calibri" w:cs="Times New Roman"/>
                <w:sz w:val="20"/>
                <w:szCs w:val="20"/>
                <w:vertAlign w:val="subscript"/>
              </w:rPr>
              <w:t>2</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8</w:t>
            </w:r>
          </w:p>
        </w:tc>
        <w:tc>
          <w:tcPr>
            <w:tcW w:w="111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9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w:t>
            </w:r>
          </w:p>
        </w:tc>
        <w:tc>
          <w:tcPr>
            <w:tcW w:w="10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300"/>
          <w:jc w:val="center"/>
        </w:trPr>
        <w:tc>
          <w:tcPr>
            <w:tcW w:w="1502"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UF</w:t>
            </w:r>
            <w:r w:rsidRPr="0095728C">
              <w:rPr>
                <w:rFonts w:ascii="Calibri" w:eastAsia="Times New Roman" w:hAnsi="Calibri" w:cs="Times New Roman"/>
                <w:sz w:val="20"/>
                <w:szCs w:val="20"/>
                <w:vertAlign w:val="subscript"/>
              </w:rPr>
              <w:t>4</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16</w:t>
            </w:r>
          </w:p>
        </w:tc>
        <w:tc>
          <w:tcPr>
            <w:tcW w:w="111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9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194</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1.94 × 10</w:t>
            </w:r>
            <w:r w:rsidRPr="0095728C">
              <w:rPr>
                <w:rFonts w:ascii="Calibri" w:eastAsia="Times New Roman" w:hAnsi="Calibri" w:cs="Times New Roman"/>
                <w:b/>
                <w:bCs/>
                <w:color w:val="00B050"/>
                <w:sz w:val="20"/>
                <w:szCs w:val="20"/>
                <w:vertAlign w:val="superscript"/>
              </w:rPr>
              <w:t>-3</w:t>
            </w:r>
          </w:p>
        </w:tc>
        <w:tc>
          <w:tcPr>
            <w:tcW w:w="10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194</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300"/>
          <w:jc w:val="center"/>
        </w:trPr>
        <w:tc>
          <w:tcPr>
            <w:tcW w:w="1502"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UO</w:t>
            </w:r>
            <w:r w:rsidRPr="0095728C">
              <w:rPr>
                <w:rFonts w:ascii="Calibri" w:eastAsia="Times New Roman" w:hAnsi="Calibri" w:cs="Times New Roman"/>
                <w:sz w:val="20"/>
                <w:szCs w:val="20"/>
                <w:vertAlign w:val="subscript"/>
              </w:rPr>
              <w:t>2</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17</w:t>
            </w:r>
          </w:p>
        </w:tc>
        <w:tc>
          <w:tcPr>
            <w:tcW w:w="111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9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10.2</w:t>
            </w:r>
          </w:p>
        </w:tc>
        <w:tc>
          <w:tcPr>
            <w:tcW w:w="1038" w:type="dxa"/>
            <w:tcBorders>
              <w:top w:val="nil"/>
              <w:left w:val="nil"/>
              <w:bottom w:val="nil"/>
              <w:right w:val="nil"/>
            </w:tcBorders>
            <w:shd w:val="clear" w:color="auto" w:fill="auto"/>
            <w:noWrap/>
            <w:vAlign w:val="center"/>
            <w:hideMark/>
          </w:tcPr>
          <w:p w:rsidR="0095728C" w:rsidRPr="0095728C" w:rsidRDefault="0095728C" w:rsidP="00E80AA1">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w:t>
            </w:r>
            <w:r w:rsidR="00E80AA1">
              <w:rPr>
                <w:rFonts w:ascii="Calibri" w:eastAsia="Times New Roman" w:hAnsi="Calibri" w:cs="Times New Roman"/>
                <w:b/>
                <w:bCs/>
                <w:color w:val="00B050"/>
                <w:sz w:val="20"/>
                <w:szCs w:val="20"/>
              </w:rPr>
              <w:t>.0</w:t>
            </w:r>
            <w:r w:rsidRPr="0095728C">
              <w:rPr>
                <w:rFonts w:ascii="Calibri" w:eastAsia="Times New Roman" w:hAnsi="Calibri" w:cs="Times New Roman"/>
                <w:b/>
                <w:bCs/>
                <w:color w:val="00B050"/>
                <w:sz w:val="20"/>
                <w:szCs w:val="20"/>
              </w:rPr>
              <w:t>2 × 10</w:t>
            </w:r>
            <w:r w:rsidRPr="0095728C">
              <w:rPr>
                <w:rFonts w:ascii="Calibri" w:eastAsia="Times New Roman" w:hAnsi="Calibri" w:cs="Times New Roman"/>
                <w:b/>
                <w:bCs/>
                <w:color w:val="00B050"/>
                <w:sz w:val="20"/>
                <w:szCs w:val="20"/>
                <w:vertAlign w:val="superscript"/>
              </w:rPr>
              <w:t>-2</w:t>
            </w:r>
          </w:p>
        </w:tc>
        <w:tc>
          <w:tcPr>
            <w:tcW w:w="10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10.2</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300"/>
          <w:jc w:val="center"/>
        </w:trPr>
        <w:tc>
          <w:tcPr>
            <w:tcW w:w="1502"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w:t>
            </w:r>
            <w:r w:rsidRPr="0095728C">
              <w:rPr>
                <w:rFonts w:ascii="Calibri" w:eastAsia="Times New Roman" w:hAnsi="Calibri" w:cs="Times New Roman"/>
                <w:sz w:val="20"/>
                <w:szCs w:val="20"/>
                <w:vertAlign w:val="subscript"/>
              </w:rPr>
              <w:t>3</w:t>
            </w:r>
            <w:r w:rsidRPr="0095728C">
              <w:rPr>
                <w:rFonts w:ascii="Calibri" w:eastAsia="Times New Roman" w:hAnsi="Calibri" w:cs="Times New Roman"/>
                <w:sz w:val="20"/>
                <w:szCs w:val="20"/>
              </w:rPr>
              <w:t>O</w:t>
            </w:r>
            <w:r w:rsidRPr="0095728C">
              <w:rPr>
                <w:rFonts w:ascii="Calibri" w:eastAsia="Times New Roman" w:hAnsi="Calibri" w:cs="Times New Roman"/>
                <w:sz w:val="20"/>
                <w:szCs w:val="20"/>
                <w:vertAlign w:val="subscript"/>
              </w:rPr>
              <w:t>8</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18</w:t>
            </w:r>
          </w:p>
        </w:tc>
        <w:tc>
          <w:tcPr>
            <w:tcW w:w="111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9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4.03 × 10</w:t>
            </w:r>
            <w:r w:rsidRPr="0095728C">
              <w:rPr>
                <w:rFonts w:ascii="Calibri" w:eastAsia="Times New Roman" w:hAnsi="Calibri" w:cs="Times New Roman"/>
                <w:color w:val="000000"/>
                <w:sz w:val="20"/>
                <w:szCs w:val="20"/>
                <w:vertAlign w:val="superscript"/>
              </w:rPr>
              <w:t>-11</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4.03 × 10</w:t>
            </w:r>
            <w:r w:rsidRPr="0095728C">
              <w:rPr>
                <w:rFonts w:ascii="Calibri" w:eastAsia="Times New Roman" w:hAnsi="Calibri" w:cs="Times New Roman"/>
                <w:b/>
                <w:bCs/>
                <w:color w:val="00B050"/>
                <w:sz w:val="20"/>
                <w:szCs w:val="20"/>
                <w:vertAlign w:val="superscript"/>
              </w:rPr>
              <w:t>-14</w:t>
            </w:r>
          </w:p>
        </w:tc>
        <w:tc>
          <w:tcPr>
            <w:tcW w:w="10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4.02 × 10</w:t>
            </w:r>
            <w:r w:rsidRPr="0095728C">
              <w:rPr>
                <w:rFonts w:ascii="Calibri" w:eastAsia="Times New Roman" w:hAnsi="Calibri" w:cs="Times New Roman"/>
                <w:b/>
                <w:bCs/>
                <w:color w:val="FF0000"/>
                <w:sz w:val="20"/>
                <w:szCs w:val="20"/>
                <w:vertAlign w:val="superscript"/>
              </w:rPr>
              <w:t>-11</w:t>
            </w:r>
          </w:p>
        </w:tc>
        <w:tc>
          <w:tcPr>
            <w:tcW w:w="1038"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r>
      <w:tr w:rsidR="0095728C" w:rsidRPr="0095728C" w:rsidTr="0095728C">
        <w:trPr>
          <w:trHeight w:val="315"/>
          <w:jc w:val="center"/>
        </w:trPr>
        <w:tc>
          <w:tcPr>
            <w:tcW w:w="1502" w:type="dxa"/>
            <w:tcBorders>
              <w:top w:val="nil"/>
              <w:left w:val="nil"/>
              <w:bottom w:val="single" w:sz="8"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(NH</w:t>
            </w:r>
            <w:r w:rsidRPr="0095728C">
              <w:rPr>
                <w:rFonts w:ascii="Calibri" w:eastAsia="Times New Roman" w:hAnsi="Calibri" w:cs="Times New Roman"/>
                <w:sz w:val="20"/>
                <w:szCs w:val="20"/>
                <w:vertAlign w:val="subscript"/>
              </w:rPr>
              <w:t>4</w:t>
            </w:r>
            <w:r w:rsidRPr="0095728C">
              <w:rPr>
                <w:rFonts w:ascii="Calibri" w:eastAsia="Times New Roman" w:hAnsi="Calibri" w:cs="Times New Roman"/>
                <w:sz w:val="20"/>
                <w:szCs w:val="20"/>
              </w:rPr>
              <w:t>)</w:t>
            </w:r>
            <w:r w:rsidRPr="0095728C">
              <w:rPr>
                <w:rFonts w:ascii="Calibri" w:eastAsia="Times New Roman" w:hAnsi="Calibri" w:cs="Times New Roman"/>
                <w:sz w:val="20"/>
                <w:szCs w:val="20"/>
                <w:vertAlign w:val="subscript"/>
              </w:rPr>
              <w:t>4</w:t>
            </w:r>
            <w:r w:rsidRPr="0095728C">
              <w:rPr>
                <w:rFonts w:ascii="Calibri" w:eastAsia="Times New Roman" w:hAnsi="Calibri" w:cs="Times New Roman"/>
                <w:sz w:val="20"/>
                <w:szCs w:val="20"/>
              </w:rPr>
              <w:t>UO</w:t>
            </w:r>
            <w:r w:rsidRPr="0095728C">
              <w:rPr>
                <w:rFonts w:ascii="Calibri" w:eastAsia="Times New Roman" w:hAnsi="Calibri" w:cs="Times New Roman"/>
                <w:sz w:val="20"/>
                <w:szCs w:val="20"/>
                <w:vertAlign w:val="subscript"/>
              </w:rPr>
              <w:t>2</w:t>
            </w:r>
            <w:r w:rsidRPr="0095728C">
              <w:rPr>
                <w:rFonts w:ascii="Calibri" w:eastAsia="Times New Roman" w:hAnsi="Calibri" w:cs="Times New Roman"/>
                <w:sz w:val="20"/>
                <w:szCs w:val="20"/>
              </w:rPr>
              <w:t>(CO</w:t>
            </w:r>
            <w:r w:rsidRPr="0095728C">
              <w:rPr>
                <w:rFonts w:ascii="Calibri" w:eastAsia="Times New Roman" w:hAnsi="Calibri" w:cs="Times New Roman"/>
                <w:sz w:val="20"/>
                <w:szCs w:val="20"/>
                <w:vertAlign w:val="subscript"/>
              </w:rPr>
              <w:t>3</w:t>
            </w:r>
            <w:r w:rsidRPr="0095728C">
              <w:rPr>
                <w:rFonts w:ascii="Calibri" w:eastAsia="Times New Roman" w:hAnsi="Calibri" w:cs="Times New Roman"/>
                <w:sz w:val="20"/>
                <w:szCs w:val="20"/>
              </w:rPr>
              <w:t>)</w:t>
            </w:r>
            <w:r w:rsidRPr="0095728C">
              <w:rPr>
                <w:rFonts w:ascii="Calibri" w:eastAsia="Times New Roman" w:hAnsi="Calibri" w:cs="Times New Roman"/>
                <w:sz w:val="20"/>
                <w:szCs w:val="20"/>
                <w:vertAlign w:val="subscript"/>
              </w:rPr>
              <w:t>3</w:t>
            </w:r>
          </w:p>
        </w:tc>
        <w:tc>
          <w:tcPr>
            <w:tcW w:w="294" w:type="dxa"/>
            <w:tcBorders>
              <w:top w:val="nil"/>
              <w:left w:val="nil"/>
              <w:bottom w:val="single" w:sz="8"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19</w:t>
            </w:r>
          </w:p>
        </w:tc>
        <w:tc>
          <w:tcPr>
            <w:tcW w:w="1118"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92"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38"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2.04 × 10</w:t>
            </w:r>
            <w:r w:rsidRPr="0095728C">
              <w:rPr>
                <w:rFonts w:ascii="Calibri" w:eastAsia="Times New Roman" w:hAnsi="Calibri" w:cs="Times New Roman"/>
                <w:color w:val="000000"/>
                <w:sz w:val="20"/>
                <w:szCs w:val="20"/>
                <w:vertAlign w:val="superscript"/>
              </w:rPr>
              <w:t>-2</w:t>
            </w:r>
          </w:p>
        </w:tc>
        <w:tc>
          <w:tcPr>
            <w:tcW w:w="1038"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2.04 × 10</w:t>
            </w:r>
            <w:r w:rsidRPr="0095728C">
              <w:rPr>
                <w:rFonts w:ascii="Calibri" w:eastAsia="Times New Roman" w:hAnsi="Calibri" w:cs="Times New Roman"/>
                <w:b/>
                <w:bCs/>
                <w:color w:val="00B050"/>
                <w:sz w:val="20"/>
                <w:szCs w:val="20"/>
                <w:vertAlign w:val="superscript"/>
              </w:rPr>
              <w:t>-2</w:t>
            </w:r>
          </w:p>
        </w:tc>
        <w:tc>
          <w:tcPr>
            <w:tcW w:w="1080"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0</w:t>
            </w:r>
          </w:p>
        </w:tc>
        <w:tc>
          <w:tcPr>
            <w:tcW w:w="1038"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 </w:t>
            </w:r>
          </w:p>
        </w:tc>
      </w:tr>
    </w:tbl>
    <w:p w:rsidR="0095728C" w:rsidRDefault="0095728C" w:rsidP="00E664E4"/>
    <w:tbl>
      <w:tblPr>
        <w:tblW w:w="9360" w:type="dxa"/>
        <w:jc w:val="center"/>
        <w:tblInd w:w="93" w:type="dxa"/>
        <w:tblLook w:val="04A0" w:firstRow="1" w:lastRow="0" w:firstColumn="1" w:lastColumn="0" w:noHBand="0" w:noVBand="1"/>
      </w:tblPr>
      <w:tblGrid>
        <w:gridCol w:w="1017"/>
        <w:gridCol w:w="471"/>
        <w:gridCol w:w="1312"/>
        <w:gridCol w:w="1312"/>
        <w:gridCol w:w="1312"/>
        <w:gridCol w:w="1312"/>
        <w:gridCol w:w="1312"/>
        <w:gridCol w:w="1312"/>
      </w:tblGrid>
      <w:tr w:rsidR="0095728C" w:rsidRPr="0095728C" w:rsidTr="0095728C">
        <w:trPr>
          <w:trHeight w:val="270"/>
          <w:jc w:val="center"/>
        </w:trPr>
        <w:tc>
          <w:tcPr>
            <w:tcW w:w="7480" w:type="dxa"/>
            <w:gridSpan w:val="8"/>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lastRenderedPageBreak/>
              <w:t>Table 4.10. Steady-State Component Molar Flow Rate (</w:t>
            </w:r>
            <w:proofErr w:type="spellStart"/>
            <w:r w:rsidRPr="0095728C">
              <w:rPr>
                <w:rFonts w:ascii="Calibri" w:eastAsia="Times New Roman" w:hAnsi="Calibri" w:cs="Times New Roman"/>
                <w:b/>
                <w:bCs/>
                <w:color w:val="000000"/>
                <w:sz w:val="20"/>
                <w:szCs w:val="20"/>
              </w:rPr>
              <w:t>mol</w:t>
            </w:r>
            <w:proofErr w:type="spellEnd"/>
            <w:r w:rsidRPr="0095728C">
              <w:rPr>
                <w:rFonts w:ascii="Calibri" w:eastAsia="Times New Roman" w:hAnsi="Calibri" w:cs="Times New Roman"/>
                <w:b/>
                <w:bCs/>
                <w:color w:val="000000"/>
                <w:sz w:val="20"/>
                <w:szCs w:val="20"/>
              </w:rPr>
              <w:t>/h) for Module 5</w:t>
            </w:r>
          </w:p>
        </w:tc>
      </w:tr>
      <w:tr w:rsidR="0095728C" w:rsidRPr="0095728C" w:rsidTr="0095728C">
        <w:trPr>
          <w:trHeight w:val="255"/>
          <w:jc w:val="center"/>
        </w:trPr>
        <w:tc>
          <w:tcPr>
            <w:tcW w:w="79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c>
          <w:tcPr>
            <w:tcW w:w="29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c>
          <w:tcPr>
            <w:tcW w:w="6390" w:type="dxa"/>
            <w:gridSpan w:val="6"/>
            <w:tcBorders>
              <w:top w:val="single" w:sz="8" w:space="0" w:color="auto"/>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Stream Number (Stream Type)</w:t>
            </w:r>
          </w:p>
        </w:tc>
      </w:tr>
      <w:tr w:rsidR="0095728C" w:rsidRPr="0095728C" w:rsidTr="0095728C">
        <w:trPr>
          <w:trHeight w:val="255"/>
          <w:jc w:val="center"/>
        </w:trPr>
        <w:tc>
          <w:tcPr>
            <w:tcW w:w="1090" w:type="dxa"/>
            <w:gridSpan w:val="2"/>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Component</w:t>
            </w:r>
          </w:p>
        </w:tc>
        <w:tc>
          <w:tcPr>
            <w:tcW w:w="108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44</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45</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46</w:t>
            </w:r>
          </w:p>
        </w:tc>
        <w:tc>
          <w:tcPr>
            <w:tcW w:w="108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13A</w:t>
            </w:r>
          </w:p>
        </w:tc>
        <w:tc>
          <w:tcPr>
            <w:tcW w:w="109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47</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48</w:t>
            </w:r>
          </w:p>
        </w:tc>
      </w:tr>
      <w:tr w:rsidR="0095728C" w:rsidRPr="0095728C" w:rsidTr="0095728C">
        <w:trPr>
          <w:trHeight w:val="255"/>
          <w:jc w:val="center"/>
        </w:trPr>
        <w:tc>
          <w:tcPr>
            <w:tcW w:w="796"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Formula</w:t>
            </w:r>
          </w:p>
        </w:tc>
        <w:tc>
          <w:tcPr>
            <w:tcW w:w="294"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
        </w:tc>
        <w:tc>
          <w:tcPr>
            <w:tcW w:w="1084"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(Input)</w:t>
            </w:r>
          </w:p>
        </w:tc>
        <w:tc>
          <w:tcPr>
            <w:tcW w:w="1042"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roofErr w:type="spellStart"/>
            <w:r w:rsidRPr="0095728C">
              <w:rPr>
                <w:rFonts w:ascii="Calibri" w:eastAsia="Times New Roman" w:hAnsi="Calibri" w:cs="Times New Roman"/>
                <w:b/>
                <w:bCs/>
                <w:color w:val="000000"/>
                <w:sz w:val="20"/>
                <w:szCs w:val="20"/>
              </w:rPr>
              <w:t>Intermed</w:t>
            </w:r>
            <w:proofErr w:type="spellEnd"/>
            <w:r w:rsidRPr="0095728C">
              <w:rPr>
                <w:rFonts w:ascii="Calibri" w:eastAsia="Times New Roman" w:hAnsi="Calibri" w:cs="Times New Roman"/>
                <w:b/>
                <w:bCs/>
                <w:color w:val="000000"/>
                <w:sz w:val="20"/>
                <w:szCs w:val="20"/>
              </w:rPr>
              <w:t>.)</w:t>
            </w:r>
          </w:p>
        </w:tc>
        <w:tc>
          <w:tcPr>
            <w:tcW w:w="1042"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roofErr w:type="spellStart"/>
            <w:r w:rsidRPr="0095728C">
              <w:rPr>
                <w:rFonts w:ascii="Calibri" w:eastAsia="Times New Roman" w:hAnsi="Calibri" w:cs="Times New Roman"/>
                <w:b/>
                <w:bCs/>
                <w:color w:val="000000"/>
                <w:sz w:val="20"/>
                <w:szCs w:val="20"/>
              </w:rPr>
              <w:t>Intermed</w:t>
            </w:r>
            <w:proofErr w:type="spellEnd"/>
            <w:r w:rsidRPr="0095728C">
              <w:rPr>
                <w:rFonts w:ascii="Calibri" w:eastAsia="Times New Roman" w:hAnsi="Calibri" w:cs="Times New Roman"/>
                <w:b/>
                <w:bCs/>
                <w:color w:val="000000"/>
                <w:sz w:val="20"/>
                <w:szCs w:val="20"/>
              </w:rPr>
              <w:t>.)</w:t>
            </w:r>
          </w:p>
        </w:tc>
        <w:tc>
          <w:tcPr>
            <w:tcW w:w="1084"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(Input)</w:t>
            </w:r>
          </w:p>
        </w:tc>
        <w:tc>
          <w:tcPr>
            <w:tcW w:w="1096"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(Dep. Input)</w:t>
            </w:r>
          </w:p>
        </w:tc>
        <w:tc>
          <w:tcPr>
            <w:tcW w:w="1042"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roofErr w:type="spellStart"/>
            <w:r w:rsidRPr="0095728C">
              <w:rPr>
                <w:rFonts w:ascii="Calibri" w:eastAsia="Times New Roman" w:hAnsi="Calibri" w:cs="Times New Roman"/>
                <w:b/>
                <w:bCs/>
                <w:color w:val="000000"/>
                <w:sz w:val="20"/>
                <w:szCs w:val="20"/>
              </w:rPr>
              <w:t>Intermed</w:t>
            </w:r>
            <w:proofErr w:type="spellEnd"/>
            <w:r w:rsidRPr="0095728C">
              <w:rPr>
                <w:rFonts w:ascii="Calibri" w:eastAsia="Times New Roman" w:hAnsi="Calibri" w:cs="Times New Roman"/>
                <w:b/>
                <w:bCs/>
                <w:color w:val="000000"/>
                <w:sz w:val="20"/>
                <w:szCs w:val="20"/>
              </w:rPr>
              <w:t>.)</w:t>
            </w:r>
          </w:p>
        </w:tc>
      </w:tr>
      <w:tr w:rsidR="0095728C" w:rsidRPr="0095728C" w:rsidTr="0095728C">
        <w:trPr>
          <w:trHeight w:val="285"/>
          <w:jc w:val="center"/>
        </w:trPr>
        <w:tc>
          <w:tcPr>
            <w:tcW w:w="79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N</w:t>
            </w:r>
            <w:r w:rsidRPr="0095728C">
              <w:rPr>
                <w:rFonts w:ascii="Calibri" w:eastAsia="Times New Roman" w:hAnsi="Calibri" w:cs="Times New Roman"/>
                <w:sz w:val="20"/>
                <w:szCs w:val="20"/>
                <w:vertAlign w:val="subscript"/>
              </w:rPr>
              <w:t>2</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2</w:t>
            </w:r>
          </w:p>
        </w:tc>
        <w:tc>
          <w:tcPr>
            <w:tcW w:w="108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8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500</w:t>
            </w:r>
          </w:p>
        </w:tc>
        <w:tc>
          <w:tcPr>
            <w:tcW w:w="109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500</w:t>
            </w:r>
          </w:p>
        </w:tc>
      </w:tr>
      <w:tr w:rsidR="0095728C" w:rsidRPr="0095728C" w:rsidTr="0095728C">
        <w:trPr>
          <w:trHeight w:val="285"/>
          <w:jc w:val="center"/>
        </w:trPr>
        <w:tc>
          <w:tcPr>
            <w:tcW w:w="79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F</w:t>
            </w:r>
            <w:r w:rsidRPr="0095728C">
              <w:rPr>
                <w:rFonts w:ascii="Calibri" w:eastAsia="Times New Roman" w:hAnsi="Calibri" w:cs="Times New Roman"/>
                <w:sz w:val="20"/>
                <w:szCs w:val="20"/>
                <w:vertAlign w:val="subscript"/>
              </w:rPr>
              <w:t>2</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7</w:t>
            </w:r>
          </w:p>
        </w:tc>
        <w:tc>
          <w:tcPr>
            <w:tcW w:w="108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8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09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213</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213</w:t>
            </w:r>
          </w:p>
        </w:tc>
      </w:tr>
      <w:tr w:rsidR="0095728C" w:rsidRPr="0095728C" w:rsidTr="0095728C">
        <w:trPr>
          <w:trHeight w:val="285"/>
          <w:jc w:val="center"/>
        </w:trPr>
        <w:tc>
          <w:tcPr>
            <w:tcW w:w="79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UF</w:t>
            </w:r>
            <w:r w:rsidRPr="0095728C">
              <w:rPr>
                <w:rFonts w:ascii="Calibri" w:eastAsia="Times New Roman" w:hAnsi="Calibri" w:cs="Times New Roman"/>
                <w:sz w:val="20"/>
                <w:szCs w:val="20"/>
                <w:vertAlign w:val="subscript"/>
              </w:rPr>
              <w:t>6</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15</w:t>
            </w:r>
          </w:p>
        </w:tc>
        <w:tc>
          <w:tcPr>
            <w:tcW w:w="108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8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09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r>
      <w:tr w:rsidR="0095728C" w:rsidRPr="0095728C" w:rsidTr="0095728C">
        <w:trPr>
          <w:trHeight w:val="285"/>
          <w:jc w:val="center"/>
        </w:trPr>
        <w:tc>
          <w:tcPr>
            <w:tcW w:w="79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UF</w:t>
            </w:r>
            <w:r w:rsidRPr="0095728C">
              <w:rPr>
                <w:rFonts w:ascii="Calibri" w:eastAsia="Times New Roman" w:hAnsi="Calibri" w:cs="Times New Roman"/>
                <w:sz w:val="20"/>
                <w:szCs w:val="20"/>
                <w:vertAlign w:val="subscript"/>
              </w:rPr>
              <w:t>4</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16</w:t>
            </w:r>
          </w:p>
        </w:tc>
        <w:tc>
          <w:tcPr>
            <w:tcW w:w="108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194</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19.4</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174</w:t>
            </w:r>
          </w:p>
        </w:tc>
        <w:tc>
          <w:tcPr>
            <w:tcW w:w="108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09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174</w:t>
            </w:r>
          </w:p>
        </w:tc>
      </w:tr>
      <w:tr w:rsidR="0095728C" w:rsidRPr="0095728C" w:rsidTr="0095728C">
        <w:trPr>
          <w:trHeight w:val="285"/>
          <w:jc w:val="center"/>
        </w:trPr>
        <w:tc>
          <w:tcPr>
            <w:tcW w:w="79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UO</w:t>
            </w:r>
            <w:r w:rsidRPr="0095728C">
              <w:rPr>
                <w:rFonts w:ascii="Calibri" w:eastAsia="Times New Roman" w:hAnsi="Calibri" w:cs="Times New Roman"/>
                <w:sz w:val="20"/>
                <w:szCs w:val="20"/>
                <w:vertAlign w:val="subscript"/>
              </w:rPr>
              <w:t>2</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17</w:t>
            </w:r>
          </w:p>
        </w:tc>
        <w:tc>
          <w:tcPr>
            <w:tcW w:w="108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10.2</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1.02</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9.19</w:t>
            </w:r>
          </w:p>
        </w:tc>
        <w:tc>
          <w:tcPr>
            <w:tcW w:w="108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09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9.19</w:t>
            </w:r>
          </w:p>
        </w:tc>
      </w:tr>
      <w:tr w:rsidR="0095728C" w:rsidRPr="0095728C" w:rsidTr="0095728C">
        <w:trPr>
          <w:trHeight w:val="315"/>
          <w:jc w:val="center"/>
        </w:trPr>
        <w:tc>
          <w:tcPr>
            <w:tcW w:w="796" w:type="dxa"/>
            <w:tcBorders>
              <w:top w:val="nil"/>
              <w:left w:val="nil"/>
              <w:bottom w:val="single" w:sz="8"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w:t>
            </w:r>
            <w:r w:rsidRPr="0095728C">
              <w:rPr>
                <w:rFonts w:ascii="Calibri" w:eastAsia="Times New Roman" w:hAnsi="Calibri" w:cs="Times New Roman"/>
                <w:sz w:val="20"/>
                <w:szCs w:val="20"/>
                <w:vertAlign w:val="subscript"/>
              </w:rPr>
              <w:t>3</w:t>
            </w:r>
            <w:r w:rsidRPr="0095728C">
              <w:rPr>
                <w:rFonts w:ascii="Calibri" w:eastAsia="Times New Roman" w:hAnsi="Calibri" w:cs="Times New Roman"/>
                <w:sz w:val="20"/>
                <w:szCs w:val="20"/>
              </w:rPr>
              <w:t>O</w:t>
            </w:r>
            <w:r w:rsidRPr="0095728C">
              <w:rPr>
                <w:rFonts w:ascii="Calibri" w:eastAsia="Times New Roman" w:hAnsi="Calibri" w:cs="Times New Roman"/>
                <w:sz w:val="20"/>
                <w:szCs w:val="20"/>
                <w:vertAlign w:val="subscript"/>
              </w:rPr>
              <w:t>8</w:t>
            </w:r>
          </w:p>
        </w:tc>
        <w:tc>
          <w:tcPr>
            <w:tcW w:w="294" w:type="dxa"/>
            <w:tcBorders>
              <w:top w:val="nil"/>
              <w:left w:val="nil"/>
              <w:bottom w:val="single" w:sz="8"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18</w:t>
            </w:r>
          </w:p>
        </w:tc>
        <w:tc>
          <w:tcPr>
            <w:tcW w:w="108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4.02 × 10</w:t>
            </w:r>
            <w:r w:rsidRPr="0095728C">
              <w:rPr>
                <w:rFonts w:ascii="Calibri" w:eastAsia="Times New Roman" w:hAnsi="Calibri" w:cs="Times New Roman"/>
                <w:b/>
                <w:bCs/>
                <w:color w:val="0070C0"/>
                <w:sz w:val="20"/>
                <w:szCs w:val="20"/>
                <w:vertAlign w:val="superscript"/>
              </w:rPr>
              <w:t>-11</w:t>
            </w:r>
          </w:p>
        </w:tc>
        <w:tc>
          <w:tcPr>
            <w:tcW w:w="1042"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4.02 × 10</w:t>
            </w:r>
            <w:r w:rsidRPr="0095728C">
              <w:rPr>
                <w:rFonts w:ascii="Calibri" w:eastAsia="Times New Roman" w:hAnsi="Calibri" w:cs="Times New Roman"/>
                <w:color w:val="000000"/>
                <w:sz w:val="20"/>
                <w:szCs w:val="20"/>
                <w:vertAlign w:val="superscript"/>
              </w:rPr>
              <w:t>-12</w:t>
            </w:r>
          </w:p>
        </w:tc>
        <w:tc>
          <w:tcPr>
            <w:tcW w:w="1042"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3.62 × 10</w:t>
            </w:r>
            <w:r w:rsidRPr="0095728C">
              <w:rPr>
                <w:rFonts w:ascii="Calibri" w:eastAsia="Times New Roman" w:hAnsi="Calibri" w:cs="Times New Roman"/>
                <w:color w:val="000000"/>
                <w:sz w:val="20"/>
                <w:szCs w:val="20"/>
                <w:vertAlign w:val="superscript"/>
              </w:rPr>
              <w:t>-11</w:t>
            </w:r>
          </w:p>
        </w:tc>
        <w:tc>
          <w:tcPr>
            <w:tcW w:w="1084"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0</w:t>
            </w:r>
          </w:p>
        </w:tc>
        <w:tc>
          <w:tcPr>
            <w:tcW w:w="1096"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42"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3.62 × 10</w:t>
            </w:r>
            <w:r w:rsidRPr="0095728C">
              <w:rPr>
                <w:rFonts w:ascii="Calibri" w:eastAsia="Times New Roman" w:hAnsi="Calibri" w:cs="Times New Roman"/>
                <w:color w:val="000000"/>
                <w:sz w:val="20"/>
                <w:szCs w:val="20"/>
                <w:vertAlign w:val="superscript"/>
              </w:rPr>
              <w:t>-11</w:t>
            </w:r>
          </w:p>
        </w:tc>
      </w:tr>
      <w:tr w:rsidR="0095728C" w:rsidRPr="0095728C" w:rsidTr="0095728C">
        <w:trPr>
          <w:trHeight w:val="255"/>
          <w:jc w:val="center"/>
        </w:trPr>
        <w:tc>
          <w:tcPr>
            <w:tcW w:w="79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c>
          <w:tcPr>
            <w:tcW w:w="29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c>
          <w:tcPr>
            <w:tcW w:w="6390" w:type="dxa"/>
            <w:gridSpan w:val="6"/>
            <w:tcBorders>
              <w:top w:val="single" w:sz="8" w:space="0" w:color="auto"/>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Stream Number (Stream Type)</w:t>
            </w:r>
          </w:p>
        </w:tc>
      </w:tr>
      <w:tr w:rsidR="0095728C" w:rsidRPr="0095728C" w:rsidTr="0095728C">
        <w:trPr>
          <w:trHeight w:val="255"/>
          <w:jc w:val="center"/>
        </w:trPr>
        <w:tc>
          <w:tcPr>
            <w:tcW w:w="1090" w:type="dxa"/>
            <w:gridSpan w:val="2"/>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Component</w:t>
            </w:r>
          </w:p>
        </w:tc>
        <w:tc>
          <w:tcPr>
            <w:tcW w:w="108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49</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50</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51</w:t>
            </w:r>
          </w:p>
        </w:tc>
        <w:tc>
          <w:tcPr>
            <w:tcW w:w="108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52</w:t>
            </w:r>
          </w:p>
        </w:tc>
        <w:tc>
          <w:tcPr>
            <w:tcW w:w="109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53</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54</w:t>
            </w:r>
          </w:p>
        </w:tc>
      </w:tr>
      <w:tr w:rsidR="0095728C" w:rsidRPr="0095728C" w:rsidTr="0095728C">
        <w:trPr>
          <w:trHeight w:val="255"/>
          <w:jc w:val="center"/>
        </w:trPr>
        <w:tc>
          <w:tcPr>
            <w:tcW w:w="796"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Formula</w:t>
            </w:r>
          </w:p>
        </w:tc>
        <w:tc>
          <w:tcPr>
            <w:tcW w:w="294"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
        </w:tc>
        <w:tc>
          <w:tcPr>
            <w:tcW w:w="1084"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roofErr w:type="spellStart"/>
            <w:r w:rsidRPr="0095728C">
              <w:rPr>
                <w:rFonts w:ascii="Calibri" w:eastAsia="Times New Roman" w:hAnsi="Calibri" w:cs="Times New Roman"/>
                <w:b/>
                <w:bCs/>
                <w:color w:val="000000"/>
                <w:sz w:val="20"/>
                <w:szCs w:val="20"/>
              </w:rPr>
              <w:t>Intermed</w:t>
            </w:r>
            <w:proofErr w:type="spellEnd"/>
            <w:r w:rsidRPr="0095728C">
              <w:rPr>
                <w:rFonts w:ascii="Calibri" w:eastAsia="Times New Roman" w:hAnsi="Calibri" w:cs="Times New Roman"/>
                <w:b/>
                <w:bCs/>
                <w:color w:val="000000"/>
                <w:sz w:val="20"/>
                <w:szCs w:val="20"/>
              </w:rPr>
              <w:t>.)</w:t>
            </w:r>
          </w:p>
        </w:tc>
        <w:tc>
          <w:tcPr>
            <w:tcW w:w="1042"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(Waste)</w:t>
            </w:r>
          </w:p>
        </w:tc>
        <w:tc>
          <w:tcPr>
            <w:tcW w:w="1042"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roofErr w:type="spellStart"/>
            <w:r w:rsidRPr="0095728C">
              <w:rPr>
                <w:rFonts w:ascii="Calibri" w:eastAsia="Times New Roman" w:hAnsi="Calibri" w:cs="Times New Roman"/>
                <w:b/>
                <w:bCs/>
                <w:color w:val="000000"/>
                <w:sz w:val="20"/>
                <w:szCs w:val="20"/>
              </w:rPr>
              <w:t>Intermed</w:t>
            </w:r>
            <w:proofErr w:type="spellEnd"/>
            <w:r w:rsidRPr="0095728C">
              <w:rPr>
                <w:rFonts w:ascii="Calibri" w:eastAsia="Times New Roman" w:hAnsi="Calibri" w:cs="Times New Roman"/>
                <w:b/>
                <w:bCs/>
                <w:color w:val="000000"/>
                <w:sz w:val="20"/>
                <w:szCs w:val="20"/>
              </w:rPr>
              <w:t>.)</w:t>
            </w:r>
          </w:p>
        </w:tc>
        <w:tc>
          <w:tcPr>
            <w:tcW w:w="1084"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roofErr w:type="spellStart"/>
            <w:r w:rsidRPr="0095728C">
              <w:rPr>
                <w:rFonts w:ascii="Calibri" w:eastAsia="Times New Roman" w:hAnsi="Calibri" w:cs="Times New Roman"/>
                <w:b/>
                <w:bCs/>
                <w:color w:val="000000"/>
                <w:sz w:val="20"/>
                <w:szCs w:val="20"/>
              </w:rPr>
              <w:t>Intermed</w:t>
            </w:r>
            <w:proofErr w:type="spellEnd"/>
            <w:r w:rsidRPr="0095728C">
              <w:rPr>
                <w:rFonts w:ascii="Calibri" w:eastAsia="Times New Roman" w:hAnsi="Calibri" w:cs="Times New Roman"/>
                <w:b/>
                <w:bCs/>
                <w:color w:val="000000"/>
                <w:sz w:val="20"/>
                <w:szCs w:val="20"/>
              </w:rPr>
              <w:t>.)</w:t>
            </w:r>
          </w:p>
        </w:tc>
        <w:tc>
          <w:tcPr>
            <w:tcW w:w="1096"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roofErr w:type="spellStart"/>
            <w:r w:rsidRPr="0095728C">
              <w:rPr>
                <w:rFonts w:ascii="Calibri" w:eastAsia="Times New Roman" w:hAnsi="Calibri" w:cs="Times New Roman"/>
                <w:b/>
                <w:bCs/>
                <w:color w:val="000000"/>
                <w:sz w:val="20"/>
                <w:szCs w:val="20"/>
              </w:rPr>
              <w:t>Intermed</w:t>
            </w:r>
            <w:proofErr w:type="spellEnd"/>
            <w:r w:rsidRPr="0095728C">
              <w:rPr>
                <w:rFonts w:ascii="Calibri" w:eastAsia="Times New Roman" w:hAnsi="Calibri" w:cs="Times New Roman"/>
                <w:b/>
                <w:bCs/>
                <w:color w:val="000000"/>
                <w:sz w:val="20"/>
                <w:szCs w:val="20"/>
              </w:rPr>
              <w:t>.)</w:t>
            </w:r>
          </w:p>
        </w:tc>
        <w:tc>
          <w:tcPr>
            <w:tcW w:w="1042"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roofErr w:type="spellStart"/>
            <w:r w:rsidRPr="0095728C">
              <w:rPr>
                <w:rFonts w:ascii="Calibri" w:eastAsia="Times New Roman" w:hAnsi="Calibri" w:cs="Times New Roman"/>
                <w:b/>
                <w:bCs/>
                <w:color w:val="000000"/>
                <w:sz w:val="20"/>
                <w:szCs w:val="20"/>
              </w:rPr>
              <w:t>Intermed</w:t>
            </w:r>
            <w:proofErr w:type="spellEnd"/>
            <w:r w:rsidRPr="0095728C">
              <w:rPr>
                <w:rFonts w:ascii="Calibri" w:eastAsia="Times New Roman" w:hAnsi="Calibri" w:cs="Times New Roman"/>
                <w:b/>
                <w:bCs/>
                <w:color w:val="000000"/>
                <w:sz w:val="20"/>
                <w:szCs w:val="20"/>
              </w:rPr>
              <w:t>.)</w:t>
            </w:r>
          </w:p>
        </w:tc>
      </w:tr>
      <w:tr w:rsidR="0095728C" w:rsidRPr="0095728C" w:rsidTr="0095728C">
        <w:trPr>
          <w:trHeight w:val="285"/>
          <w:jc w:val="center"/>
        </w:trPr>
        <w:tc>
          <w:tcPr>
            <w:tcW w:w="79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N</w:t>
            </w:r>
            <w:r w:rsidRPr="0095728C">
              <w:rPr>
                <w:rFonts w:ascii="Calibri" w:eastAsia="Times New Roman" w:hAnsi="Calibri" w:cs="Times New Roman"/>
                <w:sz w:val="20"/>
                <w:szCs w:val="20"/>
                <w:vertAlign w:val="subscript"/>
              </w:rPr>
              <w:t>2</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2</w:t>
            </w:r>
          </w:p>
        </w:tc>
        <w:tc>
          <w:tcPr>
            <w:tcW w:w="108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500</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500</w:t>
            </w:r>
          </w:p>
        </w:tc>
        <w:tc>
          <w:tcPr>
            <w:tcW w:w="108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9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500</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500</w:t>
            </w:r>
          </w:p>
        </w:tc>
      </w:tr>
      <w:tr w:rsidR="0095728C" w:rsidRPr="0095728C" w:rsidTr="0095728C">
        <w:trPr>
          <w:trHeight w:val="285"/>
          <w:jc w:val="center"/>
        </w:trPr>
        <w:tc>
          <w:tcPr>
            <w:tcW w:w="79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F</w:t>
            </w:r>
            <w:r w:rsidRPr="0095728C">
              <w:rPr>
                <w:rFonts w:ascii="Calibri" w:eastAsia="Times New Roman" w:hAnsi="Calibri" w:cs="Times New Roman"/>
                <w:sz w:val="20"/>
                <w:szCs w:val="20"/>
                <w:vertAlign w:val="subscript"/>
              </w:rPr>
              <w:t>2</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7</w:t>
            </w:r>
          </w:p>
        </w:tc>
        <w:tc>
          <w:tcPr>
            <w:tcW w:w="108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39.0</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39.0</w:t>
            </w:r>
          </w:p>
        </w:tc>
        <w:tc>
          <w:tcPr>
            <w:tcW w:w="108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9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39.0</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39.0</w:t>
            </w:r>
          </w:p>
        </w:tc>
      </w:tr>
      <w:tr w:rsidR="0095728C" w:rsidRPr="0095728C" w:rsidTr="0095728C">
        <w:trPr>
          <w:trHeight w:val="285"/>
          <w:jc w:val="center"/>
        </w:trPr>
        <w:tc>
          <w:tcPr>
            <w:tcW w:w="79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UF</w:t>
            </w:r>
            <w:r w:rsidRPr="0095728C">
              <w:rPr>
                <w:rFonts w:ascii="Calibri" w:eastAsia="Times New Roman" w:hAnsi="Calibri" w:cs="Times New Roman"/>
                <w:sz w:val="20"/>
                <w:szCs w:val="20"/>
                <w:vertAlign w:val="subscript"/>
              </w:rPr>
              <w:t>6</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15</w:t>
            </w:r>
          </w:p>
        </w:tc>
        <w:tc>
          <w:tcPr>
            <w:tcW w:w="108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174</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174</w:t>
            </w:r>
          </w:p>
        </w:tc>
        <w:tc>
          <w:tcPr>
            <w:tcW w:w="108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173</w:t>
            </w:r>
          </w:p>
        </w:tc>
        <w:tc>
          <w:tcPr>
            <w:tcW w:w="109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1.74</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1.74</w:t>
            </w:r>
          </w:p>
        </w:tc>
      </w:tr>
      <w:tr w:rsidR="0095728C" w:rsidRPr="0095728C" w:rsidTr="0095728C">
        <w:trPr>
          <w:trHeight w:val="300"/>
          <w:jc w:val="center"/>
        </w:trPr>
        <w:tc>
          <w:tcPr>
            <w:tcW w:w="79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UF</w:t>
            </w:r>
            <w:r w:rsidRPr="0095728C">
              <w:rPr>
                <w:rFonts w:ascii="Calibri" w:eastAsia="Times New Roman" w:hAnsi="Calibri" w:cs="Times New Roman"/>
                <w:sz w:val="20"/>
                <w:szCs w:val="20"/>
                <w:vertAlign w:val="subscript"/>
              </w:rPr>
              <w:t>4</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16</w:t>
            </w:r>
          </w:p>
        </w:tc>
        <w:tc>
          <w:tcPr>
            <w:tcW w:w="108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0.174</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0.173</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1.74 × 10</w:t>
            </w:r>
            <w:r w:rsidRPr="0095728C">
              <w:rPr>
                <w:rFonts w:ascii="Calibri" w:eastAsia="Times New Roman" w:hAnsi="Calibri" w:cs="Times New Roman"/>
                <w:color w:val="000000"/>
                <w:sz w:val="20"/>
                <w:szCs w:val="20"/>
                <w:vertAlign w:val="superscript"/>
              </w:rPr>
              <w:t>-3</w:t>
            </w:r>
          </w:p>
        </w:tc>
        <w:tc>
          <w:tcPr>
            <w:tcW w:w="108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9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1.74 × 10</w:t>
            </w:r>
            <w:r w:rsidRPr="0095728C">
              <w:rPr>
                <w:rFonts w:ascii="Calibri" w:eastAsia="Times New Roman" w:hAnsi="Calibri" w:cs="Times New Roman"/>
                <w:color w:val="000000"/>
                <w:sz w:val="20"/>
                <w:szCs w:val="20"/>
                <w:vertAlign w:val="superscript"/>
              </w:rPr>
              <w:t>-3</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19.4</w:t>
            </w:r>
          </w:p>
        </w:tc>
      </w:tr>
      <w:tr w:rsidR="0095728C" w:rsidRPr="0095728C" w:rsidTr="0095728C">
        <w:trPr>
          <w:trHeight w:val="285"/>
          <w:jc w:val="center"/>
        </w:trPr>
        <w:tc>
          <w:tcPr>
            <w:tcW w:w="79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UO</w:t>
            </w:r>
            <w:r w:rsidRPr="0095728C">
              <w:rPr>
                <w:rFonts w:ascii="Calibri" w:eastAsia="Times New Roman" w:hAnsi="Calibri" w:cs="Times New Roman"/>
                <w:sz w:val="20"/>
                <w:szCs w:val="20"/>
                <w:vertAlign w:val="subscript"/>
              </w:rPr>
              <w:t>2</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17</w:t>
            </w:r>
          </w:p>
        </w:tc>
        <w:tc>
          <w:tcPr>
            <w:tcW w:w="108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9.19</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9.19</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8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9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1.02</w:t>
            </w:r>
          </w:p>
        </w:tc>
      </w:tr>
      <w:tr w:rsidR="0095728C" w:rsidRPr="0095728C" w:rsidTr="0095728C">
        <w:trPr>
          <w:trHeight w:val="315"/>
          <w:jc w:val="center"/>
        </w:trPr>
        <w:tc>
          <w:tcPr>
            <w:tcW w:w="796" w:type="dxa"/>
            <w:tcBorders>
              <w:top w:val="nil"/>
              <w:left w:val="nil"/>
              <w:bottom w:val="single" w:sz="8"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w:t>
            </w:r>
            <w:r w:rsidRPr="0095728C">
              <w:rPr>
                <w:rFonts w:ascii="Calibri" w:eastAsia="Times New Roman" w:hAnsi="Calibri" w:cs="Times New Roman"/>
                <w:sz w:val="20"/>
                <w:szCs w:val="20"/>
                <w:vertAlign w:val="subscript"/>
              </w:rPr>
              <w:t>3</w:t>
            </w:r>
            <w:r w:rsidRPr="0095728C">
              <w:rPr>
                <w:rFonts w:ascii="Calibri" w:eastAsia="Times New Roman" w:hAnsi="Calibri" w:cs="Times New Roman"/>
                <w:sz w:val="20"/>
                <w:szCs w:val="20"/>
              </w:rPr>
              <w:t>O</w:t>
            </w:r>
            <w:r w:rsidRPr="0095728C">
              <w:rPr>
                <w:rFonts w:ascii="Calibri" w:eastAsia="Times New Roman" w:hAnsi="Calibri" w:cs="Times New Roman"/>
                <w:sz w:val="20"/>
                <w:szCs w:val="20"/>
                <w:vertAlign w:val="subscript"/>
              </w:rPr>
              <w:t>8</w:t>
            </w:r>
          </w:p>
        </w:tc>
        <w:tc>
          <w:tcPr>
            <w:tcW w:w="294" w:type="dxa"/>
            <w:tcBorders>
              <w:top w:val="nil"/>
              <w:left w:val="nil"/>
              <w:bottom w:val="single" w:sz="8"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18</w:t>
            </w:r>
          </w:p>
        </w:tc>
        <w:tc>
          <w:tcPr>
            <w:tcW w:w="1084"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3.62 × 10</w:t>
            </w:r>
            <w:r w:rsidRPr="0095728C">
              <w:rPr>
                <w:rFonts w:ascii="Calibri" w:eastAsia="Times New Roman" w:hAnsi="Calibri" w:cs="Times New Roman"/>
                <w:color w:val="000000"/>
                <w:sz w:val="20"/>
                <w:szCs w:val="20"/>
                <w:vertAlign w:val="superscript"/>
              </w:rPr>
              <w:t>-11</w:t>
            </w:r>
          </w:p>
        </w:tc>
        <w:tc>
          <w:tcPr>
            <w:tcW w:w="1042"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3.62 × 10</w:t>
            </w:r>
            <w:r w:rsidRPr="0095728C">
              <w:rPr>
                <w:rFonts w:ascii="Calibri" w:eastAsia="Times New Roman" w:hAnsi="Calibri" w:cs="Times New Roman"/>
                <w:b/>
                <w:bCs/>
                <w:color w:val="00B050"/>
                <w:sz w:val="20"/>
                <w:szCs w:val="20"/>
                <w:vertAlign w:val="superscript"/>
              </w:rPr>
              <w:t>-11</w:t>
            </w:r>
          </w:p>
        </w:tc>
        <w:tc>
          <w:tcPr>
            <w:tcW w:w="1042"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84"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96"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42"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4.02 × 10</w:t>
            </w:r>
            <w:r w:rsidRPr="0095728C">
              <w:rPr>
                <w:rFonts w:ascii="Calibri" w:eastAsia="Times New Roman" w:hAnsi="Calibri" w:cs="Times New Roman"/>
                <w:color w:val="000000"/>
                <w:sz w:val="20"/>
                <w:szCs w:val="20"/>
                <w:vertAlign w:val="superscript"/>
              </w:rPr>
              <w:t>-12</w:t>
            </w:r>
          </w:p>
        </w:tc>
      </w:tr>
      <w:tr w:rsidR="0095728C" w:rsidRPr="0095728C" w:rsidTr="0095728C">
        <w:trPr>
          <w:trHeight w:val="255"/>
          <w:jc w:val="center"/>
        </w:trPr>
        <w:tc>
          <w:tcPr>
            <w:tcW w:w="79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c>
          <w:tcPr>
            <w:tcW w:w="29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
        </w:tc>
        <w:tc>
          <w:tcPr>
            <w:tcW w:w="6390" w:type="dxa"/>
            <w:gridSpan w:val="6"/>
            <w:tcBorders>
              <w:top w:val="single" w:sz="8" w:space="0" w:color="auto"/>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Stream Number (Stream Type)</w:t>
            </w:r>
          </w:p>
        </w:tc>
      </w:tr>
      <w:tr w:rsidR="0095728C" w:rsidRPr="0095728C" w:rsidTr="0095728C">
        <w:trPr>
          <w:trHeight w:val="255"/>
          <w:jc w:val="center"/>
        </w:trPr>
        <w:tc>
          <w:tcPr>
            <w:tcW w:w="1090" w:type="dxa"/>
            <w:gridSpan w:val="2"/>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Component</w:t>
            </w:r>
          </w:p>
        </w:tc>
        <w:tc>
          <w:tcPr>
            <w:tcW w:w="108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55</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56</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57</w:t>
            </w:r>
          </w:p>
        </w:tc>
        <w:tc>
          <w:tcPr>
            <w:tcW w:w="108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58</w:t>
            </w:r>
          </w:p>
        </w:tc>
        <w:tc>
          <w:tcPr>
            <w:tcW w:w="109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59</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60</w:t>
            </w:r>
          </w:p>
        </w:tc>
      </w:tr>
      <w:tr w:rsidR="0095728C" w:rsidRPr="0095728C" w:rsidTr="0095728C">
        <w:trPr>
          <w:trHeight w:val="255"/>
          <w:jc w:val="center"/>
        </w:trPr>
        <w:tc>
          <w:tcPr>
            <w:tcW w:w="796"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Formula</w:t>
            </w:r>
          </w:p>
        </w:tc>
        <w:tc>
          <w:tcPr>
            <w:tcW w:w="294"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
        </w:tc>
        <w:tc>
          <w:tcPr>
            <w:tcW w:w="1084"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roofErr w:type="spellStart"/>
            <w:r w:rsidRPr="0095728C">
              <w:rPr>
                <w:rFonts w:ascii="Calibri" w:eastAsia="Times New Roman" w:hAnsi="Calibri" w:cs="Times New Roman"/>
                <w:b/>
                <w:bCs/>
                <w:color w:val="000000"/>
                <w:sz w:val="20"/>
                <w:szCs w:val="20"/>
              </w:rPr>
              <w:t>Intermed</w:t>
            </w:r>
            <w:proofErr w:type="spellEnd"/>
            <w:r w:rsidRPr="0095728C">
              <w:rPr>
                <w:rFonts w:ascii="Calibri" w:eastAsia="Times New Roman" w:hAnsi="Calibri" w:cs="Times New Roman"/>
                <w:b/>
                <w:bCs/>
                <w:color w:val="000000"/>
                <w:sz w:val="20"/>
                <w:szCs w:val="20"/>
              </w:rPr>
              <w:t>.)</w:t>
            </w:r>
          </w:p>
        </w:tc>
        <w:tc>
          <w:tcPr>
            <w:tcW w:w="1042"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(Waste)</w:t>
            </w:r>
          </w:p>
        </w:tc>
        <w:tc>
          <w:tcPr>
            <w:tcW w:w="1042"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roofErr w:type="spellStart"/>
            <w:r w:rsidRPr="0095728C">
              <w:rPr>
                <w:rFonts w:ascii="Calibri" w:eastAsia="Times New Roman" w:hAnsi="Calibri" w:cs="Times New Roman"/>
                <w:b/>
                <w:bCs/>
                <w:color w:val="000000"/>
                <w:sz w:val="20"/>
                <w:szCs w:val="20"/>
              </w:rPr>
              <w:t>Intermed</w:t>
            </w:r>
            <w:proofErr w:type="spellEnd"/>
            <w:r w:rsidRPr="0095728C">
              <w:rPr>
                <w:rFonts w:ascii="Calibri" w:eastAsia="Times New Roman" w:hAnsi="Calibri" w:cs="Times New Roman"/>
                <w:b/>
                <w:bCs/>
                <w:color w:val="000000"/>
                <w:sz w:val="20"/>
                <w:szCs w:val="20"/>
              </w:rPr>
              <w:t>.)</w:t>
            </w:r>
          </w:p>
        </w:tc>
        <w:tc>
          <w:tcPr>
            <w:tcW w:w="1084"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(Waste)</w:t>
            </w:r>
          </w:p>
        </w:tc>
        <w:tc>
          <w:tcPr>
            <w:tcW w:w="1096"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w:t>
            </w:r>
            <w:proofErr w:type="spellStart"/>
            <w:r w:rsidRPr="0095728C">
              <w:rPr>
                <w:rFonts w:ascii="Calibri" w:eastAsia="Times New Roman" w:hAnsi="Calibri" w:cs="Times New Roman"/>
                <w:b/>
                <w:bCs/>
                <w:color w:val="000000"/>
                <w:sz w:val="20"/>
                <w:szCs w:val="20"/>
              </w:rPr>
              <w:t>Intermed</w:t>
            </w:r>
            <w:proofErr w:type="spellEnd"/>
            <w:r w:rsidRPr="0095728C">
              <w:rPr>
                <w:rFonts w:ascii="Calibri" w:eastAsia="Times New Roman" w:hAnsi="Calibri" w:cs="Times New Roman"/>
                <w:b/>
                <w:bCs/>
                <w:color w:val="000000"/>
                <w:sz w:val="20"/>
                <w:szCs w:val="20"/>
              </w:rPr>
              <w:t>.)</w:t>
            </w:r>
          </w:p>
        </w:tc>
        <w:tc>
          <w:tcPr>
            <w:tcW w:w="1042" w:type="dxa"/>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(Product)</w:t>
            </w:r>
          </w:p>
        </w:tc>
      </w:tr>
      <w:tr w:rsidR="0095728C" w:rsidRPr="0095728C" w:rsidTr="0095728C">
        <w:trPr>
          <w:trHeight w:val="285"/>
          <w:jc w:val="center"/>
        </w:trPr>
        <w:tc>
          <w:tcPr>
            <w:tcW w:w="79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N</w:t>
            </w:r>
            <w:r w:rsidRPr="0095728C">
              <w:rPr>
                <w:rFonts w:ascii="Calibri" w:eastAsia="Times New Roman" w:hAnsi="Calibri" w:cs="Times New Roman"/>
                <w:sz w:val="20"/>
                <w:szCs w:val="20"/>
                <w:vertAlign w:val="subscript"/>
              </w:rPr>
              <w:t>2</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2</w:t>
            </w:r>
          </w:p>
        </w:tc>
        <w:tc>
          <w:tcPr>
            <w:tcW w:w="108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500</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500</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8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w:t>
            </w:r>
          </w:p>
        </w:tc>
        <w:tc>
          <w:tcPr>
            <w:tcW w:w="109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0</w:t>
            </w:r>
          </w:p>
        </w:tc>
      </w:tr>
      <w:tr w:rsidR="0095728C" w:rsidRPr="0095728C" w:rsidTr="0095728C">
        <w:trPr>
          <w:trHeight w:val="285"/>
          <w:jc w:val="center"/>
        </w:trPr>
        <w:tc>
          <w:tcPr>
            <w:tcW w:w="79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F</w:t>
            </w:r>
            <w:r w:rsidRPr="0095728C">
              <w:rPr>
                <w:rFonts w:ascii="Calibri" w:eastAsia="Times New Roman" w:hAnsi="Calibri" w:cs="Times New Roman"/>
                <w:sz w:val="20"/>
                <w:szCs w:val="20"/>
                <w:vertAlign w:val="subscript"/>
              </w:rPr>
              <w:t>2</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7</w:t>
            </w:r>
          </w:p>
        </w:tc>
        <w:tc>
          <w:tcPr>
            <w:tcW w:w="108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19.6</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19.6</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8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w:t>
            </w:r>
          </w:p>
        </w:tc>
        <w:tc>
          <w:tcPr>
            <w:tcW w:w="109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0</w:t>
            </w:r>
          </w:p>
        </w:tc>
      </w:tr>
      <w:tr w:rsidR="0095728C" w:rsidRPr="0095728C" w:rsidTr="0095728C">
        <w:trPr>
          <w:trHeight w:val="285"/>
          <w:jc w:val="center"/>
        </w:trPr>
        <w:tc>
          <w:tcPr>
            <w:tcW w:w="79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UF</w:t>
            </w:r>
            <w:r w:rsidRPr="0095728C">
              <w:rPr>
                <w:rFonts w:ascii="Calibri" w:eastAsia="Times New Roman" w:hAnsi="Calibri" w:cs="Times New Roman"/>
                <w:sz w:val="20"/>
                <w:szCs w:val="20"/>
                <w:vertAlign w:val="subscript"/>
              </w:rPr>
              <w:t>6</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15</w:t>
            </w:r>
          </w:p>
        </w:tc>
        <w:tc>
          <w:tcPr>
            <w:tcW w:w="108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21.1</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21.1</w:t>
            </w:r>
          </w:p>
        </w:tc>
        <w:tc>
          <w:tcPr>
            <w:tcW w:w="108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w:t>
            </w:r>
          </w:p>
        </w:tc>
        <w:tc>
          <w:tcPr>
            <w:tcW w:w="109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21.1</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194</w:t>
            </w:r>
          </w:p>
        </w:tc>
      </w:tr>
      <w:tr w:rsidR="0095728C" w:rsidRPr="0095728C" w:rsidTr="0095728C">
        <w:trPr>
          <w:trHeight w:val="300"/>
          <w:jc w:val="center"/>
        </w:trPr>
        <w:tc>
          <w:tcPr>
            <w:tcW w:w="79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UF</w:t>
            </w:r>
            <w:r w:rsidRPr="0095728C">
              <w:rPr>
                <w:rFonts w:ascii="Calibri" w:eastAsia="Times New Roman" w:hAnsi="Calibri" w:cs="Times New Roman"/>
                <w:sz w:val="20"/>
                <w:szCs w:val="20"/>
                <w:vertAlign w:val="subscript"/>
              </w:rPr>
              <w:t>4</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16</w:t>
            </w:r>
          </w:p>
        </w:tc>
        <w:tc>
          <w:tcPr>
            <w:tcW w:w="108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1.94 × 10</w:t>
            </w:r>
            <w:r w:rsidRPr="0095728C">
              <w:rPr>
                <w:rFonts w:ascii="Calibri" w:eastAsia="Times New Roman" w:hAnsi="Calibri" w:cs="Times New Roman"/>
                <w:color w:val="000000"/>
                <w:sz w:val="20"/>
                <w:szCs w:val="20"/>
                <w:vertAlign w:val="superscript"/>
              </w:rPr>
              <w:t>-2</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1.94 × 10</w:t>
            </w:r>
            <w:r w:rsidRPr="0095728C">
              <w:rPr>
                <w:rFonts w:ascii="Calibri" w:eastAsia="Times New Roman" w:hAnsi="Calibri" w:cs="Times New Roman"/>
                <w:color w:val="000000"/>
                <w:sz w:val="20"/>
                <w:szCs w:val="20"/>
                <w:vertAlign w:val="superscript"/>
              </w:rPr>
              <w:t>-2</w:t>
            </w:r>
          </w:p>
        </w:tc>
        <w:tc>
          <w:tcPr>
            <w:tcW w:w="108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1.94 × 10</w:t>
            </w:r>
            <w:r w:rsidRPr="0095728C">
              <w:rPr>
                <w:rFonts w:ascii="Calibri" w:eastAsia="Times New Roman" w:hAnsi="Calibri" w:cs="Times New Roman"/>
                <w:b/>
                <w:bCs/>
                <w:color w:val="00B050"/>
                <w:sz w:val="20"/>
                <w:szCs w:val="20"/>
                <w:vertAlign w:val="superscript"/>
              </w:rPr>
              <w:t>-2</w:t>
            </w:r>
          </w:p>
        </w:tc>
        <w:tc>
          <w:tcPr>
            <w:tcW w:w="109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0</w:t>
            </w:r>
          </w:p>
        </w:tc>
      </w:tr>
      <w:tr w:rsidR="0095728C" w:rsidRPr="0095728C" w:rsidTr="0095728C">
        <w:trPr>
          <w:trHeight w:val="285"/>
          <w:jc w:val="center"/>
        </w:trPr>
        <w:tc>
          <w:tcPr>
            <w:tcW w:w="796"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UO</w:t>
            </w:r>
            <w:r w:rsidRPr="0095728C">
              <w:rPr>
                <w:rFonts w:ascii="Calibri" w:eastAsia="Times New Roman" w:hAnsi="Calibri" w:cs="Times New Roman"/>
                <w:sz w:val="20"/>
                <w:szCs w:val="20"/>
                <w:vertAlign w:val="subscript"/>
              </w:rPr>
              <w:t>2</w:t>
            </w:r>
          </w:p>
        </w:tc>
        <w:tc>
          <w:tcPr>
            <w:tcW w:w="29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17</w:t>
            </w:r>
          </w:p>
        </w:tc>
        <w:tc>
          <w:tcPr>
            <w:tcW w:w="108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1.02</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1.02</w:t>
            </w:r>
          </w:p>
        </w:tc>
        <w:tc>
          <w:tcPr>
            <w:tcW w:w="108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1.02</w:t>
            </w:r>
          </w:p>
        </w:tc>
        <w:tc>
          <w:tcPr>
            <w:tcW w:w="1096"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42"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0</w:t>
            </w:r>
          </w:p>
        </w:tc>
      </w:tr>
      <w:tr w:rsidR="0095728C" w:rsidRPr="0095728C" w:rsidTr="0095728C">
        <w:trPr>
          <w:trHeight w:val="315"/>
          <w:jc w:val="center"/>
        </w:trPr>
        <w:tc>
          <w:tcPr>
            <w:tcW w:w="796" w:type="dxa"/>
            <w:tcBorders>
              <w:top w:val="nil"/>
              <w:left w:val="nil"/>
              <w:bottom w:val="single" w:sz="8"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w:t>
            </w:r>
            <w:r w:rsidRPr="0095728C">
              <w:rPr>
                <w:rFonts w:ascii="Calibri" w:eastAsia="Times New Roman" w:hAnsi="Calibri" w:cs="Times New Roman"/>
                <w:sz w:val="20"/>
                <w:szCs w:val="20"/>
                <w:vertAlign w:val="subscript"/>
              </w:rPr>
              <w:t>3</w:t>
            </w:r>
            <w:r w:rsidRPr="0095728C">
              <w:rPr>
                <w:rFonts w:ascii="Calibri" w:eastAsia="Times New Roman" w:hAnsi="Calibri" w:cs="Times New Roman"/>
                <w:sz w:val="20"/>
                <w:szCs w:val="20"/>
              </w:rPr>
              <w:t>O</w:t>
            </w:r>
            <w:r w:rsidRPr="0095728C">
              <w:rPr>
                <w:rFonts w:ascii="Calibri" w:eastAsia="Times New Roman" w:hAnsi="Calibri" w:cs="Times New Roman"/>
                <w:sz w:val="20"/>
                <w:szCs w:val="20"/>
                <w:vertAlign w:val="subscript"/>
              </w:rPr>
              <w:t>8</w:t>
            </w:r>
          </w:p>
        </w:tc>
        <w:tc>
          <w:tcPr>
            <w:tcW w:w="294" w:type="dxa"/>
            <w:tcBorders>
              <w:top w:val="nil"/>
              <w:left w:val="nil"/>
              <w:bottom w:val="single" w:sz="8"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18</w:t>
            </w:r>
          </w:p>
        </w:tc>
        <w:tc>
          <w:tcPr>
            <w:tcW w:w="1084"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4.02 × 10</w:t>
            </w:r>
            <w:r w:rsidRPr="0095728C">
              <w:rPr>
                <w:rFonts w:ascii="Calibri" w:eastAsia="Times New Roman" w:hAnsi="Calibri" w:cs="Times New Roman"/>
                <w:color w:val="000000"/>
                <w:sz w:val="20"/>
                <w:szCs w:val="20"/>
                <w:vertAlign w:val="superscript"/>
              </w:rPr>
              <w:t>-12</w:t>
            </w:r>
          </w:p>
        </w:tc>
        <w:tc>
          <w:tcPr>
            <w:tcW w:w="1042"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w:t>
            </w:r>
          </w:p>
        </w:tc>
        <w:tc>
          <w:tcPr>
            <w:tcW w:w="1042"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4.02 × 10</w:t>
            </w:r>
            <w:r w:rsidRPr="0095728C">
              <w:rPr>
                <w:rFonts w:ascii="Calibri" w:eastAsia="Times New Roman" w:hAnsi="Calibri" w:cs="Times New Roman"/>
                <w:color w:val="000000"/>
                <w:sz w:val="20"/>
                <w:szCs w:val="20"/>
                <w:vertAlign w:val="superscript"/>
              </w:rPr>
              <w:t>-12</w:t>
            </w:r>
          </w:p>
        </w:tc>
        <w:tc>
          <w:tcPr>
            <w:tcW w:w="1084"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4.02 × 10</w:t>
            </w:r>
            <w:r w:rsidRPr="0095728C">
              <w:rPr>
                <w:rFonts w:ascii="Calibri" w:eastAsia="Times New Roman" w:hAnsi="Calibri" w:cs="Times New Roman"/>
                <w:b/>
                <w:bCs/>
                <w:color w:val="00B050"/>
                <w:sz w:val="20"/>
                <w:szCs w:val="20"/>
                <w:vertAlign w:val="superscript"/>
              </w:rPr>
              <w:t>-12</w:t>
            </w:r>
          </w:p>
        </w:tc>
        <w:tc>
          <w:tcPr>
            <w:tcW w:w="1096"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0</w:t>
            </w:r>
          </w:p>
        </w:tc>
        <w:tc>
          <w:tcPr>
            <w:tcW w:w="1042"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0</w:t>
            </w:r>
          </w:p>
        </w:tc>
      </w:tr>
    </w:tbl>
    <w:p w:rsidR="0095728C" w:rsidRDefault="0095728C" w:rsidP="00E664E4"/>
    <w:p w:rsidR="0095728C" w:rsidRDefault="0095728C">
      <w:r>
        <w:br w:type="page"/>
      </w:r>
    </w:p>
    <w:tbl>
      <w:tblPr>
        <w:tblW w:w="7200" w:type="dxa"/>
        <w:jc w:val="center"/>
        <w:tblInd w:w="93" w:type="dxa"/>
        <w:tblLook w:val="04A0" w:firstRow="1" w:lastRow="0" w:firstColumn="1" w:lastColumn="0" w:noHBand="0" w:noVBand="1"/>
      </w:tblPr>
      <w:tblGrid>
        <w:gridCol w:w="1104"/>
        <w:gridCol w:w="981"/>
        <w:gridCol w:w="1091"/>
        <w:gridCol w:w="1081"/>
        <w:gridCol w:w="1544"/>
        <w:gridCol w:w="1399"/>
      </w:tblGrid>
      <w:tr w:rsidR="0095728C" w:rsidRPr="0095728C" w:rsidTr="0095728C">
        <w:trPr>
          <w:trHeight w:val="270"/>
          <w:jc w:val="center"/>
        </w:trPr>
        <w:tc>
          <w:tcPr>
            <w:tcW w:w="5420" w:type="dxa"/>
            <w:gridSpan w:val="6"/>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lastRenderedPageBreak/>
              <w:t>Table 4.11. Primary State Variables Steady-State Solution</w:t>
            </w:r>
          </w:p>
        </w:tc>
      </w:tr>
      <w:tr w:rsidR="0095728C" w:rsidRPr="0095728C" w:rsidTr="0095728C">
        <w:trPr>
          <w:trHeight w:val="255"/>
          <w:jc w:val="center"/>
        </w:trPr>
        <w:tc>
          <w:tcPr>
            <w:tcW w:w="820"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sz w:val="20"/>
                <w:szCs w:val="20"/>
              </w:rPr>
            </w:pPr>
            <w:r w:rsidRPr="0095728C">
              <w:rPr>
                <w:rFonts w:ascii="Calibri" w:eastAsia="Times New Roman" w:hAnsi="Calibri" w:cs="Times New Roman"/>
                <w:b/>
                <w:bCs/>
                <w:sz w:val="20"/>
                <w:szCs w:val="20"/>
              </w:rPr>
              <w:t>State</w:t>
            </w:r>
          </w:p>
        </w:tc>
        <w:tc>
          <w:tcPr>
            <w:tcW w:w="700" w:type="dxa"/>
            <w:vMerge w:val="restart"/>
            <w:tcBorders>
              <w:top w:val="nil"/>
              <w:left w:val="nil"/>
              <w:bottom w:val="single" w:sz="4" w:space="0" w:color="000000"/>
              <w:right w:val="nil"/>
            </w:tcBorders>
            <w:shd w:val="clear" w:color="auto" w:fill="auto"/>
            <w:vAlign w:val="bottom"/>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Stream</w:t>
            </w:r>
          </w:p>
        </w:tc>
        <w:tc>
          <w:tcPr>
            <w:tcW w:w="1580" w:type="dxa"/>
            <w:gridSpan w:val="2"/>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Component</w:t>
            </w:r>
          </w:p>
        </w:tc>
        <w:tc>
          <w:tcPr>
            <w:tcW w:w="1160"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Type of</w:t>
            </w:r>
          </w:p>
        </w:tc>
        <w:tc>
          <w:tcPr>
            <w:tcW w:w="1160"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Molar Flow</w:t>
            </w:r>
          </w:p>
        </w:tc>
      </w:tr>
      <w:tr w:rsidR="0095728C" w:rsidRPr="0095728C" w:rsidTr="0095728C">
        <w:trPr>
          <w:trHeight w:val="255"/>
          <w:jc w:val="center"/>
        </w:trPr>
        <w:tc>
          <w:tcPr>
            <w:tcW w:w="820"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sz w:val="20"/>
                <w:szCs w:val="20"/>
              </w:rPr>
            </w:pPr>
            <w:r w:rsidRPr="0095728C">
              <w:rPr>
                <w:rFonts w:ascii="Calibri" w:eastAsia="Times New Roman" w:hAnsi="Calibri" w:cs="Times New Roman"/>
                <w:b/>
                <w:bCs/>
                <w:sz w:val="20"/>
                <w:szCs w:val="20"/>
              </w:rPr>
              <w:t>Variable</w:t>
            </w:r>
          </w:p>
        </w:tc>
        <w:tc>
          <w:tcPr>
            <w:tcW w:w="700" w:type="dxa"/>
            <w:vMerge/>
            <w:tcBorders>
              <w:top w:val="nil"/>
              <w:left w:val="nil"/>
              <w:bottom w:val="single" w:sz="4" w:space="0" w:color="000000"/>
              <w:right w:val="nil"/>
            </w:tcBorders>
            <w:vAlign w:val="center"/>
            <w:hideMark/>
          </w:tcPr>
          <w:p w:rsidR="0095728C" w:rsidRPr="0095728C" w:rsidRDefault="0095728C" w:rsidP="0095728C">
            <w:pPr>
              <w:spacing w:after="0" w:line="240" w:lineRule="auto"/>
              <w:rPr>
                <w:rFonts w:ascii="Calibri" w:eastAsia="Times New Roman" w:hAnsi="Calibri" w:cs="Times New Roman"/>
                <w:b/>
                <w:bCs/>
                <w:color w:val="000000"/>
                <w:sz w:val="20"/>
                <w:szCs w:val="20"/>
              </w:rPr>
            </w:pPr>
          </w:p>
        </w:tc>
        <w:tc>
          <w:tcPr>
            <w:tcW w:w="780"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Formula</w:t>
            </w:r>
          </w:p>
        </w:tc>
        <w:tc>
          <w:tcPr>
            <w:tcW w:w="800"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Number</w:t>
            </w:r>
          </w:p>
        </w:tc>
        <w:tc>
          <w:tcPr>
            <w:tcW w:w="1160"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Stream</w:t>
            </w:r>
          </w:p>
        </w:tc>
        <w:tc>
          <w:tcPr>
            <w:tcW w:w="1160"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Rate (</w:t>
            </w:r>
            <w:proofErr w:type="spellStart"/>
            <w:r w:rsidRPr="0095728C">
              <w:rPr>
                <w:rFonts w:ascii="Calibri" w:eastAsia="Times New Roman" w:hAnsi="Calibri" w:cs="Times New Roman"/>
                <w:b/>
                <w:bCs/>
                <w:color w:val="000000"/>
                <w:sz w:val="20"/>
                <w:szCs w:val="20"/>
              </w:rPr>
              <w:t>mol</w:t>
            </w:r>
            <w:proofErr w:type="spellEnd"/>
            <w:r w:rsidRPr="0095728C">
              <w:rPr>
                <w:rFonts w:ascii="Calibri" w:eastAsia="Times New Roman" w:hAnsi="Calibri" w:cs="Times New Roman"/>
                <w:b/>
                <w:bCs/>
                <w:color w:val="000000"/>
                <w:sz w:val="20"/>
                <w:szCs w:val="20"/>
              </w:rPr>
              <w:t>/h)</w:t>
            </w:r>
          </w:p>
        </w:tc>
      </w:tr>
      <w:tr w:rsidR="0095728C" w:rsidRPr="0095728C" w:rsidTr="0095728C">
        <w:trPr>
          <w:trHeight w:val="255"/>
          <w:jc w:val="center"/>
        </w:trPr>
        <w:tc>
          <w:tcPr>
            <w:tcW w:w="5420" w:type="dxa"/>
            <w:gridSpan w:val="6"/>
            <w:tcBorders>
              <w:top w:val="single" w:sz="4" w:space="0" w:color="auto"/>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Module 1</w:t>
            </w:r>
          </w:p>
        </w:tc>
      </w:tr>
      <w:tr w:rsidR="0095728C" w:rsidRPr="0095728C" w:rsidTr="0095728C">
        <w:trPr>
          <w:trHeight w:val="285"/>
          <w:jc w:val="center"/>
        </w:trPr>
        <w:tc>
          <w:tcPr>
            <w:tcW w:w="82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proofErr w:type="spellStart"/>
            <w:r w:rsidRPr="0095728C">
              <w:rPr>
                <w:rFonts w:ascii="Calibri" w:eastAsia="Times New Roman" w:hAnsi="Calibri" w:cs="Times New Roman"/>
                <w:b/>
                <w:bCs/>
                <w:color w:val="0070C0"/>
                <w:sz w:val="20"/>
                <w:szCs w:val="20"/>
              </w:rPr>
              <w:t>Xss</w:t>
            </w:r>
            <w:proofErr w:type="spellEnd"/>
            <w:r w:rsidRPr="0095728C">
              <w:rPr>
                <w:rFonts w:ascii="Calibri" w:eastAsia="Times New Roman" w:hAnsi="Calibri" w:cs="Times New Roman"/>
                <w:b/>
                <w:bCs/>
                <w:color w:val="0070C0"/>
                <w:sz w:val="20"/>
                <w:szCs w:val="20"/>
              </w:rPr>
              <w:t>(274)</w:t>
            </w:r>
          </w:p>
        </w:tc>
        <w:tc>
          <w:tcPr>
            <w:tcW w:w="7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1A</w:t>
            </w:r>
          </w:p>
        </w:tc>
        <w:tc>
          <w:tcPr>
            <w:tcW w:w="7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U</w:t>
            </w:r>
            <w:r w:rsidRPr="0095728C">
              <w:rPr>
                <w:rFonts w:ascii="Calibri" w:eastAsia="Times New Roman" w:hAnsi="Calibri" w:cs="Times New Roman"/>
                <w:b/>
                <w:bCs/>
                <w:color w:val="0070C0"/>
                <w:sz w:val="20"/>
                <w:szCs w:val="20"/>
                <w:vertAlign w:val="subscript"/>
              </w:rPr>
              <w:t>3</w:t>
            </w:r>
            <w:r w:rsidRPr="0095728C">
              <w:rPr>
                <w:rFonts w:ascii="Calibri" w:eastAsia="Times New Roman" w:hAnsi="Calibri" w:cs="Times New Roman"/>
                <w:b/>
                <w:bCs/>
                <w:color w:val="0070C0"/>
                <w:sz w:val="20"/>
                <w:szCs w:val="20"/>
              </w:rPr>
              <w:t>O</w:t>
            </w:r>
            <w:r w:rsidRPr="0095728C">
              <w:rPr>
                <w:rFonts w:ascii="Calibri" w:eastAsia="Times New Roman" w:hAnsi="Calibri" w:cs="Times New Roman"/>
                <w:b/>
                <w:bCs/>
                <w:color w:val="0070C0"/>
                <w:sz w:val="20"/>
                <w:szCs w:val="20"/>
                <w:vertAlign w:val="subscript"/>
              </w:rPr>
              <w:t>8</w:t>
            </w:r>
          </w:p>
        </w:tc>
        <w:tc>
          <w:tcPr>
            <w:tcW w:w="8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18</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Input</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70C0"/>
                <w:sz w:val="20"/>
                <w:szCs w:val="20"/>
              </w:rPr>
            </w:pPr>
            <w:r w:rsidRPr="0095728C">
              <w:rPr>
                <w:rFonts w:ascii="Calibri" w:eastAsia="Times New Roman" w:hAnsi="Calibri" w:cs="Times New Roman"/>
                <w:b/>
                <w:bCs/>
                <w:color w:val="0070C0"/>
                <w:sz w:val="20"/>
                <w:szCs w:val="20"/>
              </w:rPr>
              <w:t>70.0</w:t>
            </w:r>
          </w:p>
        </w:tc>
      </w:tr>
      <w:tr w:rsidR="0095728C" w:rsidRPr="0095728C" w:rsidTr="0095728C">
        <w:trPr>
          <w:trHeight w:val="255"/>
          <w:jc w:val="center"/>
        </w:trPr>
        <w:tc>
          <w:tcPr>
            <w:tcW w:w="82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roofErr w:type="spellStart"/>
            <w:r w:rsidRPr="0095728C">
              <w:rPr>
                <w:rFonts w:ascii="Calibri" w:eastAsia="Times New Roman" w:hAnsi="Calibri" w:cs="Times New Roman"/>
                <w:color w:val="000000"/>
                <w:sz w:val="20"/>
                <w:szCs w:val="20"/>
              </w:rPr>
              <w:t>Xss</w:t>
            </w:r>
            <w:proofErr w:type="spellEnd"/>
            <w:r w:rsidRPr="0095728C">
              <w:rPr>
                <w:rFonts w:ascii="Calibri" w:eastAsia="Times New Roman" w:hAnsi="Calibri" w:cs="Times New Roman"/>
                <w:color w:val="000000"/>
                <w:sz w:val="20"/>
                <w:szCs w:val="20"/>
              </w:rPr>
              <w:t>(3)</w:t>
            </w:r>
          </w:p>
        </w:tc>
        <w:tc>
          <w:tcPr>
            <w:tcW w:w="7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w:t>
            </w:r>
          </w:p>
        </w:tc>
        <w:tc>
          <w:tcPr>
            <w:tcW w:w="7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UN</w:t>
            </w:r>
          </w:p>
        </w:tc>
        <w:tc>
          <w:tcPr>
            <w:tcW w:w="8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14</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Intermediate</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209</w:t>
            </w:r>
          </w:p>
        </w:tc>
      </w:tr>
      <w:tr w:rsidR="0095728C" w:rsidRPr="0095728C" w:rsidTr="0095728C">
        <w:trPr>
          <w:trHeight w:val="255"/>
          <w:jc w:val="center"/>
        </w:trPr>
        <w:tc>
          <w:tcPr>
            <w:tcW w:w="82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roofErr w:type="spellStart"/>
            <w:r w:rsidRPr="0095728C">
              <w:rPr>
                <w:rFonts w:ascii="Calibri" w:eastAsia="Times New Roman" w:hAnsi="Calibri" w:cs="Times New Roman"/>
                <w:color w:val="000000"/>
                <w:sz w:val="20"/>
                <w:szCs w:val="20"/>
              </w:rPr>
              <w:t>Xss</w:t>
            </w:r>
            <w:proofErr w:type="spellEnd"/>
            <w:r w:rsidRPr="0095728C">
              <w:rPr>
                <w:rFonts w:ascii="Calibri" w:eastAsia="Times New Roman" w:hAnsi="Calibri" w:cs="Times New Roman"/>
                <w:color w:val="000000"/>
                <w:sz w:val="20"/>
                <w:szCs w:val="20"/>
              </w:rPr>
              <w:t>(10)</w:t>
            </w:r>
          </w:p>
        </w:tc>
        <w:tc>
          <w:tcPr>
            <w:tcW w:w="7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3</w:t>
            </w:r>
          </w:p>
        </w:tc>
        <w:tc>
          <w:tcPr>
            <w:tcW w:w="7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UN</w:t>
            </w:r>
          </w:p>
        </w:tc>
        <w:tc>
          <w:tcPr>
            <w:tcW w:w="8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14</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Intermediate</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211</w:t>
            </w:r>
          </w:p>
        </w:tc>
      </w:tr>
      <w:tr w:rsidR="0095728C" w:rsidRPr="0095728C" w:rsidTr="0095728C">
        <w:trPr>
          <w:trHeight w:val="255"/>
          <w:jc w:val="center"/>
        </w:trPr>
        <w:tc>
          <w:tcPr>
            <w:tcW w:w="82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roofErr w:type="spellStart"/>
            <w:r w:rsidRPr="0095728C">
              <w:rPr>
                <w:rFonts w:ascii="Calibri" w:eastAsia="Times New Roman" w:hAnsi="Calibri" w:cs="Times New Roman"/>
                <w:color w:val="000000"/>
                <w:sz w:val="20"/>
                <w:szCs w:val="20"/>
              </w:rPr>
              <w:t>Xss</w:t>
            </w:r>
            <w:proofErr w:type="spellEnd"/>
            <w:r w:rsidRPr="0095728C">
              <w:rPr>
                <w:rFonts w:ascii="Calibri" w:eastAsia="Times New Roman" w:hAnsi="Calibri" w:cs="Times New Roman"/>
                <w:color w:val="000000"/>
                <w:sz w:val="20"/>
                <w:szCs w:val="20"/>
              </w:rPr>
              <w:t>(16)</w:t>
            </w:r>
          </w:p>
        </w:tc>
        <w:tc>
          <w:tcPr>
            <w:tcW w:w="7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4</w:t>
            </w:r>
          </w:p>
        </w:tc>
        <w:tc>
          <w:tcPr>
            <w:tcW w:w="7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UN</w:t>
            </w:r>
          </w:p>
        </w:tc>
        <w:tc>
          <w:tcPr>
            <w:tcW w:w="8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14</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Intermediate</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206</w:t>
            </w:r>
          </w:p>
        </w:tc>
      </w:tr>
      <w:tr w:rsidR="0095728C" w:rsidRPr="0095728C" w:rsidTr="0095728C">
        <w:trPr>
          <w:trHeight w:val="255"/>
          <w:jc w:val="center"/>
        </w:trPr>
        <w:tc>
          <w:tcPr>
            <w:tcW w:w="82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proofErr w:type="spellStart"/>
            <w:r w:rsidRPr="0095728C">
              <w:rPr>
                <w:rFonts w:ascii="Calibri" w:eastAsia="Times New Roman" w:hAnsi="Calibri" w:cs="Times New Roman"/>
                <w:b/>
                <w:bCs/>
                <w:color w:val="00B050"/>
                <w:sz w:val="20"/>
                <w:szCs w:val="20"/>
              </w:rPr>
              <w:t>Xss</w:t>
            </w:r>
            <w:proofErr w:type="spellEnd"/>
            <w:r w:rsidRPr="0095728C">
              <w:rPr>
                <w:rFonts w:ascii="Calibri" w:eastAsia="Times New Roman" w:hAnsi="Calibri" w:cs="Times New Roman"/>
                <w:b/>
                <w:bCs/>
                <w:color w:val="00B050"/>
                <w:sz w:val="20"/>
                <w:szCs w:val="20"/>
              </w:rPr>
              <w:t>(40)</w:t>
            </w:r>
          </w:p>
        </w:tc>
        <w:tc>
          <w:tcPr>
            <w:tcW w:w="7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8</w:t>
            </w:r>
          </w:p>
        </w:tc>
        <w:tc>
          <w:tcPr>
            <w:tcW w:w="7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UN</w:t>
            </w:r>
          </w:p>
        </w:tc>
        <w:tc>
          <w:tcPr>
            <w:tcW w:w="8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14</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Waste</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1.15</w:t>
            </w:r>
          </w:p>
        </w:tc>
      </w:tr>
      <w:tr w:rsidR="0095728C" w:rsidRPr="0095728C" w:rsidTr="0095728C">
        <w:trPr>
          <w:trHeight w:val="285"/>
          <w:jc w:val="center"/>
        </w:trPr>
        <w:tc>
          <w:tcPr>
            <w:tcW w:w="82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proofErr w:type="spellStart"/>
            <w:r w:rsidRPr="0095728C">
              <w:rPr>
                <w:rFonts w:ascii="Calibri" w:eastAsia="Times New Roman" w:hAnsi="Calibri" w:cs="Times New Roman"/>
                <w:b/>
                <w:bCs/>
                <w:color w:val="00B050"/>
                <w:sz w:val="20"/>
                <w:szCs w:val="20"/>
              </w:rPr>
              <w:t>Xss</w:t>
            </w:r>
            <w:proofErr w:type="spellEnd"/>
            <w:r w:rsidRPr="0095728C">
              <w:rPr>
                <w:rFonts w:ascii="Calibri" w:eastAsia="Times New Roman" w:hAnsi="Calibri" w:cs="Times New Roman"/>
                <w:b/>
                <w:bCs/>
                <w:color w:val="00B050"/>
                <w:sz w:val="20"/>
                <w:szCs w:val="20"/>
              </w:rPr>
              <w:t>(41)</w:t>
            </w:r>
          </w:p>
        </w:tc>
        <w:tc>
          <w:tcPr>
            <w:tcW w:w="7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8</w:t>
            </w:r>
          </w:p>
        </w:tc>
        <w:tc>
          <w:tcPr>
            <w:tcW w:w="7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U</w:t>
            </w:r>
            <w:r w:rsidRPr="0095728C">
              <w:rPr>
                <w:rFonts w:ascii="Calibri" w:eastAsia="Times New Roman" w:hAnsi="Calibri" w:cs="Times New Roman"/>
                <w:b/>
                <w:bCs/>
                <w:color w:val="00B050"/>
                <w:sz w:val="20"/>
                <w:szCs w:val="20"/>
                <w:vertAlign w:val="subscript"/>
              </w:rPr>
              <w:t>3</w:t>
            </w:r>
            <w:r w:rsidRPr="0095728C">
              <w:rPr>
                <w:rFonts w:ascii="Calibri" w:eastAsia="Times New Roman" w:hAnsi="Calibri" w:cs="Times New Roman"/>
                <w:b/>
                <w:bCs/>
                <w:color w:val="00B050"/>
                <w:sz w:val="20"/>
                <w:szCs w:val="20"/>
              </w:rPr>
              <w:t>O</w:t>
            </w:r>
            <w:r w:rsidRPr="0095728C">
              <w:rPr>
                <w:rFonts w:ascii="Calibri" w:eastAsia="Times New Roman" w:hAnsi="Calibri" w:cs="Times New Roman"/>
                <w:b/>
                <w:bCs/>
                <w:color w:val="00B050"/>
                <w:sz w:val="20"/>
                <w:szCs w:val="20"/>
                <w:vertAlign w:val="subscript"/>
              </w:rPr>
              <w:t>8</w:t>
            </w:r>
          </w:p>
        </w:tc>
        <w:tc>
          <w:tcPr>
            <w:tcW w:w="8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18</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Waste</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0.776</w:t>
            </w:r>
          </w:p>
        </w:tc>
      </w:tr>
      <w:tr w:rsidR="0095728C" w:rsidRPr="0095728C" w:rsidTr="0095728C">
        <w:trPr>
          <w:trHeight w:val="255"/>
          <w:jc w:val="center"/>
        </w:trPr>
        <w:tc>
          <w:tcPr>
            <w:tcW w:w="82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proofErr w:type="spellStart"/>
            <w:r w:rsidRPr="0095728C">
              <w:rPr>
                <w:rFonts w:ascii="Calibri" w:eastAsia="Times New Roman" w:hAnsi="Calibri" w:cs="Times New Roman"/>
                <w:b/>
                <w:bCs/>
                <w:color w:val="FF0000"/>
                <w:sz w:val="20"/>
                <w:szCs w:val="20"/>
              </w:rPr>
              <w:t>Xss</w:t>
            </w:r>
            <w:proofErr w:type="spellEnd"/>
            <w:r w:rsidRPr="0095728C">
              <w:rPr>
                <w:rFonts w:ascii="Calibri" w:eastAsia="Times New Roman" w:hAnsi="Calibri" w:cs="Times New Roman"/>
                <w:b/>
                <w:bCs/>
                <w:color w:val="FF0000"/>
                <w:sz w:val="20"/>
                <w:szCs w:val="20"/>
              </w:rPr>
              <w:t>(64)</w:t>
            </w:r>
          </w:p>
        </w:tc>
        <w:tc>
          <w:tcPr>
            <w:tcW w:w="7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12</w:t>
            </w:r>
          </w:p>
        </w:tc>
        <w:tc>
          <w:tcPr>
            <w:tcW w:w="7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UN</w:t>
            </w:r>
          </w:p>
        </w:tc>
        <w:tc>
          <w:tcPr>
            <w:tcW w:w="8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14</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Product</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206</w:t>
            </w:r>
          </w:p>
        </w:tc>
      </w:tr>
      <w:tr w:rsidR="0095728C" w:rsidRPr="0095728C" w:rsidTr="0095728C">
        <w:trPr>
          <w:trHeight w:val="315"/>
          <w:jc w:val="center"/>
        </w:trPr>
        <w:tc>
          <w:tcPr>
            <w:tcW w:w="820"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proofErr w:type="spellStart"/>
            <w:r w:rsidRPr="0095728C">
              <w:rPr>
                <w:rFonts w:ascii="Calibri" w:eastAsia="Times New Roman" w:hAnsi="Calibri" w:cs="Times New Roman"/>
                <w:b/>
                <w:bCs/>
                <w:color w:val="00B050"/>
                <w:sz w:val="20"/>
                <w:szCs w:val="20"/>
              </w:rPr>
              <w:t>Xss</w:t>
            </w:r>
            <w:proofErr w:type="spellEnd"/>
            <w:r w:rsidRPr="0095728C">
              <w:rPr>
                <w:rFonts w:ascii="Calibri" w:eastAsia="Times New Roman" w:hAnsi="Calibri" w:cs="Times New Roman"/>
                <w:b/>
                <w:bCs/>
                <w:color w:val="00B050"/>
                <w:sz w:val="20"/>
                <w:szCs w:val="20"/>
              </w:rPr>
              <w:t>(70)</w:t>
            </w:r>
          </w:p>
        </w:tc>
        <w:tc>
          <w:tcPr>
            <w:tcW w:w="700"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13</w:t>
            </w:r>
          </w:p>
        </w:tc>
        <w:tc>
          <w:tcPr>
            <w:tcW w:w="780"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UN</w:t>
            </w:r>
          </w:p>
        </w:tc>
        <w:tc>
          <w:tcPr>
            <w:tcW w:w="800"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14</w:t>
            </w:r>
          </w:p>
        </w:tc>
        <w:tc>
          <w:tcPr>
            <w:tcW w:w="1160"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Waste</w:t>
            </w:r>
          </w:p>
        </w:tc>
        <w:tc>
          <w:tcPr>
            <w:tcW w:w="1160"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2.06 × 10</w:t>
            </w:r>
            <w:r w:rsidRPr="0095728C">
              <w:rPr>
                <w:rFonts w:ascii="Calibri" w:eastAsia="Times New Roman" w:hAnsi="Calibri" w:cs="Times New Roman"/>
                <w:b/>
                <w:bCs/>
                <w:color w:val="00B050"/>
                <w:sz w:val="20"/>
                <w:szCs w:val="20"/>
                <w:vertAlign w:val="superscript"/>
              </w:rPr>
              <w:t>-2</w:t>
            </w:r>
          </w:p>
        </w:tc>
      </w:tr>
      <w:tr w:rsidR="0095728C" w:rsidRPr="0095728C" w:rsidTr="0095728C">
        <w:trPr>
          <w:trHeight w:val="255"/>
          <w:jc w:val="center"/>
        </w:trPr>
        <w:tc>
          <w:tcPr>
            <w:tcW w:w="5420" w:type="dxa"/>
            <w:gridSpan w:val="6"/>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Module 2</w:t>
            </w:r>
          </w:p>
        </w:tc>
      </w:tr>
      <w:tr w:rsidR="0095728C" w:rsidRPr="0095728C" w:rsidTr="0095728C">
        <w:trPr>
          <w:trHeight w:val="255"/>
          <w:jc w:val="center"/>
        </w:trPr>
        <w:tc>
          <w:tcPr>
            <w:tcW w:w="82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roofErr w:type="spellStart"/>
            <w:r w:rsidRPr="0095728C">
              <w:rPr>
                <w:rFonts w:ascii="Calibri" w:eastAsia="Times New Roman" w:hAnsi="Calibri" w:cs="Times New Roman"/>
                <w:color w:val="000000"/>
                <w:sz w:val="20"/>
                <w:szCs w:val="20"/>
              </w:rPr>
              <w:t>Xss</w:t>
            </w:r>
            <w:proofErr w:type="spellEnd"/>
            <w:r w:rsidRPr="0095728C">
              <w:rPr>
                <w:rFonts w:ascii="Calibri" w:eastAsia="Times New Roman" w:hAnsi="Calibri" w:cs="Times New Roman"/>
                <w:color w:val="000000"/>
                <w:sz w:val="20"/>
                <w:szCs w:val="20"/>
              </w:rPr>
              <w:t>(77)</w:t>
            </w:r>
          </w:p>
        </w:tc>
        <w:tc>
          <w:tcPr>
            <w:tcW w:w="7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14</w:t>
            </w:r>
          </w:p>
        </w:tc>
        <w:tc>
          <w:tcPr>
            <w:tcW w:w="7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UN</w:t>
            </w:r>
          </w:p>
        </w:tc>
        <w:tc>
          <w:tcPr>
            <w:tcW w:w="8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14</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Intermediate</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207</w:t>
            </w:r>
          </w:p>
        </w:tc>
      </w:tr>
      <w:tr w:rsidR="0095728C" w:rsidRPr="0095728C" w:rsidTr="0095728C">
        <w:trPr>
          <w:trHeight w:val="255"/>
          <w:jc w:val="center"/>
        </w:trPr>
        <w:tc>
          <w:tcPr>
            <w:tcW w:w="82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roofErr w:type="spellStart"/>
            <w:r w:rsidRPr="0095728C">
              <w:rPr>
                <w:rFonts w:ascii="Calibri" w:eastAsia="Times New Roman" w:hAnsi="Calibri" w:cs="Times New Roman"/>
                <w:color w:val="000000"/>
                <w:sz w:val="20"/>
                <w:szCs w:val="20"/>
              </w:rPr>
              <w:t>Xss</w:t>
            </w:r>
            <w:proofErr w:type="spellEnd"/>
            <w:r w:rsidRPr="0095728C">
              <w:rPr>
                <w:rFonts w:ascii="Calibri" w:eastAsia="Times New Roman" w:hAnsi="Calibri" w:cs="Times New Roman"/>
                <w:color w:val="000000"/>
                <w:sz w:val="20"/>
                <w:szCs w:val="20"/>
              </w:rPr>
              <w:t>(84)</w:t>
            </w:r>
          </w:p>
        </w:tc>
        <w:tc>
          <w:tcPr>
            <w:tcW w:w="7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15</w:t>
            </w:r>
          </w:p>
        </w:tc>
        <w:tc>
          <w:tcPr>
            <w:tcW w:w="7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UN</w:t>
            </w:r>
          </w:p>
        </w:tc>
        <w:tc>
          <w:tcPr>
            <w:tcW w:w="8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14</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Intermediate</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206</w:t>
            </w:r>
          </w:p>
        </w:tc>
      </w:tr>
      <w:tr w:rsidR="0095728C" w:rsidRPr="0095728C" w:rsidTr="0095728C">
        <w:trPr>
          <w:trHeight w:val="255"/>
          <w:jc w:val="center"/>
        </w:trPr>
        <w:tc>
          <w:tcPr>
            <w:tcW w:w="82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proofErr w:type="spellStart"/>
            <w:r w:rsidRPr="0095728C">
              <w:rPr>
                <w:rFonts w:ascii="Calibri" w:eastAsia="Times New Roman" w:hAnsi="Calibri" w:cs="Times New Roman"/>
                <w:b/>
                <w:bCs/>
                <w:color w:val="00B050"/>
                <w:sz w:val="20"/>
                <w:szCs w:val="20"/>
              </w:rPr>
              <w:t>Xss</w:t>
            </w:r>
            <w:proofErr w:type="spellEnd"/>
            <w:r w:rsidRPr="0095728C">
              <w:rPr>
                <w:rFonts w:ascii="Calibri" w:eastAsia="Times New Roman" w:hAnsi="Calibri" w:cs="Times New Roman"/>
                <w:b/>
                <w:bCs/>
                <w:color w:val="00B050"/>
                <w:sz w:val="20"/>
                <w:szCs w:val="20"/>
              </w:rPr>
              <w:t>(91)</w:t>
            </w:r>
          </w:p>
        </w:tc>
        <w:tc>
          <w:tcPr>
            <w:tcW w:w="7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16</w:t>
            </w:r>
          </w:p>
        </w:tc>
        <w:tc>
          <w:tcPr>
            <w:tcW w:w="7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UN</w:t>
            </w:r>
          </w:p>
        </w:tc>
        <w:tc>
          <w:tcPr>
            <w:tcW w:w="8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14</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Waste</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1.03</w:t>
            </w:r>
          </w:p>
        </w:tc>
      </w:tr>
      <w:tr w:rsidR="0095728C" w:rsidRPr="0095728C" w:rsidTr="0095728C">
        <w:trPr>
          <w:trHeight w:val="300"/>
          <w:jc w:val="center"/>
        </w:trPr>
        <w:tc>
          <w:tcPr>
            <w:tcW w:w="82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proofErr w:type="spellStart"/>
            <w:r w:rsidRPr="0095728C">
              <w:rPr>
                <w:rFonts w:ascii="Calibri" w:eastAsia="Times New Roman" w:hAnsi="Calibri" w:cs="Times New Roman"/>
                <w:b/>
                <w:bCs/>
                <w:color w:val="00B050"/>
                <w:sz w:val="20"/>
                <w:szCs w:val="20"/>
              </w:rPr>
              <w:t>Xss</w:t>
            </w:r>
            <w:proofErr w:type="spellEnd"/>
            <w:r w:rsidRPr="0095728C">
              <w:rPr>
                <w:rFonts w:ascii="Calibri" w:eastAsia="Times New Roman" w:hAnsi="Calibri" w:cs="Times New Roman"/>
                <w:b/>
                <w:bCs/>
                <w:color w:val="00B050"/>
                <w:sz w:val="20"/>
                <w:szCs w:val="20"/>
              </w:rPr>
              <w:t>(92)</w:t>
            </w:r>
          </w:p>
        </w:tc>
        <w:tc>
          <w:tcPr>
            <w:tcW w:w="7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16</w:t>
            </w:r>
          </w:p>
        </w:tc>
        <w:tc>
          <w:tcPr>
            <w:tcW w:w="7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U</w:t>
            </w:r>
            <w:r w:rsidRPr="0095728C">
              <w:rPr>
                <w:rFonts w:ascii="Calibri" w:eastAsia="Times New Roman" w:hAnsi="Calibri" w:cs="Times New Roman"/>
                <w:b/>
                <w:bCs/>
                <w:color w:val="00B050"/>
                <w:sz w:val="20"/>
                <w:szCs w:val="20"/>
                <w:vertAlign w:val="subscript"/>
              </w:rPr>
              <w:t>3</w:t>
            </w:r>
            <w:r w:rsidRPr="0095728C">
              <w:rPr>
                <w:rFonts w:ascii="Calibri" w:eastAsia="Times New Roman" w:hAnsi="Calibri" w:cs="Times New Roman"/>
                <w:b/>
                <w:bCs/>
                <w:color w:val="00B050"/>
                <w:sz w:val="20"/>
                <w:szCs w:val="20"/>
              </w:rPr>
              <w:t>O</w:t>
            </w:r>
            <w:r w:rsidRPr="0095728C">
              <w:rPr>
                <w:rFonts w:ascii="Calibri" w:eastAsia="Times New Roman" w:hAnsi="Calibri" w:cs="Times New Roman"/>
                <w:b/>
                <w:bCs/>
                <w:color w:val="00B050"/>
                <w:sz w:val="20"/>
                <w:szCs w:val="20"/>
                <w:vertAlign w:val="subscript"/>
              </w:rPr>
              <w:t>8</w:t>
            </w:r>
          </w:p>
        </w:tc>
        <w:tc>
          <w:tcPr>
            <w:tcW w:w="8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18</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Waste</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4.05 × 10</w:t>
            </w:r>
            <w:r w:rsidRPr="0095728C">
              <w:rPr>
                <w:rFonts w:ascii="Calibri" w:eastAsia="Times New Roman" w:hAnsi="Calibri" w:cs="Times New Roman"/>
                <w:b/>
                <w:bCs/>
                <w:color w:val="00B050"/>
                <w:sz w:val="20"/>
                <w:szCs w:val="20"/>
                <w:vertAlign w:val="superscript"/>
              </w:rPr>
              <w:t>-2</w:t>
            </w:r>
          </w:p>
        </w:tc>
      </w:tr>
      <w:tr w:rsidR="0095728C" w:rsidRPr="0095728C" w:rsidTr="0095728C">
        <w:trPr>
          <w:trHeight w:val="255"/>
          <w:jc w:val="center"/>
        </w:trPr>
        <w:tc>
          <w:tcPr>
            <w:tcW w:w="82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roofErr w:type="spellStart"/>
            <w:r w:rsidRPr="0095728C">
              <w:rPr>
                <w:rFonts w:ascii="Calibri" w:eastAsia="Times New Roman" w:hAnsi="Calibri" w:cs="Times New Roman"/>
                <w:color w:val="000000"/>
                <w:sz w:val="20"/>
                <w:szCs w:val="20"/>
              </w:rPr>
              <w:t>Xss</w:t>
            </w:r>
            <w:proofErr w:type="spellEnd"/>
            <w:r w:rsidRPr="0095728C">
              <w:rPr>
                <w:rFonts w:ascii="Calibri" w:eastAsia="Times New Roman" w:hAnsi="Calibri" w:cs="Times New Roman"/>
                <w:color w:val="000000"/>
                <w:sz w:val="20"/>
                <w:szCs w:val="20"/>
              </w:rPr>
              <w:t>(98)</w:t>
            </w:r>
          </w:p>
        </w:tc>
        <w:tc>
          <w:tcPr>
            <w:tcW w:w="7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17</w:t>
            </w:r>
          </w:p>
        </w:tc>
        <w:tc>
          <w:tcPr>
            <w:tcW w:w="7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UN</w:t>
            </w:r>
          </w:p>
        </w:tc>
        <w:tc>
          <w:tcPr>
            <w:tcW w:w="8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14</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Intermediate</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205</w:t>
            </w:r>
          </w:p>
        </w:tc>
      </w:tr>
      <w:tr w:rsidR="0095728C" w:rsidRPr="0095728C" w:rsidTr="0095728C">
        <w:trPr>
          <w:trHeight w:val="255"/>
          <w:jc w:val="center"/>
        </w:trPr>
        <w:tc>
          <w:tcPr>
            <w:tcW w:w="82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proofErr w:type="spellStart"/>
            <w:r w:rsidRPr="0095728C">
              <w:rPr>
                <w:rFonts w:ascii="Calibri" w:eastAsia="Times New Roman" w:hAnsi="Calibri" w:cs="Times New Roman"/>
                <w:b/>
                <w:bCs/>
                <w:color w:val="FF0000"/>
                <w:sz w:val="20"/>
                <w:szCs w:val="20"/>
              </w:rPr>
              <w:t>Xss</w:t>
            </w:r>
            <w:proofErr w:type="spellEnd"/>
            <w:r w:rsidRPr="0095728C">
              <w:rPr>
                <w:rFonts w:ascii="Calibri" w:eastAsia="Times New Roman" w:hAnsi="Calibri" w:cs="Times New Roman"/>
                <w:b/>
                <w:bCs/>
                <w:color w:val="FF0000"/>
                <w:sz w:val="20"/>
                <w:szCs w:val="20"/>
              </w:rPr>
              <w:t>(111)</w:t>
            </w:r>
          </w:p>
        </w:tc>
        <w:tc>
          <w:tcPr>
            <w:tcW w:w="7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19</w:t>
            </w:r>
          </w:p>
        </w:tc>
        <w:tc>
          <w:tcPr>
            <w:tcW w:w="7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UN</w:t>
            </w:r>
          </w:p>
        </w:tc>
        <w:tc>
          <w:tcPr>
            <w:tcW w:w="8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14</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Product</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205</w:t>
            </w:r>
          </w:p>
        </w:tc>
      </w:tr>
      <w:tr w:rsidR="0095728C" w:rsidRPr="0095728C" w:rsidTr="0095728C">
        <w:trPr>
          <w:trHeight w:val="270"/>
          <w:jc w:val="center"/>
        </w:trPr>
        <w:tc>
          <w:tcPr>
            <w:tcW w:w="820"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proofErr w:type="spellStart"/>
            <w:r w:rsidRPr="0095728C">
              <w:rPr>
                <w:rFonts w:ascii="Calibri" w:eastAsia="Times New Roman" w:hAnsi="Calibri" w:cs="Times New Roman"/>
                <w:b/>
                <w:bCs/>
                <w:color w:val="00B050"/>
                <w:sz w:val="20"/>
                <w:szCs w:val="20"/>
              </w:rPr>
              <w:t>Xss</w:t>
            </w:r>
            <w:proofErr w:type="spellEnd"/>
            <w:r w:rsidRPr="0095728C">
              <w:rPr>
                <w:rFonts w:ascii="Calibri" w:eastAsia="Times New Roman" w:hAnsi="Calibri" w:cs="Times New Roman"/>
                <w:b/>
                <w:bCs/>
                <w:color w:val="00B050"/>
                <w:sz w:val="20"/>
                <w:szCs w:val="20"/>
              </w:rPr>
              <w:t>(117)</w:t>
            </w:r>
          </w:p>
        </w:tc>
        <w:tc>
          <w:tcPr>
            <w:tcW w:w="700"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20</w:t>
            </w:r>
          </w:p>
        </w:tc>
        <w:tc>
          <w:tcPr>
            <w:tcW w:w="780"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UN</w:t>
            </w:r>
          </w:p>
        </w:tc>
        <w:tc>
          <w:tcPr>
            <w:tcW w:w="800"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14</w:t>
            </w:r>
          </w:p>
        </w:tc>
        <w:tc>
          <w:tcPr>
            <w:tcW w:w="1160"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Waste</w:t>
            </w:r>
          </w:p>
        </w:tc>
        <w:tc>
          <w:tcPr>
            <w:tcW w:w="1160"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0.205</w:t>
            </w:r>
          </w:p>
        </w:tc>
      </w:tr>
      <w:tr w:rsidR="0095728C" w:rsidRPr="0095728C" w:rsidTr="0095728C">
        <w:trPr>
          <w:trHeight w:val="255"/>
          <w:jc w:val="center"/>
        </w:trPr>
        <w:tc>
          <w:tcPr>
            <w:tcW w:w="5420" w:type="dxa"/>
            <w:gridSpan w:val="6"/>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Module 3</w:t>
            </w:r>
          </w:p>
        </w:tc>
      </w:tr>
      <w:tr w:rsidR="0095728C" w:rsidRPr="0095728C" w:rsidTr="0095728C">
        <w:trPr>
          <w:trHeight w:val="300"/>
          <w:jc w:val="center"/>
        </w:trPr>
        <w:tc>
          <w:tcPr>
            <w:tcW w:w="82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proofErr w:type="spellStart"/>
            <w:r w:rsidRPr="0095728C">
              <w:rPr>
                <w:rFonts w:ascii="Calibri" w:eastAsia="Times New Roman" w:hAnsi="Calibri" w:cs="Times New Roman"/>
                <w:b/>
                <w:bCs/>
                <w:color w:val="00B050"/>
                <w:sz w:val="20"/>
                <w:szCs w:val="20"/>
              </w:rPr>
              <w:t>Xss</w:t>
            </w:r>
            <w:proofErr w:type="spellEnd"/>
            <w:r w:rsidRPr="0095728C">
              <w:rPr>
                <w:rFonts w:ascii="Calibri" w:eastAsia="Times New Roman" w:hAnsi="Calibri" w:cs="Times New Roman"/>
                <w:b/>
                <w:bCs/>
                <w:color w:val="00B050"/>
                <w:sz w:val="20"/>
                <w:szCs w:val="20"/>
              </w:rPr>
              <w:t>(123)</w:t>
            </w:r>
          </w:p>
        </w:tc>
        <w:tc>
          <w:tcPr>
            <w:tcW w:w="7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21</w:t>
            </w:r>
          </w:p>
        </w:tc>
        <w:tc>
          <w:tcPr>
            <w:tcW w:w="7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UN</w:t>
            </w:r>
          </w:p>
        </w:tc>
        <w:tc>
          <w:tcPr>
            <w:tcW w:w="8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14</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Waste</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2.05 × 10</w:t>
            </w:r>
            <w:r w:rsidRPr="0095728C">
              <w:rPr>
                <w:rFonts w:ascii="Calibri" w:eastAsia="Times New Roman" w:hAnsi="Calibri" w:cs="Times New Roman"/>
                <w:b/>
                <w:bCs/>
                <w:color w:val="00B050"/>
                <w:sz w:val="20"/>
                <w:szCs w:val="20"/>
                <w:vertAlign w:val="superscript"/>
              </w:rPr>
              <w:t>-2</w:t>
            </w:r>
          </w:p>
        </w:tc>
      </w:tr>
      <w:tr w:rsidR="0095728C" w:rsidRPr="0095728C" w:rsidTr="0095728C">
        <w:trPr>
          <w:trHeight w:val="255"/>
          <w:jc w:val="center"/>
        </w:trPr>
        <w:tc>
          <w:tcPr>
            <w:tcW w:w="82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roofErr w:type="spellStart"/>
            <w:r w:rsidRPr="0095728C">
              <w:rPr>
                <w:rFonts w:ascii="Calibri" w:eastAsia="Times New Roman" w:hAnsi="Calibri" w:cs="Times New Roman"/>
                <w:color w:val="000000"/>
                <w:sz w:val="20"/>
                <w:szCs w:val="20"/>
              </w:rPr>
              <w:t>Xss</w:t>
            </w:r>
            <w:proofErr w:type="spellEnd"/>
            <w:r w:rsidRPr="0095728C">
              <w:rPr>
                <w:rFonts w:ascii="Calibri" w:eastAsia="Times New Roman" w:hAnsi="Calibri" w:cs="Times New Roman"/>
                <w:color w:val="000000"/>
                <w:sz w:val="20"/>
                <w:szCs w:val="20"/>
              </w:rPr>
              <w:t>(128)</w:t>
            </w:r>
          </w:p>
        </w:tc>
        <w:tc>
          <w:tcPr>
            <w:tcW w:w="7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22</w:t>
            </w:r>
          </w:p>
        </w:tc>
        <w:tc>
          <w:tcPr>
            <w:tcW w:w="7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UN</w:t>
            </w:r>
          </w:p>
        </w:tc>
        <w:tc>
          <w:tcPr>
            <w:tcW w:w="8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14</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Intermediate</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205</w:t>
            </w:r>
          </w:p>
        </w:tc>
      </w:tr>
      <w:tr w:rsidR="0095728C" w:rsidRPr="0095728C" w:rsidTr="0095728C">
        <w:trPr>
          <w:trHeight w:val="255"/>
          <w:jc w:val="center"/>
        </w:trPr>
        <w:tc>
          <w:tcPr>
            <w:tcW w:w="82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roofErr w:type="spellStart"/>
            <w:r w:rsidRPr="0095728C">
              <w:rPr>
                <w:rFonts w:ascii="Calibri" w:eastAsia="Times New Roman" w:hAnsi="Calibri" w:cs="Times New Roman"/>
                <w:color w:val="000000"/>
                <w:sz w:val="20"/>
                <w:szCs w:val="20"/>
              </w:rPr>
              <w:t>Xss</w:t>
            </w:r>
            <w:proofErr w:type="spellEnd"/>
            <w:r w:rsidRPr="0095728C">
              <w:rPr>
                <w:rFonts w:ascii="Calibri" w:eastAsia="Times New Roman" w:hAnsi="Calibri" w:cs="Times New Roman"/>
                <w:color w:val="000000"/>
                <w:sz w:val="20"/>
                <w:szCs w:val="20"/>
              </w:rPr>
              <w:t>(138)</w:t>
            </w:r>
          </w:p>
        </w:tc>
        <w:tc>
          <w:tcPr>
            <w:tcW w:w="7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26</w:t>
            </w:r>
          </w:p>
        </w:tc>
        <w:tc>
          <w:tcPr>
            <w:tcW w:w="7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UN</w:t>
            </w:r>
          </w:p>
        </w:tc>
        <w:tc>
          <w:tcPr>
            <w:tcW w:w="8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14</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Intermediate</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205</w:t>
            </w:r>
          </w:p>
        </w:tc>
      </w:tr>
      <w:tr w:rsidR="0095728C" w:rsidRPr="0095728C" w:rsidTr="0095728C">
        <w:trPr>
          <w:trHeight w:val="255"/>
          <w:jc w:val="center"/>
        </w:trPr>
        <w:tc>
          <w:tcPr>
            <w:tcW w:w="82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roofErr w:type="spellStart"/>
            <w:r w:rsidRPr="0095728C">
              <w:rPr>
                <w:rFonts w:ascii="Calibri" w:eastAsia="Times New Roman" w:hAnsi="Calibri" w:cs="Times New Roman"/>
                <w:color w:val="000000"/>
                <w:sz w:val="20"/>
                <w:szCs w:val="20"/>
              </w:rPr>
              <w:t>Xss</w:t>
            </w:r>
            <w:proofErr w:type="spellEnd"/>
            <w:r w:rsidRPr="0095728C">
              <w:rPr>
                <w:rFonts w:ascii="Calibri" w:eastAsia="Times New Roman" w:hAnsi="Calibri" w:cs="Times New Roman"/>
                <w:color w:val="000000"/>
                <w:sz w:val="20"/>
                <w:szCs w:val="20"/>
              </w:rPr>
              <w:t>(148)</w:t>
            </w:r>
          </w:p>
        </w:tc>
        <w:tc>
          <w:tcPr>
            <w:tcW w:w="7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27</w:t>
            </w:r>
          </w:p>
        </w:tc>
        <w:tc>
          <w:tcPr>
            <w:tcW w:w="7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AUC</w:t>
            </w:r>
          </w:p>
        </w:tc>
        <w:tc>
          <w:tcPr>
            <w:tcW w:w="8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19</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Intermediate</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205</w:t>
            </w:r>
          </w:p>
        </w:tc>
      </w:tr>
      <w:tr w:rsidR="0095728C" w:rsidRPr="0095728C" w:rsidTr="0095728C">
        <w:trPr>
          <w:trHeight w:val="255"/>
          <w:jc w:val="center"/>
        </w:trPr>
        <w:tc>
          <w:tcPr>
            <w:tcW w:w="82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roofErr w:type="spellStart"/>
            <w:r w:rsidRPr="0095728C">
              <w:rPr>
                <w:rFonts w:ascii="Calibri" w:eastAsia="Times New Roman" w:hAnsi="Calibri" w:cs="Times New Roman"/>
                <w:color w:val="000000"/>
                <w:sz w:val="20"/>
                <w:szCs w:val="20"/>
              </w:rPr>
              <w:t>Xss</w:t>
            </w:r>
            <w:proofErr w:type="spellEnd"/>
            <w:r w:rsidRPr="0095728C">
              <w:rPr>
                <w:rFonts w:ascii="Calibri" w:eastAsia="Times New Roman" w:hAnsi="Calibri" w:cs="Times New Roman"/>
                <w:color w:val="000000"/>
                <w:sz w:val="20"/>
                <w:szCs w:val="20"/>
              </w:rPr>
              <w:t>(159)</w:t>
            </w:r>
          </w:p>
        </w:tc>
        <w:tc>
          <w:tcPr>
            <w:tcW w:w="7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29</w:t>
            </w:r>
          </w:p>
        </w:tc>
        <w:tc>
          <w:tcPr>
            <w:tcW w:w="7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AUC</w:t>
            </w:r>
          </w:p>
        </w:tc>
        <w:tc>
          <w:tcPr>
            <w:tcW w:w="8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19</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Intermediate</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205</w:t>
            </w:r>
          </w:p>
        </w:tc>
      </w:tr>
      <w:tr w:rsidR="0095728C" w:rsidRPr="0095728C" w:rsidTr="0095728C">
        <w:trPr>
          <w:trHeight w:val="255"/>
          <w:jc w:val="center"/>
        </w:trPr>
        <w:tc>
          <w:tcPr>
            <w:tcW w:w="82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proofErr w:type="spellStart"/>
            <w:r w:rsidRPr="0095728C">
              <w:rPr>
                <w:rFonts w:ascii="Calibri" w:eastAsia="Times New Roman" w:hAnsi="Calibri" w:cs="Times New Roman"/>
                <w:b/>
                <w:bCs/>
                <w:color w:val="FF0000"/>
                <w:sz w:val="20"/>
                <w:szCs w:val="20"/>
              </w:rPr>
              <w:t>Xss</w:t>
            </w:r>
            <w:proofErr w:type="spellEnd"/>
            <w:r w:rsidRPr="0095728C">
              <w:rPr>
                <w:rFonts w:ascii="Calibri" w:eastAsia="Times New Roman" w:hAnsi="Calibri" w:cs="Times New Roman"/>
                <w:b/>
                <w:bCs/>
                <w:color w:val="FF0000"/>
                <w:sz w:val="20"/>
                <w:szCs w:val="20"/>
              </w:rPr>
              <w:t>(163)</w:t>
            </w:r>
          </w:p>
        </w:tc>
        <w:tc>
          <w:tcPr>
            <w:tcW w:w="7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30</w:t>
            </w:r>
          </w:p>
        </w:tc>
        <w:tc>
          <w:tcPr>
            <w:tcW w:w="7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AUC</w:t>
            </w:r>
          </w:p>
        </w:tc>
        <w:tc>
          <w:tcPr>
            <w:tcW w:w="8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19</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Product</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204</w:t>
            </w:r>
          </w:p>
        </w:tc>
      </w:tr>
      <w:tr w:rsidR="0095728C" w:rsidRPr="0095728C" w:rsidTr="0095728C">
        <w:trPr>
          <w:trHeight w:val="300"/>
          <w:jc w:val="center"/>
        </w:trPr>
        <w:tc>
          <w:tcPr>
            <w:tcW w:w="82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proofErr w:type="spellStart"/>
            <w:r w:rsidRPr="0095728C">
              <w:rPr>
                <w:rFonts w:ascii="Calibri" w:eastAsia="Times New Roman" w:hAnsi="Calibri" w:cs="Times New Roman"/>
                <w:b/>
                <w:bCs/>
                <w:color w:val="00B050"/>
                <w:sz w:val="20"/>
                <w:szCs w:val="20"/>
              </w:rPr>
              <w:t>Xss</w:t>
            </w:r>
            <w:proofErr w:type="spellEnd"/>
            <w:r w:rsidRPr="0095728C">
              <w:rPr>
                <w:rFonts w:ascii="Calibri" w:eastAsia="Times New Roman" w:hAnsi="Calibri" w:cs="Times New Roman"/>
                <w:b/>
                <w:bCs/>
                <w:color w:val="00B050"/>
                <w:sz w:val="20"/>
                <w:szCs w:val="20"/>
              </w:rPr>
              <w:t>(169)</w:t>
            </w:r>
          </w:p>
        </w:tc>
        <w:tc>
          <w:tcPr>
            <w:tcW w:w="7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31</w:t>
            </w:r>
          </w:p>
        </w:tc>
        <w:tc>
          <w:tcPr>
            <w:tcW w:w="7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UN</w:t>
            </w:r>
          </w:p>
        </w:tc>
        <w:tc>
          <w:tcPr>
            <w:tcW w:w="8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14</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Waste</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2.05 × 10</w:t>
            </w:r>
            <w:r w:rsidRPr="0095728C">
              <w:rPr>
                <w:rFonts w:ascii="Calibri" w:eastAsia="Times New Roman" w:hAnsi="Calibri" w:cs="Times New Roman"/>
                <w:b/>
                <w:bCs/>
                <w:color w:val="00B050"/>
                <w:sz w:val="20"/>
                <w:szCs w:val="20"/>
                <w:vertAlign w:val="superscript"/>
              </w:rPr>
              <w:t>-2</w:t>
            </w:r>
          </w:p>
        </w:tc>
      </w:tr>
      <w:tr w:rsidR="0095728C" w:rsidRPr="0095728C" w:rsidTr="0095728C">
        <w:trPr>
          <w:trHeight w:val="270"/>
          <w:jc w:val="center"/>
        </w:trPr>
        <w:tc>
          <w:tcPr>
            <w:tcW w:w="820"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proofErr w:type="spellStart"/>
            <w:r w:rsidRPr="0095728C">
              <w:rPr>
                <w:rFonts w:ascii="Calibri" w:eastAsia="Times New Roman" w:hAnsi="Calibri" w:cs="Times New Roman"/>
                <w:b/>
                <w:bCs/>
                <w:color w:val="00B050"/>
                <w:sz w:val="20"/>
                <w:szCs w:val="20"/>
              </w:rPr>
              <w:t>Xss</w:t>
            </w:r>
            <w:proofErr w:type="spellEnd"/>
            <w:r w:rsidRPr="0095728C">
              <w:rPr>
                <w:rFonts w:ascii="Calibri" w:eastAsia="Times New Roman" w:hAnsi="Calibri" w:cs="Times New Roman"/>
                <w:b/>
                <w:bCs/>
                <w:color w:val="00B050"/>
                <w:sz w:val="20"/>
                <w:szCs w:val="20"/>
              </w:rPr>
              <w:t>(171)</w:t>
            </w:r>
          </w:p>
        </w:tc>
        <w:tc>
          <w:tcPr>
            <w:tcW w:w="700"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31</w:t>
            </w:r>
          </w:p>
        </w:tc>
        <w:tc>
          <w:tcPr>
            <w:tcW w:w="780"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AUC</w:t>
            </w:r>
          </w:p>
        </w:tc>
        <w:tc>
          <w:tcPr>
            <w:tcW w:w="800"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19</w:t>
            </w:r>
          </w:p>
        </w:tc>
        <w:tc>
          <w:tcPr>
            <w:tcW w:w="1160"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Waste</w:t>
            </w:r>
          </w:p>
        </w:tc>
        <w:tc>
          <w:tcPr>
            <w:tcW w:w="1160"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1.03</w:t>
            </w:r>
          </w:p>
        </w:tc>
      </w:tr>
      <w:tr w:rsidR="0095728C" w:rsidRPr="0095728C" w:rsidTr="0095728C">
        <w:trPr>
          <w:trHeight w:val="255"/>
          <w:jc w:val="center"/>
        </w:trPr>
        <w:tc>
          <w:tcPr>
            <w:tcW w:w="5420" w:type="dxa"/>
            <w:gridSpan w:val="6"/>
            <w:tcBorders>
              <w:top w:val="nil"/>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Module 4</w:t>
            </w:r>
          </w:p>
        </w:tc>
      </w:tr>
      <w:tr w:rsidR="0095728C" w:rsidRPr="0095728C" w:rsidTr="0095728C">
        <w:trPr>
          <w:trHeight w:val="285"/>
          <w:jc w:val="center"/>
        </w:trPr>
        <w:tc>
          <w:tcPr>
            <w:tcW w:w="82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roofErr w:type="spellStart"/>
            <w:r w:rsidRPr="0095728C">
              <w:rPr>
                <w:rFonts w:ascii="Calibri" w:eastAsia="Times New Roman" w:hAnsi="Calibri" w:cs="Times New Roman"/>
                <w:color w:val="000000"/>
                <w:sz w:val="20"/>
                <w:szCs w:val="20"/>
              </w:rPr>
              <w:t>Xss</w:t>
            </w:r>
            <w:proofErr w:type="spellEnd"/>
            <w:r w:rsidRPr="0095728C">
              <w:rPr>
                <w:rFonts w:ascii="Calibri" w:eastAsia="Times New Roman" w:hAnsi="Calibri" w:cs="Times New Roman"/>
                <w:color w:val="000000"/>
                <w:sz w:val="20"/>
                <w:szCs w:val="20"/>
              </w:rPr>
              <w:t>(181)</w:t>
            </w:r>
          </w:p>
        </w:tc>
        <w:tc>
          <w:tcPr>
            <w:tcW w:w="7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34</w:t>
            </w:r>
          </w:p>
        </w:tc>
        <w:tc>
          <w:tcPr>
            <w:tcW w:w="7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UO</w:t>
            </w:r>
            <w:r w:rsidRPr="0095728C">
              <w:rPr>
                <w:rFonts w:ascii="Calibri" w:eastAsia="Times New Roman" w:hAnsi="Calibri" w:cs="Times New Roman"/>
                <w:sz w:val="20"/>
                <w:szCs w:val="20"/>
                <w:vertAlign w:val="subscript"/>
              </w:rPr>
              <w:t>2</w:t>
            </w:r>
          </w:p>
        </w:tc>
        <w:tc>
          <w:tcPr>
            <w:tcW w:w="8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17</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Intermediate</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204</w:t>
            </w:r>
          </w:p>
        </w:tc>
      </w:tr>
      <w:tr w:rsidR="0095728C" w:rsidRPr="0095728C" w:rsidTr="0095728C">
        <w:trPr>
          <w:trHeight w:val="285"/>
          <w:jc w:val="center"/>
        </w:trPr>
        <w:tc>
          <w:tcPr>
            <w:tcW w:w="82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roofErr w:type="spellStart"/>
            <w:r w:rsidRPr="0095728C">
              <w:rPr>
                <w:rFonts w:ascii="Calibri" w:eastAsia="Times New Roman" w:hAnsi="Calibri" w:cs="Times New Roman"/>
                <w:color w:val="000000"/>
                <w:sz w:val="20"/>
                <w:szCs w:val="20"/>
              </w:rPr>
              <w:t>Xss</w:t>
            </w:r>
            <w:proofErr w:type="spellEnd"/>
            <w:r w:rsidRPr="0095728C">
              <w:rPr>
                <w:rFonts w:ascii="Calibri" w:eastAsia="Times New Roman" w:hAnsi="Calibri" w:cs="Times New Roman"/>
                <w:color w:val="000000"/>
                <w:sz w:val="20"/>
                <w:szCs w:val="20"/>
              </w:rPr>
              <w:t>(184)</w:t>
            </w:r>
          </w:p>
        </w:tc>
        <w:tc>
          <w:tcPr>
            <w:tcW w:w="7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35</w:t>
            </w:r>
          </w:p>
        </w:tc>
        <w:tc>
          <w:tcPr>
            <w:tcW w:w="7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UO</w:t>
            </w:r>
            <w:r w:rsidRPr="0095728C">
              <w:rPr>
                <w:rFonts w:ascii="Calibri" w:eastAsia="Times New Roman" w:hAnsi="Calibri" w:cs="Times New Roman"/>
                <w:sz w:val="20"/>
                <w:szCs w:val="20"/>
                <w:vertAlign w:val="subscript"/>
              </w:rPr>
              <w:t>2</w:t>
            </w:r>
          </w:p>
        </w:tc>
        <w:tc>
          <w:tcPr>
            <w:tcW w:w="8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17</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Intermediate</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204</w:t>
            </w:r>
          </w:p>
        </w:tc>
      </w:tr>
      <w:tr w:rsidR="0095728C" w:rsidRPr="0095728C" w:rsidTr="0095728C">
        <w:trPr>
          <w:trHeight w:val="285"/>
          <w:jc w:val="center"/>
        </w:trPr>
        <w:tc>
          <w:tcPr>
            <w:tcW w:w="82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roofErr w:type="spellStart"/>
            <w:r w:rsidRPr="0095728C">
              <w:rPr>
                <w:rFonts w:ascii="Calibri" w:eastAsia="Times New Roman" w:hAnsi="Calibri" w:cs="Times New Roman"/>
                <w:color w:val="000000"/>
                <w:sz w:val="20"/>
                <w:szCs w:val="20"/>
              </w:rPr>
              <w:t>Xss</w:t>
            </w:r>
            <w:proofErr w:type="spellEnd"/>
            <w:r w:rsidRPr="0095728C">
              <w:rPr>
                <w:rFonts w:ascii="Calibri" w:eastAsia="Times New Roman" w:hAnsi="Calibri" w:cs="Times New Roman"/>
                <w:color w:val="000000"/>
                <w:sz w:val="20"/>
                <w:szCs w:val="20"/>
              </w:rPr>
              <w:t>(198)</w:t>
            </w:r>
          </w:p>
        </w:tc>
        <w:tc>
          <w:tcPr>
            <w:tcW w:w="7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39</w:t>
            </w:r>
          </w:p>
        </w:tc>
        <w:tc>
          <w:tcPr>
            <w:tcW w:w="7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UO</w:t>
            </w:r>
            <w:r w:rsidRPr="0095728C">
              <w:rPr>
                <w:rFonts w:ascii="Calibri" w:eastAsia="Times New Roman" w:hAnsi="Calibri" w:cs="Times New Roman"/>
                <w:sz w:val="20"/>
                <w:szCs w:val="20"/>
                <w:vertAlign w:val="subscript"/>
              </w:rPr>
              <w:t>2</w:t>
            </w:r>
          </w:p>
        </w:tc>
        <w:tc>
          <w:tcPr>
            <w:tcW w:w="8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17</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Intermediate</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204</w:t>
            </w:r>
          </w:p>
        </w:tc>
      </w:tr>
      <w:tr w:rsidR="0095728C" w:rsidRPr="0095728C" w:rsidTr="0095728C">
        <w:trPr>
          <w:trHeight w:val="285"/>
          <w:jc w:val="center"/>
        </w:trPr>
        <w:tc>
          <w:tcPr>
            <w:tcW w:w="82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roofErr w:type="spellStart"/>
            <w:r w:rsidRPr="0095728C">
              <w:rPr>
                <w:rFonts w:ascii="Calibri" w:eastAsia="Times New Roman" w:hAnsi="Calibri" w:cs="Times New Roman"/>
                <w:color w:val="000000"/>
                <w:sz w:val="20"/>
                <w:szCs w:val="20"/>
              </w:rPr>
              <w:t>Xss</w:t>
            </w:r>
            <w:proofErr w:type="spellEnd"/>
            <w:r w:rsidRPr="0095728C">
              <w:rPr>
                <w:rFonts w:ascii="Calibri" w:eastAsia="Times New Roman" w:hAnsi="Calibri" w:cs="Times New Roman"/>
                <w:color w:val="000000"/>
                <w:sz w:val="20"/>
                <w:szCs w:val="20"/>
              </w:rPr>
              <w:t>(207)</w:t>
            </w:r>
          </w:p>
        </w:tc>
        <w:tc>
          <w:tcPr>
            <w:tcW w:w="7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42</w:t>
            </w:r>
          </w:p>
        </w:tc>
        <w:tc>
          <w:tcPr>
            <w:tcW w:w="7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UF</w:t>
            </w:r>
            <w:r w:rsidRPr="0095728C">
              <w:rPr>
                <w:rFonts w:ascii="Calibri" w:eastAsia="Times New Roman" w:hAnsi="Calibri" w:cs="Times New Roman"/>
                <w:sz w:val="20"/>
                <w:szCs w:val="20"/>
                <w:vertAlign w:val="subscript"/>
              </w:rPr>
              <w:t>4</w:t>
            </w:r>
          </w:p>
        </w:tc>
        <w:tc>
          <w:tcPr>
            <w:tcW w:w="8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16</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Intermediate</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194</w:t>
            </w:r>
          </w:p>
        </w:tc>
      </w:tr>
      <w:tr w:rsidR="0095728C" w:rsidRPr="0095728C" w:rsidTr="0095728C">
        <w:trPr>
          <w:trHeight w:val="285"/>
          <w:jc w:val="center"/>
        </w:trPr>
        <w:tc>
          <w:tcPr>
            <w:tcW w:w="82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roofErr w:type="spellStart"/>
            <w:r w:rsidRPr="0095728C">
              <w:rPr>
                <w:rFonts w:ascii="Calibri" w:eastAsia="Times New Roman" w:hAnsi="Calibri" w:cs="Times New Roman"/>
                <w:color w:val="000000"/>
                <w:sz w:val="20"/>
                <w:szCs w:val="20"/>
              </w:rPr>
              <w:t>Xss</w:t>
            </w:r>
            <w:proofErr w:type="spellEnd"/>
            <w:r w:rsidRPr="0095728C">
              <w:rPr>
                <w:rFonts w:ascii="Calibri" w:eastAsia="Times New Roman" w:hAnsi="Calibri" w:cs="Times New Roman"/>
                <w:color w:val="000000"/>
                <w:sz w:val="20"/>
                <w:szCs w:val="20"/>
              </w:rPr>
              <w:t>(208)</w:t>
            </w:r>
          </w:p>
        </w:tc>
        <w:tc>
          <w:tcPr>
            <w:tcW w:w="7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42</w:t>
            </w:r>
          </w:p>
        </w:tc>
        <w:tc>
          <w:tcPr>
            <w:tcW w:w="7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UO</w:t>
            </w:r>
            <w:r w:rsidRPr="0095728C">
              <w:rPr>
                <w:rFonts w:ascii="Calibri" w:eastAsia="Times New Roman" w:hAnsi="Calibri" w:cs="Times New Roman"/>
                <w:sz w:val="20"/>
                <w:szCs w:val="20"/>
                <w:vertAlign w:val="subscript"/>
              </w:rPr>
              <w:t>2</w:t>
            </w:r>
          </w:p>
        </w:tc>
        <w:tc>
          <w:tcPr>
            <w:tcW w:w="8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17</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Intermediate</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10.2</w:t>
            </w:r>
          </w:p>
        </w:tc>
      </w:tr>
      <w:tr w:rsidR="0095728C" w:rsidRPr="0095728C" w:rsidTr="0095728C">
        <w:trPr>
          <w:trHeight w:val="300"/>
          <w:jc w:val="center"/>
        </w:trPr>
        <w:tc>
          <w:tcPr>
            <w:tcW w:w="82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proofErr w:type="spellStart"/>
            <w:r w:rsidRPr="0095728C">
              <w:rPr>
                <w:rFonts w:ascii="Calibri" w:eastAsia="Times New Roman" w:hAnsi="Calibri" w:cs="Times New Roman"/>
                <w:b/>
                <w:bCs/>
                <w:color w:val="00B050"/>
                <w:sz w:val="20"/>
                <w:szCs w:val="20"/>
              </w:rPr>
              <w:t>Xss</w:t>
            </w:r>
            <w:proofErr w:type="spellEnd"/>
            <w:r w:rsidRPr="0095728C">
              <w:rPr>
                <w:rFonts w:ascii="Calibri" w:eastAsia="Times New Roman" w:hAnsi="Calibri" w:cs="Times New Roman"/>
                <w:b/>
                <w:bCs/>
                <w:color w:val="00B050"/>
                <w:sz w:val="20"/>
                <w:szCs w:val="20"/>
              </w:rPr>
              <w:t>(214)</w:t>
            </w:r>
          </w:p>
        </w:tc>
        <w:tc>
          <w:tcPr>
            <w:tcW w:w="7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43</w:t>
            </w:r>
          </w:p>
        </w:tc>
        <w:tc>
          <w:tcPr>
            <w:tcW w:w="7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UF</w:t>
            </w:r>
            <w:r w:rsidRPr="0095728C">
              <w:rPr>
                <w:rFonts w:ascii="Calibri" w:eastAsia="Times New Roman" w:hAnsi="Calibri" w:cs="Times New Roman"/>
                <w:b/>
                <w:bCs/>
                <w:color w:val="00B050"/>
                <w:sz w:val="20"/>
                <w:szCs w:val="20"/>
                <w:vertAlign w:val="subscript"/>
              </w:rPr>
              <w:t>4</w:t>
            </w:r>
          </w:p>
        </w:tc>
        <w:tc>
          <w:tcPr>
            <w:tcW w:w="8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16</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Waste</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1.94 × 10</w:t>
            </w:r>
            <w:r w:rsidRPr="0095728C">
              <w:rPr>
                <w:rFonts w:ascii="Calibri" w:eastAsia="Times New Roman" w:hAnsi="Calibri" w:cs="Times New Roman"/>
                <w:b/>
                <w:bCs/>
                <w:color w:val="00B050"/>
                <w:sz w:val="20"/>
                <w:szCs w:val="20"/>
                <w:vertAlign w:val="superscript"/>
              </w:rPr>
              <w:t>-3</w:t>
            </w:r>
          </w:p>
        </w:tc>
      </w:tr>
      <w:tr w:rsidR="0095728C" w:rsidRPr="0095728C" w:rsidTr="0095728C">
        <w:trPr>
          <w:trHeight w:val="300"/>
          <w:jc w:val="center"/>
        </w:trPr>
        <w:tc>
          <w:tcPr>
            <w:tcW w:w="82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proofErr w:type="spellStart"/>
            <w:r w:rsidRPr="0095728C">
              <w:rPr>
                <w:rFonts w:ascii="Calibri" w:eastAsia="Times New Roman" w:hAnsi="Calibri" w:cs="Times New Roman"/>
                <w:b/>
                <w:bCs/>
                <w:color w:val="00B050"/>
                <w:sz w:val="20"/>
                <w:szCs w:val="20"/>
              </w:rPr>
              <w:t>Xss</w:t>
            </w:r>
            <w:proofErr w:type="spellEnd"/>
            <w:r w:rsidRPr="0095728C">
              <w:rPr>
                <w:rFonts w:ascii="Calibri" w:eastAsia="Times New Roman" w:hAnsi="Calibri" w:cs="Times New Roman"/>
                <w:b/>
                <w:bCs/>
                <w:color w:val="00B050"/>
                <w:sz w:val="20"/>
                <w:szCs w:val="20"/>
              </w:rPr>
              <w:t>(215)</w:t>
            </w:r>
          </w:p>
        </w:tc>
        <w:tc>
          <w:tcPr>
            <w:tcW w:w="7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43</w:t>
            </w:r>
          </w:p>
        </w:tc>
        <w:tc>
          <w:tcPr>
            <w:tcW w:w="7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UO</w:t>
            </w:r>
            <w:r w:rsidRPr="0095728C">
              <w:rPr>
                <w:rFonts w:ascii="Calibri" w:eastAsia="Times New Roman" w:hAnsi="Calibri" w:cs="Times New Roman"/>
                <w:b/>
                <w:bCs/>
                <w:color w:val="00B050"/>
                <w:sz w:val="20"/>
                <w:szCs w:val="20"/>
                <w:vertAlign w:val="subscript"/>
              </w:rPr>
              <w:t>2</w:t>
            </w:r>
          </w:p>
        </w:tc>
        <w:tc>
          <w:tcPr>
            <w:tcW w:w="8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17</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Waste</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10.2 × 10</w:t>
            </w:r>
            <w:r w:rsidRPr="0095728C">
              <w:rPr>
                <w:rFonts w:ascii="Calibri" w:eastAsia="Times New Roman" w:hAnsi="Calibri" w:cs="Times New Roman"/>
                <w:b/>
                <w:bCs/>
                <w:color w:val="00B050"/>
                <w:sz w:val="20"/>
                <w:szCs w:val="20"/>
                <w:vertAlign w:val="superscript"/>
              </w:rPr>
              <w:t>-2</w:t>
            </w:r>
          </w:p>
        </w:tc>
      </w:tr>
      <w:tr w:rsidR="0095728C" w:rsidRPr="0095728C" w:rsidTr="0095728C">
        <w:trPr>
          <w:trHeight w:val="300"/>
          <w:jc w:val="center"/>
        </w:trPr>
        <w:tc>
          <w:tcPr>
            <w:tcW w:w="82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proofErr w:type="spellStart"/>
            <w:r w:rsidRPr="0095728C">
              <w:rPr>
                <w:rFonts w:ascii="Calibri" w:eastAsia="Times New Roman" w:hAnsi="Calibri" w:cs="Times New Roman"/>
                <w:b/>
                <w:bCs/>
                <w:color w:val="00B050"/>
                <w:sz w:val="20"/>
                <w:szCs w:val="20"/>
              </w:rPr>
              <w:t>Xss</w:t>
            </w:r>
            <w:proofErr w:type="spellEnd"/>
            <w:r w:rsidRPr="0095728C">
              <w:rPr>
                <w:rFonts w:ascii="Calibri" w:eastAsia="Times New Roman" w:hAnsi="Calibri" w:cs="Times New Roman"/>
                <w:b/>
                <w:bCs/>
                <w:color w:val="00B050"/>
                <w:sz w:val="20"/>
                <w:szCs w:val="20"/>
              </w:rPr>
              <w:t>(217)</w:t>
            </w:r>
          </w:p>
        </w:tc>
        <w:tc>
          <w:tcPr>
            <w:tcW w:w="7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43</w:t>
            </w:r>
          </w:p>
        </w:tc>
        <w:tc>
          <w:tcPr>
            <w:tcW w:w="7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AUC</w:t>
            </w:r>
          </w:p>
        </w:tc>
        <w:tc>
          <w:tcPr>
            <w:tcW w:w="8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19</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Waste</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2.04 × 10</w:t>
            </w:r>
            <w:r w:rsidRPr="0095728C">
              <w:rPr>
                <w:rFonts w:ascii="Calibri" w:eastAsia="Times New Roman" w:hAnsi="Calibri" w:cs="Times New Roman"/>
                <w:b/>
                <w:bCs/>
                <w:color w:val="00B050"/>
                <w:sz w:val="20"/>
                <w:szCs w:val="20"/>
                <w:vertAlign w:val="superscript"/>
              </w:rPr>
              <w:t>-2</w:t>
            </w:r>
          </w:p>
        </w:tc>
      </w:tr>
      <w:tr w:rsidR="0095728C" w:rsidRPr="0095728C" w:rsidTr="0095728C">
        <w:trPr>
          <w:trHeight w:val="285"/>
          <w:jc w:val="center"/>
        </w:trPr>
        <w:tc>
          <w:tcPr>
            <w:tcW w:w="82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proofErr w:type="spellStart"/>
            <w:r w:rsidRPr="0095728C">
              <w:rPr>
                <w:rFonts w:ascii="Calibri" w:eastAsia="Times New Roman" w:hAnsi="Calibri" w:cs="Times New Roman"/>
                <w:b/>
                <w:bCs/>
                <w:color w:val="FF0000"/>
                <w:sz w:val="20"/>
                <w:szCs w:val="20"/>
              </w:rPr>
              <w:t>Xss</w:t>
            </w:r>
            <w:proofErr w:type="spellEnd"/>
            <w:r w:rsidRPr="0095728C">
              <w:rPr>
                <w:rFonts w:ascii="Calibri" w:eastAsia="Times New Roman" w:hAnsi="Calibri" w:cs="Times New Roman"/>
                <w:b/>
                <w:bCs/>
                <w:color w:val="FF0000"/>
                <w:sz w:val="20"/>
                <w:szCs w:val="20"/>
              </w:rPr>
              <w:t>(218)</w:t>
            </w:r>
          </w:p>
        </w:tc>
        <w:tc>
          <w:tcPr>
            <w:tcW w:w="7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44</w:t>
            </w:r>
          </w:p>
        </w:tc>
        <w:tc>
          <w:tcPr>
            <w:tcW w:w="78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UF</w:t>
            </w:r>
            <w:r w:rsidRPr="0095728C">
              <w:rPr>
                <w:rFonts w:ascii="Calibri" w:eastAsia="Times New Roman" w:hAnsi="Calibri" w:cs="Times New Roman"/>
                <w:b/>
                <w:bCs/>
                <w:color w:val="FF0000"/>
                <w:sz w:val="20"/>
                <w:szCs w:val="20"/>
                <w:vertAlign w:val="subscript"/>
              </w:rPr>
              <w:t>4</w:t>
            </w:r>
          </w:p>
        </w:tc>
        <w:tc>
          <w:tcPr>
            <w:tcW w:w="80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16</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Product</w:t>
            </w:r>
          </w:p>
        </w:tc>
        <w:tc>
          <w:tcPr>
            <w:tcW w:w="1160"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194</w:t>
            </w:r>
          </w:p>
        </w:tc>
      </w:tr>
      <w:tr w:rsidR="0095728C" w:rsidRPr="0095728C" w:rsidTr="0095728C">
        <w:trPr>
          <w:trHeight w:val="300"/>
          <w:jc w:val="center"/>
        </w:trPr>
        <w:tc>
          <w:tcPr>
            <w:tcW w:w="820"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proofErr w:type="spellStart"/>
            <w:r w:rsidRPr="0095728C">
              <w:rPr>
                <w:rFonts w:ascii="Calibri" w:eastAsia="Times New Roman" w:hAnsi="Calibri" w:cs="Times New Roman"/>
                <w:b/>
                <w:bCs/>
                <w:color w:val="FF0000"/>
                <w:sz w:val="20"/>
                <w:szCs w:val="20"/>
              </w:rPr>
              <w:t>Xss</w:t>
            </w:r>
            <w:proofErr w:type="spellEnd"/>
            <w:r w:rsidRPr="0095728C">
              <w:rPr>
                <w:rFonts w:ascii="Calibri" w:eastAsia="Times New Roman" w:hAnsi="Calibri" w:cs="Times New Roman"/>
                <w:b/>
                <w:bCs/>
                <w:color w:val="FF0000"/>
                <w:sz w:val="20"/>
                <w:szCs w:val="20"/>
              </w:rPr>
              <w:t>(219)</w:t>
            </w:r>
          </w:p>
        </w:tc>
        <w:tc>
          <w:tcPr>
            <w:tcW w:w="700"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44</w:t>
            </w:r>
          </w:p>
        </w:tc>
        <w:tc>
          <w:tcPr>
            <w:tcW w:w="780"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UO</w:t>
            </w:r>
            <w:r w:rsidRPr="0095728C">
              <w:rPr>
                <w:rFonts w:ascii="Calibri" w:eastAsia="Times New Roman" w:hAnsi="Calibri" w:cs="Times New Roman"/>
                <w:b/>
                <w:bCs/>
                <w:color w:val="FF0000"/>
                <w:sz w:val="20"/>
                <w:szCs w:val="20"/>
                <w:vertAlign w:val="subscript"/>
              </w:rPr>
              <w:t>2</w:t>
            </w:r>
          </w:p>
        </w:tc>
        <w:tc>
          <w:tcPr>
            <w:tcW w:w="800"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17</w:t>
            </w:r>
          </w:p>
        </w:tc>
        <w:tc>
          <w:tcPr>
            <w:tcW w:w="1160"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Product</w:t>
            </w:r>
          </w:p>
        </w:tc>
        <w:tc>
          <w:tcPr>
            <w:tcW w:w="1160"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10.2</w:t>
            </w:r>
          </w:p>
        </w:tc>
      </w:tr>
    </w:tbl>
    <w:p w:rsidR="0095728C" w:rsidRDefault="0095728C" w:rsidP="00E664E4"/>
    <w:p w:rsidR="0095728C" w:rsidRDefault="0095728C">
      <w:r>
        <w:br w:type="page"/>
      </w:r>
    </w:p>
    <w:tbl>
      <w:tblPr>
        <w:tblW w:w="7200" w:type="dxa"/>
        <w:jc w:val="center"/>
        <w:tblInd w:w="93" w:type="dxa"/>
        <w:tblLook w:val="04A0" w:firstRow="1" w:lastRow="0" w:firstColumn="1" w:lastColumn="0" w:noHBand="0" w:noVBand="1"/>
      </w:tblPr>
      <w:tblGrid>
        <w:gridCol w:w="1104"/>
        <w:gridCol w:w="981"/>
        <w:gridCol w:w="1091"/>
        <w:gridCol w:w="1081"/>
        <w:gridCol w:w="1544"/>
        <w:gridCol w:w="1399"/>
      </w:tblGrid>
      <w:tr w:rsidR="0095728C" w:rsidRPr="0095728C" w:rsidTr="0095728C">
        <w:trPr>
          <w:trHeight w:val="270"/>
          <w:jc w:val="center"/>
        </w:trPr>
        <w:tc>
          <w:tcPr>
            <w:tcW w:w="7200" w:type="dxa"/>
            <w:gridSpan w:val="6"/>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lastRenderedPageBreak/>
              <w:t>Table 4.11. Primary State Variables Steady-State Solution (</w:t>
            </w:r>
            <w:proofErr w:type="spellStart"/>
            <w:r w:rsidRPr="0095728C">
              <w:rPr>
                <w:rFonts w:ascii="Calibri" w:eastAsia="Times New Roman" w:hAnsi="Calibri" w:cs="Times New Roman"/>
                <w:b/>
                <w:bCs/>
                <w:color w:val="000000"/>
                <w:sz w:val="20"/>
                <w:szCs w:val="20"/>
              </w:rPr>
              <w:t>Con't</w:t>
            </w:r>
            <w:proofErr w:type="spellEnd"/>
            <w:r w:rsidRPr="0095728C">
              <w:rPr>
                <w:rFonts w:ascii="Calibri" w:eastAsia="Times New Roman" w:hAnsi="Calibri" w:cs="Times New Roman"/>
                <w:b/>
                <w:bCs/>
                <w:color w:val="000000"/>
                <w:sz w:val="20"/>
                <w:szCs w:val="20"/>
              </w:rPr>
              <w:t>.)</w:t>
            </w:r>
          </w:p>
        </w:tc>
      </w:tr>
      <w:tr w:rsidR="0095728C" w:rsidRPr="0095728C" w:rsidTr="0095728C">
        <w:trPr>
          <w:trHeight w:val="255"/>
          <w:jc w:val="center"/>
        </w:trPr>
        <w:tc>
          <w:tcPr>
            <w:tcW w:w="110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sz w:val="20"/>
                <w:szCs w:val="20"/>
              </w:rPr>
            </w:pPr>
            <w:r w:rsidRPr="0095728C">
              <w:rPr>
                <w:rFonts w:ascii="Calibri" w:eastAsia="Times New Roman" w:hAnsi="Calibri" w:cs="Times New Roman"/>
                <w:b/>
                <w:bCs/>
                <w:sz w:val="20"/>
                <w:szCs w:val="20"/>
              </w:rPr>
              <w:t>State</w:t>
            </w:r>
          </w:p>
        </w:tc>
        <w:tc>
          <w:tcPr>
            <w:tcW w:w="981" w:type="dxa"/>
            <w:vMerge w:val="restart"/>
            <w:tcBorders>
              <w:top w:val="nil"/>
              <w:left w:val="nil"/>
              <w:bottom w:val="single" w:sz="4" w:space="0" w:color="000000"/>
              <w:right w:val="nil"/>
            </w:tcBorders>
            <w:shd w:val="clear" w:color="auto" w:fill="auto"/>
            <w:vAlign w:val="bottom"/>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Stream</w:t>
            </w:r>
          </w:p>
        </w:tc>
        <w:tc>
          <w:tcPr>
            <w:tcW w:w="2172" w:type="dxa"/>
            <w:gridSpan w:val="2"/>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Component</w:t>
            </w:r>
          </w:p>
        </w:tc>
        <w:tc>
          <w:tcPr>
            <w:tcW w:w="1544"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Type of</w:t>
            </w:r>
          </w:p>
        </w:tc>
        <w:tc>
          <w:tcPr>
            <w:tcW w:w="1399" w:type="dxa"/>
            <w:tcBorders>
              <w:top w:val="nil"/>
              <w:left w:val="nil"/>
              <w:bottom w:val="nil"/>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Molar Flow</w:t>
            </w:r>
          </w:p>
        </w:tc>
      </w:tr>
      <w:tr w:rsidR="0095728C" w:rsidRPr="0095728C" w:rsidTr="0095728C">
        <w:trPr>
          <w:trHeight w:val="255"/>
          <w:jc w:val="center"/>
        </w:trPr>
        <w:tc>
          <w:tcPr>
            <w:tcW w:w="1104"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sz w:val="20"/>
                <w:szCs w:val="20"/>
              </w:rPr>
            </w:pPr>
            <w:r w:rsidRPr="0095728C">
              <w:rPr>
                <w:rFonts w:ascii="Calibri" w:eastAsia="Times New Roman" w:hAnsi="Calibri" w:cs="Times New Roman"/>
                <w:b/>
                <w:bCs/>
                <w:sz w:val="20"/>
                <w:szCs w:val="20"/>
              </w:rPr>
              <w:t>Variable</w:t>
            </w:r>
          </w:p>
        </w:tc>
        <w:tc>
          <w:tcPr>
            <w:tcW w:w="981" w:type="dxa"/>
            <w:vMerge/>
            <w:tcBorders>
              <w:top w:val="nil"/>
              <w:left w:val="nil"/>
              <w:bottom w:val="single" w:sz="4" w:space="0" w:color="000000"/>
              <w:right w:val="nil"/>
            </w:tcBorders>
            <w:vAlign w:val="center"/>
            <w:hideMark/>
          </w:tcPr>
          <w:p w:rsidR="0095728C" w:rsidRPr="0095728C" w:rsidRDefault="0095728C" w:rsidP="0095728C">
            <w:pPr>
              <w:spacing w:after="0" w:line="240" w:lineRule="auto"/>
              <w:rPr>
                <w:rFonts w:ascii="Calibri" w:eastAsia="Times New Roman" w:hAnsi="Calibri" w:cs="Times New Roman"/>
                <w:b/>
                <w:bCs/>
                <w:color w:val="000000"/>
                <w:sz w:val="20"/>
                <w:szCs w:val="20"/>
              </w:rPr>
            </w:pPr>
          </w:p>
        </w:tc>
        <w:tc>
          <w:tcPr>
            <w:tcW w:w="1091"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Formula</w:t>
            </w:r>
          </w:p>
        </w:tc>
        <w:tc>
          <w:tcPr>
            <w:tcW w:w="1081"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Number</w:t>
            </w:r>
          </w:p>
        </w:tc>
        <w:tc>
          <w:tcPr>
            <w:tcW w:w="1544"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Stream</w:t>
            </w:r>
          </w:p>
        </w:tc>
        <w:tc>
          <w:tcPr>
            <w:tcW w:w="1399" w:type="dxa"/>
            <w:tcBorders>
              <w:top w:val="nil"/>
              <w:left w:val="nil"/>
              <w:bottom w:val="single" w:sz="4" w:space="0" w:color="auto"/>
              <w:right w:val="nil"/>
            </w:tcBorders>
            <w:shd w:val="clear" w:color="auto" w:fill="auto"/>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Rate (</w:t>
            </w:r>
            <w:proofErr w:type="spellStart"/>
            <w:r w:rsidRPr="0095728C">
              <w:rPr>
                <w:rFonts w:ascii="Calibri" w:eastAsia="Times New Roman" w:hAnsi="Calibri" w:cs="Times New Roman"/>
                <w:b/>
                <w:bCs/>
                <w:color w:val="000000"/>
                <w:sz w:val="20"/>
                <w:szCs w:val="20"/>
              </w:rPr>
              <w:t>mol</w:t>
            </w:r>
            <w:proofErr w:type="spellEnd"/>
            <w:r w:rsidRPr="0095728C">
              <w:rPr>
                <w:rFonts w:ascii="Calibri" w:eastAsia="Times New Roman" w:hAnsi="Calibri" w:cs="Times New Roman"/>
                <w:b/>
                <w:bCs/>
                <w:color w:val="000000"/>
                <w:sz w:val="20"/>
                <w:szCs w:val="20"/>
              </w:rPr>
              <w:t>/h)</w:t>
            </w:r>
          </w:p>
        </w:tc>
      </w:tr>
      <w:tr w:rsidR="0095728C" w:rsidRPr="0095728C" w:rsidTr="0095728C">
        <w:trPr>
          <w:trHeight w:val="255"/>
          <w:jc w:val="center"/>
        </w:trPr>
        <w:tc>
          <w:tcPr>
            <w:tcW w:w="7200" w:type="dxa"/>
            <w:gridSpan w:val="6"/>
            <w:tcBorders>
              <w:top w:val="single" w:sz="4" w:space="0" w:color="auto"/>
              <w:left w:val="nil"/>
              <w:bottom w:val="single" w:sz="4"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0000"/>
                <w:sz w:val="20"/>
                <w:szCs w:val="20"/>
              </w:rPr>
            </w:pPr>
            <w:r w:rsidRPr="0095728C">
              <w:rPr>
                <w:rFonts w:ascii="Calibri" w:eastAsia="Times New Roman" w:hAnsi="Calibri" w:cs="Times New Roman"/>
                <w:b/>
                <w:bCs/>
                <w:color w:val="000000"/>
                <w:sz w:val="20"/>
                <w:szCs w:val="20"/>
              </w:rPr>
              <w:t>Module 5</w:t>
            </w:r>
          </w:p>
        </w:tc>
      </w:tr>
      <w:tr w:rsidR="0095728C" w:rsidRPr="0095728C" w:rsidTr="0095728C">
        <w:trPr>
          <w:trHeight w:val="285"/>
          <w:jc w:val="center"/>
        </w:trPr>
        <w:tc>
          <w:tcPr>
            <w:tcW w:w="110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roofErr w:type="spellStart"/>
            <w:r w:rsidRPr="0095728C">
              <w:rPr>
                <w:rFonts w:ascii="Calibri" w:eastAsia="Times New Roman" w:hAnsi="Calibri" w:cs="Times New Roman"/>
                <w:color w:val="000000"/>
                <w:sz w:val="20"/>
                <w:szCs w:val="20"/>
              </w:rPr>
              <w:t>Xss</w:t>
            </w:r>
            <w:proofErr w:type="spellEnd"/>
            <w:r w:rsidRPr="0095728C">
              <w:rPr>
                <w:rFonts w:ascii="Calibri" w:eastAsia="Times New Roman" w:hAnsi="Calibri" w:cs="Times New Roman"/>
                <w:color w:val="000000"/>
                <w:sz w:val="20"/>
                <w:szCs w:val="20"/>
              </w:rPr>
              <w:t>(221)</w:t>
            </w:r>
          </w:p>
        </w:tc>
        <w:tc>
          <w:tcPr>
            <w:tcW w:w="9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45</w:t>
            </w:r>
          </w:p>
        </w:tc>
        <w:tc>
          <w:tcPr>
            <w:tcW w:w="10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UF</w:t>
            </w:r>
            <w:r w:rsidRPr="0095728C">
              <w:rPr>
                <w:rFonts w:ascii="Calibri" w:eastAsia="Times New Roman" w:hAnsi="Calibri" w:cs="Times New Roman"/>
                <w:sz w:val="20"/>
                <w:szCs w:val="20"/>
                <w:vertAlign w:val="subscript"/>
              </w:rPr>
              <w:t>4</w:t>
            </w:r>
          </w:p>
        </w:tc>
        <w:tc>
          <w:tcPr>
            <w:tcW w:w="10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16</w:t>
            </w:r>
          </w:p>
        </w:tc>
        <w:tc>
          <w:tcPr>
            <w:tcW w:w="154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Intermediate</w:t>
            </w:r>
          </w:p>
        </w:tc>
        <w:tc>
          <w:tcPr>
            <w:tcW w:w="13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19.4</w:t>
            </w:r>
          </w:p>
        </w:tc>
      </w:tr>
      <w:tr w:rsidR="0095728C" w:rsidRPr="0095728C" w:rsidTr="0095728C">
        <w:trPr>
          <w:trHeight w:val="285"/>
          <w:jc w:val="center"/>
        </w:trPr>
        <w:tc>
          <w:tcPr>
            <w:tcW w:w="110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roofErr w:type="spellStart"/>
            <w:r w:rsidRPr="0095728C">
              <w:rPr>
                <w:rFonts w:ascii="Calibri" w:eastAsia="Times New Roman" w:hAnsi="Calibri" w:cs="Times New Roman"/>
                <w:color w:val="000000"/>
                <w:sz w:val="20"/>
                <w:szCs w:val="20"/>
              </w:rPr>
              <w:t>Xss</w:t>
            </w:r>
            <w:proofErr w:type="spellEnd"/>
            <w:r w:rsidRPr="0095728C">
              <w:rPr>
                <w:rFonts w:ascii="Calibri" w:eastAsia="Times New Roman" w:hAnsi="Calibri" w:cs="Times New Roman"/>
                <w:color w:val="000000"/>
                <w:sz w:val="20"/>
                <w:szCs w:val="20"/>
              </w:rPr>
              <w:t>(222)</w:t>
            </w:r>
          </w:p>
        </w:tc>
        <w:tc>
          <w:tcPr>
            <w:tcW w:w="9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45</w:t>
            </w:r>
          </w:p>
        </w:tc>
        <w:tc>
          <w:tcPr>
            <w:tcW w:w="10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UO</w:t>
            </w:r>
            <w:r w:rsidRPr="0095728C">
              <w:rPr>
                <w:rFonts w:ascii="Calibri" w:eastAsia="Times New Roman" w:hAnsi="Calibri" w:cs="Times New Roman"/>
                <w:sz w:val="20"/>
                <w:szCs w:val="20"/>
                <w:vertAlign w:val="subscript"/>
              </w:rPr>
              <w:t>2</w:t>
            </w:r>
          </w:p>
        </w:tc>
        <w:tc>
          <w:tcPr>
            <w:tcW w:w="10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17</w:t>
            </w:r>
          </w:p>
        </w:tc>
        <w:tc>
          <w:tcPr>
            <w:tcW w:w="154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Intermediate</w:t>
            </w:r>
          </w:p>
        </w:tc>
        <w:tc>
          <w:tcPr>
            <w:tcW w:w="13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1.02</w:t>
            </w:r>
          </w:p>
        </w:tc>
      </w:tr>
      <w:tr w:rsidR="0095728C" w:rsidRPr="0095728C" w:rsidTr="0095728C">
        <w:trPr>
          <w:trHeight w:val="285"/>
          <w:jc w:val="center"/>
        </w:trPr>
        <w:tc>
          <w:tcPr>
            <w:tcW w:w="110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roofErr w:type="spellStart"/>
            <w:r w:rsidRPr="0095728C">
              <w:rPr>
                <w:rFonts w:ascii="Calibri" w:eastAsia="Times New Roman" w:hAnsi="Calibri" w:cs="Times New Roman"/>
                <w:color w:val="000000"/>
                <w:sz w:val="20"/>
                <w:szCs w:val="20"/>
              </w:rPr>
              <w:t>Xss</w:t>
            </w:r>
            <w:proofErr w:type="spellEnd"/>
            <w:r w:rsidRPr="0095728C">
              <w:rPr>
                <w:rFonts w:ascii="Calibri" w:eastAsia="Times New Roman" w:hAnsi="Calibri" w:cs="Times New Roman"/>
                <w:color w:val="000000"/>
                <w:sz w:val="20"/>
                <w:szCs w:val="20"/>
              </w:rPr>
              <w:t>(224)</w:t>
            </w:r>
          </w:p>
        </w:tc>
        <w:tc>
          <w:tcPr>
            <w:tcW w:w="9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46</w:t>
            </w:r>
          </w:p>
        </w:tc>
        <w:tc>
          <w:tcPr>
            <w:tcW w:w="10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UF</w:t>
            </w:r>
            <w:r w:rsidRPr="0095728C">
              <w:rPr>
                <w:rFonts w:ascii="Calibri" w:eastAsia="Times New Roman" w:hAnsi="Calibri" w:cs="Times New Roman"/>
                <w:sz w:val="20"/>
                <w:szCs w:val="20"/>
                <w:vertAlign w:val="subscript"/>
              </w:rPr>
              <w:t>4</w:t>
            </w:r>
          </w:p>
        </w:tc>
        <w:tc>
          <w:tcPr>
            <w:tcW w:w="10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16</w:t>
            </w:r>
          </w:p>
        </w:tc>
        <w:tc>
          <w:tcPr>
            <w:tcW w:w="154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Intermediate</w:t>
            </w:r>
          </w:p>
        </w:tc>
        <w:tc>
          <w:tcPr>
            <w:tcW w:w="13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174</w:t>
            </w:r>
          </w:p>
        </w:tc>
      </w:tr>
      <w:tr w:rsidR="0095728C" w:rsidRPr="0095728C" w:rsidTr="0095728C">
        <w:trPr>
          <w:trHeight w:val="285"/>
          <w:jc w:val="center"/>
        </w:trPr>
        <w:tc>
          <w:tcPr>
            <w:tcW w:w="110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roofErr w:type="spellStart"/>
            <w:r w:rsidRPr="0095728C">
              <w:rPr>
                <w:rFonts w:ascii="Calibri" w:eastAsia="Times New Roman" w:hAnsi="Calibri" w:cs="Times New Roman"/>
                <w:color w:val="000000"/>
                <w:sz w:val="20"/>
                <w:szCs w:val="20"/>
              </w:rPr>
              <w:t>Xss</w:t>
            </w:r>
            <w:proofErr w:type="spellEnd"/>
            <w:r w:rsidRPr="0095728C">
              <w:rPr>
                <w:rFonts w:ascii="Calibri" w:eastAsia="Times New Roman" w:hAnsi="Calibri" w:cs="Times New Roman"/>
                <w:color w:val="000000"/>
                <w:sz w:val="20"/>
                <w:szCs w:val="20"/>
              </w:rPr>
              <w:t>(225)</w:t>
            </w:r>
          </w:p>
        </w:tc>
        <w:tc>
          <w:tcPr>
            <w:tcW w:w="9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46</w:t>
            </w:r>
          </w:p>
        </w:tc>
        <w:tc>
          <w:tcPr>
            <w:tcW w:w="10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UO</w:t>
            </w:r>
            <w:r w:rsidRPr="0095728C">
              <w:rPr>
                <w:rFonts w:ascii="Calibri" w:eastAsia="Times New Roman" w:hAnsi="Calibri" w:cs="Times New Roman"/>
                <w:sz w:val="20"/>
                <w:szCs w:val="20"/>
                <w:vertAlign w:val="subscript"/>
              </w:rPr>
              <w:t>2</w:t>
            </w:r>
          </w:p>
        </w:tc>
        <w:tc>
          <w:tcPr>
            <w:tcW w:w="10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17</w:t>
            </w:r>
          </w:p>
        </w:tc>
        <w:tc>
          <w:tcPr>
            <w:tcW w:w="154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Intermediate</w:t>
            </w:r>
          </w:p>
        </w:tc>
        <w:tc>
          <w:tcPr>
            <w:tcW w:w="13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9.19</w:t>
            </w:r>
          </w:p>
        </w:tc>
      </w:tr>
      <w:tr w:rsidR="0095728C" w:rsidRPr="0095728C" w:rsidTr="0095728C">
        <w:trPr>
          <w:trHeight w:val="285"/>
          <w:jc w:val="center"/>
        </w:trPr>
        <w:tc>
          <w:tcPr>
            <w:tcW w:w="110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roofErr w:type="spellStart"/>
            <w:r w:rsidRPr="0095728C">
              <w:rPr>
                <w:rFonts w:ascii="Calibri" w:eastAsia="Times New Roman" w:hAnsi="Calibri" w:cs="Times New Roman"/>
                <w:color w:val="000000"/>
                <w:sz w:val="20"/>
                <w:szCs w:val="20"/>
              </w:rPr>
              <w:t>Xss</w:t>
            </w:r>
            <w:proofErr w:type="spellEnd"/>
            <w:r w:rsidRPr="0095728C">
              <w:rPr>
                <w:rFonts w:ascii="Calibri" w:eastAsia="Times New Roman" w:hAnsi="Calibri" w:cs="Times New Roman"/>
                <w:color w:val="000000"/>
                <w:sz w:val="20"/>
                <w:szCs w:val="20"/>
              </w:rPr>
              <w:t>(230)</w:t>
            </w:r>
          </w:p>
        </w:tc>
        <w:tc>
          <w:tcPr>
            <w:tcW w:w="9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48</w:t>
            </w:r>
          </w:p>
        </w:tc>
        <w:tc>
          <w:tcPr>
            <w:tcW w:w="10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UF</w:t>
            </w:r>
            <w:r w:rsidRPr="0095728C">
              <w:rPr>
                <w:rFonts w:ascii="Calibri" w:eastAsia="Times New Roman" w:hAnsi="Calibri" w:cs="Times New Roman"/>
                <w:sz w:val="20"/>
                <w:szCs w:val="20"/>
                <w:vertAlign w:val="subscript"/>
              </w:rPr>
              <w:t>4</w:t>
            </w:r>
          </w:p>
        </w:tc>
        <w:tc>
          <w:tcPr>
            <w:tcW w:w="10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16</w:t>
            </w:r>
          </w:p>
        </w:tc>
        <w:tc>
          <w:tcPr>
            <w:tcW w:w="154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Intermediate</w:t>
            </w:r>
          </w:p>
        </w:tc>
        <w:tc>
          <w:tcPr>
            <w:tcW w:w="13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174</w:t>
            </w:r>
          </w:p>
        </w:tc>
      </w:tr>
      <w:tr w:rsidR="0095728C" w:rsidRPr="0095728C" w:rsidTr="0095728C">
        <w:trPr>
          <w:trHeight w:val="285"/>
          <w:jc w:val="center"/>
        </w:trPr>
        <w:tc>
          <w:tcPr>
            <w:tcW w:w="110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roofErr w:type="spellStart"/>
            <w:r w:rsidRPr="0095728C">
              <w:rPr>
                <w:rFonts w:ascii="Calibri" w:eastAsia="Times New Roman" w:hAnsi="Calibri" w:cs="Times New Roman"/>
                <w:color w:val="000000"/>
                <w:sz w:val="20"/>
                <w:szCs w:val="20"/>
              </w:rPr>
              <w:t>Xss</w:t>
            </w:r>
            <w:proofErr w:type="spellEnd"/>
            <w:r w:rsidRPr="0095728C">
              <w:rPr>
                <w:rFonts w:ascii="Calibri" w:eastAsia="Times New Roman" w:hAnsi="Calibri" w:cs="Times New Roman"/>
                <w:color w:val="000000"/>
                <w:sz w:val="20"/>
                <w:szCs w:val="20"/>
              </w:rPr>
              <w:t>(235)</w:t>
            </w:r>
          </w:p>
        </w:tc>
        <w:tc>
          <w:tcPr>
            <w:tcW w:w="9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49</w:t>
            </w:r>
          </w:p>
        </w:tc>
        <w:tc>
          <w:tcPr>
            <w:tcW w:w="10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UF</w:t>
            </w:r>
            <w:r w:rsidRPr="0095728C">
              <w:rPr>
                <w:rFonts w:ascii="Calibri" w:eastAsia="Times New Roman" w:hAnsi="Calibri" w:cs="Times New Roman"/>
                <w:sz w:val="20"/>
                <w:szCs w:val="20"/>
                <w:vertAlign w:val="subscript"/>
              </w:rPr>
              <w:t>6</w:t>
            </w:r>
          </w:p>
        </w:tc>
        <w:tc>
          <w:tcPr>
            <w:tcW w:w="10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15</w:t>
            </w:r>
          </w:p>
        </w:tc>
        <w:tc>
          <w:tcPr>
            <w:tcW w:w="154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Intermediate</w:t>
            </w:r>
          </w:p>
        </w:tc>
        <w:tc>
          <w:tcPr>
            <w:tcW w:w="13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174</w:t>
            </w:r>
          </w:p>
        </w:tc>
      </w:tr>
      <w:tr w:rsidR="0095728C" w:rsidRPr="0095728C" w:rsidTr="0095728C">
        <w:trPr>
          <w:trHeight w:val="285"/>
          <w:jc w:val="center"/>
        </w:trPr>
        <w:tc>
          <w:tcPr>
            <w:tcW w:w="110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proofErr w:type="spellStart"/>
            <w:r w:rsidRPr="0095728C">
              <w:rPr>
                <w:rFonts w:ascii="Calibri" w:eastAsia="Times New Roman" w:hAnsi="Calibri" w:cs="Times New Roman"/>
                <w:b/>
                <w:bCs/>
                <w:color w:val="00B050"/>
                <w:sz w:val="20"/>
                <w:szCs w:val="20"/>
              </w:rPr>
              <w:t>Xss</w:t>
            </w:r>
            <w:proofErr w:type="spellEnd"/>
            <w:r w:rsidRPr="0095728C">
              <w:rPr>
                <w:rFonts w:ascii="Calibri" w:eastAsia="Times New Roman" w:hAnsi="Calibri" w:cs="Times New Roman"/>
                <w:b/>
                <w:bCs/>
                <w:color w:val="00B050"/>
                <w:sz w:val="20"/>
                <w:szCs w:val="20"/>
              </w:rPr>
              <w:t>(239)</w:t>
            </w:r>
          </w:p>
        </w:tc>
        <w:tc>
          <w:tcPr>
            <w:tcW w:w="9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50</w:t>
            </w:r>
          </w:p>
        </w:tc>
        <w:tc>
          <w:tcPr>
            <w:tcW w:w="10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UF</w:t>
            </w:r>
            <w:r w:rsidRPr="0095728C">
              <w:rPr>
                <w:rFonts w:ascii="Calibri" w:eastAsia="Times New Roman" w:hAnsi="Calibri" w:cs="Times New Roman"/>
                <w:b/>
                <w:bCs/>
                <w:color w:val="00B050"/>
                <w:sz w:val="20"/>
                <w:szCs w:val="20"/>
                <w:vertAlign w:val="subscript"/>
              </w:rPr>
              <w:t>4</w:t>
            </w:r>
          </w:p>
        </w:tc>
        <w:tc>
          <w:tcPr>
            <w:tcW w:w="10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16</w:t>
            </w:r>
          </w:p>
        </w:tc>
        <w:tc>
          <w:tcPr>
            <w:tcW w:w="154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Waste</w:t>
            </w:r>
          </w:p>
        </w:tc>
        <w:tc>
          <w:tcPr>
            <w:tcW w:w="13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0.173</w:t>
            </w:r>
          </w:p>
        </w:tc>
      </w:tr>
      <w:tr w:rsidR="0095728C" w:rsidRPr="0095728C" w:rsidTr="0095728C">
        <w:trPr>
          <w:trHeight w:val="285"/>
          <w:jc w:val="center"/>
        </w:trPr>
        <w:tc>
          <w:tcPr>
            <w:tcW w:w="110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proofErr w:type="spellStart"/>
            <w:r w:rsidRPr="0095728C">
              <w:rPr>
                <w:rFonts w:ascii="Calibri" w:eastAsia="Times New Roman" w:hAnsi="Calibri" w:cs="Times New Roman"/>
                <w:b/>
                <w:bCs/>
                <w:color w:val="00B050"/>
                <w:sz w:val="20"/>
                <w:szCs w:val="20"/>
              </w:rPr>
              <w:t>Xss</w:t>
            </w:r>
            <w:proofErr w:type="spellEnd"/>
            <w:r w:rsidRPr="0095728C">
              <w:rPr>
                <w:rFonts w:ascii="Calibri" w:eastAsia="Times New Roman" w:hAnsi="Calibri" w:cs="Times New Roman"/>
                <w:b/>
                <w:bCs/>
                <w:color w:val="00B050"/>
                <w:sz w:val="20"/>
                <w:szCs w:val="20"/>
              </w:rPr>
              <w:t>(240)</w:t>
            </w:r>
          </w:p>
        </w:tc>
        <w:tc>
          <w:tcPr>
            <w:tcW w:w="9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50</w:t>
            </w:r>
          </w:p>
        </w:tc>
        <w:tc>
          <w:tcPr>
            <w:tcW w:w="10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UO</w:t>
            </w:r>
            <w:r w:rsidRPr="0095728C">
              <w:rPr>
                <w:rFonts w:ascii="Calibri" w:eastAsia="Times New Roman" w:hAnsi="Calibri" w:cs="Times New Roman"/>
                <w:b/>
                <w:bCs/>
                <w:color w:val="00B050"/>
                <w:sz w:val="20"/>
                <w:szCs w:val="20"/>
                <w:vertAlign w:val="subscript"/>
              </w:rPr>
              <w:t>2</w:t>
            </w:r>
          </w:p>
        </w:tc>
        <w:tc>
          <w:tcPr>
            <w:tcW w:w="10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17</w:t>
            </w:r>
          </w:p>
        </w:tc>
        <w:tc>
          <w:tcPr>
            <w:tcW w:w="154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Waste</w:t>
            </w:r>
          </w:p>
        </w:tc>
        <w:tc>
          <w:tcPr>
            <w:tcW w:w="13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9.19</w:t>
            </w:r>
          </w:p>
        </w:tc>
      </w:tr>
      <w:tr w:rsidR="0095728C" w:rsidRPr="0095728C" w:rsidTr="0095728C">
        <w:trPr>
          <w:trHeight w:val="285"/>
          <w:jc w:val="center"/>
        </w:trPr>
        <w:tc>
          <w:tcPr>
            <w:tcW w:w="110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roofErr w:type="spellStart"/>
            <w:r w:rsidRPr="0095728C">
              <w:rPr>
                <w:rFonts w:ascii="Calibri" w:eastAsia="Times New Roman" w:hAnsi="Calibri" w:cs="Times New Roman"/>
                <w:color w:val="000000"/>
                <w:sz w:val="20"/>
                <w:szCs w:val="20"/>
              </w:rPr>
              <w:t>Xss</w:t>
            </w:r>
            <w:proofErr w:type="spellEnd"/>
            <w:r w:rsidRPr="0095728C">
              <w:rPr>
                <w:rFonts w:ascii="Calibri" w:eastAsia="Times New Roman" w:hAnsi="Calibri" w:cs="Times New Roman"/>
                <w:color w:val="000000"/>
                <w:sz w:val="20"/>
                <w:szCs w:val="20"/>
              </w:rPr>
              <w:t>(244)</w:t>
            </w:r>
          </w:p>
        </w:tc>
        <w:tc>
          <w:tcPr>
            <w:tcW w:w="9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51</w:t>
            </w:r>
          </w:p>
        </w:tc>
        <w:tc>
          <w:tcPr>
            <w:tcW w:w="10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UF</w:t>
            </w:r>
            <w:r w:rsidRPr="0095728C">
              <w:rPr>
                <w:rFonts w:ascii="Calibri" w:eastAsia="Times New Roman" w:hAnsi="Calibri" w:cs="Times New Roman"/>
                <w:sz w:val="20"/>
                <w:szCs w:val="20"/>
                <w:vertAlign w:val="subscript"/>
              </w:rPr>
              <w:t>6</w:t>
            </w:r>
          </w:p>
        </w:tc>
        <w:tc>
          <w:tcPr>
            <w:tcW w:w="10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15</w:t>
            </w:r>
          </w:p>
        </w:tc>
        <w:tc>
          <w:tcPr>
            <w:tcW w:w="154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Intermediate</w:t>
            </w:r>
          </w:p>
        </w:tc>
        <w:tc>
          <w:tcPr>
            <w:tcW w:w="13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174</w:t>
            </w:r>
          </w:p>
        </w:tc>
      </w:tr>
      <w:tr w:rsidR="0095728C" w:rsidRPr="0095728C" w:rsidTr="0095728C">
        <w:trPr>
          <w:trHeight w:val="285"/>
          <w:jc w:val="center"/>
        </w:trPr>
        <w:tc>
          <w:tcPr>
            <w:tcW w:w="110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roofErr w:type="spellStart"/>
            <w:r w:rsidRPr="0095728C">
              <w:rPr>
                <w:rFonts w:ascii="Calibri" w:eastAsia="Times New Roman" w:hAnsi="Calibri" w:cs="Times New Roman"/>
                <w:color w:val="000000"/>
                <w:sz w:val="20"/>
                <w:szCs w:val="20"/>
              </w:rPr>
              <w:t>Xss</w:t>
            </w:r>
            <w:proofErr w:type="spellEnd"/>
            <w:r w:rsidRPr="0095728C">
              <w:rPr>
                <w:rFonts w:ascii="Calibri" w:eastAsia="Times New Roman" w:hAnsi="Calibri" w:cs="Times New Roman"/>
                <w:color w:val="000000"/>
                <w:sz w:val="20"/>
                <w:szCs w:val="20"/>
              </w:rPr>
              <w:t>(246)</w:t>
            </w:r>
          </w:p>
        </w:tc>
        <w:tc>
          <w:tcPr>
            <w:tcW w:w="9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52</w:t>
            </w:r>
          </w:p>
        </w:tc>
        <w:tc>
          <w:tcPr>
            <w:tcW w:w="10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UF</w:t>
            </w:r>
            <w:r w:rsidRPr="0095728C">
              <w:rPr>
                <w:rFonts w:ascii="Calibri" w:eastAsia="Times New Roman" w:hAnsi="Calibri" w:cs="Times New Roman"/>
                <w:sz w:val="20"/>
                <w:szCs w:val="20"/>
                <w:vertAlign w:val="subscript"/>
              </w:rPr>
              <w:t>6</w:t>
            </w:r>
          </w:p>
        </w:tc>
        <w:tc>
          <w:tcPr>
            <w:tcW w:w="10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15</w:t>
            </w:r>
          </w:p>
        </w:tc>
        <w:tc>
          <w:tcPr>
            <w:tcW w:w="154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Intermediate</w:t>
            </w:r>
          </w:p>
        </w:tc>
        <w:tc>
          <w:tcPr>
            <w:tcW w:w="13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173</w:t>
            </w:r>
          </w:p>
        </w:tc>
      </w:tr>
      <w:tr w:rsidR="0095728C" w:rsidRPr="0095728C" w:rsidTr="0095728C">
        <w:trPr>
          <w:trHeight w:val="285"/>
          <w:jc w:val="center"/>
        </w:trPr>
        <w:tc>
          <w:tcPr>
            <w:tcW w:w="110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roofErr w:type="spellStart"/>
            <w:r w:rsidRPr="0095728C">
              <w:rPr>
                <w:rFonts w:ascii="Calibri" w:eastAsia="Times New Roman" w:hAnsi="Calibri" w:cs="Times New Roman"/>
                <w:color w:val="000000"/>
                <w:sz w:val="20"/>
                <w:szCs w:val="20"/>
              </w:rPr>
              <w:t>Xss</w:t>
            </w:r>
            <w:proofErr w:type="spellEnd"/>
            <w:r w:rsidRPr="0095728C">
              <w:rPr>
                <w:rFonts w:ascii="Calibri" w:eastAsia="Times New Roman" w:hAnsi="Calibri" w:cs="Times New Roman"/>
                <w:color w:val="000000"/>
                <w:sz w:val="20"/>
                <w:szCs w:val="20"/>
              </w:rPr>
              <w:t>(249)</w:t>
            </w:r>
          </w:p>
        </w:tc>
        <w:tc>
          <w:tcPr>
            <w:tcW w:w="9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53</w:t>
            </w:r>
          </w:p>
        </w:tc>
        <w:tc>
          <w:tcPr>
            <w:tcW w:w="10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UF</w:t>
            </w:r>
            <w:r w:rsidRPr="0095728C">
              <w:rPr>
                <w:rFonts w:ascii="Calibri" w:eastAsia="Times New Roman" w:hAnsi="Calibri" w:cs="Times New Roman"/>
                <w:sz w:val="20"/>
                <w:szCs w:val="20"/>
                <w:vertAlign w:val="subscript"/>
              </w:rPr>
              <w:t>6</w:t>
            </w:r>
          </w:p>
        </w:tc>
        <w:tc>
          <w:tcPr>
            <w:tcW w:w="10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15</w:t>
            </w:r>
          </w:p>
        </w:tc>
        <w:tc>
          <w:tcPr>
            <w:tcW w:w="154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Intermediate</w:t>
            </w:r>
          </w:p>
        </w:tc>
        <w:tc>
          <w:tcPr>
            <w:tcW w:w="13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1.74</w:t>
            </w:r>
          </w:p>
        </w:tc>
      </w:tr>
      <w:tr w:rsidR="0095728C" w:rsidRPr="0095728C" w:rsidTr="0095728C">
        <w:trPr>
          <w:trHeight w:val="285"/>
          <w:jc w:val="center"/>
        </w:trPr>
        <w:tc>
          <w:tcPr>
            <w:tcW w:w="110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roofErr w:type="spellStart"/>
            <w:r w:rsidRPr="0095728C">
              <w:rPr>
                <w:rFonts w:ascii="Calibri" w:eastAsia="Times New Roman" w:hAnsi="Calibri" w:cs="Times New Roman"/>
                <w:color w:val="000000"/>
                <w:sz w:val="20"/>
                <w:szCs w:val="20"/>
              </w:rPr>
              <w:t>Xss</w:t>
            </w:r>
            <w:proofErr w:type="spellEnd"/>
            <w:r w:rsidRPr="0095728C">
              <w:rPr>
                <w:rFonts w:ascii="Calibri" w:eastAsia="Times New Roman" w:hAnsi="Calibri" w:cs="Times New Roman"/>
                <w:color w:val="000000"/>
                <w:sz w:val="20"/>
                <w:szCs w:val="20"/>
              </w:rPr>
              <w:t>(253)</w:t>
            </w:r>
          </w:p>
        </w:tc>
        <w:tc>
          <w:tcPr>
            <w:tcW w:w="9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54</w:t>
            </w:r>
          </w:p>
        </w:tc>
        <w:tc>
          <w:tcPr>
            <w:tcW w:w="10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UF</w:t>
            </w:r>
            <w:r w:rsidRPr="0095728C">
              <w:rPr>
                <w:rFonts w:ascii="Calibri" w:eastAsia="Times New Roman" w:hAnsi="Calibri" w:cs="Times New Roman"/>
                <w:sz w:val="20"/>
                <w:szCs w:val="20"/>
                <w:vertAlign w:val="subscript"/>
              </w:rPr>
              <w:t>6</w:t>
            </w:r>
          </w:p>
        </w:tc>
        <w:tc>
          <w:tcPr>
            <w:tcW w:w="10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15</w:t>
            </w:r>
          </w:p>
        </w:tc>
        <w:tc>
          <w:tcPr>
            <w:tcW w:w="154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Intermediate</w:t>
            </w:r>
          </w:p>
        </w:tc>
        <w:tc>
          <w:tcPr>
            <w:tcW w:w="13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1.74</w:t>
            </w:r>
          </w:p>
        </w:tc>
      </w:tr>
      <w:tr w:rsidR="0095728C" w:rsidRPr="0095728C" w:rsidTr="0095728C">
        <w:trPr>
          <w:trHeight w:val="285"/>
          <w:jc w:val="center"/>
        </w:trPr>
        <w:tc>
          <w:tcPr>
            <w:tcW w:w="110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roofErr w:type="spellStart"/>
            <w:r w:rsidRPr="0095728C">
              <w:rPr>
                <w:rFonts w:ascii="Calibri" w:eastAsia="Times New Roman" w:hAnsi="Calibri" w:cs="Times New Roman"/>
                <w:color w:val="000000"/>
                <w:sz w:val="20"/>
                <w:szCs w:val="20"/>
              </w:rPr>
              <w:t>Xss</w:t>
            </w:r>
            <w:proofErr w:type="spellEnd"/>
            <w:r w:rsidRPr="0095728C">
              <w:rPr>
                <w:rFonts w:ascii="Calibri" w:eastAsia="Times New Roman" w:hAnsi="Calibri" w:cs="Times New Roman"/>
                <w:color w:val="000000"/>
                <w:sz w:val="20"/>
                <w:szCs w:val="20"/>
              </w:rPr>
              <w:t>(254)</w:t>
            </w:r>
          </w:p>
        </w:tc>
        <w:tc>
          <w:tcPr>
            <w:tcW w:w="9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54</w:t>
            </w:r>
          </w:p>
        </w:tc>
        <w:tc>
          <w:tcPr>
            <w:tcW w:w="10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UF</w:t>
            </w:r>
            <w:r w:rsidRPr="0095728C">
              <w:rPr>
                <w:rFonts w:ascii="Calibri" w:eastAsia="Times New Roman" w:hAnsi="Calibri" w:cs="Times New Roman"/>
                <w:sz w:val="20"/>
                <w:szCs w:val="20"/>
                <w:vertAlign w:val="subscript"/>
              </w:rPr>
              <w:t>4</w:t>
            </w:r>
          </w:p>
        </w:tc>
        <w:tc>
          <w:tcPr>
            <w:tcW w:w="10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16</w:t>
            </w:r>
          </w:p>
        </w:tc>
        <w:tc>
          <w:tcPr>
            <w:tcW w:w="154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Intermediate</w:t>
            </w:r>
          </w:p>
        </w:tc>
        <w:tc>
          <w:tcPr>
            <w:tcW w:w="13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19.4</w:t>
            </w:r>
          </w:p>
        </w:tc>
      </w:tr>
      <w:tr w:rsidR="0095728C" w:rsidRPr="0095728C" w:rsidTr="0095728C">
        <w:trPr>
          <w:trHeight w:val="285"/>
          <w:jc w:val="center"/>
        </w:trPr>
        <w:tc>
          <w:tcPr>
            <w:tcW w:w="110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roofErr w:type="spellStart"/>
            <w:r w:rsidRPr="0095728C">
              <w:rPr>
                <w:rFonts w:ascii="Calibri" w:eastAsia="Times New Roman" w:hAnsi="Calibri" w:cs="Times New Roman"/>
                <w:color w:val="000000"/>
                <w:sz w:val="20"/>
                <w:szCs w:val="20"/>
              </w:rPr>
              <w:t>Xss</w:t>
            </w:r>
            <w:proofErr w:type="spellEnd"/>
            <w:r w:rsidRPr="0095728C">
              <w:rPr>
                <w:rFonts w:ascii="Calibri" w:eastAsia="Times New Roman" w:hAnsi="Calibri" w:cs="Times New Roman"/>
                <w:color w:val="000000"/>
                <w:sz w:val="20"/>
                <w:szCs w:val="20"/>
              </w:rPr>
              <w:t>(259)</w:t>
            </w:r>
          </w:p>
        </w:tc>
        <w:tc>
          <w:tcPr>
            <w:tcW w:w="9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55</w:t>
            </w:r>
          </w:p>
        </w:tc>
        <w:tc>
          <w:tcPr>
            <w:tcW w:w="10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UF</w:t>
            </w:r>
            <w:r w:rsidRPr="0095728C">
              <w:rPr>
                <w:rFonts w:ascii="Calibri" w:eastAsia="Times New Roman" w:hAnsi="Calibri" w:cs="Times New Roman"/>
                <w:sz w:val="20"/>
                <w:szCs w:val="20"/>
                <w:vertAlign w:val="subscript"/>
              </w:rPr>
              <w:t>6</w:t>
            </w:r>
          </w:p>
        </w:tc>
        <w:tc>
          <w:tcPr>
            <w:tcW w:w="10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15</w:t>
            </w:r>
          </w:p>
        </w:tc>
        <w:tc>
          <w:tcPr>
            <w:tcW w:w="154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Intermediate</w:t>
            </w:r>
          </w:p>
        </w:tc>
        <w:tc>
          <w:tcPr>
            <w:tcW w:w="13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21.1</w:t>
            </w:r>
          </w:p>
        </w:tc>
      </w:tr>
      <w:tr w:rsidR="0095728C" w:rsidRPr="0095728C" w:rsidTr="0095728C">
        <w:trPr>
          <w:trHeight w:val="285"/>
          <w:jc w:val="center"/>
        </w:trPr>
        <w:tc>
          <w:tcPr>
            <w:tcW w:w="110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roofErr w:type="spellStart"/>
            <w:r w:rsidRPr="0095728C">
              <w:rPr>
                <w:rFonts w:ascii="Calibri" w:eastAsia="Times New Roman" w:hAnsi="Calibri" w:cs="Times New Roman"/>
                <w:color w:val="000000"/>
                <w:sz w:val="20"/>
                <w:szCs w:val="20"/>
              </w:rPr>
              <w:t>Xss</w:t>
            </w:r>
            <w:proofErr w:type="spellEnd"/>
            <w:r w:rsidRPr="0095728C">
              <w:rPr>
                <w:rFonts w:ascii="Calibri" w:eastAsia="Times New Roman" w:hAnsi="Calibri" w:cs="Times New Roman"/>
                <w:color w:val="000000"/>
                <w:sz w:val="20"/>
                <w:szCs w:val="20"/>
              </w:rPr>
              <w:t>(265)</w:t>
            </w:r>
          </w:p>
        </w:tc>
        <w:tc>
          <w:tcPr>
            <w:tcW w:w="9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57</w:t>
            </w:r>
          </w:p>
        </w:tc>
        <w:tc>
          <w:tcPr>
            <w:tcW w:w="10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UF</w:t>
            </w:r>
            <w:r w:rsidRPr="0095728C">
              <w:rPr>
                <w:rFonts w:ascii="Calibri" w:eastAsia="Times New Roman" w:hAnsi="Calibri" w:cs="Times New Roman"/>
                <w:sz w:val="20"/>
                <w:szCs w:val="20"/>
                <w:vertAlign w:val="subscript"/>
              </w:rPr>
              <w:t>6</w:t>
            </w:r>
          </w:p>
        </w:tc>
        <w:tc>
          <w:tcPr>
            <w:tcW w:w="10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15</w:t>
            </w:r>
          </w:p>
        </w:tc>
        <w:tc>
          <w:tcPr>
            <w:tcW w:w="154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Intermediate</w:t>
            </w:r>
          </w:p>
        </w:tc>
        <w:tc>
          <w:tcPr>
            <w:tcW w:w="13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21.1</w:t>
            </w:r>
          </w:p>
        </w:tc>
      </w:tr>
      <w:tr w:rsidR="0095728C" w:rsidRPr="0095728C" w:rsidTr="0095728C">
        <w:trPr>
          <w:trHeight w:val="300"/>
          <w:jc w:val="center"/>
        </w:trPr>
        <w:tc>
          <w:tcPr>
            <w:tcW w:w="110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proofErr w:type="spellStart"/>
            <w:r w:rsidRPr="0095728C">
              <w:rPr>
                <w:rFonts w:ascii="Calibri" w:eastAsia="Times New Roman" w:hAnsi="Calibri" w:cs="Times New Roman"/>
                <w:b/>
                <w:bCs/>
                <w:color w:val="00B050"/>
                <w:sz w:val="20"/>
                <w:szCs w:val="20"/>
              </w:rPr>
              <w:t>Xss</w:t>
            </w:r>
            <w:proofErr w:type="spellEnd"/>
            <w:r w:rsidRPr="0095728C">
              <w:rPr>
                <w:rFonts w:ascii="Calibri" w:eastAsia="Times New Roman" w:hAnsi="Calibri" w:cs="Times New Roman"/>
                <w:b/>
                <w:bCs/>
                <w:color w:val="00B050"/>
                <w:sz w:val="20"/>
                <w:szCs w:val="20"/>
              </w:rPr>
              <w:t>(269)</w:t>
            </w:r>
          </w:p>
        </w:tc>
        <w:tc>
          <w:tcPr>
            <w:tcW w:w="9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58</w:t>
            </w:r>
          </w:p>
        </w:tc>
        <w:tc>
          <w:tcPr>
            <w:tcW w:w="10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UF</w:t>
            </w:r>
            <w:r w:rsidRPr="0095728C">
              <w:rPr>
                <w:rFonts w:ascii="Calibri" w:eastAsia="Times New Roman" w:hAnsi="Calibri" w:cs="Times New Roman"/>
                <w:b/>
                <w:bCs/>
                <w:color w:val="00B050"/>
                <w:sz w:val="20"/>
                <w:szCs w:val="20"/>
                <w:vertAlign w:val="subscript"/>
              </w:rPr>
              <w:t>4</w:t>
            </w:r>
          </w:p>
        </w:tc>
        <w:tc>
          <w:tcPr>
            <w:tcW w:w="10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16</w:t>
            </w:r>
          </w:p>
        </w:tc>
        <w:tc>
          <w:tcPr>
            <w:tcW w:w="154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Waste</w:t>
            </w:r>
          </w:p>
        </w:tc>
        <w:tc>
          <w:tcPr>
            <w:tcW w:w="13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1.94 × 10</w:t>
            </w:r>
            <w:r w:rsidRPr="0095728C">
              <w:rPr>
                <w:rFonts w:ascii="Calibri" w:eastAsia="Times New Roman" w:hAnsi="Calibri" w:cs="Times New Roman"/>
                <w:b/>
                <w:bCs/>
                <w:color w:val="00B050"/>
                <w:sz w:val="20"/>
                <w:szCs w:val="20"/>
                <w:vertAlign w:val="superscript"/>
              </w:rPr>
              <w:t>-2</w:t>
            </w:r>
          </w:p>
        </w:tc>
      </w:tr>
      <w:tr w:rsidR="0095728C" w:rsidRPr="0095728C" w:rsidTr="0095728C">
        <w:trPr>
          <w:trHeight w:val="285"/>
          <w:jc w:val="center"/>
        </w:trPr>
        <w:tc>
          <w:tcPr>
            <w:tcW w:w="110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proofErr w:type="spellStart"/>
            <w:r w:rsidRPr="0095728C">
              <w:rPr>
                <w:rFonts w:ascii="Calibri" w:eastAsia="Times New Roman" w:hAnsi="Calibri" w:cs="Times New Roman"/>
                <w:b/>
                <w:bCs/>
                <w:color w:val="00B050"/>
                <w:sz w:val="20"/>
                <w:szCs w:val="20"/>
              </w:rPr>
              <w:t>Xss</w:t>
            </w:r>
            <w:proofErr w:type="spellEnd"/>
            <w:r w:rsidRPr="0095728C">
              <w:rPr>
                <w:rFonts w:ascii="Calibri" w:eastAsia="Times New Roman" w:hAnsi="Calibri" w:cs="Times New Roman"/>
                <w:b/>
                <w:bCs/>
                <w:color w:val="00B050"/>
                <w:sz w:val="20"/>
                <w:szCs w:val="20"/>
              </w:rPr>
              <w:t>(270)</w:t>
            </w:r>
          </w:p>
        </w:tc>
        <w:tc>
          <w:tcPr>
            <w:tcW w:w="9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58</w:t>
            </w:r>
          </w:p>
        </w:tc>
        <w:tc>
          <w:tcPr>
            <w:tcW w:w="10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UO</w:t>
            </w:r>
            <w:r w:rsidRPr="0095728C">
              <w:rPr>
                <w:rFonts w:ascii="Calibri" w:eastAsia="Times New Roman" w:hAnsi="Calibri" w:cs="Times New Roman"/>
                <w:b/>
                <w:bCs/>
                <w:color w:val="00B050"/>
                <w:sz w:val="20"/>
                <w:szCs w:val="20"/>
                <w:vertAlign w:val="subscript"/>
              </w:rPr>
              <w:t>2</w:t>
            </w:r>
          </w:p>
        </w:tc>
        <w:tc>
          <w:tcPr>
            <w:tcW w:w="10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17</w:t>
            </w:r>
          </w:p>
        </w:tc>
        <w:tc>
          <w:tcPr>
            <w:tcW w:w="154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Waste</w:t>
            </w:r>
          </w:p>
        </w:tc>
        <w:tc>
          <w:tcPr>
            <w:tcW w:w="13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00B050"/>
                <w:sz w:val="20"/>
                <w:szCs w:val="20"/>
              </w:rPr>
            </w:pPr>
            <w:r w:rsidRPr="0095728C">
              <w:rPr>
                <w:rFonts w:ascii="Calibri" w:eastAsia="Times New Roman" w:hAnsi="Calibri" w:cs="Times New Roman"/>
                <w:b/>
                <w:bCs/>
                <w:color w:val="00B050"/>
                <w:sz w:val="20"/>
                <w:szCs w:val="20"/>
              </w:rPr>
              <w:t>1.02</w:t>
            </w:r>
          </w:p>
        </w:tc>
      </w:tr>
      <w:tr w:rsidR="0095728C" w:rsidRPr="0095728C" w:rsidTr="0095728C">
        <w:trPr>
          <w:trHeight w:val="285"/>
          <w:jc w:val="center"/>
        </w:trPr>
        <w:tc>
          <w:tcPr>
            <w:tcW w:w="110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proofErr w:type="spellStart"/>
            <w:r w:rsidRPr="0095728C">
              <w:rPr>
                <w:rFonts w:ascii="Calibri" w:eastAsia="Times New Roman" w:hAnsi="Calibri" w:cs="Times New Roman"/>
                <w:color w:val="000000"/>
                <w:sz w:val="20"/>
                <w:szCs w:val="20"/>
              </w:rPr>
              <w:t>Xss</w:t>
            </w:r>
            <w:proofErr w:type="spellEnd"/>
            <w:r w:rsidRPr="0095728C">
              <w:rPr>
                <w:rFonts w:ascii="Calibri" w:eastAsia="Times New Roman" w:hAnsi="Calibri" w:cs="Times New Roman"/>
                <w:color w:val="000000"/>
                <w:sz w:val="20"/>
                <w:szCs w:val="20"/>
              </w:rPr>
              <w:t>(272)</w:t>
            </w:r>
          </w:p>
        </w:tc>
        <w:tc>
          <w:tcPr>
            <w:tcW w:w="9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59</w:t>
            </w:r>
          </w:p>
        </w:tc>
        <w:tc>
          <w:tcPr>
            <w:tcW w:w="109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UF</w:t>
            </w:r>
            <w:r w:rsidRPr="0095728C">
              <w:rPr>
                <w:rFonts w:ascii="Calibri" w:eastAsia="Times New Roman" w:hAnsi="Calibri" w:cs="Times New Roman"/>
                <w:sz w:val="20"/>
                <w:szCs w:val="20"/>
                <w:vertAlign w:val="subscript"/>
              </w:rPr>
              <w:t>6</w:t>
            </w:r>
          </w:p>
        </w:tc>
        <w:tc>
          <w:tcPr>
            <w:tcW w:w="1081"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sz w:val="20"/>
                <w:szCs w:val="20"/>
              </w:rPr>
            </w:pPr>
            <w:r w:rsidRPr="0095728C">
              <w:rPr>
                <w:rFonts w:ascii="Calibri" w:eastAsia="Times New Roman" w:hAnsi="Calibri" w:cs="Times New Roman"/>
                <w:sz w:val="20"/>
                <w:szCs w:val="20"/>
              </w:rPr>
              <w:t>15</w:t>
            </w:r>
          </w:p>
        </w:tc>
        <w:tc>
          <w:tcPr>
            <w:tcW w:w="1544"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Intermediate</w:t>
            </w:r>
          </w:p>
        </w:tc>
        <w:tc>
          <w:tcPr>
            <w:tcW w:w="1399" w:type="dxa"/>
            <w:tcBorders>
              <w:top w:val="nil"/>
              <w:left w:val="nil"/>
              <w:bottom w:val="nil"/>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color w:val="000000"/>
                <w:sz w:val="20"/>
                <w:szCs w:val="20"/>
              </w:rPr>
            </w:pPr>
            <w:r w:rsidRPr="0095728C">
              <w:rPr>
                <w:rFonts w:ascii="Calibri" w:eastAsia="Times New Roman" w:hAnsi="Calibri" w:cs="Times New Roman"/>
                <w:color w:val="000000"/>
                <w:sz w:val="20"/>
                <w:szCs w:val="20"/>
              </w:rPr>
              <w:t>21.1</w:t>
            </w:r>
          </w:p>
        </w:tc>
      </w:tr>
      <w:tr w:rsidR="0095728C" w:rsidRPr="0095728C" w:rsidTr="0095728C">
        <w:trPr>
          <w:trHeight w:val="300"/>
          <w:jc w:val="center"/>
        </w:trPr>
        <w:tc>
          <w:tcPr>
            <w:tcW w:w="1104"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proofErr w:type="spellStart"/>
            <w:r w:rsidRPr="0095728C">
              <w:rPr>
                <w:rFonts w:ascii="Calibri" w:eastAsia="Times New Roman" w:hAnsi="Calibri" w:cs="Times New Roman"/>
                <w:b/>
                <w:bCs/>
                <w:color w:val="FF0000"/>
                <w:sz w:val="20"/>
                <w:szCs w:val="20"/>
              </w:rPr>
              <w:t>Xss</w:t>
            </w:r>
            <w:proofErr w:type="spellEnd"/>
            <w:r w:rsidRPr="0095728C">
              <w:rPr>
                <w:rFonts w:ascii="Calibri" w:eastAsia="Times New Roman" w:hAnsi="Calibri" w:cs="Times New Roman"/>
                <w:b/>
                <w:bCs/>
                <w:color w:val="FF0000"/>
                <w:sz w:val="20"/>
                <w:szCs w:val="20"/>
              </w:rPr>
              <w:t>(273)</w:t>
            </w:r>
          </w:p>
        </w:tc>
        <w:tc>
          <w:tcPr>
            <w:tcW w:w="981"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60</w:t>
            </w:r>
          </w:p>
        </w:tc>
        <w:tc>
          <w:tcPr>
            <w:tcW w:w="1091"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UF</w:t>
            </w:r>
            <w:r w:rsidRPr="0095728C">
              <w:rPr>
                <w:rFonts w:ascii="Calibri" w:eastAsia="Times New Roman" w:hAnsi="Calibri" w:cs="Times New Roman"/>
                <w:b/>
                <w:bCs/>
                <w:color w:val="FF0000"/>
                <w:sz w:val="20"/>
                <w:szCs w:val="20"/>
                <w:vertAlign w:val="subscript"/>
              </w:rPr>
              <w:t>6</w:t>
            </w:r>
          </w:p>
        </w:tc>
        <w:tc>
          <w:tcPr>
            <w:tcW w:w="1081"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15</w:t>
            </w:r>
          </w:p>
        </w:tc>
        <w:tc>
          <w:tcPr>
            <w:tcW w:w="1544"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Product</w:t>
            </w:r>
          </w:p>
        </w:tc>
        <w:tc>
          <w:tcPr>
            <w:tcW w:w="1399" w:type="dxa"/>
            <w:tcBorders>
              <w:top w:val="nil"/>
              <w:left w:val="nil"/>
              <w:bottom w:val="single" w:sz="8" w:space="0" w:color="auto"/>
              <w:right w:val="nil"/>
            </w:tcBorders>
            <w:shd w:val="clear" w:color="auto" w:fill="auto"/>
            <w:noWrap/>
            <w:vAlign w:val="center"/>
            <w:hideMark/>
          </w:tcPr>
          <w:p w:rsidR="0095728C" w:rsidRPr="0095728C" w:rsidRDefault="0095728C" w:rsidP="0095728C">
            <w:pPr>
              <w:spacing w:after="0" w:line="240" w:lineRule="auto"/>
              <w:jc w:val="center"/>
              <w:rPr>
                <w:rFonts w:ascii="Calibri" w:eastAsia="Times New Roman" w:hAnsi="Calibri" w:cs="Times New Roman"/>
                <w:b/>
                <w:bCs/>
                <w:color w:val="FF0000"/>
                <w:sz w:val="20"/>
                <w:szCs w:val="20"/>
              </w:rPr>
            </w:pPr>
            <w:r w:rsidRPr="0095728C">
              <w:rPr>
                <w:rFonts w:ascii="Calibri" w:eastAsia="Times New Roman" w:hAnsi="Calibri" w:cs="Times New Roman"/>
                <w:b/>
                <w:bCs/>
                <w:color w:val="FF0000"/>
                <w:sz w:val="20"/>
                <w:szCs w:val="20"/>
              </w:rPr>
              <w:t>194</w:t>
            </w:r>
          </w:p>
        </w:tc>
      </w:tr>
    </w:tbl>
    <w:p w:rsidR="0095728C" w:rsidRDefault="0095728C" w:rsidP="00E664E4"/>
    <w:p w:rsidR="00F938ED" w:rsidRDefault="00F938ED">
      <w:r>
        <w:br w:type="page"/>
      </w:r>
    </w:p>
    <w:p w:rsidR="00E664E4" w:rsidRDefault="00E664E4" w:rsidP="00E664E4">
      <w:r>
        <w:lastRenderedPageBreak/>
        <w:t>The MATLAB® ‘</w:t>
      </w:r>
      <w:proofErr w:type="spellStart"/>
      <w:r>
        <w:t>fsolve</w:t>
      </w:r>
      <w:proofErr w:type="spellEnd"/>
      <w:r>
        <w:t xml:space="preserve">’ function provides the steady-state solution to the set of simultaneous algebraic equations that represent the mass balance in the NUCP. Additionally, the steady-state solution was checked by substituting the values </w:t>
      </w:r>
      <w:r w:rsidR="00CC1381">
        <w:t xml:space="preserve">of the steady-state solution back </w:t>
      </w:r>
      <w:r>
        <w:t>into the set of simultaneous equations and determining the result. As expected, the equations all resulted in ‘0’ for the rate of change values using both ‘</w:t>
      </w:r>
      <w:proofErr w:type="spellStart"/>
      <w:r>
        <w:t>fsolve</w:t>
      </w:r>
      <w:proofErr w:type="spellEnd"/>
      <w:r>
        <w:t>’ and for substitution to check the ‘</w:t>
      </w:r>
      <w:proofErr w:type="spellStart"/>
      <w:r>
        <w:t>fsolve</w:t>
      </w:r>
      <w:proofErr w:type="spellEnd"/>
      <w:r>
        <w:t xml:space="preserve">’ solution. </w:t>
      </w:r>
      <w:r w:rsidRPr="005A3E48">
        <w:t>The</w:t>
      </w:r>
      <w:r>
        <w:t xml:space="preserve"> </w:t>
      </w:r>
      <w:r w:rsidR="000E5ECB">
        <w:t xml:space="preserve">rate of change of the </w:t>
      </w:r>
      <w:r>
        <w:t xml:space="preserve">overall </w:t>
      </w:r>
      <w:r w:rsidRPr="005A3E48">
        <w:t>material balances serve</w:t>
      </w:r>
      <w:r>
        <w:t>d</w:t>
      </w:r>
      <w:r w:rsidRPr="005A3E48">
        <w:t xml:space="preserve"> as an internal check that the calculations </w:t>
      </w:r>
      <w:r>
        <w:t>we</w:t>
      </w:r>
      <w:r w:rsidRPr="005A3E48">
        <w:t>re correct.</w:t>
      </w:r>
      <w:r>
        <w:t xml:space="preserve"> Table 4.12 lists the </w:t>
      </w:r>
      <w:r w:rsidR="000E5ECB">
        <w:t xml:space="preserve">rate of change of the </w:t>
      </w:r>
      <w:r>
        <w:t>overall material balance</w:t>
      </w:r>
      <w:r w:rsidR="000E5ECB">
        <w:t>s</w:t>
      </w:r>
      <w:r>
        <w:t xml:space="preserve"> for each Module. As expected, each was approximately zero.</w:t>
      </w:r>
    </w:p>
    <w:p w:rsidR="00F938ED" w:rsidRDefault="00F938ED" w:rsidP="00F938ED">
      <w:r>
        <w:t xml:space="preserve">There were 273 state variables and seven input variables. </w:t>
      </w:r>
      <w:r w:rsidRPr="001A7732">
        <w:t xml:space="preserve">In order to generate the base </w:t>
      </w:r>
      <w:r>
        <w:t>case data, the input variables we</w:t>
      </w:r>
      <w:r w:rsidRPr="001A7732">
        <w:t xml:space="preserve">re varied within the range given in </w:t>
      </w:r>
      <w:r>
        <w:t>Table 3.11</w:t>
      </w:r>
      <w:r w:rsidRPr="001A7732">
        <w:t xml:space="preserve">. To generate a reasonable amount of data, each input variable </w:t>
      </w:r>
      <w:r>
        <w:t xml:space="preserve">was used at five evenly spaced intervals over the range provided in Table 3.11 including the initial value. Such that for an input variable that was varied over a range of ±10%, the input variable was used at the initial value and 90%, 95%, 105%, and 110% of that value. </w:t>
      </w:r>
      <w:r w:rsidRPr="001A7732">
        <w:t>This result</w:t>
      </w:r>
      <w:r>
        <w:t>ed</w:t>
      </w:r>
      <w:r w:rsidRPr="001A7732">
        <w:t xml:space="preserve"> in a base case data matrix of </w:t>
      </w:r>
      <w:r>
        <w:t>78,125</w:t>
      </w:r>
      <w:r w:rsidRPr="001A7732">
        <w:t>×</w:t>
      </w:r>
      <w:r>
        <w:t>280</w:t>
      </w:r>
      <w:r w:rsidRPr="001A7732">
        <w:t xml:space="preserve">, where the </w:t>
      </w:r>
      <w:r>
        <w:t>280</w:t>
      </w:r>
      <w:r w:rsidRPr="001A7732">
        <w:t xml:space="preserve"> include</w:t>
      </w:r>
      <w:r>
        <w:t>d</w:t>
      </w:r>
      <w:r w:rsidRPr="001A7732">
        <w:t xml:space="preserve"> the </w:t>
      </w:r>
      <w:r>
        <w:t>273 state variables</w:t>
      </w:r>
      <w:r w:rsidRPr="001A7732">
        <w:t xml:space="preserve"> </w:t>
      </w:r>
      <w:r>
        <w:t>and the seven</w:t>
      </w:r>
      <w:r w:rsidRPr="001A7732">
        <w:t xml:space="preserve"> input variables.</w:t>
      </w:r>
      <w:r>
        <w:t xml:space="preserve"> The variable index numbers for the input variables were 274–280 (see Table 3.11).</w:t>
      </w:r>
      <w:r w:rsidRPr="001A7732">
        <w:t xml:space="preserve"> </w:t>
      </w:r>
    </w:p>
    <w:p w:rsidR="00F938ED" w:rsidRDefault="00F938ED" w:rsidP="00F938ED">
      <w:r>
        <w:t>Continuing to follow the overall approach for the development of the detection framework laid out in Figure 3.1, Gaussian white noise was added to the base case data set. A matrix of normally distributed random numbers with mean of zero and standard deviation of one was generated. The random numbers of each column was scaled by the nominal steady-state values of the respective variable times the percent of noise desired. In this case, 1% noise was added. One percent is small but not unreasonably so with current advances in electronic equipment. Additionally, the primary state variables that represented the uranium-bearing component(s) of the product stream in each module and the input variables were scaled based on the values shown in Table 4.13. This scaling was accomplished by dividing the standard deviation of the appropriate state variable by the desired scaling factor. This resulted in a new standard deviation, which was equal to the scaling factor, for the mean-centered and weighted-scale state variables since the mean-centered columns were divided by the new scaled standard deviation. This weighted scaling was done because all of the intermediate and waste streams contain uranium and it was important to ensure that the product streams were not masked by the other streams.</w:t>
      </w:r>
    </w:p>
    <w:tbl>
      <w:tblPr>
        <w:tblW w:w="4080" w:type="dxa"/>
        <w:jc w:val="center"/>
        <w:tblInd w:w="98" w:type="dxa"/>
        <w:tblLook w:val="04A0" w:firstRow="1" w:lastRow="0" w:firstColumn="1" w:lastColumn="0" w:noHBand="0" w:noVBand="1"/>
      </w:tblPr>
      <w:tblGrid>
        <w:gridCol w:w="222"/>
        <w:gridCol w:w="1902"/>
        <w:gridCol w:w="2030"/>
        <w:gridCol w:w="222"/>
      </w:tblGrid>
      <w:tr w:rsidR="00E664E4" w:rsidRPr="00912217" w:rsidTr="003D664B">
        <w:trPr>
          <w:trHeight w:val="270"/>
          <w:jc w:val="center"/>
        </w:trPr>
        <w:tc>
          <w:tcPr>
            <w:tcW w:w="4080" w:type="dxa"/>
            <w:gridSpan w:val="4"/>
            <w:tcBorders>
              <w:top w:val="nil"/>
              <w:left w:val="nil"/>
              <w:bottom w:val="nil"/>
              <w:right w:val="nil"/>
            </w:tcBorders>
            <w:shd w:val="clear" w:color="auto" w:fill="auto"/>
            <w:noWrap/>
            <w:vAlign w:val="center"/>
            <w:hideMark/>
          </w:tcPr>
          <w:p w:rsidR="00E664E4" w:rsidRPr="00912217" w:rsidRDefault="00E664E4" w:rsidP="000E5ECB">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Table 4.12</w:t>
            </w:r>
            <w:r w:rsidR="000E5ECB">
              <w:rPr>
                <w:rFonts w:ascii="Calibri" w:eastAsia="Times New Roman" w:hAnsi="Calibri" w:cs="Times New Roman"/>
                <w:b/>
                <w:bCs/>
                <w:color w:val="000000"/>
                <w:sz w:val="20"/>
                <w:szCs w:val="20"/>
              </w:rPr>
              <w:t>. Rate of Change of the Overall Material Balances</w:t>
            </w:r>
          </w:p>
        </w:tc>
      </w:tr>
      <w:tr w:rsidR="00E664E4" w:rsidRPr="00912217" w:rsidTr="003D664B">
        <w:trPr>
          <w:trHeight w:val="255"/>
          <w:jc w:val="center"/>
        </w:trPr>
        <w:tc>
          <w:tcPr>
            <w:tcW w:w="74" w:type="dxa"/>
            <w:tcBorders>
              <w:top w:val="nil"/>
              <w:left w:val="nil"/>
              <w:bottom w:val="nil"/>
              <w:right w:val="nil"/>
            </w:tcBorders>
            <w:shd w:val="clear" w:color="auto" w:fill="auto"/>
            <w:noWrap/>
            <w:vAlign w:val="center"/>
            <w:hideMark/>
          </w:tcPr>
          <w:p w:rsidR="00E664E4" w:rsidRPr="00912217" w:rsidRDefault="00E664E4" w:rsidP="003D664B">
            <w:pPr>
              <w:spacing w:after="0" w:line="240" w:lineRule="auto"/>
              <w:jc w:val="center"/>
              <w:rPr>
                <w:rFonts w:ascii="Calibri" w:eastAsia="Times New Roman" w:hAnsi="Calibri" w:cs="Times New Roman"/>
                <w:b/>
                <w:bCs/>
                <w:color w:val="000000"/>
                <w:sz w:val="20"/>
                <w:szCs w:val="20"/>
              </w:rPr>
            </w:pPr>
          </w:p>
        </w:tc>
        <w:tc>
          <w:tcPr>
            <w:tcW w:w="1902" w:type="dxa"/>
            <w:tcBorders>
              <w:top w:val="single" w:sz="8" w:space="0" w:color="auto"/>
              <w:left w:val="nil"/>
              <w:bottom w:val="single" w:sz="4" w:space="0" w:color="auto"/>
              <w:right w:val="nil"/>
            </w:tcBorders>
            <w:shd w:val="clear" w:color="auto" w:fill="auto"/>
            <w:noWrap/>
            <w:vAlign w:val="center"/>
            <w:hideMark/>
          </w:tcPr>
          <w:p w:rsidR="00E664E4" w:rsidRPr="00912217" w:rsidRDefault="00E664E4" w:rsidP="003D664B">
            <w:pPr>
              <w:spacing w:after="0" w:line="240" w:lineRule="auto"/>
              <w:jc w:val="center"/>
              <w:rPr>
                <w:rFonts w:ascii="Calibri" w:eastAsia="Times New Roman" w:hAnsi="Calibri" w:cs="Times New Roman"/>
                <w:b/>
                <w:bCs/>
                <w:color w:val="000000"/>
                <w:sz w:val="20"/>
                <w:szCs w:val="20"/>
              </w:rPr>
            </w:pPr>
            <w:r w:rsidRPr="00912217">
              <w:rPr>
                <w:rFonts w:ascii="Calibri" w:eastAsia="Times New Roman" w:hAnsi="Calibri" w:cs="Times New Roman"/>
                <w:b/>
                <w:bCs/>
                <w:color w:val="000000"/>
                <w:sz w:val="20"/>
                <w:szCs w:val="20"/>
              </w:rPr>
              <w:t>Module</w:t>
            </w:r>
          </w:p>
        </w:tc>
        <w:tc>
          <w:tcPr>
            <w:tcW w:w="2030" w:type="dxa"/>
            <w:tcBorders>
              <w:top w:val="single" w:sz="8" w:space="0" w:color="auto"/>
              <w:left w:val="nil"/>
              <w:bottom w:val="single" w:sz="4" w:space="0" w:color="auto"/>
              <w:right w:val="nil"/>
            </w:tcBorders>
            <w:shd w:val="clear" w:color="auto" w:fill="auto"/>
            <w:noWrap/>
            <w:vAlign w:val="center"/>
            <w:hideMark/>
          </w:tcPr>
          <w:p w:rsidR="00E664E4" w:rsidRPr="00912217" w:rsidRDefault="00E664E4" w:rsidP="003D664B">
            <w:pPr>
              <w:spacing w:after="0" w:line="240" w:lineRule="auto"/>
              <w:jc w:val="center"/>
              <w:rPr>
                <w:rFonts w:ascii="Calibri" w:eastAsia="Times New Roman" w:hAnsi="Calibri" w:cs="Times New Roman"/>
                <w:b/>
                <w:bCs/>
                <w:color w:val="000000"/>
                <w:sz w:val="20"/>
                <w:szCs w:val="20"/>
              </w:rPr>
            </w:pPr>
            <w:r w:rsidRPr="00912217">
              <w:rPr>
                <w:rFonts w:ascii="Calibri" w:eastAsia="Times New Roman" w:hAnsi="Calibri" w:cs="Times New Roman"/>
                <w:b/>
                <w:bCs/>
                <w:color w:val="000000"/>
                <w:sz w:val="20"/>
                <w:szCs w:val="20"/>
              </w:rPr>
              <w:t>Solution</w:t>
            </w:r>
          </w:p>
        </w:tc>
        <w:tc>
          <w:tcPr>
            <w:tcW w:w="74" w:type="dxa"/>
            <w:tcBorders>
              <w:top w:val="nil"/>
              <w:left w:val="nil"/>
              <w:bottom w:val="nil"/>
              <w:right w:val="nil"/>
            </w:tcBorders>
            <w:shd w:val="clear" w:color="auto" w:fill="auto"/>
            <w:noWrap/>
            <w:vAlign w:val="center"/>
            <w:hideMark/>
          </w:tcPr>
          <w:p w:rsidR="00E664E4" w:rsidRPr="00912217" w:rsidRDefault="00E664E4" w:rsidP="003D664B">
            <w:pPr>
              <w:spacing w:after="0" w:line="240" w:lineRule="auto"/>
              <w:jc w:val="center"/>
              <w:rPr>
                <w:rFonts w:ascii="Calibri" w:eastAsia="Times New Roman" w:hAnsi="Calibri" w:cs="Times New Roman"/>
                <w:b/>
                <w:bCs/>
                <w:color w:val="000000"/>
                <w:sz w:val="20"/>
                <w:szCs w:val="20"/>
              </w:rPr>
            </w:pPr>
          </w:p>
        </w:tc>
      </w:tr>
      <w:tr w:rsidR="00E664E4" w:rsidRPr="00912217" w:rsidTr="003D664B">
        <w:trPr>
          <w:trHeight w:val="300"/>
          <w:jc w:val="center"/>
        </w:trPr>
        <w:tc>
          <w:tcPr>
            <w:tcW w:w="74" w:type="dxa"/>
            <w:tcBorders>
              <w:top w:val="nil"/>
              <w:left w:val="nil"/>
              <w:bottom w:val="nil"/>
              <w:right w:val="nil"/>
            </w:tcBorders>
            <w:shd w:val="clear" w:color="auto" w:fill="auto"/>
            <w:noWrap/>
            <w:vAlign w:val="center"/>
            <w:hideMark/>
          </w:tcPr>
          <w:p w:rsidR="00E664E4" w:rsidRPr="00912217" w:rsidRDefault="00E664E4" w:rsidP="003D664B">
            <w:pPr>
              <w:spacing w:after="0" w:line="240" w:lineRule="auto"/>
              <w:jc w:val="center"/>
              <w:rPr>
                <w:rFonts w:ascii="Calibri" w:eastAsia="Times New Roman" w:hAnsi="Calibri" w:cs="Times New Roman"/>
                <w:color w:val="000000"/>
                <w:sz w:val="20"/>
                <w:szCs w:val="20"/>
              </w:rPr>
            </w:pPr>
          </w:p>
        </w:tc>
        <w:tc>
          <w:tcPr>
            <w:tcW w:w="1902" w:type="dxa"/>
            <w:tcBorders>
              <w:top w:val="nil"/>
              <w:left w:val="nil"/>
              <w:bottom w:val="nil"/>
              <w:right w:val="nil"/>
            </w:tcBorders>
            <w:shd w:val="clear" w:color="auto" w:fill="auto"/>
            <w:noWrap/>
            <w:vAlign w:val="center"/>
            <w:hideMark/>
          </w:tcPr>
          <w:p w:rsidR="00E664E4" w:rsidRPr="00912217" w:rsidRDefault="00E664E4" w:rsidP="003D664B">
            <w:pPr>
              <w:spacing w:after="0" w:line="240" w:lineRule="auto"/>
              <w:jc w:val="center"/>
              <w:rPr>
                <w:rFonts w:ascii="Calibri" w:eastAsia="Times New Roman" w:hAnsi="Calibri" w:cs="Times New Roman"/>
                <w:color w:val="000000"/>
                <w:sz w:val="20"/>
                <w:szCs w:val="20"/>
              </w:rPr>
            </w:pPr>
            <w:r w:rsidRPr="00912217">
              <w:rPr>
                <w:rFonts w:ascii="Calibri" w:eastAsia="Times New Roman" w:hAnsi="Calibri" w:cs="Times New Roman"/>
                <w:color w:val="000000"/>
                <w:sz w:val="20"/>
                <w:szCs w:val="20"/>
              </w:rPr>
              <w:t>1</w:t>
            </w:r>
          </w:p>
        </w:tc>
        <w:tc>
          <w:tcPr>
            <w:tcW w:w="2030" w:type="dxa"/>
            <w:tcBorders>
              <w:top w:val="nil"/>
              <w:left w:val="nil"/>
              <w:bottom w:val="nil"/>
              <w:right w:val="nil"/>
            </w:tcBorders>
            <w:shd w:val="clear" w:color="auto" w:fill="auto"/>
            <w:noWrap/>
            <w:vAlign w:val="center"/>
            <w:hideMark/>
          </w:tcPr>
          <w:p w:rsidR="00E664E4" w:rsidRPr="00912217" w:rsidRDefault="00E664E4" w:rsidP="003D664B">
            <w:pPr>
              <w:spacing w:after="0" w:line="240" w:lineRule="auto"/>
              <w:jc w:val="center"/>
              <w:rPr>
                <w:rFonts w:ascii="Calibri" w:eastAsia="Times New Roman" w:hAnsi="Calibri" w:cs="Times New Roman"/>
                <w:color w:val="000000"/>
                <w:sz w:val="20"/>
                <w:szCs w:val="20"/>
              </w:rPr>
            </w:pPr>
            <w:r w:rsidRPr="00912217">
              <w:rPr>
                <w:rFonts w:ascii="Calibri" w:eastAsia="Times New Roman" w:hAnsi="Calibri" w:cs="Times New Roman"/>
                <w:color w:val="000000"/>
                <w:sz w:val="20"/>
                <w:szCs w:val="20"/>
              </w:rPr>
              <w:t>1 × 10</w:t>
            </w:r>
            <w:r w:rsidRPr="00912217">
              <w:rPr>
                <w:rFonts w:ascii="Calibri" w:eastAsia="Times New Roman" w:hAnsi="Calibri" w:cs="Times New Roman"/>
                <w:color w:val="000000"/>
                <w:sz w:val="20"/>
                <w:szCs w:val="20"/>
                <w:vertAlign w:val="superscript"/>
              </w:rPr>
              <w:t>-11</w:t>
            </w:r>
          </w:p>
        </w:tc>
        <w:tc>
          <w:tcPr>
            <w:tcW w:w="74" w:type="dxa"/>
            <w:tcBorders>
              <w:top w:val="nil"/>
              <w:left w:val="nil"/>
              <w:bottom w:val="nil"/>
              <w:right w:val="nil"/>
            </w:tcBorders>
            <w:shd w:val="clear" w:color="auto" w:fill="auto"/>
            <w:noWrap/>
            <w:vAlign w:val="center"/>
            <w:hideMark/>
          </w:tcPr>
          <w:p w:rsidR="00E664E4" w:rsidRPr="00912217" w:rsidRDefault="00E664E4" w:rsidP="003D664B">
            <w:pPr>
              <w:spacing w:after="0" w:line="240" w:lineRule="auto"/>
              <w:jc w:val="center"/>
              <w:rPr>
                <w:rFonts w:ascii="Calibri" w:eastAsia="Times New Roman" w:hAnsi="Calibri" w:cs="Times New Roman"/>
                <w:color w:val="000000"/>
                <w:sz w:val="20"/>
                <w:szCs w:val="20"/>
              </w:rPr>
            </w:pPr>
          </w:p>
        </w:tc>
      </w:tr>
      <w:tr w:rsidR="00E664E4" w:rsidRPr="00912217" w:rsidTr="003D664B">
        <w:trPr>
          <w:trHeight w:val="300"/>
          <w:jc w:val="center"/>
        </w:trPr>
        <w:tc>
          <w:tcPr>
            <w:tcW w:w="74" w:type="dxa"/>
            <w:tcBorders>
              <w:top w:val="nil"/>
              <w:left w:val="nil"/>
              <w:bottom w:val="nil"/>
              <w:right w:val="nil"/>
            </w:tcBorders>
            <w:shd w:val="clear" w:color="auto" w:fill="auto"/>
            <w:noWrap/>
            <w:vAlign w:val="center"/>
            <w:hideMark/>
          </w:tcPr>
          <w:p w:rsidR="00E664E4" w:rsidRPr="00912217" w:rsidRDefault="00E664E4" w:rsidP="003D664B">
            <w:pPr>
              <w:spacing w:after="0" w:line="240" w:lineRule="auto"/>
              <w:jc w:val="center"/>
              <w:rPr>
                <w:rFonts w:ascii="Calibri" w:eastAsia="Times New Roman" w:hAnsi="Calibri" w:cs="Times New Roman"/>
                <w:color w:val="000000"/>
                <w:sz w:val="20"/>
                <w:szCs w:val="20"/>
              </w:rPr>
            </w:pPr>
          </w:p>
        </w:tc>
        <w:tc>
          <w:tcPr>
            <w:tcW w:w="1902" w:type="dxa"/>
            <w:tcBorders>
              <w:top w:val="nil"/>
              <w:left w:val="nil"/>
              <w:bottom w:val="nil"/>
              <w:right w:val="nil"/>
            </w:tcBorders>
            <w:shd w:val="clear" w:color="auto" w:fill="auto"/>
            <w:noWrap/>
            <w:vAlign w:val="center"/>
            <w:hideMark/>
          </w:tcPr>
          <w:p w:rsidR="00E664E4" w:rsidRPr="00912217" w:rsidRDefault="00E664E4" w:rsidP="003D664B">
            <w:pPr>
              <w:spacing w:after="0" w:line="240" w:lineRule="auto"/>
              <w:jc w:val="center"/>
              <w:rPr>
                <w:rFonts w:ascii="Calibri" w:eastAsia="Times New Roman" w:hAnsi="Calibri" w:cs="Times New Roman"/>
                <w:color w:val="000000"/>
                <w:sz w:val="20"/>
                <w:szCs w:val="20"/>
              </w:rPr>
            </w:pPr>
            <w:r w:rsidRPr="00912217">
              <w:rPr>
                <w:rFonts w:ascii="Calibri" w:eastAsia="Times New Roman" w:hAnsi="Calibri" w:cs="Times New Roman"/>
                <w:color w:val="000000"/>
                <w:sz w:val="20"/>
                <w:szCs w:val="20"/>
              </w:rPr>
              <w:t>2</w:t>
            </w:r>
          </w:p>
        </w:tc>
        <w:tc>
          <w:tcPr>
            <w:tcW w:w="2030" w:type="dxa"/>
            <w:tcBorders>
              <w:top w:val="nil"/>
              <w:left w:val="nil"/>
              <w:bottom w:val="nil"/>
              <w:right w:val="nil"/>
            </w:tcBorders>
            <w:shd w:val="clear" w:color="auto" w:fill="auto"/>
            <w:noWrap/>
            <w:vAlign w:val="center"/>
            <w:hideMark/>
          </w:tcPr>
          <w:p w:rsidR="00E664E4" w:rsidRPr="00912217" w:rsidRDefault="00E664E4" w:rsidP="003D664B">
            <w:pPr>
              <w:spacing w:after="0" w:line="240" w:lineRule="auto"/>
              <w:jc w:val="center"/>
              <w:rPr>
                <w:rFonts w:ascii="Calibri" w:eastAsia="Times New Roman" w:hAnsi="Calibri" w:cs="Times New Roman"/>
                <w:color w:val="000000"/>
                <w:sz w:val="20"/>
                <w:szCs w:val="20"/>
              </w:rPr>
            </w:pPr>
            <w:r w:rsidRPr="00912217">
              <w:rPr>
                <w:rFonts w:ascii="Calibri" w:eastAsia="Times New Roman" w:hAnsi="Calibri" w:cs="Times New Roman"/>
                <w:color w:val="000000"/>
                <w:sz w:val="20"/>
                <w:szCs w:val="20"/>
              </w:rPr>
              <w:t>1 × 10</w:t>
            </w:r>
            <w:r w:rsidRPr="00912217">
              <w:rPr>
                <w:rFonts w:ascii="Calibri" w:eastAsia="Times New Roman" w:hAnsi="Calibri" w:cs="Times New Roman"/>
                <w:color w:val="000000"/>
                <w:sz w:val="20"/>
                <w:szCs w:val="20"/>
                <w:vertAlign w:val="superscript"/>
              </w:rPr>
              <w:t>-10</w:t>
            </w:r>
          </w:p>
        </w:tc>
        <w:tc>
          <w:tcPr>
            <w:tcW w:w="74" w:type="dxa"/>
            <w:tcBorders>
              <w:top w:val="nil"/>
              <w:left w:val="nil"/>
              <w:bottom w:val="nil"/>
              <w:right w:val="nil"/>
            </w:tcBorders>
            <w:shd w:val="clear" w:color="auto" w:fill="auto"/>
            <w:noWrap/>
            <w:vAlign w:val="center"/>
            <w:hideMark/>
          </w:tcPr>
          <w:p w:rsidR="00E664E4" w:rsidRPr="00912217" w:rsidRDefault="00E664E4" w:rsidP="003D664B">
            <w:pPr>
              <w:spacing w:after="0" w:line="240" w:lineRule="auto"/>
              <w:jc w:val="center"/>
              <w:rPr>
                <w:rFonts w:ascii="Calibri" w:eastAsia="Times New Roman" w:hAnsi="Calibri" w:cs="Times New Roman"/>
                <w:color w:val="000000"/>
                <w:sz w:val="20"/>
                <w:szCs w:val="20"/>
              </w:rPr>
            </w:pPr>
          </w:p>
        </w:tc>
      </w:tr>
      <w:tr w:rsidR="00E664E4" w:rsidRPr="00912217" w:rsidTr="003D664B">
        <w:trPr>
          <w:trHeight w:val="300"/>
          <w:jc w:val="center"/>
        </w:trPr>
        <w:tc>
          <w:tcPr>
            <w:tcW w:w="74" w:type="dxa"/>
            <w:tcBorders>
              <w:top w:val="nil"/>
              <w:left w:val="nil"/>
              <w:bottom w:val="nil"/>
              <w:right w:val="nil"/>
            </w:tcBorders>
            <w:shd w:val="clear" w:color="auto" w:fill="auto"/>
            <w:noWrap/>
            <w:vAlign w:val="center"/>
            <w:hideMark/>
          </w:tcPr>
          <w:p w:rsidR="00E664E4" w:rsidRPr="00912217" w:rsidRDefault="00E664E4" w:rsidP="003D664B">
            <w:pPr>
              <w:spacing w:after="0" w:line="240" w:lineRule="auto"/>
              <w:jc w:val="center"/>
              <w:rPr>
                <w:rFonts w:ascii="Calibri" w:eastAsia="Times New Roman" w:hAnsi="Calibri" w:cs="Times New Roman"/>
                <w:color w:val="000000"/>
                <w:sz w:val="20"/>
                <w:szCs w:val="20"/>
              </w:rPr>
            </w:pPr>
          </w:p>
        </w:tc>
        <w:tc>
          <w:tcPr>
            <w:tcW w:w="1902" w:type="dxa"/>
            <w:tcBorders>
              <w:top w:val="nil"/>
              <w:left w:val="nil"/>
              <w:bottom w:val="nil"/>
              <w:right w:val="nil"/>
            </w:tcBorders>
            <w:shd w:val="clear" w:color="auto" w:fill="auto"/>
            <w:noWrap/>
            <w:vAlign w:val="center"/>
            <w:hideMark/>
          </w:tcPr>
          <w:p w:rsidR="00E664E4" w:rsidRPr="00912217" w:rsidRDefault="00E664E4" w:rsidP="003D664B">
            <w:pPr>
              <w:spacing w:after="0" w:line="240" w:lineRule="auto"/>
              <w:jc w:val="center"/>
              <w:rPr>
                <w:rFonts w:ascii="Calibri" w:eastAsia="Times New Roman" w:hAnsi="Calibri" w:cs="Times New Roman"/>
                <w:color w:val="000000"/>
                <w:sz w:val="20"/>
                <w:szCs w:val="20"/>
              </w:rPr>
            </w:pPr>
            <w:r w:rsidRPr="00912217">
              <w:rPr>
                <w:rFonts w:ascii="Calibri" w:eastAsia="Times New Roman" w:hAnsi="Calibri" w:cs="Times New Roman"/>
                <w:color w:val="000000"/>
                <w:sz w:val="20"/>
                <w:szCs w:val="20"/>
              </w:rPr>
              <w:t>3</w:t>
            </w:r>
          </w:p>
        </w:tc>
        <w:tc>
          <w:tcPr>
            <w:tcW w:w="2030" w:type="dxa"/>
            <w:tcBorders>
              <w:top w:val="nil"/>
              <w:left w:val="nil"/>
              <w:bottom w:val="nil"/>
              <w:right w:val="nil"/>
            </w:tcBorders>
            <w:shd w:val="clear" w:color="auto" w:fill="auto"/>
            <w:noWrap/>
            <w:vAlign w:val="center"/>
            <w:hideMark/>
          </w:tcPr>
          <w:p w:rsidR="00E664E4" w:rsidRPr="00912217" w:rsidRDefault="00E664E4" w:rsidP="003D664B">
            <w:pPr>
              <w:spacing w:after="0" w:line="240" w:lineRule="auto"/>
              <w:jc w:val="center"/>
              <w:rPr>
                <w:rFonts w:ascii="Calibri" w:eastAsia="Times New Roman" w:hAnsi="Calibri" w:cs="Times New Roman"/>
                <w:color w:val="000000"/>
                <w:sz w:val="20"/>
                <w:szCs w:val="20"/>
              </w:rPr>
            </w:pPr>
            <w:r w:rsidRPr="00912217">
              <w:rPr>
                <w:rFonts w:ascii="Calibri" w:eastAsia="Times New Roman" w:hAnsi="Calibri" w:cs="Times New Roman"/>
                <w:color w:val="000000"/>
                <w:sz w:val="20"/>
                <w:szCs w:val="20"/>
              </w:rPr>
              <w:t>1 × 10</w:t>
            </w:r>
            <w:r w:rsidRPr="00912217">
              <w:rPr>
                <w:rFonts w:ascii="Calibri" w:eastAsia="Times New Roman" w:hAnsi="Calibri" w:cs="Times New Roman"/>
                <w:color w:val="000000"/>
                <w:sz w:val="20"/>
                <w:szCs w:val="20"/>
                <w:vertAlign w:val="superscript"/>
              </w:rPr>
              <w:t>-12</w:t>
            </w:r>
          </w:p>
        </w:tc>
        <w:tc>
          <w:tcPr>
            <w:tcW w:w="74" w:type="dxa"/>
            <w:tcBorders>
              <w:top w:val="nil"/>
              <w:left w:val="nil"/>
              <w:bottom w:val="nil"/>
              <w:right w:val="nil"/>
            </w:tcBorders>
            <w:shd w:val="clear" w:color="auto" w:fill="auto"/>
            <w:noWrap/>
            <w:vAlign w:val="center"/>
            <w:hideMark/>
          </w:tcPr>
          <w:p w:rsidR="00E664E4" w:rsidRPr="00912217" w:rsidRDefault="00E664E4" w:rsidP="003D664B">
            <w:pPr>
              <w:spacing w:after="0" w:line="240" w:lineRule="auto"/>
              <w:jc w:val="center"/>
              <w:rPr>
                <w:rFonts w:ascii="Calibri" w:eastAsia="Times New Roman" w:hAnsi="Calibri" w:cs="Times New Roman"/>
                <w:color w:val="000000"/>
                <w:sz w:val="20"/>
                <w:szCs w:val="20"/>
              </w:rPr>
            </w:pPr>
          </w:p>
        </w:tc>
      </w:tr>
      <w:tr w:rsidR="00E664E4" w:rsidRPr="00912217" w:rsidTr="003D664B">
        <w:trPr>
          <w:trHeight w:val="300"/>
          <w:jc w:val="center"/>
        </w:trPr>
        <w:tc>
          <w:tcPr>
            <w:tcW w:w="74" w:type="dxa"/>
            <w:tcBorders>
              <w:top w:val="nil"/>
              <w:left w:val="nil"/>
              <w:bottom w:val="nil"/>
              <w:right w:val="nil"/>
            </w:tcBorders>
            <w:shd w:val="clear" w:color="auto" w:fill="auto"/>
            <w:noWrap/>
            <w:vAlign w:val="center"/>
            <w:hideMark/>
          </w:tcPr>
          <w:p w:rsidR="00E664E4" w:rsidRPr="00912217" w:rsidRDefault="00E664E4" w:rsidP="003D664B">
            <w:pPr>
              <w:spacing w:after="0" w:line="240" w:lineRule="auto"/>
              <w:jc w:val="center"/>
              <w:rPr>
                <w:rFonts w:ascii="Calibri" w:eastAsia="Times New Roman" w:hAnsi="Calibri" w:cs="Times New Roman"/>
                <w:color w:val="000000"/>
                <w:sz w:val="20"/>
                <w:szCs w:val="20"/>
              </w:rPr>
            </w:pPr>
          </w:p>
        </w:tc>
        <w:tc>
          <w:tcPr>
            <w:tcW w:w="1902" w:type="dxa"/>
            <w:tcBorders>
              <w:top w:val="nil"/>
              <w:left w:val="nil"/>
              <w:bottom w:val="nil"/>
              <w:right w:val="nil"/>
            </w:tcBorders>
            <w:shd w:val="clear" w:color="auto" w:fill="auto"/>
            <w:noWrap/>
            <w:vAlign w:val="center"/>
            <w:hideMark/>
          </w:tcPr>
          <w:p w:rsidR="00E664E4" w:rsidRPr="00912217" w:rsidRDefault="00E664E4" w:rsidP="003D664B">
            <w:pPr>
              <w:spacing w:after="0" w:line="240" w:lineRule="auto"/>
              <w:jc w:val="center"/>
              <w:rPr>
                <w:rFonts w:ascii="Calibri" w:eastAsia="Times New Roman" w:hAnsi="Calibri" w:cs="Times New Roman"/>
                <w:color w:val="000000"/>
                <w:sz w:val="20"/>
                <w:szCs w:val="20"/>
              </w:rPr>
            </w:pPr>
            <w:r w:rsidRPr="00912217">
              <w:rPr>
                <w:rFonts w:ascii="Calibri" w:eastAsia="Times New Roman" w:hAnsi="Calibri" w:cs="Times New Roman"/>
                <w:color w:val="000000"/>
                <w:sz w:val="20"/>
                <w:szCs w:val="20"/>
              </w:rPr>
              <w:t>4</w:t>
            </w:r>
          </w:p>
        </w:tc>
        <w:tc>
          <w:tcPr>
            <w:tcW w:w="2030" w:type="dxa"/>
            <w:tcBorders>
              <w:top w:val="nil"/>
              <w:left w:val="nil"/>
              <w:bottom w:val="nil"/>
              <w:right w:val="nil"/>
            </w:tcBorders>
            <w:shd w:val="clear" w:color="auto" w:fill="auto"/>
            <w:noWrap/>
            <w:vAlign w:val="center"/>
            <w:hideMark/>
          </w:tcPr>
          <w:p w:rsidR="00E664E4" w:rsidRPr="00912217" w:rsidRDefault="00E664E4" w:rsidP="003D664B">
            <w:pPr>
              <w:spacing w:after="0" w:line="240" w:lineRule="auto"/>
              <w:jc w:val="center"/>
              <w:rPr>
                <w:rFonts w:ascii="Calibri" w:eastAsia="Times New Roman" w:hAnsi="Calibri" w:cs="Times New Roman"/>
                <w:color w:val="000000"/>
                <w:sz w:val="20"/>
                <w:szCs w:val="20"/>
              </w:rPr>
            </w:pPr>
            <w:r w:rsidRPr="00912217">
              <w:rPr>
                <w:rFonts w:ascii="Calibri" w:eastAsia="Times New Roman" w:hAnsi="Calibri" w:cs="Times New Roman"/>
                <w:color w:val="000000"/>
                <w:sz w:val="20"/>
                <w:szCs w:val="20"/>
              </w:rPr>
              <w:t>1 × 10</w:t>
            </w:r>
            <w:r w:rsidRPr="00912217">
              <w:rPr>
                <w:rFonts w:ascii="Calibri" w:eastAsia="Times New Roman" w:hAnsi="Calibri" w:cs="Times New Roman"/>
                <w:color w:val="000000"/>
                <w:sz w:val="20"/>
                <w:szCs w:val="20"/>
                <w:vertAlign w:val="superscript"/>
              </w:rPr>
              <w:t>-12</w:t>
            </w:r>
          </w:p>
        </w:tc>
        <w:tc>
          <w:tcPr>
            <w:tcW w:w="74" w:type="dxa"/>
            <w:tcBorders>
              <w:top w:val="nil"/>
              <w:left w:val="nil"/>
              <w:bottom w:val="nil"/>
              <w:right w:val="nil"/>
            </w:tcBorders>
            <w:shd w:val="clear" w:color="auto" w:fill="auto"/>
            <w:noWrap/>
            <w:vAlign w:val="center"/>
            <w:hideMark/>
          </w:tcPr>
          <w:p w:rsidR="00E664E4" w:rsidRPr="00912217" w:rsidRDefault="00E664E4" w:rsidP="003D664B">
            <w:pPr>
              <w:spacing w:after="0" w:line="240" w:lineRule="auto"/>
              <w:jc w:val="center"/>
              <w:rPr>
                <w:rFonts w:ascii="Calibri" w:eastAsia="Times New Roman" w:hAnsi="Calibri" w:cs="Times New Roman"/>
                <w:color w:val="000000"/>
                <w:sz w:val="20"/>
                <w:szCs w:val="20"/>
              </w:rPr>
            </w:pPr>
          </w:p>
        </w:tc>
      </w:tr>
      <w:tr w:rsidR="00E664E4" w:rsidRPr="00912217" w:rsidTr="003D664B">
        <w:trPr>
          <w:trHeight w:val="315"/>
          <w:jc w:val="center"/>
        </w:trPr>
        <w:tc>
          <w:tcPr>
            <w:tcW w:w="74" w:type="dxa"/>
            <w:tcBorders>
              <w:top w:val="nil"/>
              <w:left w:val="nil"/>
              <w:bottom w:val="nil"/>
              <w:right w:val="nil"/>
            </w:tcBorders>
            <w:shd w:val="clear" w:color="auto" w:fill="auto"/>
            <w:noWrap/>
            <w:vAlign w:val="center"/>
            <w:hideMark/>
          </w:tcPr>
          <w:p w:rsidR="00E664E4" w:rsidRPr="00912217" w:rsidRDefault="00E664E4" w:rsidP="003D664B">
            <w:pPr>
              <w:spacing w:after="0" w:line="240" w:lineRule="auto"/>
              <w:jc w:val="center"/>
              <w:rPr>
                <w:rFonts w:ascii="Calibri" w:eastAsia="Times New Roman" w:hAnsi="Calibri" w:cs="Times New Roman"/>
                <w:color w:val="000000"/>
                <w:sz w:val="20"/>
                <w:szCs w:val="20"/>
              </w:rPr>
            </w:pPr>
          </w:p>
        </w:tc>
        <w:tc>
          <w:tcPr>
            <w:tcW w:w="1902" w:type="dxa"/>
            <w:tcBorders>
              <w:top w:val="nil"/>
              <w:left w:val="nil"/>
              <w:bottom w:val="single" w:sz="8" w:space="0" w:color="auto"/>
              <w:right w:val="nil"/>
            </w:tcBorders>
            <w:shd w:val="clear" w:color="auto" w:fill="auto"/>
            <w:noWrap/>
            <w:vAlign w:val="center"/>
            <w:hideMark/>
          </w:tcPr>
          <w:p w:rsidR="00E664E4" w:rsidRPr="00912217" w:rsidRDefault="00E664E4" w:rsidP="003D664B">
            <w:pPr>
              <w:spacing w:after="0" w:line="240" w:lineRule="auto"/>
              <w:jc w:val="center"/>
              <w:rPr>
                <w:rFonts w:ascii="Calibri" w:eastAsia="Times New Roman" w:hAnsi="Calibri" w:cs="Times New Roman"/>
                <w:color w:val="000000"/>
                <w:sz w:val="20"/>
                <w:szCs w:val="20"/>
              </w:rPr>
            </w:pPr>
            <w:r w:rsidRPr="00912217">
              <w:rPr>
                <w:rFonts w:ascii="Calibri" w:eastAsia="Times New Roman" w:hAnsi="Calibri" w:cs="Times New Roman"/>
                <w:color w:val="000000"/>
                <w:sz w:val="20"/>
                <w:szCs w:val="20"/>
              </w:rPr>
              <w:t>5</w:t>
            </w:r>
          </w:p>
        </w:tc>
        <w:tc>
          <w:tcPr>
            <w:tcW w:w="2030" w:type="dxa"/>
            <w:tcBorders>
              <w:top w:val="nil"/>
              <w:left w:val="nil"/>
              <w:bottom w:val="single" w:sz="8" w:space="0" w:color="auto"/>
              <w:right w:val="nil"/>
            </w:tcBorders>
            <w:shd w:val="clear" w:color="auto" w:fill="auto"/>
            <w:noWrap/>
            <w:vAlign w:val="center"/>
            <w:hideMark/>
          </w:tcPr>
          <w:p w:rsidR="00E664E4" w:rsidRPr="00912217" w:rsidRDefault="00E664E4" w:rsidP="003D664B">
            <w:pPr>
              <w:spacing w:after="0" w:line="240" w:lineRule="auto"/>
              <w:jc w:val="center"/>
              <w:rPr>
                <w:rFonts w:ascii="Calibri" w:eastAsia="Times New Roman" w:hAnsi="Calibri" w:cs="Times New Roman"/>
                <w:color w:val="000000"/>
                <w:sz w:val="20"/>
                <w:szCs w:val="20"/>
              </w:rPr>
            </w:pPr>
            <w:r w:rsidRPr="00912217">
              <w:rPr>
                <w:rFonts w:ascii="Calibri" w:eastAsia="Times New Roman" w:hAnsi="Calibri" w:cs="Times New Roman"/>
                <w:color w:val="000000"/>
                <w:sz w:val="20"/>
                <w:szCs w:val="20"/>
              </w:rPr>
              <w:t>1 × 10</w:t>
            </w:r>
            <w:r w:rsidRPr="00912217">
              <w:rPr>
                <w:rFonts w:ascii="Calibri" w:eastAsia="Times New Roman" w:hAnsi="Calibri" w:cs="Times New Roman"/>
                <w:color w:val="000000"/>
                <w:sz w:val="20"/>
                <w:szCs w:val="20"/>
                <w:vertAlign w:val="superscript"/>
              </w:rPr>
              <w:t>-13</w:t>
            </w:r>
          </w:p>
        </w:tc>
        <w:tc>
          <w:tcPr>
            <w:tcW w:w="74" w:type="dxa"/>
            <w:tcBorders>
              <w:top w:val="nil"/>
              <w:left w:val="nil"/>
              <w:bottom w:val="nil"/>
              <w:right w:val="nil"/>
            </w:tcBorders>
            <w:shd w:val="clear" w:color="auto" w:fill="auto"/>
            <w:noWrap/>
            <w:vAlign w:val="center"/>
            <w:hideMark/>
          </w:tcPr>
          <w:p w:rsidR="00E664E4" w:rsidRPr="00912217" w:rsidRDefault="00E664E4" w:rsidP="003D664B">
            <w:pPr>
              <w:spacing w:after="0" w:line="240" w:lineRule="auto"/>
              <w:jc w:val="center"/>
              <w:rPr>
                <w:rFonts w:ascii="Calibri" w:eastAsia="Times New Roman" w:hAnsi="Calibri" w:cs="Times New Roman"/>
                <w:color w:val="000000"/>
                <w:sz w:val="20"/>
                <w:szCs w:val="20"/>
              </w:rPr>
            </w:pPr>
          </w:p>
        </w:tc>
      </w:tr>
    </w:tbl>
    <w:p w:rsidR="00E27BF5" w:rsidRDefault="00E27BF5" w:rsidP="00E664E4"/>
    <w:tbl>
      <w:tblPr>
        <w:tblW w:w="5200" w:type="dxa"/>
        <w:jc w:val="center"/>
        <w:tblInd w:w="93" w:type="dxa"/>
        <w:tblLook w:val="04A0" w:firstRow="1" w:lastRow="0" w:firstColumn="1" w:lastColumn="0" w:noHBand="0" w:noVBand="1"/>
      </w:tblPr>
      <w:tblGrid>
        <w:gridCol w:w="1482"/>
        <w:gridCol w:w="1202"/>
        <w:gridCol w:w="2516"/>
      </w:tblGrid>
      <w:tr w:rsidR="00225266" w:rsidRPr="00225266" w:rsidTr="00225266">
        <w:trPr>
          <w:trHeight w:val="315"/>
          <w:jc w:val="center"/>
        </w:trPr>
        <w:tc>
          <w:tcPr>
            <w:tcW w:w="5200" w:type="dxa"/>
            <w:gridSpan w:val="3"/>
            <w:tcBorders>
              <w:top w:val="nil"/>
              <w:left w:val="nil"/>
              <w:bottom w:val="single" w:sz="8" w:space="0" w:color="auto"/>
              <w:right w:val="nil"/>
            </w:tcBorders>
            <w:shd w:val="clear" w:color="auto" w:fill="auto"/>
            <w:vAlign w:val="center"/>
            <w:hideMark/>
          </w:tcPr>
          <w:p w:rsidR="00225266" w:rsidRPr="00225266" w:rsidRDefault="00225266" w:rsidP="00225266">
            <w:pPr>
              <w:spacing w:after="0" w:line="240" w:lineRule="auto"/>
              <w:jc w:val="center"/>
              <w:rPr>
                <w:rFonts w:ascii="Calibri" w:eastAsia="Times New Roman" w:hAnsi="Calibri" w:cs="Times New Roman"/>
                <w:b/>
                <w:bCs/>
                <w:sz w:val="20"/>
                <w:szCs w:val="20"/>
              </w:rPr>
            </w:pPr>
            <w:r w:rsidRPr="00225266">
              <w:rPr>
                <w:rFonts w:ascii="Calibri" w:eastAsia="Times New Roman" w:hAnsi="Calibri" w:cs="Times New Roman"/>
                <w:b/>
                <w:bCs/>
                <w:sz w:val="20"/>
                <w:szCs w:val="20"/>
              </w:rPr>
              <w:lastRenderedPageBreak/>
              <w:t>Table 4.13. Scaling Factors for the Base Case</w:t>
            </w:r>
          </w:p>
        </w:tc>
      </w:tr>
      <w:tr w:rsidR="00225266" w:rsidRPr="00225266" w:rsidTr="00225266">
        <w:trPr>
          <w:trHeight w:val="300"/>
          <w:jc w:val="center"/>
        </w:trPr>
        <w:tc>
          <w:tcPr>
            <w:tcW w:w="1482" w:type="dxa"/>
            <w:tcBorders>
              <w:top w:val="nil"/>
              <w:left w:val="nil"/>
              <w:bottom w:val="single" w:sz="4" w:space="0" w:color="auto"/>
              <w:right w:val="nil"/>
            </w:tcBorders>
            <w:shd w:val="clear" w:color="auto" w:fill="auto"/>
            <w:noWrap/>
            <w:vAlign w:val="center"/>
            <w:hideMark/>
          </w:tcPr>
          <w:p w:rsidR="00225266" w:rsidRPr="00225266" w:rsidRDefault="00225266" w:rsidP="00225266">
            <w:pPr>
              <w:spacing w:after="0" w:line="240" w:lineRule="auto"/>
              <w:jc w:val="center"/>
              <w:rPr>
                <w:rFonts w:ascii="Calibri" w:eastAsia="Times New Roman" w:hAnsi="Calibri" w:cs="Times New Roman"/>
                <w:b/>
                <w:bCs/>
                <w:sz w:val="20"/>
                <w:szCs w:val="20"/>
              </w:rPr>
            </w:pPr>
            <w:r w:rsidRPr="00225266">
              <w:rPr>
                <w:rFonts w:ascii="Calibri" w:eastAsia="Times New Roman" w:hAnsi="Calibri" w:cs="Times New Roman"/>
                <w:b/>
                <w:bCs/>
                <w:sz w:val="20"/>
                <w:szCs w:val="20"/>
              </w:rPr>
              <w:t>Variable Number</w:t>
            </w:r>
          </w:p>
        </w:tc>
        <w:tc>
          <w:tcPr>
            <w:tcW w:w="1202" w:type="dxa"/>
            <w:tcBorders>
              <w:top w:val="nil"/>
              <w:left w:val="nil"/>
              <w:bottom w:val="single" w:sz="4" w:space="0" w:color="auto"/>
              <w:right w:val="nil"/>
            </w:tcBorders>
            <w:shd w:val="clear" w:color="auto" w:fill="auto"/>
            <w:noWrap/>
            <w:vAlign w:val="center"/>
            <w:hideMark/>
          </w:tcPr>
          <w:p w:rsidR="00225266" w:rsidRPr="00225266" w:rsidRDefault="00225266" w:rsidP="00225266">
            <w:pPr>
              <w:spacing w:after="0" w:line="240" w:lineRule="auto"/>
              <w:jc w:val="center"/>
              <w:rPr>
                <w:rFonts w:ascii="Calibri" w:eastAsia="Times New Roman" w:hAnsi="Calibri" w:cs="Times New Roman"/>
                <w:b/>
                <w:bCs/>
                <w:sz w:val="20"/>
                <w:szCs w:val="20"/>
              </w:rPr>
            </w:pPr>
            <w:r w:rsidRPr="00225266">
              <w:rPr>
                <w:rFonts w:ascii="Calibri" w:eastAsia="Times New Roman" w:hAnsi="Calibri" w:cs="Times New Roman"/>
                <w:b/>
                <w:bCs/>
                <w:sz w:val="20"/>
                <w:szCs w:val="20"/>
              </w:rPr>
              <w:t>Scaling Factor</w:t>
            </w:r>
          </w:p>
        </w:tc>
        <w:tc>
          <w:tcPr>
            <w:tcW w:w="2516" w:type="dxa"/>
            <w:tcBorders>
              <w:top w:val="nil"/>
              <w:left w:val="nil"/>
              <w:bottom w:val="single" w:sz="4" w:space="0" w:color="auto"/>
              <w:right w:val="nil"/>
            </w:tcBorders>
            <w:shd w:val="clear" w:color="auto" w:fill="auto"/>
            <w:noWrap/>
            <w:vAlign w:val="center"/>
            <w:hideMark/>
          </w:tcPr>
          <w:p w:rsidR="00225266" w:rsidRPr="00225266" w:rsidRDefault="00225266" w:rsidP="00225266">
            <w:pPr>
              <w:spacing w:after="0" w:line="240" w:lineRule="auto"/>
              <w:jc w:val="center"/>
              <w:rPr>
                <w:rFonts w:ascii="Calibri" w:eastAsia="Times New Roman" w:hAnsi="Calibri" w:cs="Times New Roman"/>
                <w:b/>
                <w:bCs/>
                <w:sz w:val="20"/>
                <w:szCs w:val="20"/>
              </w:rPr>
            </w:pPr>
            <w:r w:rsidRPr="00225266">
              <w:rPr>
                <w:rFonts w:ascii="Calibri" w:eastAsia="Times New Roman" w:hAnsi="Calibri" w:cs="Times New Roman"/>
                <w:b/>
                <w:bCs/>
                <w:sz w:val="20"/>
                <w:szCs w:val="20"/>
              </w:rPr>
              <w:t>Type of Variable</w:t>
            </w:r>
          </w:p>
        </w:tc>
      </w:tr>
      <w:tr w:rsidR="00225266" w:rsidRPr="00225266" w:rsidTr="00225266">
        <w:trPr>
          <w:trHeight w:val="300"/>
          <w:jc w:val="center"/>
        </w:trPr>
        <w:tc>
          <w:tcPr>
            <w:tcW w:w="1482" w:type="dxa"/>
            <w:tcBorders>
              <w:top w:val="nil"/>
              <w:left w:val="nil"/>
              <w:bottom w:val="nil"/>
              <w:right w:val="nil"/>
            </w:tcBorders>
            <w:shd w:val="clear" w:color="auto" w:fill="auto"/>
            <w:noWrap/>
            <w:vAlign w:val="center"/>
            <w:hideMark/>
          </w:tcPr>
          <w:p w:rsidR="00225266" w:rsidRPr="00225266" w:rsidRDefault="00225266" w:rsidP="00225266">
            <w:pPr>
              <w:spacing w:after="0" w:line="240" w:lineRule="auto"/>
              <w:jc w:val="center"/>
              <w:rPr>
                <w:rFonts w:ascii="Calibri" w:eastAsia="Times New Roman" w:hAnsi="Calibri" w:cs="Times New Roman"/>
                <w:sz w:val="20"/>
                <w:szCs w:val="20"/>
              </w:rPr>
            </w:pPr>
            <w:proofErr w:type="spellStart"/>
            <w:r w:rsidRPr="00225266">
              <w:rPr>
                <w:rFonts w:ascii="Calibri" w:eastAsia="Times New Roman" w:hAnsi="Calibri" w:cs="Times New Roman"/>
                <w:sz w:val="20"/>
                <w:szCs w:val="20"/>
              </w:rPr>
              <w:t>Xss</w:t>
            </w:r>
            <w:proofErr w:type="spellEnd"/>
            <w:r w:rsidRPr="00225266">
              <w:rPr>
                <w:rFonts w:ascii="Calibri" w:eastAsia="Times New Roman" w:hAnsi="Calibri" w:cs="Times New Roman"/>
                <w:sz w:val="20"/>
                <w:szCs w:val="20"/>
              </w:rPr>
              <w:t>(64)</w:t>
            </w:r>
          </w:p>
        </w:tc>
        <w:tc>
          <w:tcPr>
            <w:tcW w:w="1202" w:type="dxa"/>
            <w:tcBorders>
              <w:top w:val="nil"/>
              <w:left w:val="nil"/>
              <w:bottom w:val="nil"/>
              <w:right w:val="nil"/>
            </w:tcBorders>
            <w:shd w:val="clear" w:color="auto" w:fill="auto"/>
            <w:noWrap/>
            <w:vAlign w:val="center"/>
            <w:hideMark/>
          </w:tcPr>
          <w:p w:rsidR="00225266" w:rsidRPr="00225266" w:rsidRDefault="00225266" w:rsidP="00225266">
            <w:pPr>
              <w:spacing w:after="0" w:line="240" w:lineRule="auto"/>
              <w:jc w:val="center"/>
              <w:rPr>
                <w:rFonts w:ascii="Calibri" w:eastAsia="Times New Roman" w:hAnsi="Calibri" w:cs="Times New Roman"/>
                <w:b/>
                <w:bCs/>
                <w:sz w:val="20"/>
                <w:szCs w:val="20"/>
              </w:rPr>
            </w:pPr>
            <w:r w:rsidRPr="00225266">
              <w:rPr>
                <w:rFonts w:ascii="Calibri" w:eastAsia="Times New Roman" w:hAnsi="Calibri" w:cs="Times New Roman"/>
                <w:b/>
                <w:bCs/>
                <w:sz w:val="20"/>
                <w:szCs w:val="20"/>
              </w:rPr>
              <w:t>5</w:t>
            </w:r>
          </w:p>
        </w:tc>
        <w:tc>
          <w:tcPr>
            <w:tcW w:w="2516" w:type="dxa"/>
            <w:vMerge w:val="restart"/>
            <w:tcBorders>
              <w:top w:val="nil"/>
              <w:left w:val="nil"/>
              <w:bottom w:val="single" w:sz="4" w:space="0" w:color="000000"/>
              <w:right w:val="nil"/>
            </w:tcBorders>
            <w:shd w:val="clear" w:color="auto" w:fill="auto"/>
            <w:vAlign w:val="center"/>
            <w:hideMark/>
          </w:tcPr>
          <w:p w:rsidR="00225266" w:rsidRPr="00225266" w:rsidRDefault="00225266" w:rsidP="00225266">
            <w:pPr>
              <w:spacing w:after="0" w:line="240" w:lineRule="auto"/>
              <w:jc w:val="center"/>
              <w:rPr>
                <w:rFonts w:ascii="Calibri" w:eastAsia="Times New Roman" w:hAnsi="Calibri" w:cs="Times New Roman"/>
                <w:sz w:val="20"/>
                <w:szCs w:val="20"/>
              </w:rPr>
            </w:pPr>
            <w:r w:rsidRPr="00225266">
              <w:rPr>
                <w:rFonts w:ascii="Calibri" w:eastAsia="Times New Roman" w:hAnsi="Calibri" w:cs="Times New Roman"/>
                <w:sz w:val="20"/>
                <w:szCs w:val="20"/>
              </w:rPr>
              <w:t>Primary State Variable/ Product Stream</w:t>
            </w:r>
          </w:p>
        </w:tc>
      </w:tr>
      <w:tr w:rsidR="00225266" w:rsidRPr="00225266" w:rsidTr="00225266">
        <w:trPr>
          <w:trHeight w:val="300"/>
          <w:jc w:val="center"/>
        </w:trPr>
        <w:tc>
          <w:tcPr>
            <w:tcW w:w="1482" w:type="dxa"/>
            <w:tcBorders>
              <w:top w:val="nil"/>
              <w:left w:val="nil"/>
              <w:bottom w:val="nil"/>
              <w:right w:val="nil"/>
            </w:tcBorders>
            <w:shd w:val="clear" w:color="auto" w:fill="auto"/>
            <w:noWrap/>
            <w:vAlign w:val="center"/>
            <w:hideMark/>
          </w:tcPr>
          <w:p w:rsidR="00225266" w:rsidRPr="00225266" w:rsidRDefault="00225266" w:rsidP="00225266">
            <w:pPr>
              <w:spacing w:after="0" w:line="240" w:lineRule="auto"/>
              <w:jc w:val="center"/>
              <w:rPr>
                <w:rFonts w:ascii="Calibri" w:eastAsia="Times New Roman" w:hAnsi="Calibri" w:cs="Times New Roman"/>
                <w:sz w:val="20"/>
                <w:szCs w:val="20"/>
              </w:rPr>
            </w:pPr>
            <w:proofErr w:type="spellStart"/>
            <w:r w:rsidRPr="00225266">
              <w:rPr>
                <w:rFonts w:ascii="Calibri" w:eastAsia="Times New Roman" w:hAnsi="Calibri" w:cs="Times New Roman"/>
                <w:sz w:val="20"/>
                <w:szCs w:val="20"/>
              </w:rPr>
              <w:t>Xss</w:t>
            </w:r>
            <w:proofErr w:type="spellEnd"/>
            <w:r w:rsidRPr="00225266">
              <w:rPr>
                <w:rFonts w:ascii="Calibri" w:eastAsia="Times New Roman" w:hAnsi="Calibri" w:cs="Times New Roman"/>
                <w:sz w:val="20"/>
                <w:szCs w:val="20"/>
              </w:rPr>
              <w:t>(111)</w:t>
            </w:r>
          </w:p>
        </w:tc>
        <w:tc>
          <w:tcPr>
            <w:tcW w:w="1202" w:type="dxa"/>
            <w:tcBorders>
              <w:top w:val="nil"/>
              <w:left w:val="nil"/>
              <w:bottom w:val="nil"/>
              <w:right w:val="nil"/>
            </w:tcBorders>
            <w:shd w:val="clear" w:color="auto" w:fill="auto"/>
            <w:noWrap/>
            <w:vAlign w:val="center"/>
            <w:hideMark/>
          </w:tcPr>
          <w:p w:rsidR="00225266" w:rsidRPr="00225266" w:rsidRDefault="00225266" w:rsidP="00225266">
            <w:pPr>
              <w:spacing w:after="0" w:line="240" w:lineRule="auto"/>
              <w:jc w:val="center"/>
              <w:rPr>
                <w:rFonts w:ascii="Calibri" w:eastAsia="Times New Roman" w:hAnsi="Calibri" w:cs="Times New Roman"/>
                <w:b/>
                <w:bCs/>
                <w:sz w:val="20"/>
                <w:szCs w:val="20"/>
              </w:rPr>
            </w:pPr>
            <w:r w:rsidRPr="00225266">
              <w:rPr>
                <w:rFonts w:ascii="Calibri" w:eastAsia="Times New Roman" w:hAnsi="Calibri" w:cs="Times New Roman"/>
                <w:b/>
                <w:bCs/>
                <w:sz w:val="20"/>
                <w:szCs w:val="20"/>
              </w:rPr>
              <w:t>5</w:t>
            </w:r>
          </w:p>
        </w:tc>
        <w:tc>
          <w:tcPr>
            <w:tcW w:w="2516" w:type="dxa"/>
            <w:vMerge/>
            <w:tcBorders>
              <w:top w:val="nil"/>
              <w:left w:val="nil"/>
              <w:bottom w:val="single" w:sz="4" w:space="0" w:color="000000"/>
              <w:right w:val="nil"/>
            </w:tcBorders>
            <w:vAlign w:val="center"/>
            <w:hideMark/>
          </w:tcPr>
          <w:p w:rsidR="00225266" w:rsidRPr="00225266" w:rsidRDefault="00225266" w:rsidP="00225266">
            <w:pPr>
              <w:spacing w:after="0" w:line="240" w:lineRule="auto"/>
              <w:rPr>
                <w:rFonts w:ascii="Calibri" w:eastAsia="Times New Roman" w:hAnsi="Calibri" w:cs="Times New Roman"/>
                <w:sz w:val="20"/>
                <w:szCs w:val="20"/>
              </w:rPr>
            </w:pPr>
          </w:p>
        </w:tc>
      </w:tr>
      <w:tr w:rsidR="00225266" w:rsidRPr="00225266" w:rsidTr="00225266">
        <w:trPr>
          <w:trHeight w:val="300"/>
          <w:jc w:val="center"/>
        </w:trPr>
        <w:tc>
          <w:tcPr>
            <w:tcW w:w="1482" w:type="dxa"/>
            <w:tcBorders>
              <w:top w:val="nil"/>
              <w:left w:val="nil"/>
              <w:bottom w:val="nil"/>
              <w:right w:val="nil"/>
            </w:tcBorders>
            <w:shd w:val="clear" w:color="auto" w:fill="auto"/>
            <w:noWrap/>
            <w:vAlign w:val="center"/>
            <w:hideMark/>
          </w:tcPr>
          <w:p w:rsidR="00225266" w:rsidRPr="00225266" w:rsidRDefault="00225266" w:rsidP="00225266">
            <w:pPr>
              <w:spacing w:after="0" w:line="240" w:lineRule="auto"/>
              <w:jc w:val="center"/>
              <w:rPr>
                <w:rFonts w:ascii="Calibri" w:eastAsia="Times New Roman" w:hAnsi="Calibri" w:cs="Times New Roman"/>
                <w:sz w:val="20"/>
                <w:szCs w:val="20"/>
              </w:rPr>
            </w:pPr>
            <w:proofErr w:type="spellStart"/>
            <w:r w:rsidRPr="00225266">
              <w:rPr>
                <w:rFonts w:ascii="Calibri" w:eastAsia="Times New Roman" w:hAnsi="Calibri" w:cs="Times New Roman"/>
                <w:sz w:val="20"/>
                <w:szCs w:val="20"/>
              </w:rPr>
              <w:t>Xss</w:t>
            </w:r>
            <w:proofErr w:type="spellEnd"/>
            <w:r w:rsidRPr="00225266">
              <w:rPr>
                <w:rFonts w:ascii="Calibri" w:eastAsia="Times New Roman" w:hAnsi="Calibri" w:cs="Times New Roman"/>
                <w:sz w:val="20"/>
                <w:szCs w:val="20"/>
              </w:rPr>
              <w:t>(163)</w:t>
            </w:r>
          </w:p>
        </w:tc>
        <w:tc>
          <w:tcPr>
            <w:tcW w:w="1202" w:type="dxa"/>
            <w:tcBorders>
              <w:top w:val="nil"/>
              <w:left w:val="nil"/>
              <w:bottom w:val="nil"/>
              <w:right w:val="nil"/>
            </w:tcBorders>
            <w:shd w:val="clear" w:color="auto" w:fill="auto"/>
            <w:noWrap/>
            <w:vAlign w:val="center"/>
            <w:hideMark/>
          </w:tcPr>
          <w:p w:rsidR="00225266" w:rsidRPr="00225266" w:rsidRDefault="00225266" w:rsidP="00225266">
            <w:pPr>
              <w:spacing w:after="0" w:line="240" w:lineRule="auto"/>
              <w:jc w:val="center"/>
              <w:rPr>
                <w:rFonts w:ascii="Calibri" w:eastAsia="Times New Roman" w:hAnsi="Calibri" w:cs="Times New Roman"/>
                <w:b/>
                <w:bCs/>
                <w:sz w:val="20"/>
                <w:szCs w:val="20"/>
              </w:rPr>
            </w:pPr>
            <w:r w:rsidRPr="00225266">
              <w:rPr>
                <w:rFonts w:ascii="Calibri" w:eastAsia="Times New Roman" w:hAnsi="Calibri" w:cs="Times New Roman"/>
                <w:b/>
                <w:bCs/>
                <w:sz w:val="20"/>
                <w:szCs w:val="20"/>
              </w:rPr>
              <w:t>5</w:t>
            </w:r>
          </w:p>
        </w:tc>
        <w:tc>
          <w:tcPr>
            <w:tcW w:w="2516" w:type="dxa"/>
            <w:vMerge/>
            <w:tcBorders>
              <w:top w:val="nil"/>
              <w:left w:val="nil"/>
              <w:bottom w:val="single" w:sz="4" w:space="0" w:color="000000"/>
              <w:right w:val="nil"/>
            </w:tcBorders>
            <w:vAlign w:val="center"/>
            <w:hideMark/>
          </w:tcPr>
          <w:p w:rsidR="00225266" w:rsidRPr="00225266" w:rsidRDefault="00225266" w:rsidP="00225266">
            <w:pPr>
              <w:spacing w:after="0" w:line="240" w:lineRule="auto"/>
              <w:rPr>
                <w:rFonts w:ascii="Calibri" w:eastAsia="Times New Roman" w:hAnsi="Calibri" w:cs="Times New Roman"/>
                <w:sz w:val="20"/>
                <w:szCs w:val="20"/>
              </w:rPr>
            </w:pPr>
          </w:p>
        </w:tc>
      </w:tr>
      <w:tr w:rsidR="00225266" w:rsidRPr="00225266" w:rsidTr="00225266">
        <w:trPr>
          <w:trHeight w:val="300"/>
          <w:jc w:val="center"/>
        </w:trPr>
        <w:tc>
          <w:tcPr>
            <w:tcW w:w="1482" w:type="dxa"/>
            <w:tcBorders>
              <w:top w:val="nil"/>
              <w:left w:val="nil"/>
              <w:bottom w:val="nil"/>
              <w:right w:val="nil"/>
            </w:tcBorders>
            <w:shd w:val="clear" w:color="auto" w:fill="auto"/>
            <w:noWrap/>
            <w:vAlign w:val="center"/>
            <w:hideMark/>
          </w:tcPr>
          <w:p w:rsidR="00225266" w:rsidRPr="00225266" w:rsidRDefault="00225266" w:rsidP="00225266">
            <w:pPr>
              <w:spacing w:after="0" w:line="240" w:lineRule="auto"/>
              <w:jc w:val="center"/>
              <w:rPr>
                <w:rFonts w:ascii="Calibri" w:eastAsia="Times New Roman" w:hAnsi="Calibri" w:cs="Times New Roman"/>
                <w:sz w:val="20"/>
                <w:szCs w:val="20"/>
              </w:rPr>
            </w:pPr>
            <w:proofErr w:type="spellStart"/>
            <w:r w:rsidRPr="00225266">
              <w:rPr>
                <w:rFonts w:ascii="Calibri" w:eastAsia="Times New Roman" w:hAnsi="Calibri" w:cs="Times New Roman"/>
                <w:sz w:val="20"/>
                <w:szCs w:val="20"/>
              </w:rPr>
              <w:t>Xss</w:t>
            </w:r>
            <w:proofErr w:type="spellEnd"/>
            <w:r w:rsidRPr="00225266">
              <w:rPr>
                <w:rFonts w:ascii="Calibri" w:eastAsia="Times New Roman" w:hAnsi="Calibri" w:cs="Times New Roman"/>
                <w:sz w:val="20"/>
                <w:szCs w:val="20"/>
              </w:rPr>
              <w:t>(218)</w:t>
            </w:r>
          </w:p>
        </w:tc>
        <w:tc>
          <w:tcPr>
            <w:tcW w:w="1202" w:type="dxa"/>
            <w:tcBorders>
              <w:top w:val="nil"/>
              <w:left w:val="nil"/>
              <w:bottom w:val="nil"/>
              <w:right w:val="nil"/>
            </w:tcBorders>
            <w:shd w:val="clear" w:color="auto" w:fill="auto"/>
            <w:noWrap/>
            <w:vAlign w:val="center"/>
            <w:hideMark/>
          </w:tcPr>
          <w:p w:rsidR="00225266" w:rsidRPr="00225266" w:rsidRDefault="00225266" w:rsidP="00225266">
            <w:pPr>
              <w:spacing w:after="0" w:line="240" w:lineRule="auto"/>
              <w:jc w:val="center"/>
              <w:rPr>
                <w:rFonts w:ascii="Calibri" w:eastAsia="Times New Roman" w:hAnsi="Calibri" w:cs="Times New Roman"/>
                <w:b/>
                <w:bCs/>
                <w:sz w:val="20"/>
                <w:szCs w:val="20"/>
              </w:rPr>
            </w:pPr>
            <w:r w:rsidRPr="00225266">
              <w:rPr>
                <w:rFonts w:ascii="Calibri" w:eastAsia="Times New Roman" w:hAnsi="Calibri" w:cs="Times New Roman"/>
                <w:b/>
                <w:bCs/>
                <w:sz w:val="20"/>
                <w:szCs w:val="20"/>
              </w:rPr>
              <w:t>5</w:t>
            </w:r>
          </w:p>
        </w:tc>
        <w:tc>
          <w:tcPr>
            <w:tcW w:w="2516" w:type="dxa"/>
            <w:vMerge/>
            <w:tcBorders>
              <w:top w:val="nil"/>
              <w:left w:val="nil"/>
              <w:bottom w:val="single" w:sz="4" w:space="0" w:color="000000"/>
              <w:right w:val="nil"/>
            </w:tcBorders>
            <w:vAlign w:val="center"/>
            <w:hideMark/>
          </w:tcPr>
          <w:p w:rsidR="00225266" w:rsidRPr="00225266" w:rsidRDefault="00225266" w:rsidP="00225266">
            <w:pPr>
              <w:spacing w:after="0" w:line="240" w:lineRule="auto"/>
              <w:rPr>
                <w:rFonts w:ascii="Calibri" w:eastAsia="Times New Roman" w:hAnsi="Calibri" w:cs="Times New Roman"/>
                <w:sz w:val="20"/>
                <w:szCs w:val="20"/>
              </w:rPr>
            </w:pPr>
          </w:p>
        </w:tc>
      </w:tr>
      <w:tr w:rsidR="00225266" w:rsidRPr="00225266" w:rsidTr="00225266">
        <w:trPr>
          <w:trHeight w:val="300"/>
          <w:jc w:val="center"/>
        </w:trPr>
        <w:tc>
          <w:tcPr>
            <w:tcW w:w="1482" w:type="dxa"/>
            <w:tcBorders>
              <w:top w:val="nil"/>
              <w:left w:val="nil"/>
              <w:bottom w:val="nil"/>
              <w:right w:val="nil"/>
            </w:tcBorders>
            <w:shd w:val="clear" w:color="auto" w:fill="auto"/>
            <w:noWrap/>
            <w:vAlign w:val="center"/>
            <w:hideMark/>
          </w:tcPr>
          <w:p w:rsidR="00225266" w:rsidRPr="00225266" w:rsidRDefault="00225266" w:rsidP="00225266">
            <w:pPr>
              <w:spacing w:after="0" w:line="240" w:lineRule="auto"/>
              <w:jc w:val="center"/>
              <w:rPr>
                <w:rFonts w:ascii="Calibri" w:eastAsia="Times New Roman" w:hAnsi="Calibri" w:cs="Times New Roman"/>
                <w:sz w:val="20"/>
                <w:szCs w:val="20"/>
              </w:rPr>
            </w:pPr>
            <w:proofErr w:type="spellStart"/>
            <w:r w:rsidRPr="00225266">
              <w:rPr>
                <w:rFonts w:ascii="Calibri" w:eastAsia="Times New Roman" w:hAnsi="Calibri" w:cs="Times New Roman"/>
                <w:sz w:val="20"/>
                <w:szCs w:val="20"/>
              </w:rPr>
              <w:t>Xss</w:t>
            </w:r>
            <w:proofErr w:type="spellEnd"/>
            <w:r w:rsidRPr="00225266">
              <w:rPr>
                <w:rFonts w:ascii="Calibri" w:eastAsia="Times New Roman" w:hAnsi="Calibri" w:cs="Times New Roman"/>
                <w:sz w:val="20"/>
                <w:szCs w:val="20"/>
              </w:rPr>
              <w:t>(219)</w:t>
            </w:r>
          </w:p>
        </w:tc>
        <w:tc>
          <w:tcPr>
            <w:tcW w:w="1202" w:type="dxa"/>
            <w:tcBorders>
              <w:top w:val="nil"/>
              <w:left w:val="nil"/>
              <w:bottom w:val="nil"/>
              <w:right w:val="nil"/>
            </w:tcBorders>
            <w:shd w:val="clear" w:color="auto" w:fill="auto"/>
            <w:noWrap/>
            <w:vAlign w:val="center"/>
            <w:hideMark/>
          </w:tcPr>
          <w:p w:rsidR="00225266" w:rsidRPr="00225266" w:rsidRDefault="00225266" w:rsidP="00225266">
            <w:pPr>
              <w:spacing w:after="0" w:line="240" w:lineRule="auto"/>
              <w:jc w:val="center"/>
              <w:rPr>
                <w:rFonts w:ascii="Calibri" w:eastAsia="Times New Roman" w:hAnsi="Calibri" w:cs="Times New Roman"/>
                <w:b/>
                <w:bCs/>
                <w:sz w:val="20"/>
                <w:szCs w:val="20"/>
              </w:rPr>
            </w:pPr>
            <w:r w:rsidRPr="00225266">
              <w:rPr>
                <w:rFonts w:ascii="Calibri" w:eastAsia="Times New Roman" w:hAnsi="Calibri" w:cs="Times New Roman"/>
                <w:b/>
                <w:bCs/>
                <w:sz w:val="20"/>
                <w:szCs w:val="20"/>
              </w:rPr>
              <w:t>5</w:t>
            </w:r>
          </w:p>
        </w:tc>
        <w:tc>
          <w:tcPr>
            <w:tcW w:w="2516" w:type="dxa"/>
            <w:vMerge/>
            <w:tcBorders>
              <w:top w:val="nil"/>
              <w:left w:val="nil"/>
              <w:bottom w:val="single" w:sz="4" w:space="0" w:color="000000"/>
              <w:right w:val="nil"/>
            </w:tcBorders>
            <w:vAlign w:val="center"/>
            <w:hideMark/>
          </w:tcPr>
          <w:p w:rsidR="00225266" w:rsidRPr="00225266" w:rsidRDefault="00225266" w:rsidP="00225266">
            <w:pPr>
              <w:spacing w:after="0" w:line="240" w:lineRule="auto"/>
              <w:rPr>
                <w:rFonts w:ascii="Calibri" w:eastAsia="Times New Roman" w:hAnsi="Calibri" w:cs="Times New Roman"/>
                <w:sz w:val="20"/>
                <w:szCs w:val="20"/>
              </w:rPr>
            </w:pPr>
          </w:p>
        </w:tc>
      </w:tr>
      <w:tr w:rsidR="00225266" w:rsidRPr="00225266" w:rsidTr="00225266">
        <w:trPr>
          <w:trHeight w:val="300"/>
          <w:jc w:val="center"/>
        </w:trPr>
        <w:tc>
          <w:tcPr>
            <w:tcW w:w="1482" w:type="dxa"/>
            <w:tcBorders>
              <w:top w:val="nil"/>
              <w:left w:val="nil"/>
              <w:bottom w:val="single" w:sz="4" w:space="0" w:color="auto"/>
              <w:right w:val="nil"/>
            </w:tcBorders>
            <w:shd w:val="clear" w:color="auto" w:fill="auto"/>
            <w:noWrap/>
            <w:vAlign w:val="center"/>
            <w:hideMark/>
          </w:tcPr>
          <w:p w:rsidR="00225266" w:rsidRPr="00225266" w:rsidRDefault="00225266" w:rsidP="00225266">
            <w:pPr>
              <w:spacing w:after="0" w:line="240" w:lineRule="auto"/>
              <w:jc w:val="center"/>
              <w:rPr>
                <w:rFonts w:ascii="Calibri" w:eastAsia="Times New Roman" w:hAnsi="Calibri" w:cs="Times New Roman"/>
                <w:sz w:val="20"/>
                <w:szCs w:val="20"/>
              </w:rPr>
            </w:pPr>
            <w:proofErr w:type="spellStart"/>
            <w:r w:rsidRPr="00225266">
              <w:rPr>
                <w:rFonts w:ascii="Calibri" w:eastAsia="Times New Roman" w:hAnsi="Calibri" w:cs="Times New Roman"/>
                <w:sz w:val="20"/>
                <w:szCs w:val="20"/>
              </w:rPr>
              <w:t>Xss</w:t>
            </w:r>
            <w:proofErr w:type="spellEnd"/>
            <w:r w:rsidRPr="00225266">
              <w:rPr>
                <w:rFonts w:ascii="Calibri" w:eastAsia="Times New Roman" w:hAnsi="Calibri" w:cs="Times New Roman"/>
                <w:sz w:val="20"/>
                <w:szCs w:val="20"/>
              </w:rPr>
              <w:t>(273)</w:t>
            </w:r>
          </w:p>
        </w:tc>
        <w:tc>
          <w:tcPr>
            <w:tcW w:w="1202" w:type="dxa"/>
            <w:tcBorders>
              <w:top w:val="nil"/>
              <w:left w:val="nil"/>
              <w:bottom w:val="single" w:sz="4" w:space="0" w:color="auto"/>
              <w:right w:val="nil"/>
            </w:tcBorders>
            <w:shd w:val="clear" w:color="auto" w:fill="auto"/>
            <w:noWrap/>
            <w:vAlign w:val="center"/>
            <w:hideMark/>
          </w:tcPr>
          <w:p w:rsidR="00225266" w:rsidRPr="00225266" w:rsidRDefault="00225266" w:rsidP="00225266">
            <w:pPr>
              <w:spacing w:after="0" w:line="240" w:lineRule="auto"/>
              <w:jc w:val="center"/>
              <w:rPr>
                <w:rFonts w:ascii="Calibri" w:eastAsia="Times New Roman" w:hAnsi="Calibri" w:cs="Times New Roman"/>
                <w:b/>
                <w:bCs/>
                <w:sz w:val="20"/>
                <w:szCs w:val="20"/>
              </w:rPr>
            </w:pPr>
            <w:r w:rsidRPr="00225266">
              <w:rPr>
                <w:rFonts w:ascii="Calibri" w:eastAsia="Times New Roman" w:hAnsi="Calibri" w:cs="Times New Roman"/>
                <w:b/>
                <w:bCs/>
                <w:sz w:val="20"/>
                <w:szCs w:val="20"/>
              </w:rPr>
              <w:t>5</w:t>
            </w:r>
          </w:p>
        </w:tc>
        <w:tc>
          <w:tcPr>
            <w:tcW w:w="2516" w:type="dxa"/>
            <w:vMerge/>
            <w:tcBorders>
              <w:top w:val="nil"/>
              <w:left w:val="nil"/>
              <w:bottom w:val="single" w:sz="4" w:space="0" w:color="000000"/>
              <w:right w:val="nil"/>
            </w:tcBorders>
            <w:vAlign w:val="center"/>
            <w:hideMark/>
          </w:tcPr>
          <w:p w:rsidR="00225266" w:rsidRPr="00225266" w:rsidRDefault="00225266" w:rsidP="00225266">
            <w:pPr>
              <w:spacing w:after="0" w:line="240" w:lineRule="auto"/>
              <w:rPr>
                <w:rFonts w:ascii="Calibri" w:eastAsia="Times New Roman" w:hAnsi="Calibri" w:cs="Times New Roman"/>
                <w:sz w:val="20"/>
                <w:szCs w:val="20"/>
              </w:rPr>
            </w:pPr>
          </w:p>
        </w:tc>
      </w:tr>
      <w:tr w:rsidR="00225266" w:rsidRPr="00225266" w:rsidTr="00225266">
        <w:trPr>
          <w:trHeight w:val="300"/>
          <w:jc w:val="center"/>
        </w:trPr>
        <w:tc>
          <w:tcPr>
            <w:tcW w:w="1482" w:type="dxa"/>
            <w:tcBorders>
              <w:top w:val="nil"/>
              <w:left w:val="nil"/>
              <w:bottom w:val="nil"/>
              <w:right w:val="nil"/>
            </w:tcBorders>
            <w:shd w:val="clear" w:color="auto" w:fill="auto"/>
            <w:noWrap/>
            <w:vAlign w:val="center"/>
            <w:hideMark/>
          </w:tcPr>
          <w:p w:rsidR="00225266" w:rsidRPr="00225266" w:rsidRDefault="00225266" w:rsidP="00225266">
            <w:pPr>
              <w:spacing w:after="0" w:line="240" w:lineRule="auto"/>
              <w:jc w:val="center"/>
              <w:rPr>
                <w:rFonts w:ascii="Calibri" w:eastAsia="Times New Roman" w:hAnsi="Calibri" w:cs="Times New Roman"/>
                <w:sz w:val="20"/>
                <w:szCs w:val="20"/>
              </w:rPr>
            </w:pPr>
            <w:proofErr w:type="spellStart"/>
            <w:r w:rsidRPr="00225266">
              <w:rPr>
                <w:rFonts w:ascii="Calibri" w:eastAsia="Times New Roman" w:hAnsi="Calibri" w:cs="Times New Roman"/>
                <w:sz w:val="20"/>
                <w:szCs w:val="20"/>
              </w:rPr>
              <w:t>Xss</w:t>
            </w:r>
            <w:proofErr w:type="spellEnd"/>
            <w:r w:rsidRPr="00225266">
              <w:rPr>
                <w:rFonts w:ascii="Calibri" w:eastAsia="Times New Roman" w:hAnsi="Calibri" w:cs="Times New Roman"/>
                <w:sz w:val="20"/>
                <w:szCs w:val="20"/>
              </w:rPr>
              <w:t>(274)</w:t>
            </w:r>
          </w:p>
        </w:tc>
        <w:tc>
          <w:tcPr>
            <w:tcW w:w="1202" w:type="dxa"/>
            <w:tcBorders>
              <w:top w:val="nil"/>
              <w:left w:val="nil"/>
              <w:bottom w:val="nil"/>
              <w:right w:val="nil"/>
            </w:tcBorders>
            <w:shd w:val="clear" w:color="auto" w:fill="auto"/>
            <w:noWrap/>
            <w:vAlign w:val="center"/>
            <w:hideMark/>
          </w:tcPr>
          <w:p w:rsidR="00225266" w:rsidRPr="00225266" w:rsidRDefault="00225266" w:rsidP="00225266">
            <w:pPr>
              <w:spacing w:after="0" w:line="240" w:lineRule="auto"/>
              <w:jc w:val="center"/>
              <w:rPr>
                <w:rFonts w:ascii="Calibri" w:eastAsia="Times New Roman" w:hAnsi="Calibri" w:cs="Times New Roman"/>
                <w:sz w:val="20"/>
                <w:szCs w:val="20"/>
              </w:rPr>
            </w:pPr>
            <w:r w:rsidRPr="00225266">
              <w:rPr>
                <w:rFonts w:ascii="Calibri" w:eastAsia="Times New Roman" w:hAnsi="Calibri" w:cs="Times New Roman"/>
                <w:sz w:val="20"/>
                <w:szCs w:val="20"/>
              </w:rPr>
              <w:t>5</w:t>
            </w:r>
          </w:p>
        </w:tc>
        <w:tc>
          <w:tcPr>
            <w:tcW w:w="2516" w:type="dxa"/>
            <w:vMerge w:val="restart"/>
            <w:tcBorders>
              <w:top w:val="nil"/>
              <w:left w:val="nil"/>
              <w:bottom w:val="single" w:sz="8" w:space="0" w:color="000000"/>
              <w:right w:val="nil"/>
            </w:tcBorders>
            <w:shd w:val="clear" w:color="auto" w:fill="auto"/>
            <w:noWrap/>
            <w:vAlign w:val="center"/>
            <w:hideMark/>
          </w:tcPr>
          <w:p w:rsidR="00225266" w:rsidRPr="00225266" w:rsidRDefault="00225266" w:rsidP="00225266">
            <w:pPr>
              <w:spacing w:after="0" w:line="240" w:lineRule="auto"/>
              <w:jc w:val="center"/>
              <w:rPr>
                <w:rFonts w:ascii="Calibri" w:eastAsia="Times New Roman" w:hAnsi="Calibri" w:cs="Times New Roman"/>
                <w:sz w:val="20"/>
                <w:szCs w:val="20"/>
              </w:rPr>
            </w:pPr>
            <w:r w:rsidRPr="00225266">
              <w:rPr>
                <w:rFonts w:ascii="Calibri" w:eastAsia="Times New Roman" w:hAnsi="Calibri" w:cs="Times New Roman"/>
                <w:sz w:val="20"/>
                <w:szCs w:val="20"/>
              </w:rPr>
              <w:t>Input Variable</w:t>
            </w:r>
            <w:r w:rsidR="000C43F4">
              <w:rPr>
                <w:rFonts w:ascii="Calibri" w:eastAsia="Times New Roman" w:hAnsi="Calibri" w:cs="Times New Roman"/>
                <w:sz w:val="20"/>
                <w:szCs w:val="20"/>
              </w:rPr>
              <w:t>s</w:t>
            </w:r>
          </w:p>
        </w:tc>
      </w:tr>
      <w:tr w:rsidR="00225266" w:rsidRPr="00225266" w:rsidTr="00225266">
        <w:trPr>
          <w:trHeight w:val="300"/>
          <w:jc w:val="center"/>
        </w:trPr>
        <w:tc>
          <w:tcPr>
            <w:tcW w:w="1482" w:type="dxa"/>
            <w:tcBorders>
              <w:top w:val="nil"/>
              <w:left w:val="nil"/>
              <w:bottom w:val="nil"/>
              <w:right w:val="nil"/>
            </w:tcBorders>
            <w:shd w:val="clear" w:color="auto" w:fill="auto"/>
            <w:noWrap/>
            <w:vAlign w:val="center"/>
            <w:hideMark/>
          </w:tcPr>
          <w:p w:rsidR="00225266" w:rsidRPr="00225266" w:rsidRDefault="00225266" w:rsidP="00225266">
            <w:pPr>
              <w:spacing w:after="0" w:line="240" w:lineRule="auto"/>
              <w:jc w:val="center"/>
              <w:rPr>
                <w:rFonts w:ascii="Calibri" w:eastAsia="Times New Roman" w:hAnsi="Calibri" w:cs="Times New Roman"/>
                <w:sz w:val="20"/>
                <w:szCs w:val="20"/>
              </w:rPr>
            </w:pPr>
            <w:proofErr w:type="spellStart"/>
            <w:r w:rsidRPr="00225266">
              <w:rPr>
                <w:rFonts w:ascii="Calibri" w:eastAsia="Times New Roman" w:hAnsi="Calibri" w:cs="Times New Roman"/>
                <w:sz w:val="20"/>
                <w:szCs w:val="20"/>
              </w:rPr>
              <w:t>Xss</w:t>
            </w:r>
            <w:proofErr w:type="spellEnd"/>
            <w:r w:rsidRPr="00225266">
              <w:rPr>
                <w:rFonts w:ascii="Calibri" w:eastAsia="Times New Roman" w:hAnsi="Calibri" w:cs="Times New Roman"/>
                <w:sz w:val="20"/>
                <w:szCs w:val="20"/>
              </w:rPr>
              <w:t>(275)</w:t>
            </w:r>
          </w:p>
        </w:tc>
        <w:tc>
          <w:tcPr>
            <w:tcW w:w="1202" w:type="dxa"/>
            <w:tcBorders>
              <w:top w:val="nil"/>
              <w:left w:val="nil"/>
              <w:bottom w:val="nil"/>
              <w:right w:val="nil"/>
            </w:tcBorders>
            <w:shd w:val="clear" w:color="auto" w:fill="auto"/>
            <w:noWrap/>
            <w:vAlign w:val="center"/>
            <w:hideMark/>
          </w:tcPr>
          <w:p w:rsidR="00225266" w:rsidRPr="00225266" w:rsidRDefault="00225266" w:rsidP="00225266">
            <w:pPr>
              <w:spacing w:after="0" w:line="240" w:lineRule="auto"/>
              <w:jc w:val="center"/>
              <w:rPr>
                <w:rFonts w:ascii="Calibri" w:eastAsia="Times New Roman" w:hAnsi="Calibri" w:cs="Times New Roman"/>
                <w:sz w:val="20"/>
                <w:szCs w:val="20"/>
              </w:rPr>
            </w:pPr>
            <w:r w:rsidRPr="00225266">
              <w:rPr>
                <w:rFonts w:ascii="Calibri" w:eastAsia="Times New Roman" w:hAnsi="Calibri" w:cs="Times New Roman"/>
                <w:sz w:val="20"/>
                <w:szCs w:val="20"/>
              </w:rPr>
              <w:t>1.1</w:t>
            </w:r>
          </w:p>
        </w:tc>
        <w:tc>
          <w:tcPr>
            <w:tcW w:w="2516" w:type="dxa"/>
            <w:vMerge/>
            <w:tcBorders>
              <w:top w:val="nil"/>
              <w:left w:val="nil"/>
              <w:bottom w:val="single" w:sz="8" w:space="0" w:color="000000"/>
              <w:right w:val="nil"/>
            </w:tcBorders>
            <w:vAlign w:val="center"/>
            <w:hideMark/>
          </w:tcPr>
          <w:p w:rsidR="00225266" w:rsidRPr="00225266" w:rsidRDefault="00225266" w:rsidP="00225266">
            <w:pPr>
              <w:spacing w:after="0" w:line="240" w:lineRule="auto"/>
              <w:rPr>
                <w:rFonts w:ascii="Calibri" w:eastAsia="Times New Roman" w:hAnsi="Calibri" w:cs="Times New Roman"/>
                <w:sz w:val="20"/>
                <w:szCs w:val="20"/>
              </w:rPr>
            </w:pPr>
          </w:p>
        </w:tc>
      </w:tr>
      <w:tr w:rsidR="00225266" w:rsidRPr="00225266" w:rsidTr="00225266">
        <w:trPr>
          <w:trHeight w:val="300"/>
          <w:jc w:val="center"/>
        </w:trPr>
        <w:tc>
          <w:tcPr>
            <w:tcW w:w="1482" w:type="dxa"/>
            <w:tcBorders>
              <w:top w:val="nil"/>
              <w:left w:val="nil"/>
              <w:bottom w:val="nil"/>
              <w:right w:val="nil"/>
            </w:tcBorders>
            <w:shd w:val="clear" w:color="auto" w:fill="auto"/>
            <w:noWrap/>
            <w:vAlign w:val="center"/>
            <w:hideMark/>
          </w:tcPr>
          <w:p w:rsidR="00225266" w:rsidRPr="00225266" w:rsidRDefault="00225266" w:rsidP="00225266">
            <w:pPr>
              <w:spacing w:after="0" w:line="240" w:lineRule="auto"/>
              <w:jc w:val="center"/>
              <w:rPr>
                <w:rFonts w:ascii="Calibri" w:eastAsia="Times New Roman" w:hAnsi="Calibri" w:cs="Times New Roman"/>
                <w:sz w:val="20"/>
                <w:szCs w:val="20"/>
              </w:rPr>
            </w:pPr>
            <w:proofErr w:type="spellStart"/>
            <w:r w:rsidRPr="00225266">
              <w:rPr>
                <w:rFonts w:ascii="Calibri" w:eastAsia="Times New Roman" w:hAnsi="Calibri" w:cs="Times New Roman"/>
                <w:sz w:val="20"/>
                <w:szCs w:val="20"/>
              </w:rPr>
              <w:t>Xss</w:t>
            </w:r>
            <w:proofErr w:type="spellEnd"/>
            <w:r w:rsidRPr="00225266">
              <w:rPr>
                <w:rFonts w:ascii="Calibri" w:eastAsia="Times New Roman" w:hAnsi="Calibri" w:cs="Times New Roman"/>
                <w:sz w:val="20"/>
                <w:szCs w:val="20"/>
              </w:rPr>
              <w:t>(276)</w:t>
            </w:r>
          </w:p>
        </w:tc>
        <w:tc>
          <w:tcPr>
            <w:tcW w:w="1202" w:type="dxa"/>
            <w:tcBorders>
              <w:top w:val="nil"/>
              <w:left w:val="nil"/>
              <w:bottom w:val="nil"/>
              <w:right w:val="nil"/>
            </w:tcBorders>
            <w:shd w:val="clear" w:color="auto" w:fill="auto"/>
            <w:noWrap/>
            <w:vAlign w:val="center"/>
            <w:hideMark/>
          </w:tcPr>
          <w:p w:rsidR="00225266" w:rsidRPr="00225266" w:rsidRDefault="00225266" w:rsidP="00225266">
            <w:pPr>
              <w:spacing w:after="0" w:line="240" w:lineRule="auto"/>
              <w:jc w:val="center"/>
              <w:rPr>
                <w:rFonts w:ascii="Calibri" w:eastAsia="Times New Roman" w:hAnsi="Calibri" w:cs="Times New Roman"/>
                <w:sz w:val="20"/>
                <w:szCs w:val="20"/>
              </w:rPr>
            </w:pPr>
            <w:r w:rsidRPr="00225266">
              <w:rPr>
                <w:rFonts w:ascii="Calibri" w:eastAsia="Times New Roman" w:hAnsi="Calibri" w:cs="Times New Roman"/>
                <w:sz w:val="20"/>
                <w:szCs w:val="20"/>
              </w:rPr>
              <w:t>2</w:t>
            </w:r>
          </w:p>
        </w:tc>
        <w:tc>
          <w:tcPr>
            <w:tcW w:w="2516" w:type="dxa"/>
            <w:vMerge/>
            <w:tcBorders>
              <w:top w:val="nil"/>
              <w:left w:val="nil"/>
              <w:bottom w:val="single" w:sz="8" w:space="0" w:color="000000"/>
              <w:right w:val="nil"/>
            </w:tcBorders>
            <w:vAlign w:val="center"/>
            <w:hideMark/>
          </w:tcPr>
          <w:p w:rsidR="00225266" w:rsidRPr="00225266" w:rsidRDefault="00225266" w:rsidP="00225266">
            <w:pPr>
              <w:spacing w:after="0" w:line="240" w:lineRule="auto"/>
              <w:rPr>
                <w:rFonts w:ascii="Calibri" w:eastAsia="Times New Roman" w:hAnsi="Calibri" w:cs="Times New Roman"/>
                <w:sz w:val="20"/>
                <w:szCs w:val="20"/>
              </w:rPr>
            </w:pPr>
          </w:p>
        </w:tc>
      </w:tr>
      <w:tr w:rsidR="00225266" w:rsidRPr="00225266" w:rsidTr="00225266">
        <w:trPr>
          <w:trHeight w:val="300"/>
          <w:jc w:val="center"/>
        </w:trPr>
        <w:tc>
          <w:tcPr>
            <w:tcW w:w="1482" w:type="dxa"/>
            <w:tcBorders>
              <w:top w:val="nil"/>
              <w:left w:val="nil"/>
              <w:bottom w:val="nil"/>
              <w:right w:val="nil"/>
            </w:tcBorders>
            <w:shd w:val="clear" w:color="auto" w:fill="auto"/>
            <w:noWrap/>
            <w:vAlign w:val="center"/>
            <w:hideMark/>
          </w:tcPr>
          <w:p w:rsidR="00225266" w:rsidRPr="00225266" w:rsidRDefault="00225266" w:rsidP="00225266">
            <w:pPr>
              <w:spacing w:after="0" w:line="240" w:lineRule="auto"/>
              <w:jc w:val="center"/>
              <w:rPr>
                <w:rFonts w:ascii="Calibri" w:eastAsia="Times New Roman" w:hAnsi="Calibri" w:cs="Times New Roman"/>
                <w:sz w:val="20"/>
                <w:szCs w:val="20"/>
              </w:rPr>
            </w:pPr>
            <w:proofErr w:type="spellStart"/>
            <w:r w:rsidRPr="00225266">
              <w:rPr>
                <w:rFonts w:ascii="Calibri" w:eastAsia="Times New Roman" w:hAnsi="Calibri" w:cs="Times New Roman"/>
                <w:sz w:val="20"/>
                <w:szCs w:val="20"/>
              </w:rPr>
              <w:t>Xss</w:t>
            </w:r>
            <w:proofErr w:type="spellEnd"/>
            <w:r w:rsidRPr="00225266">
              <w:rPr>
                <w:rFonts w:ascii="Calibri" w:eastAsia="Times New Roman" w:hAnsi="Calibri" w:cs="Times New Roman"/>
                <w:sz w:val="20"/>
                <w:szCs w:val="20"/>
              </w:rPr>
              <w:t>(277)</w:t>
            </w:r>
          </w:p>
        </w:tc>
        <w:tc>
          <w:tcPr>
            <w:tcW w:w="1202" w:type="dxa"/>
            <w:tcBorders>
              <w:top w:val="nil"/>
              <w:left w:val="nil"/>
              <w:bottom w:val="nil"/>
              <w:right w:val="nil"/>
            </w:tcBorders>
            <w:shd w:val="clear" w:color="auto" w:fill="auto"/>
            <w:noWrap/>
            <w:vAlign w:val="center"/>
            <w:hideMark/>
          </w:tcPr>
          <w:p w:rsidR="00225266" w:rsidRPr="00225266" w:rsidRDefault="00225266" w:rsidP="00225266">
            <w:pPr>
              <w:spacing w:after="0" w:line="240" w:lineRule="auto"/>
              <w:jc w:val="center"/>
              <w:rPr>
                <w:rFonts w:ascii="Calibri" w:eastAsia="Times New Roman" w:hAnsi="Calibri" w:cs="Times New Roman"/>
                <w:sz w:val="20"/>
                <w:szCs w:val="20"/>
              </w:rPr>
            </w:pPr>
            <w:r w:rsidRPr="00225266">
              <w:rPr>
                <w:rFonts w:ascii="Calibri" w:eastAsia="Times New Roman" w:hAnsi="Calibri" w:cs="Times New Roman"/>
                <w:sz w:val="20"/>
                <w:szCs w:val="20"/>
              </w:rPr>
              <w:t>2</w:t>
            </w:r>
          </w:p>
        </w:tc>
        <w:tc>
          <w:tcPr>
            <w:tcW w:w="2516" w:type="dxa"/>
            <w:vMerge/>
            <w:tcBorders>
              <w:top w:val="nil"/>
              <w:left w:val="nil"/>
              <w:bottom w:val="single" w:sz="8" w:space="0" w:color="000000"/>
              <w:right w:val="nil"/>
            </w:tcBorders>
            <w:vAlign w:val="center"/>
            <w:hideMark/>
          </w:tcPr>
          <w:p w:rsidR="00225266" w:rsidRPr="00225266" w:rsidRDefault="00225266" w:rsidP="00225266">
            <w:pPr>
              <w:spacing w:after="0" w:line="240" w:lineRule="auto"/>
              <w:rPr>
                <w:rFonts w:ascii="Calibri" w:eastAsia="Times New Roman" w:hAnsi="Calibri" w:cs="Times New Roman"/>
                <w:sz w:val="20"/>
                <w:szCs w:val="20"/>
              </w:rPr>
            </w:pPr>
          </w:p>
        </w:tc>
      </w:tr>
      <w:tr w:rsidR="00225266" w:rsidRPr="00225266" w:rsidTr="00225266">
        <w:trPr>
          <w:trHeight w:val="300"/>
          <w:jc w:val="center"/>
        </w:trPr>
        <w:tc>
          <w:tcPr>
            <w:tcW w:w="1482" w:type="dxa"/>
            <w:tcBorders>
              <w:top w:val="nil"/>
              <w:left w:val="nil"/>
              <w:bottom w:val="nil"/>
              <w:right w:val="nil"/>
            </w:tcBorders>
            <w:shd w:val="clear" w:color="auto" w:fill="auto"/>
            <w:noWrap/>
            <w:vAlign w:val="center"/>
            <w:hideMark/>
          </w:tcPr>
          <w:p w:rsidR="00225266" w:rsidRPr="00225266" w:rsidRDefault="00225266" w:rsidP="00225266">
            <w:pPr>
              <w:spacing w:after="0" w:line="240" w:lineRule="auto"/>
              <w:jc w:val="center"/>
              <w:rPr>
                <w:rFonts w:ascii="Calibri" w:eastAsia="Times New Roman" w:hAnsi="Calibri" w:cs="Times New Roman"/>
                <w:sz w:val="20"/>
                <w:szCs w:val="20"/>
              </w:rPr>
            </w:pPr>
            <w:proofErr w:type="spellStart"/>
            <w:r w:rsidRPr="00225266">
              <w:rPr>
                <w:rFonts w:ascii="Calibri" w:eastAsia="Times New Roman" w:hAnsi="Calibri" w:cs="Times New Roman"/>
                <w:sz w:val="20"/>
                <w:szCs w:val="20"/>
              </w:rPr>
              <w:t>Xss</w:t>
            </w:r>
            <w:proofErr w:type="spellEnd"/>
            <w:r w:rsidRPr="00225266">
              <w:rPr>
                <w:rFonts w:ascii="Calibri" w:eastAsia="Times New Roman" w:hAnsi="Calibri" w:cs="Times New Roman"/>
                <w:sz w:val="20"/>
                <w:szCs w:val="20"/>
              </w:rPr>
              <w:t>(278)</w:t>
            </w:r>
          </w:p>
        </w:tc>
        <w:tc>
          <w:tcPr>
            <w:tcW w:w="1202" w:type="dxa"/>
            <w:tcBorders>
              <w:top w:val="nil"/>
              <w:left w:val="nil"/>
              <w:bottom w:val="nil"/>
              <w:right w:val="nil"/>
            </w:tcBorders>
            <w:shd w:val="clear" w:color="auto" w:fill="auto"/>
            <w:noWrap/>
            <w:vAlign w:val="center"/>
            <w:hideMark/>
          </w:tcPr>
          <w:p w:rsidR="00225266" w:rsidRPr="00225266" w:rsidRDefault="00225266" w:rsidP="00225266">
            <w:pPr>
              <w:spacing w:after="0" w:line="240" w:lineRule="auto"/>
              <w:jc w:val="center"/>
              <w:rPr>
                <w:rFonts w:ascii="Calibri" w:eastAsia="Times New Roman" w:hAnsi="Calibri" w:cs="Times New Roman"/>
                <w:sz w:val="20"/>
                <w:szCs w:val="20"/>
              </w:rPr>
            </w:pPr>
            <w:r w:rsidRPr="00225266">
              <w:rPr>
                <w:rFonts w:ascii="Calibri" w:eastAsia="Times New Roman" w:hAnsi="Calibri" w:cs="Times New Roman"/>
                <w:sz w:val="20"/>
                <w:szCs w:val="20"/>
              </w:rPr>
              <w:t>2</w:t>
            </w:r>
          </w:p>
        </w:tc>
        <w:tc>
          <w:tcPr>
            <w:tcW w:w="2516" w:type="dxa"/>
            <w:vMerge/>
            <w:tcBorders>
              <w:top w:val="nil"/>
              <w:left w:val="nil"/>
              <w:bottom w:val="single" w:sz="8" w:space="0" w:color="000000"/>
              <w:right w:val="nil"/>
            </w:tcBorders>
            <w:vAlign w:val="center"/>
            <w:hideMark/>
          </w:tcPr>
          <w:p w:rsidR="00225266" w:rsidRPr="00225266" w:rsidRDefault="00225266" w:rsidP="00225266">
            <w:pPr>
              <w:spacing w:after="0" w:line="240" w:lineRule="auto"/>
              <w:rPr>
                <w:rFonts w:ascii="Calibri" w:eastAsia="Times New Roman" w:hAnsi="Calibri" w:cs="Times New Roman"/>
                <w:sz w:val="20"/>
                <w:szCs w:val="20"/>
              </w:rPr>
            </w:pPr>
          </w:p>
        </w:tc>
      </w:tr>
      <w:tr w:rsidR="00225266" w:rsidRPr="00225266" w:rsidTr="00225266">
        <w:trPr>
          <w:trHeight w:val="300"/>
          <w:jc w:val="center"/>
        </w:trPr>
        <w:tc>
          <w:tcPr>
            <w:tcW w:w="1482" w:type="dxa"/>
            <w:tcBorders>
              <w:top w:val="nil"/>
              <w:left w:val="nil"/>
              <w:bottom w:val="nil"/>
              <w:right w:val="nil"/>
            </w:tcBorders>
            <w:shd w:val="clear" w:color="auto" w:fill="auto"/>
            <w:noWrap/>
            <w:vAlign w:val="center"/>
            <w:hideMark/>
          </w:tcPr>
          <w:p w:rsidR="00225266" w:rsidRPr="00225266" w:rsidRDefault="00225266" w:rsidP="00225266">
            <w:pPr>
              <w:spacing w:after="0" w:line="240" w:lineRule="auto"/>
              <w:jc w:val="center"/>
              <w:rPr>
                <w:rFonts w:ascii="Calibri" w:eastAsia="Times New Roman" w:hAnsi="Calibri" w:cs="Times New Roman"/>
                <w:sz w:val="20"/>
                <w:szCs w:val="20"/>
              </w:rPr>
            </w:pPr>
            <w:proofErr w:type="spellStart"/>
            <w:r w:rsidRPr="00225266">
              <w:rPr>
                <w:rFonts w:ascii="Calibri" w:eastAsia="Times New Roman" w:hAnsi="Calibri" w:cs="Times New Roman"/>
                <w:sz w:val="20"/>
                <w:szCs w:val="20"/>
              </w:rPr>
              <w:t>Xss</w:t>
            </w:r>
            <w:proofErr w:type="spellEnd"/>
            <w:r w:rsidRPr="00225266">
              <w:rPr>
                <w:rFonts w:ascii="Calibri" w:eastAsia="Times New Roman" w:hAnsi="Calibri" w:cs="Times New Roman"/>
                <w:sz w:val="20"/>
                <w:szCs w:val="20"/>
              </w:rPr>
              <w:t>(279)</w:t>
            </w:r>
          </w:p>
        </w:tc>
        <w:tc>
          <w:tcPr>
            <w:tcW w:w="1202" w:type="dxa"/>
            <w:tcBorders>
              <w:top w:val="nil"/>
              <w:left w:val="nil"/>
              <w:bottom w:val="nil"/>
              <w:right w:val="nil"/>
            </w:tcBorders>
            <w:shd w:val="clear" w:color="auto" w:fill="auto"/>
            <w:noWrap/>
            <w:vAlign w:val="center"/>
            <w:hideMark/>
          </w:tcPr>
          <w:p w:rsidR="00225266" w:rsidRPr="00225266" w:rsidRDefault="00225266" w:rsidP="00225266">
            <w:pPr>
              <w:spacing w:after="0" w:line="240" w:lineRule="auto"/>
              <w:jc w:val="center"/>
              <w:rPr>
                <w:rFonts w:ascii="Calibri" w:eastAsia="Times New Roman" w:hAnsi="Calibri" w:cs="Times New Roman"/>
                <w:sz w:val="20"/>
                <w:szCs w:val="20"/>
              </w:rPr>
            </w:pPr>
            <w:r w:rsidRPr="00225266">
              <w:rPr>
                <w:rFonts w:ascii="Calibri" w:eastAsia="Times New Roman" w:hAnsi="Calibri" w:cs="Times New Roman"/>
                <w:sz w:val="20"/>
                <w:szCs w:val="20"/>
              </w:rPr>
              <w:t>5</w:t>
            </w:r>
          </w:p>
        </w:tc>
        <w:tc>
          <w:tcPr>
            <w:tcW w:w="2516" w:type="dxa"/>
            <w:vMerge/>
            <w:tcBorders>
              <w:top w:val="nil"/>
              <w:left w:val="nil"/>
              <w:bottom w:val="single" w:sz="8" w:space="0" w:color="000000"/>
              <w:right w:val="nil"/>
            </w:tcBorders>
            <w:vAlign w:val="center"/>
            <w:hideMark/>
          </w:tcPr>
          <w:p w:rsidR="00225266" w:rsidRPr="00225266" w:rsidRDefault="00225266" w:rsidP="00225266">
            <w:pPr>
              <w:spacing w:after="0" w:line="240" w:lineRule="auto"/>
              <w:rPr>
                <w:rFonts w:ascii="Calibri" w:eastAsia="Times New Roman" w:hAnsi="Calibri" w:cs="Times New Roman"/>
                <w:sz w:val="20"/>
                <w:szCs w:val="20"/>
              </w:rPr>
            </w:pPr>
          </w:p>
        </w:tc>
      </w:tr>
      <w:tr w:rsidR="00225266" w:rsidRPr="00225266" w:rsidTr="00225266">
        <w:trPr>
          <w:trHeight w:val="315"/>
          <w:jc w:val="center"/>
        </w:trPr>
        <w:tc>
          <w:tcPr>
            <w:tcW w:w="1482" w:type="dxa"/>
            <w:tcBorders>
              <w:top w:val="nil"/>
              <w:left w:val="nil"/>
              <w:bottom w:val="single" w:sz="8" w:space="0" w:color="auto"/>
              <w:right w:val="nil"/>
            </w:tcBorders>
            <w:shd w:val="clear" w:color="auto" w:fill="auto"/>
            <w:noWrap/>
            <w:vAlign w:val="center"/>
            <w:hideMark/>
          </w:tcPr>
          <w:p w:rsidR="00225266" w:rsidRPr="00225266" w:rsidRDefault="00225266" w:rsidP="00225266">
            <w:pPr>
              <w:spacing w:after="0" w:line="240" w:lineRule="auto"/>
              <w:jc w:val="center"/>
              <w:rPr>
                <w:rFonts w:ascii="Calibri" w:eastAsia="Times New Roman" w:hAnsi="Calibri" w:cs="Times New Roman"/>
                <w:sz w:val="20"/>
                <w:szCs w:val="20"/>
              </w:rPr>
            </w:pPr>
            <w:proofErr w:type="spellStart"/>
            <w:r w:rsidRPr="00225266">
              <w:rPr>
                <w:rFonts w:ascii="Calibri" w:eastAsia="Times New Roman" w:hAnsi="Calibri" w:cs="Times New Roman"/>
                <w:sz w:val="20"/>
                <w:szCs w:val="20"/>
              </w:rPr>
              <w:t>Xss</w:t>
            </w:r>
            <w:proofErr w:type="spellEnd"/>
            <w:r w:rsidRPr="00225266">
              <w:rPr>
                <w:rFonts w:ascii="Calibri" w:eastAsia="Times New Roman" w:hAnsi="Calibri" w:cs="Times New Roman"/>
                <w:sz w:val="20"/>
                <w:szCs w:val="20"/>
              </w:rPr>
              <w:t>(280)</w:t>
            </w:r>
          </w:p>
        </w:tc>
        <w:tc>
          <w:tcPr>
            <w:tcW w:w="1202" w:type="dxa"/>
            <w:tcBorders>
              <w:top w:val="nil"/>
              <w:left w:val="nil"/>
              <w:bottom w:val="single" w:sz="8" w:space="0" w:color="auto"/>
              <w:right w:val="nil"/>
            </w:tcBorders>
            <w:shd w:val="clear" w:color="auto" w:fill="auto"/>
            <w:noWrap/>
            <w:vAlign w:val="center"/>
            <w:hideMark/>
          </w:tcPr>
          <w:p w:rsidR="00225266" w:rsidRPr="00225266" w:rsidRDefault="00225266" w:rsidP="00225266">
            <w:pPr>
              <w:spacing w:after="0" w:line="240" w:lineRule="auto"/>
              <w:jc w:val="center"/>
              <w:rPr>
                <w:rFonts w:ascii="Calibri" w:eastAsia="Times New Roman" w:hAnsi="Calibri" w:cs="Times New Roman"/>
                <w:sz w:val="20"/>
                <w:szCs w:val="20"/>
              </w:rPr>
            </w:pPr>
            <w:r w:rsidRPr="00225266">
              <w:rPr>
                <w:rFonts w:ascii="Calibri" w:eastAsia="Times New Roman" w:hAnsi="Calibri" w:cs="Times New Roman"/>
                <w:sz w:val="20"/>
                <w:szCs w:val="20"/>
              </w:rPr>
              <w:t>1</w:t>
            </w:r>
          </w:p>
        </w:tc>
        <w:tc>
          <w:tcPr>
            <w:tcW w:w="2516" w:type="dxa"/>
            <w:vMerge/>
            <w:tcBorders>
              <w:top w:val="nil"/>
              <w:left w:val="nil"/>
              <w:bottom w:val="single" w:sz="8" w:space="0" w:color="000000"/>
              <w:right w:val="nil"/>
            </w:tcBorders>
            <w:vAlign w:val="center"/>
            <w:hideMark/>
          </w:tcPr>
          <w:p w:rsidR="00225266" w:rsidRPr="00225266" w:rsidRDefault="00225266" w:rsidP="00225266">
            <w:pPr>
              <w:spacing w:after="0" w:line="240" w:lineRule="auto"/>
              <w:rPr>
                <w:rFonts w:ascii="Calibri" w:eastAsia="Times New Roman" w:hAnsi="Calibri" w:cs="Times New Roman"/>
                <w:sz w:val="20"/>
                <w:szCs w:val="20"/>
              </w:rPr>
            </w:pPr>
          </w:p>
        </w:tc>
      </w:tr>
    </w:tbl>
    <w:p w:rsidR="00225266" w:rsidRDefault="00225266" w:rsidP="00E664E4"/>
    <w:p w:rsidR="00F938ED" w:rsidRDefault="00F938ED"/>
    <w:p w:rsidR="00B7594C" w:rsidRDefault="00B7594C">
      <w:r>
        <w:br w:type="page"/>
      </w:r>
    </w:p>
    <w:p w:rsidR="00225266" w:rsidRDefault="00E664E4" w:rsidP="00035661">
      <w:r>
        <w:lastRenderedPageBreak/>
        <w:t xml:space="preserve">In order to ensure that there was not too much noise added to the data, it was necessary to determine the effective rank of the base case data. The effective rank was determined by performing SVD on the data prior to the addition of noise. The scree plot for the base case data without added noise is shown in Figure 4.1. </w:t>
      </w:r>
    </w:p>
    <w:p w:rsidR="00F65F48" w:rsidRDefault="00E664E4" w:rsidP="00035661">
      <w:r>
        <w:t>As shown in Figure 4.1, there is a strong</w:t>
      </w:r>
      <w:r w:rsidR="00FB5C20">
        <w:t xml:space="preserve"> elbow at two which retains 9</w:t>
      </w:r>
      <w:r w:rsidR="00C74C0A">
        <w:t>0</w:t>
      </w:r>
      <w:r w:rsidR="000F043C">
        <w:t>.</w:t>
      </w:r>
      <w:r w:rsidR="00C74C0A">
        <w:t>2</w:t>
      </w:r>
      <w:r>
        <w:t xml:space="preserve">% percent of the </w:t>
      </w:r>
      <w:r w:rsidR="00E27BF5">
        <w:t xml:space="preserve">original </w:t>
      </w:r>
      <w:r>
        <w:t xml:space="preserve">information. However, keeping only two principal components does not fully model the system. </w:t>
      </w:r>
      <w:r w:rsidR="00C74C0A">
        <w:t>T</w:t>
      </w:r>
      <w:r w:rsidR="00FB5C20">
        <w:t xml:space="preserve">here is </w:t>
      </w:r>
      <w:r w:rsidR="000F043C">
        <w:t>another elbow at three which retains 9</w:t>
      </w:r>
      <w:r w:rsidR="00FB5C20">
        <w:t>4</w:t>
      </w:r>
      <w:r>
        <w:t>% of the ori</w:t>
      </w:r>
      <w:r w:rsidR="00FB5C20">
        <w:t xml:space="preserve">ginal information. </w:t>
      </w:r>
      <w:r w:rsidR="00C74C0A">
        <w:t xml:space="preserve">Four principal components were needed to retain at least 95% of the original data. Therefore, </w:t>
      </w:r>
      <w:r>
        <w:t>the effective rank without</w:t>
      </w:r>
      <w:r w:rsidR="000F043C">
        <w:t xml:space="preserve"> </w:t>
      </w:r>
      <w:r w:rsidR="00FB5C20">
        <w:t>noise was determined to be four</w:t>
      </w:r>
      <w:r>
        <w:t xml:space="preserve">. The first ten singular values </w:t>
      </w:r>
      <w:r w:rsidR="00FB5C20">
        <w:t>(</w:t>
      </w:r>
      <m:oMath>
        <m:r>
          <w:rPr>
            <w:rFonts w:ascii="Cambria Math" w:hAnsi="Cambria Math"/>
          </w:rPr>
          <m:t>S</m:t>
        </m:r>
      </m:oMath>
      <w:r w:rsidR="00FB5C20">
        <w:t xml:space="preserve">) </w:t>
      </w:r>
      <w:r>
        <w:t>from SVD of the base case data with and without noise</w:t>
      </w:r>
      <w:r w:rsidRPr="00744431">
        <w:t xml:space="preserve"> </w:t>
      </w:r>
      <w:r>
        <w:t>and the cumulative sum (</w:t>
      </w:r>
      <m:oMath>
        <m:f>
          <m:fPr>
            <m:type m:val="lin"/>
            <m:ctrlPr>
              <w:rPr>
                <w:rFonts w:ascii="Cambria Math" w:hAnsi="Cambria Math"/>
                <w:i/>
              </w:rPr>
            </m:ctrlPr>
          </m:fPr>
          <m:num>
            <m:sSubSup>
              <m:sSubSupPr>
                <m:ctrlPr>
                  <w:rPr>
                    <w:rFonts w:ascii="Cambria Math" w:hAnsi="Cambria Math"/>
                    <w:i/>
                  </w:rPr>
                </m:ctrlPr>
              </m:sSubSupPr>
              <m:e>
                <m:r>
                  <w:rPr>
                    <w:rFonts w:ascii="Cambria Math" w:hAnsi="Cambria Math"/>
                  </w:rPr>
                  <m:t>S</m:t>
                </m:r>
              </m:e>
              <m:sub>
                <m:r>
                  <w:rPr>
                    <w:rFonts w:ascii="Cambria Math" w:hAnsi="Cambria Math"/>
                  </w:rPr>
                  <m:t>i</m:t>
                </m:r>
              </m:sub>
              <m:sup>
                <m:r>
                  <w:rPr>
                    <w:rFonts w:ascii="Cambria Math" w:hAnsi="Cambria Math"/>
                  </w:rPr>
                  <m:t>2</m:t>
                </m:r>
              </m:sup>
            </m:sSubSup>
          </m:num>
          <m:den>
            <m:nary>
              <m:naryPr>
                <m:chr m:val="∑"/>
                <m:limLoc m:val="undOvr"/>
                <m:supHide m:val="1"/>
                <m:ctrlPr>
                  <w:rPr>
                    <w:rFonts w:ascii="Cambria Math" w:hAnsi="Cambria Math"/>
                    <w:i/>
                  </w:rPr>
                </m:ctrlPr>
              </m:naryPr>
              <m:sub>
                <m:r>
                  <w:rPr>
                    <w:rFonts w:ascii="Cambria Math" w:hAnsi="Cambria Math"/>
                  </w:rPr>
                  <m:t>j=1</m:t>
                </m:r>
              </m:sub>
              <m:sup/>
              <m:e>
                <m:sSubSup>
                  <m:sSubSupPr>
                    <m:ctrlPr>
                      <w:rPr>
                        <w:rFonts w:ascii="Cambria Math" w:hAnsi="Cambria Math"/>
                        <w:i/>
                      </w:rPr>
                    </m:ctrlPr>
                  </m:sSubSupPr>
                  <m:e>
                    <m:r>
                      <w:rPr>
                        <w:rFonts w:ascii="Cambria Math" w:hAnsi="Cambria Math"/>
                      </w:rPr>
                      <m:t>S</m:t>
                    </m:r>
                  </m:e>
                  <m:sub>
                    <m:r>
                      <w:rPr>
                        <w:rFonts w:ascii="Cambria Math" w:hAnsi="Cambria Math"/>
                      </w:rPr>
                      <m:t>j</m:t>
                    </m:r>
                  </m:sub>
                  <m:sup>
                    <m:r>
                      <w:rPr>
                        <w:rFonts w:ascii="Cambria Math" w:hAnsi="Cambria Math"/>
                      </w:rPr>
                      <m:t>2</m:t>
                    </m:r>
                  </m:sup>
                </m:sSubSup>
              </m:e>
            </m:nary>
          </m:den>
        </m:f>
      </m:oMath>
      <w:r w:rsidR="00C74C0A">
        <w:t>) are listed in Table 4.14</w:t>
      </w:r>
      <w:r>
        <w:t xml:space="preserve">. </w:t>
      </w:r>
    </w:p>
    <w:p w:rsidR="00F938ED" w:rsidRDefault="00F938ED" w:rsidP="00F938ED">
      <w:r>
        <w:t xml:space="preserve">During the data processing, it became necessary to remove some of the variables from the data matrix. The variables that were removed are listed in Table 4.15. These variables were completely extraneous and did not add any useful information to the model. Additionally, these variables did not vary at all with the changes in the input variables, resulting in a standard deviation of zero. All of these state variables represented components that did not participate in any reactions in the process. </w:t>
      </w:r>
    </w:p>
    <w:p w:rsidR="00F938ED" w:rsidRDefault="00F938ED" w:rsidP="00F938ED">
      <w:r w:rsidRPr="001739EB">
        <w:t xml:space="preserve">The scree plot for the base case data with noise </w:t>
      </w:r>
      <w:r>
        <w:t>is shown in Figure 4.2</w:t>
      </w:r>
      <w:r w:rsidRPr="001739EB">
        <w:t>.</w:t>
      </w:r>
      <w:r>
        <w:t xml:space="preserve"> </w:t>
      </w:r>
      <w:r w:rsidRPr="001739EB">
        <w:t>As shown in Figure 4.</w:t>
      </w:r>
      <w:r>
        <w:t>2</w:t>
      </w:r>
      <w:r w:rsidRPr="001739EB">
        <w:t xml:space="preserve">, there is a strong elbow at two which retains </w:t>
      </w:r>
      <w:r>
        <w:t>87.4</w:t>
      </w:r>
      <w:r w:rsidRPr="001739EB">
        <w:t xml:space="preserve">% percent of the </w:t>
      </w:r>
      <w:r>
        <w:t xml:space="preserve">original </w:t>
      </w:r>
      <w:r w:rsidRPr="001739EB">
        <w:t xml:space="preserve">information. However, keeping only two principal components does not fully model the system. </w:t>
      </w:r>
      <w:r>
        <w:t xml:space="preserve">As shown in the top plot of Figure 4.2, there is another elbow at three which retains 91.1% of the original information. Six principal components were needed to retain at least 95% of the original data. </w:t>
      </w:r>
      <w:r w:rsidRPr="001739EB">
        <w:t xml:space="preserve">Based on this analysis, the effective rank </w:t>
      </w:r>
      <w:r>
        <w:t>after the addition of noise was determined to be five where 94.4% of the original data was retained</w:t>
      </w:r>
      <w:r w:rsidRPr="001739EB">
        <w:t xml:space="preserve">. </w:t>
      </w:r>
      <w:r>
        <w:t>Further analysis of the loadings vectors and consideration that in actual statistical process control only a few principal components are required to describe most systems, it was determined that five principal components would be retained for the model. Retaining too many principal components results in noise being retained as part of the base case model. A bar chart of the loading</w:t>
      </w:r>
      <w:r w:rsidR="008205C9">
        <w:t>s</w:t>
      </w:r>
      <w:r>
        <w:t xml:space="preserve"> vectors for all the variables of the base case model is shown in Figure 4.3. </w:t>
      </w:r>
    </w:p>
    <w:p w:rsidR="00F938ED" w:rsidRDefault="00F938ED" w:rsidP="00035661"/>
    <w:p w:rsidR="00E664E4" w:rsidRDefault="00225266" w:rsidP="00E664E4">
      <w:pPr>
        <w:jc w:val="center"/>
        <w:rPr>
          <w:b/>
          <w:sz w:val="20"/>
          <w:szCs w:val="20"/>
        </w:rPr>
      </w:pPr>
      <w:r>
        <w:rPr>
          <w:b/>
          <w:noProof/>
          <w:sz w:val="20"/>
          <w:szCs w:val="20"/>
        </w:rPr>
        <w:lastRenderedPageBreak/>
        <w:drawing>
          <wp:inline distT="0" distB="0" distL="0" distR="0" wp14:anchorId="1D102B68" wp14:editId="105E00FD">
            <wp:extent cx="5943600" cy="44577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E664E4" w:rsidRPr="00D6552F" w:rsidRDefault="00E664E4" w:rsidP="00E664E4">
      <w:pPr>
        <w:jc w:val="center"/>
        <w:rPr>
          <w:b/>
          <w:sz w:val="20"/>
          <w:szCs w:val="20"/>
        </w:rPr>
      </w:pPr>
      <w:r w:rsidRPr="00D6552F">
        <w:rPr>
          <w:b/>
          <w:sz w:val="20"/>
          <w:szCs w:val="20"/>
        </w:rPr>
        <w:t xml:space="preserve">Figure 4.1. Scree </w:t>
      </w:r>
      <w:r>
        <w:rPr>
          <w:b/>
          <w:sz w:val="20"/>
          <w:szCs w:val="20"/>
        </w:rPr>
        <w:t>Plot of the Base C</w:t>
      </w:r>
      <w:r w:rsidRPr="00D6552F">
        <w:rPr>
          <w:b/>
          <w:sz w:val="20"/>
          <w:szCs w:val="20"/>
        </w:rPr>
        <w:t xml:space="preserve">ase </w:t>
      </w:r>
      <w:r>
        <w:rPr>
          <w:b/>
          <w:sz w:val="20"/>
          <w:szCs w:val="20"/>
        </w:rPr>
        <w:t>D</w:t>
      </w:r>
      <w:r w:rsidRPr="00D6552F">
        <w:rPr>
          <w:b/>
          <w:sz w:val="20"/>
          <w:szCs w:val="20"/>
        </w:rPr>
        <w:t xml:space="preserve">ata before the </w:t>
      </w:r>
      <w:r>
        <w:rPr>
          <w:b/>
          <w:sz w:val="20"/>
          <w:szCs w:val="20"/>
        </w:rPr>
        <w:t>A</w:t>
      </w:r>
      <w:r w:rsidRPr="00D6552F">
        <w:rPr>
          <w:b/>
          <w:sz w:val="20"/>
          <w:szCs w:val="20"/>
        </w:rPr>
        <w:t xml:space="preserve">ddition of Gaussian </w:t>
      </w:r>
      <w:r>
        <w:rPr>
          <w:b/>
          <w:sz w:val="20"/>
          <w:szCs w:val="20"/>
        </w:rPr>
        <w:t>W</w:t>
      </w:r>
      <w:r w:rsidRPr="00D6552F">
        <w:rPr>
          <w:b/>
          <w:sz w:val="20"/>
          <w:szCs w:val="20"/>
        </w:rPr>
        <w:t xml:space="preserve">hite </w:t>
      </w:r>
      <w:r>
        <w:rPr>
          <w:b/>
          <w:sz w:val="20"/>
          <w:szCs w:val="20"/>
        </w:rPr>
        <w:t>N</w:t>
      </w:r>
      <w:r w:rsidRPr="00D6552F">
        <w:rPr>
          <w:b/>
          <w:sz w:val="20"/>
          <w:szCs w:val="20"/>
        </w:rPr>
        <w:t>oise.</w:t>
      </w:r>
    </w:p>
    <w:p w:rsidR="00E664E4" w:rsidRDefault="00E664E4" w:rsidP="00E664E4">
      <w:pPr>
        <w:jc w:val="center"/>
        <w:rPr>
          <w:b/>
          <w:sz w:val="20"/>
          <w:szCs w:val="20"/>
        </w:rPr>
      </w:pPr>
    </w:p>
    <w:tbl>
      <w:tblPr>
        <w:tblW w:w="6600" w:type="dxa"/>
        <w:jc w:val="center"/>
        <w:tblInd w:w="93" w:type="dxa"/>
        <w:tblLook w:val="04A0" w:firstRow="1" w:lastRow="0" w:firstColumn="1" w:lastColumn="0" w:noHBand="0" w:noVBand="1"/>
      </w:tblPr>
      <w:tblGrid>
        <w:gridCol w:w="677"/>
        <w:gridCol w:w="1414"/>
        <w:gridCol w:w="1602"/>
        <w:gridCol w:w="1414"/>
        <w:gridCol w:w="1602"/>
      </w:tblGrid>
      <w:tr w:rsidR="00C74C0A" w:rsidRPr="00C74C0A" w:rsidTr="00C74C0A">
        <w:trPr>
          <w:trHeight w:val="270"/>
          <w:jc w:val="center"/>
        </w:trPr>
        <w:tc>
          <w:tcPr>
            <w:tcW w:w="6600" w:type="dxa"/>
            <w:gridSpan w:val="5"/>
            <w:tcBorders>
              <w:top w:val="nil"/>
              <w:left w:val="nil"/>
              <w:bottom w:val="single" w:sz="8" w:space="0" w:color="auto"/>
              <w:right w:val="nil"/>
            </w:tcBorders>
            <w:shd w:val="clear" w:color="auto" w:fill="auto"/>
            <w:vAlign w:val="center"/>
            <w:hideMark/>
          </w:tcPr>
          <w:p w:rsidR="00C74C0A" w:rsidRPr="00C74C0A" w:rsidRDefault="00C74C0A" w:rsidP="00C74C0A">
            <w:pPr>
              <w:spacing w:after="0" w:line="240" w:lineRule="auto"/>
              <w:jc w:val="center"/>
              <w:rPr>
                <w:rFonts w:ascii="Calibri" w:eastAsia="Times New Roman" w:hAnsi="Calibri" w:cs="Times New Roman"/>
                <w:b/>
                <w:bCs/>
                <w:color w:val="000000"/>
                <w:sz w:val="20"/>
                <w:szCs w:val="20"/>
              </w:rPr>
            </w:pPr>
            <w:r w:rsidRPr="00C74C0A">
              <w:rPr>
                <w:rFonts w:ascii="Calibri" w:eastAsia="Times New Roman" w:hAnsi="Calibri" w:cs="Times New Roman"/>
                <w:b/>
                <w:bCs/>
                <w:color w:val="000000"/>
                <w:sz w:val="20"/>
                <w:szCs w:val="20"/>
              </w:rPr>
              <w:t>Table 4.14. First Ten Singular Values for the Base Case</w:t>
            </w:r>
          </w:p>
        </w:tc>
      </w:tr>
      <w:tr w:rsidR="00C74C0A" w:rsidRPr="00C74C0A" w:rsidTr="00C74C0A">
        <w:trPr>
          <w:trHeight w:val="255"/>
          <w:jc w:val="center"/>
        </w:trPr>
        <w:tc>
          <w:tcPr>
            <w:tcW w:w="568" w:type="dxa"/>
            <w:vMerge w:val="restart"/>
            <w:tcBorders>
              <w:top w:val="nil"/>
              <w:left w:val="nil"/>
              <w:bottom w:val="single" w:sz="4" w:space="0" w:color="000000"/>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b/>
                <w:bCs/>
                <w:color w:val="000000"/>
                <w:sz w:val="20"/>
                <w:szCs w:val="20"/>
              </w:rPr>
            </w:pPr>
            <w:r w:rsidRPr="00C74C0A">
              <w:rPr>
                <w:rFonts w:ascii="Calibri" w:eastAsia="Times New Roman" w:hAnsi="Calibri" w:cs="Times New Roman"/>
                <w:b/>
                <w:bCs/>
                <w:color w:val="000000"/>
                <w:sz w:val="20"/>
                <w:szCs w:val="20"/>
              </w:rPr>
              <w:t>Index</w:t>
            </w:r>
          </w:p>
        </w:tc>
        <w:tc>
          <w:tcPr>
            <w:tcW w:w="3016" w:type="dxa"/>
            <w:gridSpan w:val="2"/>
            <w:tcBorders>
              <w:top w:val="single" w:sz="8" w:space="0" w:color="auto"/>
              <w:left w:val="nil"/>
              <w:bottom w:val="nil"/>
              <w:right w:val="nil"/>
            </w:tcBorders>
            <w:shd w:val="clear" w:color="auto" w:fill="auto"/>
            <w:vAlign w:val="center"/>
            <w:hideMark/>
          </w:tcPr>
          <w:p w:rsidR="00C74C0A" w:rsidRPr="00C74C0A" w:rsidRDefault="00C74C0A" w:rsidP="00C74C0A">
            <w:pPr>
              <w:spacing w:after="0" w:line="240" w:lineRule="auto"/>
              <w:jc w:val="center"/>
              <w:rPr>
                <w:rFonts w:ascii="Calibri" w:eastAsia="Times New Roman" w:hAnsi="Calibri" w:cs="Times New Roman"/>
                <w:b/>
                <w:bCs/>
                <w:color w:val="000000"/>
                <w:sz w:val="20"/>
                <w:szCs w:val="20"/>
              </w:rPr>
            </w:pPr>
            <w:r w:rsidRPr="00C74C0A">
              <w:rPr>
                <w:rFonts w:ascii="Calibri" w:eastAsia="Times New Roman" w:hAnsi="Calibri" w:cs="Times New Roman"/>
                <w:b/>
                <w:bCs/>
                <w:color w:val="000000"/>
                <w:sz w:val="20"/>
                <w:szCs w:val="20"/>
              </w:rPr>
              <w:t>Without Noise</w:t>
            </w:r>
          </w:p>
        </w:tc>
        <w:tc>
          <w:tcPr>
            <w:tcW w:w="3016" w:type="dxa"/>
            <w:gridSpan w:val="2"/>
            <w:tcBorders>
              <w:top w:val="single" w:sz="8" w:space="0" w:color="auto"/>
              <w:left w:val="nil"/>
              <w:bottom w:val="nil"/>
              <w:right w:val="nil"/>
            </w:tcBorders>
            <w:shd w:val="clear" w:color="auto" w:fill="auto"/>
            <w:vAlign w:val="center"/>
            <w:hideMark/>
          </w:tcPr>
          <w:p w:rsidR="00C74C0A" w:rsidRPr="00C74C0A" w:rsidRDefault="00C74C0A" w:rsidP="00C74C0A">
            <w:pPr>
              <w:spacing w:after="0" w:line="240" w:lineRule="auto"/>
              <w:jc w:val="center"/>
              <w:rPr>
                <w:rFonts w:ascii="Calibri" w:eastAsia="Times New Roman" w:hAnsi="Calibri" w:cs="Times New Roman"/>
                <w:b/>
                <w:bCs/>
                <w:color w:val="000000"/>
                <w:sz w:val="20"/>
                <w:szCs w:val="20"/>
              </w:rPr>
            </w:pPr>
            <w:r w:rsidRPr="00C74C0A">
              <w:rPr>
                <w:rFonts w:ascii="Calibri" w:eastAsia="Times New Roman" w:hAnsi="Calibri" w:cs="Times New Roman"/>
                <w:b/>
                <w:bCs/>
                <w:color w:val="000000"/>
                <w:sz w:val="20"/>
                <w:szCs w:val="20"/>
              </w:rPr>
              <w:t>With Noise</w:t>
            </w:r>
          </w:p>
        </w:tc>
      </w:tr>
      <w:tr w:rsidR="00C74C0A" w:rsidRPr="00C74C0A" w:rsidTr="00C74C0A">
        <w:trPr>
          <w:trHeight w:val="255"/>
          <w:jc w:val="center"/>
        </w:trPr>
        <w:tc>
          <w:tcPr>
            <w:tcW w:w="568" w:type="dxa"/>
            <w:vMerge/>
            <w:tcBorders>
              <w:top w:val="nil"/>
              <w:left w:val="nil"/>
              <w:bottom w:val="single" w:sz="4" w:space="0" w:color="000000"/>
              <w:right w:val="nil"/>
            </w:tcBorders>
            <w:vAlign w:val="center"/>
            <w:hideMark/>
          </w:tcPr>
          <w:p w:rsidR="00C74C0A" w:rsidRPr="00C74C0A" w:rsidRDefault="00C74C0A" w:rsidP="00C74C0A">
            <w:pPr>
              <w:spacing w:after="0" w:line="240" w:lineRule="auto"/>
              <w:rPr>
                <w:rFonts w:ascii="Calibri" w:eastAsia="Times New Roman" w:hAnsi="Calibri" w:cs="Times New Roman"/>
                <w:b/>
                <w:bCs/>
                <w:color w:val="000000"/>
                <w:sz w:val="20"/>
                <w:szCs w:val="20"/>
              </w:rPr>
            </w:pPr>
          </w:p>
        </w:tc>
        <w:tc>
          <w:tcPr>
            <w:tcW w:w="1414" w:type="dxa"/>
            <w:tcBorders>
              <w:top w:val="nil"/>
              <w:left w:val="nil"/>
              <w:bottom w:val="single" w:sz="4" w:space="0" w:color="auto"/>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b/>
                <w:bCs/>
                <w:color w:val="000000"/>
                <w:sz w:val="20"/>
                <w:szCs w:val="20"/>
              </w:rPr>
            </w:pPr>
            <w:r w:rsidRPr="00C74C0A">
              <w:rPr>
                <w:rFonts w:ascii="Calibri" w:eastAsia="Times New Roman" w:hAnsi="Calibri" w:cs="Times New Roman"/>
                <w:b/>
                <w:bCs/>
                <w:color w:val="000000"/>
                <w:sz w:val="20"/>
                <w:szCs w:val="20"/>
              </w:rPr>
              <w:t>Singular Value</w:t>
            </w:r>
          </w:p>
        </w:tc>
        <w:tc>
          <w:tcPr>
            <w:tcW w:w="1602" w:type="dxa"/>
            <w:tcBorders>
              <w:top w:val="nil"/>
              <w:left w:val="nil"/>
              <w:bottom w:val="single" w:sz="4" w:space="0" w:color="auto"/>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b/>
                <w:bCs/>
                <w:color w:val="000000"/>
                <w:sz w:val="20"/>
                <w:szCs w:val="20"/>
              </w:rPr>
            </w:pPr>
            <w:r w:rsidRPr="00C74C0A">
              <w:rPr>
                <w:rFonts w:ascii="Calibri" w:eastAsia="Times New Roman" w:hAnsi="Calibri" w:cs="Times New Roman"/>
                <w:b/>
                <w:bCs/>
                <w:color w:val="000000"/>
                <w:sz w:val="20"/>
                <w:szCs w:val="20"/>
              </w:rPr>
              <w:t>Cumulative Sum</w:t>
            </w:r>
          </w:p>
        </w:tc>
        <w:tc>
          <w:tcPr>
            <w:tcW w:w="1414" w:type="dxa"/>
            <w:tcBorders>
              <w:top w:val="nil"/>
              <w:left w:val="nil"/>
              <w:bottom w:val="single" w:sz="4" w:space="0" w:color="auto"/>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b/>
                <w:bCs/>
                <w:color w:val="000000"/>
                <w:sz w:val="20"/>
                <w:szCs w:val="20"/>
              </w:rPr>
            </w:pPr>
            <w:r w:rsidRPr="00C74C0A">
              <w:rPr>
                <w:rFonts w:ascii="Calibri" w:eastAsia="Times New Roman" w:hAnsi="Calibri" w:cs="Times New Roman"/>
                <w:b/>
                <w:bCs/>
                <w:color w:val="000000"/>
                <w:sz w:val="20"/>
                <w:szCs w:val="20"/>
              </w:rPr>
              <w:t>Singular Value</w:t>
            </w:r>
          </w:p>
        </w:tc>
        <w:tc>
          <w:tcPr>
            <w:tcW w:w="1602" w:type="dxa"/>
            <w:tcBorders>
              <w:top w:val="nil"/>
              <w:left w:val="nil"/>
              <w:bottom w:val="single" w:sz="4" w:space="0" w:color="auto"/>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b/>
                <w:bCs/>
                <w:color w:val="000000"/>
                <w:sz w:val="20"/>
                <w:szCs w:val="20"/>
              </w:rPr>
            </w:pPr>
            <w:r w:rsidRPr="00C74C0A">
              <w:rPr>
                <w:rFonts w:ascii="Calibri" w:eastAsia="Times New Roman" w:hAnsi="Calibri" w:cs="Times New Roman"/>
                <w:b/>
                <w:bCs/>
                <w:color w:val="000000"/>
                <w:sz w:val="20"/>
                <w:szCs w:val="20"/>
              </w:rPr>
              <w:t>Cumulative Sum</w:t>
            </w:r>
          </w:p>
        </w:tc>
      </w:tr>
      <w:tr w:rsidR="00C74C0A" w:rsidRPr="00C74C0A" w:rsidTr="00C74C0A">
        <w:trPr>
          <w:trHeight w:val="255"/>
          <w:jc w:val="center"/>
        </w:trPr>
        <w:tc>
          <w:tcPr>
            <w:tcW w:w="568"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1</w:t>
            </w:r>
          </w:p>
        </w:tc>
        <w:tc>
          <w:tcPr>
            <w:tcW w:w="1414"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18.4070</w:t>
            </w:r>
          </w:p>
        </w:tc>
        <w:tc>
          <w:tcPr>
            <w:tcW w:w="1602"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74.2676</w:t>
            </w:r>
          </w:p>
        </w:tc>
        <w:tc>
          <w:tcPr>
            <w:tcW w:w="1414"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18.0998</w:t>
            </w:r>
          </w:p>
        </w:tc>
        <w:tc>
          <w:tcPr>
            <w:tcW w:w="1602"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71.8095</w:t>
            </w:r>
          </w:p>
        </w:tc>
      </w:tr>
      <w:tr w:rsidR="00C74C0A" w:rsidRPr="00C74C0A" w:rsidTr="00C74C0A">
        <w:trPr>
          <w:trHeight w:val="255"/>
          <w:jc w:val="center"/>
        </w:trPr>
        <w:tc>
          <w:tcPr>
            <w:tcW w:w="568"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2</w:t>
            </w:r>
          </w:p>
        </w:tc>
        <w:tc>
          <w:tcPr>
            <w:tcW w:w="1414"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8.5192</w:t>
            </w:r>
          </w:p>
        </w:tc>
        <w:tc>
          <w:tcPr>
            <w:tcW w:w="1602"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90.1764</w:t>
            </w:r>
          </w:p>
        </w:tc>
        <w:tc>
          <w:tcPr>
            <w:tcW w:w="1414"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8.4354</w:t>
            </w:r>
          </w:p>
        </w:tc>
        <w:tc>
          <w:tcPr>
            <w:tcW w:w="1602"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87.4068</w:t>
            </w:r>
          </w:p>
        </w:tc>
      </w:tr>
      <w:tr w:rsidR="00C74C0A" w:rsidRPr="00C74C0A" w:rsidTr="00C74C0A">
        <w:trPr>
          <w:trHeight w:val="255"/>
          <w:jc w:val="center"/>
        </w:trPr>
        <w:tc>
          <w:tcPr>
            <w:tcW w:w="568"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3</w:t>
            </w:r>
          </w:p>
        </w:tc>
        <w:tc>
          <w:tcPr>
            <w:tcW w:w="1414"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4.1977</w:t>
            </w:r>
          </w:p>
        </w:tc>
        <w:tc>
          <w:tcPr>
            <w:tcW w:w="1602"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94.0388</w:t>
            </w:r>
          </w:p>
        </w:tc>
        <w:tc>
          <w:tcPr>
            <w:tcW w:w="1414"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4.0830</w:t>
            </w:r>
          </w:p>
        </w:tc>
        <w:tc>
          <w:tcPr>
            <w:tcW w:w="1602"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91.0611</w:t>
            </w:r>
          </w:p>
        </w:tc>
      </w:tr>
      <w:tr w:rsidR="00C74C0A" w:rsidRPr="00C74C0A" w:rsidTr="00C74C0A">
        <w:trPr>
          <w:trHeight w:val="255"/>
          <w:jc w:val="center"/>
        </w:trPr>
        <w:tc>
          <w:tcPr>
            <w:tcW w:w="568"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4</w:t>
            </w:r>
          </w:p>
        </w:tc>
        <w:tc>
          <w:tcPr>
            <w:tcW w:w="1414"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2.8477</w:t>
            </w:r>
          </w:p>
        </w:tc>
        <w:tc>
          <w:tcPr>
            <w:tcW w:w="1602"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95.8164</w:t>
            </w:r>
          </w:p>
        </w:tc>
        <w:tc>
          <w:tcPr>
            <w:tcW w:w="1414"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2.8002</w:t>
            </w:r>
          </w:p>
        </w:tc>
        <w:tc>
          <w:tcPr>
            <w:tcW w:w="1602"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92.7798</w:t>
            </w:r>
          </w:p>
        </w:tc>
      </w:tr>
      <w:tr w:rsidR="00C74C0A" w:rsidRPr="00C74C0A" w:rsidTr="00C74C0A">
        <w:trPr>
          <w:trHeight w:val="255"/>
          <w:jc w:val="center"/>
        </w:trPr>
        <w:tc>
          <w:tcPr>
            <w:tcW w:w="568"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5</w:t>
            </w:r>
          </w:p>
        </w:tc>
        <w:tc>
          <w:tcPr>
            <w:tcW w:w="1414"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2.7068</w:t>
            </w:r>
          </w:p>
        </w:tc>
        <w:tc>
          <w:tcPr>
            <w:tcW w:w="1602"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97.4223</w:t>
            </w:r>
          </w:p>
        </w:tc>
        <w:tc>
          <w:tcPr>
            <w:tcW w:w="1414"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2.6896</w:t>
            </w:r>
          </w:p>
        </w:tc>
        <w:tc>
          <w:tcPr>
            <w:tcW w:w="1602"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94.3655</w:t>
            </w:r>
          </w:p>
        </w:tc>
      </w:tr>
      <w:tr w:rsidR="00C74C0A" w:rsidRPr="00C74C0A" w:rsidTr="00C74C0A">
        <w:trPr>
          <w:trHeight w:val="255"/>
          <w:jc w:val="center"/>
        </w:trPr>
        <w:tc>
          <w:tcPr>
            <w:tcW w:w="568"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6</w:t>
            </w:r>
          </w:p>
        </w:tc>
        <w:tc>
          <w:tcPr>
            <w:tcW w:w="1414"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2.5482</w:t>
            </w:r>
          </w:p>
        </w:tc>
        <w:tc>
          <w:tcPr>
            <w:tcW w:w="1602"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98.8457</w:t>
            </w:r>
          </w:p>
        </w:tc>
        <w:tc>
          <w:tcPr>
            <w:tcW w:w="1414"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2.4719</w:t>
            </w:r>
          </w:p>
        </w:tc>
        <w:tc>
          <w:tcPr>
            <w:tcW w:w="1602"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95.7048</w:t>
            </w:r>
          </w:p>
        </w:tc>
      </w:tr>
      <w:tr w:rsidR="00C74C0A" w:rsidRPr="00C74C0A" w:rsidTr="00C74C0A">
        <w:trPr>
          <w:trHeight w:val="255"/>
          <w:jc w:val="center"/>
        </w:trPr>
        <w:tc>
          <w:tcPr>
            <w:tcW w:w="568"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7</w:t>
            </w:r>
          </w:p>
        </w:tc>
        <w:tc>
          <w:tcPr>
            <w:tcW w:w="1414"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2.2583</w:t>
            </w:r>
          </w:p>
        </w:tc>
        <w:tc>
          <w:tcPr>
            <w:tcW w:w="1602"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99.9636</w:t>
            </w:r>
          </w:p>
        </w:tc>
        <w:tc>
          <w:tcPr>
            <w:tcW w:w="1414"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2.2094</w:t>
            </w:r>
          </w:p>
        </w:tc>
        <w:tc>
          <w:tcPr>
            <w:tcW w:w="1602"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96.7748</w:t>
            </w:r>
          </w:p>
        </w:tc>
      </w:tr>
      <w:tr w:rsidR="00C74C0A" w:rsidRPr="00C74C0A" w:rsidTr="00C74C0A">
        <w:trPr>
          <w:trHeight w:val="255"/>
          <w:jc w:val="center"/>
        </w:trPr>
        <w:tc>
          <w:tcPr>
            <w:tcW w:w="568"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8</w:t>
            </w:r>
          </w:p>
        </w:tc>
        <w:tc>
          <w:tcPr>
            <w:tcW w:w="1414"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0.3127</w:t>
            </w:r>
          </w:p>
        </w:tc>
        <w:tc>
          <w:tcPr>
            <w:tcW w:w="1602"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99.9851</w:t>
            </w:r>
          </w:p>
        </w:tc>
        <w:tc>
          <w:tcPr>
            <w:tcW w:w="1414"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1.1535</w:t>
            </w:r>
          </w:p>
        </w:tc>
        <w:tc>
          <w:tcPr>
            <w:tcW w:w="1602"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97.0664</w:t>
            </w:r>
          </w:p>
        </w:tc>
      </w:tr>
      <w:tr w:rsidR="00C74C0A" w:rsidRPr="00C74C0A" w:rsidTr="00C74C0A">
        <w:trPr>
          <w:trHeight w:val="255"/>
          <w:jc w:val="center"/>
        </w:trPr>
        <w:tc>
          <w:tcPr>
            <w:tcW w:w="568"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9</w:t>
            </w:r>
          </w:p>
        </w:tc>
        <w:tc>
          <w:tcPr>
            <w:tcW w:w="1414"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0.1584</w:t>
            </w:r>
          </w:p>
        </w:tc>
        <w:tc>
          <w:tcPr>
            <w:tcW w:w="1602"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99.9906</w:t>
            </w:r>
          </w:p>
        </w:tc>
        <w:tc>
          <w:tcPr>
            <w:tcW w:w="1414"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1.0005</w:t>
            </w:r>
          </w:p>
        </w:tc>
        <w:tc>
          <w:tcPr>
            <w:tcW w:w="1602" w:type="dxa"/>
            <w:tcBorders>
              <w:top w:val="nil"/>
              <w:left w:val="nil"/>
              <w:bottom w:val="nil"/>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97.2858</w:t>
            </w:r>
          </w:p>
        </w:tc>
      </w:tr>
      <w:tr w:rsidR="00C74C0A" w:rsidRPr="00C74C0A" w:rsidTr="00C74C0A">
        <w:trPr>
          <w:trHeight w:val="270"/>
          <w:jc w:val="center"/>
        </w:trPr>
        <w:tc>
          <w:tcPr>
            <w:tcW w:w="568" w:type="dxa"/>
            <w:tcBorders>
              <w:top w:val="nil"/>
              <w:left w:val="nil"/>
              <w:bottom w:val="single" w:sz="8" w:space="0" w:color="auto"/>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10</w:t>
            </w:r>
          </w:p>
        </w:tc>
        <w:tc>
          <w:tcPr>
            <w:tcW w:w="1414" w:type="dxa"/>
            <w:tcBorders>
              <w:top w:val="nil"/>
              <w:left w:val="nil"/>
              <w:bottom w:val="single" w:sz="8" w:space="0" w:color="auto"/>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0.1298</w:t>
            </w:r>
          </w:p>
        </w:tc>
        <w:tc>
          <w:tcPr>
            <w:tcW w:w="1602" w:type="dxa"/>
            <w:tcBorders>
              <w:top w:val="nil"/>
              <w:left w:val="nil"/>
              <w:bottom w:val="single" w:sz="8" w:space="0" w:color="auto"/>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99.9943</w:t>
            </w:r>
          </w:p>
        </w:tc>
        <w:tc>
          <w:tcPr>
            <w:tcW w:w="1414" w:type="dxa"/>
            <w:tcBorders>
              <w:top w:val="nil"/>
              <w:left w:val="nil"/>
              <w:bottom w:val="single" w:sz="8" w:space="0" w:color="auto"/>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0.9995</w:t>
            </w:r>
          </w:p>
        </w:tc>
        <w:tc>
          <w:tcPr>
            <w:tcW w:w="1602" w:type="dxa"/>
            <w:tcBorders>
              <w:top w:val="nil"/>
              <w:left w:val="nil"/>
              <w:bottom w:val="single" w:sz="8" w:space="0" w:color="auto"/>
              <w:right w:val="nil"/>
            </w:tcBorders>
            <w:shd w:val="clear" w:color="auto" w:fill="auto"/>
            <w:noWrap/>
            <w:vAlign w:val="center"/>
            <w:hideMark/>
          </w:tcPr>
          <w:p w:rsidR="00C74C0A" w:rsidRPr="00C74C0A" w:rsidRDefault="00C74C0A" w:rsidP="00C74C0A">
            <w:pPr>
              <w:spacing w:after="0" w:line="240" w:lineRule="auto"/>
              <w:jc w:val="center"/>
              <w:rPr>
                <w:rFonts w:ascii="Calibri" w:eastAsia="Times New Roman" w:hAnsi="Calibri" w:cs="Times New Roman"/>
                <w:color w:val="000000"/>
                <w:sz w:val="20"/>
                <w:szCs w:val="20"/>
              </w:rPr>
            </w:pPr>
            <w:r w:rsidRPr="00C74C0A">
              <w:rPr>
                <w:rFonts w:ascii="Calibri" w:eastAsia="Times New Roman" w:hAnsi="Calibri" w:cs="Times New Roman"/>
                <w:color w:val="000000"/>
                <w:sz w:val="20"/>
                <w:szCs w:val="20"/>
              </w:rPr>
              <w:t>97.5048</w:t>
            </w:r>
          </w:p>
        </w:tc>
      </w:tr>
    </w:tbl>
    <w:p w:rsidR="00C74C0A" w:rsidRDefault="00C74C0A"/>
    <w:tbl>
      <w:tblPr>
        <w:tblW w:w="8300" w:type="dxa"/>
        <w:jc w:val="center"/>
        <w:tblInd w:w="93" w:type="dxa"/>
        <w:tblLook w:val="04A0" w:firstRow="1" w:lastRow="0" w:firstColumn="1" w:lastColumn="0" w:noHBand="0" w:noVBand="1"/>
      </w:tblPr>
      <w:tblGrid>
        <w:gridCol w:w="910"/>
        <w:gridCol w:w="814"/>
        <w:gridCol w:w="1402"/>
        <w:gridCol w:w="1192"/>
        <w:gridCol w:w="3982"/>
      </w:tblGrid>
      <w:tr w:rsidR="00E664E4" w:rsidRPr="00B56797" w:rsidTr="003D664B">
        <w:trPr>
          <w:trHeight w:val="270"/>
          <w:jc w:val="center"/>
        </w:trPr>
        <w:tc>
          <w:tcPr>
            <w:tcW w:w="8300" w:type="dxa"/>
            <w:gridSpan w:val="5"/>
            <w:tcBorders>
              <w:top w:val="nil"/>
              <w:left w:val="nil"/>
              <w:bottom w:val="single" w:sz="8" w:space="0" w:color="auto"/>
              <w:right w:val="nil"/>
            </w:tcBorders>
            <w:shd w:val="clear" w:color="auto" w:fill="auto"/>
            <w:vAlign w:val="center"/>
            <w:hideMark/>
          </w:tcPr>
          <w:p w:rsidR="00E664E4" w:rsidRPr="00B56797" w:rsidRDefault="00C74C0A" w:rsidP="003D664B">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lastRenderedPageBreak/>
              <w:t>Table 4.15</w:t>
            </w:r>
            <w:r w:rsidR="00E664E4" w:rsidRPr="00B56797">
              <w:rPr>
                <w:rFonts w:ascii="Calibri" w:eastAsia="Times New Roman" w:hAnsi="Calibri" w:cs="Times New Roman"/>
                <w:b/>
                <w:bCs/>
                <w:color w:val="000000"/>
                <w:sz w:val="20"/>
                <w:szCs w:val="20"/>
              </w:rPr>
              <w:t>. Variables Removed from the Base Case Model</w:t>
            </w:r>
          </w:p>
        </w:tc>
      </w:tr>
      <w:tr w:rsidR="00E664E4" w:rsidRPr="00B56797" w:rsidTr="00FB5C20">
        <w:trPr>
          <w:trHeight w:val="510"/>
          <w:jc w:val="center"/>
        </w:trPr>
        <w:tc>
          <w:tcPr>
            <w:tcW w:w="910" w:type="dxa"/>
            <w:tcBorders>
              <w:top w:val="nil"/>
              <w:left w:val="nil"/>
              <w:bottom w:val="single" w:sz="4" w:space="0" w:color="auto"/>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b/>
                <w:bCs/>
                <w:color w:val="000000"/>
                <w:sz w:val="20"/>
                <w:szCs w:val="20"/>
              </w:rPr>
            </w:pPr>
            <w:r w:rsidRPr="00B56797">
              <w:rPr>
                <w:rFonts w:ascii="Calibri" w:eastAsia="Times New Roman" w:hAnsi="Calibri" w:cs="Times New Roman"/>
                <w:b/>
                <w:bCs/>
                <w:color w:val="000000"/>
                <w:sz w:val="20"/>
                <w:szCs w:val="20"/>
              </w:rPr>
              <w:t>State Variable</w:t>
            </w:r>
          </w:p>
        </w:tc>
        <w:tc>
          <w:tcPr>
            <w:tcW w:w="814" w:type="dxa"/>
            <w:tcBorders>
              <w:top w:val="nil"/>
              <w:left w:val="nil"/>
              <w:bottom w:val="single" w:sz="4" w:space="0" w:color="auto"/>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b/>
                <w:bCs/>
                <w:color w:val="000000"/>
                <w:sz w:val="20"/>
                <w:szCs w:val="20"/>
              </w:rPr>
            </w:pPr>
            <w:r w:rsidRPr="00B56797">
              <w:rPr>
                <w:rFonts w:ascii="Calibri" w:eastAsia="Times New Roman" w:hAnsi="Calibri" w:cs="Times New Roman"/>
                <w:b/>
                <w:bCs/>
                <w:color w:val="000000"/>
                <w:sz w:val="20"/>
                <w:szCs w:val="20"/>
              </w:rPr>
              <w:t>Stream</w:t>
            </w:r>
          </w:p>
        </w:tc>
        <w:tc>
          <w:tcPr>
            <w:tcW w:w="1402" w:type="dxa"/>
            <w:tcBorders>
              <w:top w:val="nil"/>
              <w:left w:val="nil"/>
              <w:bottom w:val="single" w:sz="4" w:space="0" w:color="auto"/>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b/>
                <w:bCs/>
                <w:color w:val="000000"/>
                <w:sz w:val="20"/>
                <w:szCs w:val="20"/>
              </w:rPr>
            </w:pPr>
            <w:r w:rsidRPr="00B56797">
              <w:rPr>
                <w:rFonts w:ascii="Calibri" w:eastAsia="Times New Roman" w:hAnsi="Calibri" w:cs="Times New Roman"/>
                <w:b/>
                <w:bCs/>
                <w:color w:val="000000"/>
                <w:sz w:val="20"/>
                <w:szCs w:val="20"/>
              </w:rPr>
              <w:t>Chemical Component</w:t>
            </w:r>
          </w:p>
        </w:tc>
        <w:tc>
          <w:tcPr>
            <w:tcW w:w="1192" w:type="dxa"/>
            <w:tcBorders>
              <w:top w:val="nil"/>
              <w:left w:val="nil"/>
              <w:bottom w:val="single" w:sz="4" w:space="0" w:color="auto"/>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b/>
                <w:bCs/>
                <w:color w:val="000000"/>
                <w:sz w:val="20"/>
                <w:szCs w:val="20"/>
              </w:rPr>
            </w:pPr>
            <w:r w:rsidRPr="00B56797">
              <w:rPr>
                <w:rFonts w:ascii="Calibri" w:eastAsia="Times New Roman" w:hAnsi="Calibri" w:cs="Times New Roman"/>
                <w:b/>
                <w:bCs/>
                <w:color w:val="000000"/>
                <w:sz w:val="20"/>
                <w:szCs w:val="20"/>
              </w:rPr>
              <w:t>Component Number</w:t>
            </w:r>
          </w:p>
        </w:tc>
        <w:tc>
          <w:tcPr>
            <w:tcW w:w="3982" w:type="dxa"/>
            <w:tcBorders>
              <w:top w:val="nil"/>
              <w:left w:val="nil"/>
              <w:bottom w:val="single" w:sz="4" w:space="0" w:color="auto"/>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b/>
                <w:bCs/>
                <w:color w:val="000000"/>
                <w:sz w:val="20"/>
                <w:szCs w:val="20"/>
              </w:rPr>
            </w:pPr>
            <w:r w:rsidRPr="00B56797">
              <w:rPr>
                <w:rFonts w:ascii="Calibri" w:eastAsia="Times New Roman" w:hAnsi="Calibri" w:cs="Times New Roman"/>
                <w:b/>
                <w:bCs/>
                <w:color w:val="000000"/>
                <w:sz w:val="20"/>
                <w:szCs w:val="20"/>
              </w:rPr>
              <w:t>Reason for Removal</w:t>
            </w:r>
          </w:p>
        </w:tc>
      </w:tr>
      <w:tr w:rsidR="00E664E4" w:rsidRPr="00B56797" w:rsidTr="003D664B">
        <w:trPr>
          <w:trHeight w:val="255"/>
          <w:jc w:val="center"/>
        </w:trPr>
        <w:tc>
          <w:tcPr>
            <w:tcW w:w="8300" w:type="dxa"/>
            <w:gridSpan w:val="5"/>
            <w:tcBorders>
              <w:top w:val="single" w:sz="4" w:space="0" w:color="auto"/>
              <w:left w:val="nil"/>
              <w:bottom w:val="single" w:sz="4" w:space="0" w:color="auto"/>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b/>
                <w:bCs/>
                <w:color w:val="000000"/>
                <w:sz w:val="20"/>
                <w:szCs w:val="20"/>
              </w:rPr>
            </w:pPr>
            <w:r w:rsidRPr="00B56797">
              <w:rPr>
                <w:rFonts w:ascii="Calibri" w:eastAsia="Times New Roman" w:hAnsi="Calibri" w:cs="Times New Roman"/>
                <w:b/>
                <w:bCs/>
                <w:color w:val="000000"/>
                <w:sz w:val="20"/>
                <w:szCs w:val="20"/>
              </w:rPr>
              <w:t>Module 2</w:t>
            </w:r>
          </w:p>
        </w:tc>
      </w:tr>
      <w:tr w:rsidR="00E664E4" w:rsidRPr="00B56797" w:rsidTr="00FB5C20">
        <w:trPr>
          <w:trHeight w:val="255"/>
          <w:jc w:val="center"/>
        </w:trPr>
        <w:tc>
          <w:tcPr>
            <w:tcW w:w="910"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proofErr w:type="spellStart"/>
            <w:r w:rsidRPr="00B56797">
              <w:rPr>
                <w:rFonts w:ascii="Calibri" w:eastAsia="Times New Roman" w:hAnsi="Calibri" w:cs="Times New Roman"/>
                <w:color w:val="000000"/>
                <w:sz w:val="20"/>
                <w:szCs w:val="20"/>
              </w:rPr>
              <w:t>Xss</w:t>
            </w:r>
            <w:proofErr w:type="spellEnd"/>
            <w:r w:rsidRPr="00B56797">
              <w:rPr>
                <w:rFonts w:ascii="Calibri" w:eastAsia="Times New Roman" w:hAnsi="Calibri" w:cs="Times New Roman"/>
                <w:color w:val="000000"/>
                <w:sz w:val="20"/>
                <w:szCs w:val="20"/>
              </w:rPr>
              <w:t>(76)</w:t>
            </w:r>
          </w:p>
        </w:tc>
        <w:tc>
          <w:tcPr>
            <w:tcW w:w="814"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14</w:t>
            </w:r>
          </w:p>
        </w:tc>
        <w:tc>
          <w:tcPr>
            <w:tcW w:w="140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TBP</w:t>
            </w:r>
          </w:p>
        </w:tc>
        <w:tc>
          <w:tcPr>
            <w:tcW w:w="119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11</w:t>
            </w:r>
          </w:p>
        </w:tc>
        <w:tc>
          <w:tcPr>
            <w:tcW w:w="3982" w:type="dxa"/>
            <w:vMerge w:val="restart"/>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TBP acts as a wash solution and does not participate in any of the reactions</w:t>
            </w:r>
          </w:p>
        </w:tc>
      </w:tr>
      <w:tr w:rsidR="00E664E4" w:rsidRPr="00B56797" w:rsidTr="00FB5C20">
        <w:trPr>
          <w:trHeight w:val="255"/>
          <w:jc w:val="center"/>
        </w:trPr>
        <w:tc>
          <w:tcPr>
            <w:tcW w:w="910"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proofErr w:type="spellStart"/>
            <w:r w:rsidRPr="00B56797">
              <w:rPr>
                <w:rFonts w:ascii="Calibri" w:eastAsia="Times New Roman" w:hAnsi="Calibri" w:cs="Times New Roman"/>
                <w:color w:val="000000"/>
                <w:sz w:val="20"/>
                <w:szCs w:val="20"/>
              </w:rPr>
              <w:t>Xss</w:t>
            </w:r>
            <w:proofErr w:type="spellEnd"/>
            <w:r w:rsidRPr="00B56797">
              <w:rPr>
                <w:rFonts w:ascii="Calibri" w:eastAsia="Times New Roman" w:hAnsi="Calibri" w:cs="Times New Roman"/>
                <w:color w:val="000000"/>
                <w:sz w:val="20"/>
                <w:szCs w:val="20"/>
              </w:rPr>
              <w:t>(83)</w:t>
            </w:r>
          </w:p>
        </w:tc>
        <w:tc>
          <w:tcPr>
            <w:tcW w:w="814"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15</w:t>
            </w:r>
          </w:p>
        </w:tc>
        <w:tc>
          <w:tcPr>
            <w:tcW w:w="140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TBP</w:t>
            </w:r>
          </w:p>
        </w:tc>
        <w:tc>
          <w:tcPr>
            <w:tcW w:w="119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11</w:t>
            </w:r>
          </w:p>
        </w:tc>
        <w:tc>
          <w:tcPr>
            <w:tcW w:w="3982" w:type="dxa"/>
            <w:vMerge/>
            <w:tcBorders>
              <w:top w:val="nil"/>
              <w:left w:val="nil"/>
              <w:bottom w:val="nil"/>
              <w:right w:val="nil"/>
            </w:tcBorders>
            <w:vAlign w:val="center"/>
            <w:hideMark/>
          </w:tcPr>
          <w:p w:rsidR="00E664E4" w:rsidRPr="00B56797" w:rsidRDefault="00E664E4" w:rsidP="003D664B">
            <w:pPr>
              <w:spacing w:after="0" w:line="240" w:lineRule="auto"/>
              <w:rPr>
                <w:rFonts w:ascii="Calibri" w:eastAsia="Times New Roman" w:hAnsi="Calibri" w:cs="Times New Roman"/>
                <w:color w:val="000000"/>
                <w:sz w:val="20"/>
                <w:szCs w:val="20"/>
              </w:rPr>
            </w:pPr>
          </w:p>
        </w:tc>
      </w:tr>
      <w:tr w:rsidR="00E664E4" w:rsidRPr="00B56797" w:rsidTr="00FB5C20">
        <w:trPr>
          <w:trHeight w:val="255"/>
          <w:jc w:val="center"/>
        </w:trPr>
        <w:tc>
          <w:tcPr>
            <w:tcW w:w="910"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proofErr w:type="spellStart"/>
            <w:r w:rsidRPr="00B56797">
              <w:rPr>
                <w:rFonts w:ascii="Calibri" w:eastAsia="Times New Roman" w:hAnsi="Calibri" w:cs="Times New Roman"/>
                <w:color w:val="000000"/>
                <w:sz w:val="20"/>
                <w:szCs w:val="20"/>
              </w:rPr>
              <w:t>Xss</w:t>
            </w:r>
            <w:proofErr w:type="spellEnd"/>
            <w:r w:rsidRPr="00B56797">
              <w:rPr>
                <w:rFonts w:ascii="Calibri" w:eastAsia="Times New Roman" w:hAnsi="Calibri" w:cs="Times New Roman"/>
                <w:color w:val="000000"/>
                <w:sz w:val="20"/>
                <w:szCs w:val="20"/>
              </w:rPr>
              <w:t>(90)</w:t>
            </w:r>
          </w:p>
        </w:tc>
        <w:tc>
          <w:tcPr>
            <w:tcW w:w="814"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16</w:t>
            </w:r>
          </w:p>
        </w:tc>
        <w:tc>
          <w:tcPr>
            <w:tcW w:w="140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TBP</w:t>
            </w:r>
          </w:p>
        </w:tc>
        <w:tc>
          <w:tcPr>
            <w:tcW w:w="119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11</w:t>
            </w:r>
          </w:p>
        </w:tc>
        <w:tc>
          <w:tcPr>
            <w:tcW w:w="3982" w:type="dxa"/>
            <w:vMerge/>
            <w:tcBorders>
              <w:top w:val="nil"/>
              <w:left w:val="nil"/>
              <w:bottom w:val="nil"/>
              <w:right w:val="nil"/>
            </w:tcBorders>
            <w:vAlign w:val="center"/>
            <w:hideMark/>
          </w:tcPr>
          <w:p w:rsidR="00E664E4" w:rsidRPr="00B56797" w:rsidRDefault="00E664E4" w:rsidP="003D664B">
            <w:pPr>
              <w:spacing w:after="0" w:line="240" w:lineRule="auto"/>
              <w:rPr>
                <w:rFonts w:ascii="Calibri" w:eastAsia="Times New Roman" w:hAnsi="Calibri" w:cs="Times New Roman"/>
                <w:color w:val="000000"/>
                <w:sz w:val="20"/>
                <w:szCs w:val="20"/>
              </w:rPr>
            </w:pPr>
          </w:p>
        </w:tc>
      </w:tr>
      <w:tr w:rsidR="00E664E4" w:rsidRPr="00B56797" w:rsidTr="00FB5C20">
        <w:trPr>
          <w:trHeight w:val="255"/>
          <w:jc w:val="center"/>
        </w:trPr>
        <w:tc>
          <w:tcPr>
            <w:tcW w:w="910"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proofErr w:type="spellStart"/>
            <w:r w:rsidRPr="00B56797">
              <w:rPr>
                <w:rFonts w:ascii="Calibri" w:eastAsia="Times New Roman" w:hAnsi="Calibri" w:cs="Times New Roman"/>
                <w:color w:val="000000"/>
                <w:sz w:val="20"/>
                <w:szCs w:val="20"/>
              </w:rPr>
              <w:t>Xss</w:t>
            </w:r>
            <w:proofErr w:type="spellEnd"/>
            <w:r w:rsidRPr="00B56797">
              <w:rPr>
                <w:rFonts w:ascii="Calibri" w:eastAsia="Times New Roman" w:hAnsi="Calibri" w:cs="Times New Roman"/>
                <w:color w:val="000000"/>
                <w:sz w:val="20"/>
                <w:szCs w:val="20"/>
              </w:rPr>
              <w:t>(97)</w:t>
            </w:r>
          </w:p>
        </w:tc>
        <w:tc>
          <w:tcPr>
            <w:tcW w:w="814"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17</w:t>
            </w:r>
          </w:p>
        </w:tc>
        <w:tc>
          <w:tcPr>
            <w:tcW w:w="140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TBP</w:t>
            </w:r>
          </w:p>
        </w:tc>
        <w:tc>
          <w:tcPr>
            <w:tcW w:w="119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11</w:t>
            </w:r>
          </w:p>
        </w:tc>
        <w:tc>
          <w:tcPr>
            <w:tcW w:w="3982" w:type="dxa"/>
            <w:vMerge/>
            <w:tcBorders>
              <w:top w:val="nil"/>
              <w:left w:val="nil"/>
              <w:bottom w:val="nil"/>
              <w:right w:val="nil"/>
            </w:tcBorders>
            <w:vAlign w:val="center"/>
            <w:hideMark/>
          </w:tcPr>
          <w:p w:rsidR="00E664E4" w:rsidRPr="00B56797" w:rsidRDefault="00E664E4" w:rsidP="003D664B">
            <w:pPr>
              <w:spacing w:after="0" w:line="240" w:lineRule="auto"/>
              <w:rPr>
                <w:rFonts w:ascii="Calibri" w:eastAsia="Times New Roman" w:hAnsi="Calibri" w:cs="Times New Roman"/>
                <w:color w:val="000000"/>
                <w:sz w:val="20"/>
                <w:szCs w:val="20"/>
              </w:rPr>
            </w:pPr>
          </w:p>
        </w:tc>
      </w:tr>
      <w:tr w:rsidR="00E664E4" w:rsidRPr="00B56797" w:rsidTr="00FB5C20">
        <w:trPr>
          <w:trHeight w:val="255"/>
          <w:jc w:val="center"/>
        </w:trPr>
        <w:tc>
          <w:tcPr>
            <w:tcW w:w="910"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proofErr w:type="spellStart"/>
            <w:r w:rsidRPr="00B56797">
              <w:rPr>
                <w:rFonts w:ascii="Calibri" w:eastAsia="Times New Roman" w:hAnsi="Calibri" w:cs="Times New Roman"/>
                <w:color w:val="000000"/>
                <w:sz w:val="20"/>
                <w:szCs w:val="20"/>
              </w:rPr>
              <w:t>Xss</w:t>
            </w:r>
            <w:proofErr w:type="spellEnd"/>
            <w:r w:rsidRPr="00B56797">
              <w:rPr>
                <w:rFonts w:ascii="Calibri" w:eastAsia="Times New Roman" w:hAnsi="Calibri" w:cs="Times New Roman"/>
                <w:color w:val="000000"/>
                <w:sz w:val="20"/>
                <w:szCs w:val="20"/>
              </w:rPr>
              <w:t>(104)</w:t>
            </w:r>
          </w:p>
        </w:tc>
        <w:tc>
          <w:tcPr>
            <w:tcW w:w="814"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18</w:t>
            </w:r>
          </w:p>
        </w:tc>
        <w:tc>
          <w:tcPr>
            <w:tcW w:w="140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TBP</w:t>
            </w:r>
          </w:p>
        </w:tc>
        <w:tc>
          <w:tcPr>
            <w:tcW w:w="119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11</w:t>
            </w:r>
          </w:p>
        </w:tc>
        <w:tc>
          <w:tcPr>
            <w:tcW w:w="3982" w:type="dxa"/>
            <w:vMerge/>
            <w:tcBorders>
              <w:top w:val="nil"/>
              <w:left w:val="nil"/>
              <w:bottom w:val="nil"/>
              <w:right w:val="nil"/>
            </w:tcBorders>
            <w:vAlign w:val="center"/>
            <w:hideMark/>
          </w:tcPr>
          <w:p w:rsidR="00E664E4" w:rsidRPr="00B56797" w:rsidRDefault="00E664E4" w:rsidP="003D664B">
            <w:pPr>
              <w:spacing w:after="0" w:line="240" w:lineRule="auto"/>
              <w:rPr>
                <w:rFonts w:ascii="Calibri" w:eastAsia="Times New Roman" w:hAnsi="Calibri" w:cs="Times New Roman"/>
                <w:color w:val="000000"/>
                <w:sz w:val="20"/>
                <w:szCs w:val="20"/>
              </w:rPr>
            </w:pPr>
          </w:p>
        </w:tc>
      </w:tr>
      <w:tr w:rsidR="00E664E4" w:rsidRPr="00B56797" w:rsidTr="00FB5C20">
        <w:trPr>
          <w:trHeight w:val="255"/>
          <w:jc w:val="center"/>
        </w:trPr>
        <w:tc>
          <w:tcPr>
            <w:tcW w:w="910"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proofErr w:type="spellStart"/>
            <w:r w:rsidRPr="00B56797">
              <w:rPr>
                <w:rFonts w:ascii="Calibri" w:eastAsia="Times New Roman" w:hAnsi="Calibri" w:cs="Times New Roman"/>
                <w:color w:val="000000"/>
                <w:sz w:val="20"/>
                <w:szCs w:val="20"/>
              </w:rPr>
              <w:t>Xss</w:t>
            </w:r>
            <w:proofErr w:type="spellEnd"/>
            <w:r w:rsidRPr="00B56797">
              <w:rPr>
                <w:rFonts w:ascii="Calibri" w:eastAsia="Times New Roman" w:hAnsi="Calibri" w:cs="Times New Roman"/>
                <w:color w:val="000000"/>
                <w:sz w:val="20"/>
                <w:szCs w:val="20"/>
              </w:rPr>
              <w:t>(116)</w:t>
            </w:r>
          </w:p>
        </w:tc>
        <w:tc>
          <w:tcPr>
            <w:tcW w:w="814"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20</w:t>
            </w:r>
          </w:p>
        </w:tc>
        <w:tc>
          <w:tcPr>
            <w:tcW w:w="140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TBP</w:t>
            </w:r>
          </w:p>
        </w:tc>
        <w:tc>
          <w:tcPr>
            <w:tcW w:w="119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11</w:t>
            </w:r>
          </w:p>
        </w:tc>
        <w:tc>
          <w:tcPr>
            <w:tcW w:w="3982" w:type="dxa"/>
            <w:vMerge/>
            <w:tcBorders>
              <w:top w:val="nil"/>
              <w:left w:val="nil"/>
              <w:bottom w:val="nil"/>
              <w:right w:val="nil"/>
            </w:tcBorders>
            <w:vAlign w:val="center"/>
            <w:hideMark/>
          </w:tcPr>
          <w:p w:rsidR="00E664E4" w:rsidRPr="00B56797" w:rsidRDefault="00E664E4" w:rsidP="003D664B">
            <w:pPr>
              <w:spacing w:after="0" w:line="240" w:lineRule="auto"/>
              <w:rPr>
                <w:rFonts w:ascii="Calibri" w:eastAsia="Times New Roman" w:hAnsi="Calibri" w:cs="Times New Roman"/>
                <w:color w:val="000000"/>
                <w:sz w:val="20"/>
                <w:szCs w:val="20"/>
              </w:rPr>
            </w:pPr>
          </w:p>
        </w:tc>
      </w:tr>
      <w:tr w:rsidR="00E664E4" w:rsidRPr="00B56797" w:rsidTr="00FB5C20">
        <w:trPr>
          <w:trHeight w:val="285"/>
          <w:jc w:val="center"/>
        </w:trPr>
        <w:tc>
          <w:tcPr>
            <w:tcW w:w="910"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proofErr w:type="spellStart"/>
            <w:r w:rsidRPr="00B56797">
              <w:rPr>
                <w:rFonts w:ascii="Calibri" w:eastAsia="Times New Roman" w:hAnsi="Calibri" w:cs="Times New Roman"/>
                <w:color w:val="000000"/>
                <w:sz w:val="20"/>
                <w:szCs w:val="20"/>
              </w:rPr>
              <w:t>Xss</w:t>
            </w:r>
            <w:proofErr w:type="spellEnd"/>
            <w:r w:rsidRPr="00B56797">
              <w:rPr>
                <w:rFonts w:ascii="Calibri" w:eastAsia="Times New Roman" w:hAnsi="Calibri" w:cs="Times New Roman"/>
                <w:color w:val="000000"/>
                <w:sz w:val="20"/>
                <w:szCs w:val="20"/>
              </w:rPr>
              <w:t>(109)</w:t>
            </w:r>
          </w:p>
        </w:tc>
        <w:tc>
          <w:tcPr>
            <w:tcW w:w="814"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19</w:t>
            </w:r>
          </w:p>
        </w:tc>
        <w:tc>
          <w:tcPr>
            <w:tcW w:w="140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H</w:t>
            </w:r>
            <w:r w:rsidRPr="00B56797">
              <w:rPr>
                <w:rFonts w:ascii="Calibri" w:eastAsia="Times New Roman" w:hAnsi="Calibri" w:cs="Times New Roman"/>
                <w:color w:val="000000"/>
                <w:sz w:val="20"/>
                <w:szCs w:val="20"/>
                <w:vertAlign w:val="subscript"/>
              </w:rPr>
              <w:t>2</w:t>
            </w:r>
            <w:r w:rsidRPr="00B56797">
              <w:rPr>
                <w:rFonts w:ascii="Calibri" w:eastAsia="Times New Roman" w:hAnsi="Calibri" w:cs="Times New Roman"/>
                <w:color w:val="000000"/>
                <w:sz w:val="20"/>
                <w:szCs w:val="20"/>
              </w:rPr>
              <w:t>O</w:t>
            </w:r>
          </w:p>
        </w:tc>
        <w:tc>
          <w:tcPr>
            <w:tcW w:w="119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1</w:t>
            </w:r>
          </w:p>
        </w:tc>
        <w:tc>
          <w:tcPr>
            <w:tcW w:w="3982" w:type="dxa"/>
            <w:vMerge w:val="restart"/>
            <w:tcBorders>
              <w:top w:val="nil"/>
              <w:left w:val="nil"/>
              <w:bottom w:val="single" w:sz="4" w:space="0" w:color="000000"/>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Water acts as a wash solution in this case and does not participate in any of the reactions</w:t>
            </w:r>
          </w:p>
        </w:tc>
      </w:tr>
      <w:tr w:rsidR="00E664E4" w:rsidRPr="00B56797" w:rsidTr="00FB5C20">
        <w:trPr>
          <w:trHeight w:val="285"/>
          <w:jc w:val="center"/>
        </w:trPr>
        <w:tc>
          <w:tcPr>
            <w:tcW w:w="910" w:type="dxa"/>
            <w:tcBorders>
              <w:top w:val="nil"/>
              <w:left w:val="nil"/>
              <w:bottom w:val="single" w:sz="4" w:space="0" w:color="auto"/>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proofErr w:type="spellStart"/>
            <w:r w:rsidRPr="00B56797">
              <w:rPr>
                <w:rFonts w:ascii="Calibri" w:eastAsia="Times New Roman" w:hAnsi="Calibri" w:cs="Times New Roman"/>
                <w:color w:val="000000"/>
                <w:sz w:val="20"/>
                <w:szCs w:val="20"/>
              </w:rPr>
              <w:t>Xss</w:t>
            </w:r>
            <w:proofErr w:type="spellEnd"/>
            <w:r w:rsidRPr="00B56797">
              <w:rPr>
                <w:rFonts w:ascii="Calibri" w:eastAsia="Times New Roman" w:hAnsi="Calibri" w:cs="Times New Roman"/>
                <w:color w:val="000000"/>
                <w:sz w:val="20"/>
                <w:szCs w:val="20"/>
              </w:rPr>
              <w:t>(114)</w:t>
            </w:r>
          </w:p>
        </w:tc>
        <w:tc>
          <w:tcPr>
            <w:tcW w:w="814" w:type="dxa"/>
            <w:tcBorders>
              <w:top w:val="nil"/>
              <w:left w:val="nil"/>
              <w:bottom w:val="single" w:sz="4" w:space="0" w:color="auto"/>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20</w:t>
            </w:r>
          </w:p>
        </w:tc>
        <w:tc>
          <w:tcPr>
            <w:tcW w:w="1402" w:type="dxa"/>
            <w:tcBorders>
              <w:top w:val="nil"/>
              <w:left w:val="nil"/>
              <w:bottom w:val="single" w:sz="4" w:space="0" w:color="auto"/>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H</w:t>
            </w:r>
            <w:r w:rsidRPr="00B56797">
              <w:rPr>
                <w:rFonts w:ascii="Calibri" w:eastAsia="Times New Roman" w:hAnsi="Calibri" w:cs="Times New Roman"/>
                <w:color w:val="000000"/>
                <w:sz w:val="20"/>
                <w:szCs w:val="20"/>
                <w:vertAlign w:val="subscript"/>
              </w:rPr>
              <w:t>2</w:t>
            </w:r>
            <w:r w:rsidRPr="00B56797">
              <w:rPr>
                <w:rFonts w:ascii="Calibri" w:eastAsia="Times New Roman" w:hAnsi="Calibri" w:cs="Times New Roman"/>
                <w:color w:val="000000"/>
                <w:sz w:val="20"/>
                <w:szCs w:val="20"/>
              </w:rPr>
              <w:t>O</w:t>
            </w:r>
          </w:p>
        </w:tc>
        <w:tc>
          <w:tcPr>
            <w:tcW w:w="1192" w:type="dxa"/>
            <w:tcBorders>
              <w:top w:val="nil"/>
              <w:left w:val="nil"/>
              <w:bottom w:val="single" w:sz="4" w:space="0" w:color="auto"/>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1</w:t>
            </w:r>
          </w:p>
        </w:tc>
        <w:tc>
          <w:tcPr>
            <w:tcW w:w="3982" w:type="dxa"/>
            <w:vMerge/>
            <w:tcBorders>
              <w:top w:val="nil"/>
              <w:left w:val="nil"/>
              <w:bottom w:val="single" w:sz="4" w:space="0" w:color="000000"/>
              <w:right w:val="nil"/>
            </w:tcBorders>
            <w:vAlign w:val="center"/>
            <w:hideMark/>
          </w:tcPr>
          <w:p w:rsidR="00E664E4" w:rsidRPr="00B56797" w:rsidRDefault="00E664E4" w:rsidP="003D664B">
            <w:pPr>
              <w:spacing w:after="0" w:line="240" w:lineRule="auto"/>
              <w:rPr>
                <w:rFonts w:ascii="Calibri" w:eastAsia="Times New Roman" w:hAnsi="Calibri" w:cs="Times New Roman"/>
                <w:color w:val="000000"/>
                <w:sz w:val="20"/>
                <w:szCs w:val="20"/>
              </w:rPr>
            </w:pPr>
          </w:p>
        </w:tc>
      </w:tr>
      <w:tr w:rsidR="00E664E4" w:rsidRPr="00B56797" w:rsidTr="003D664B">
        <w:trPr>
          <w:trHeight w:val="255"/>
          <w:jc w:val="center"/>
        </w:trPr>
        <w:tc>
          <w:tcPr>
            <w:tcW w:w="8300" w:type="dxa"/>
            <w:gridSpan w:val="5"/>
            <w:tcBorders>
              <w:top w:val="single" w:sz="4" w:space="0" w:color="auto"/>
              <w:left w:val="nil"/>
              <w:bottom w:val="single" w:sz="4" w:space="0" w:color="auto"/>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b/>
                <w:bCs/>
                <w:color w:val="000000"/>
                <w:sz w:val="20"/>
                <w:szCs w:val="20"/>
              </w:rPr>
            </w:pPr>
            <w:r w:rsidRPr="00B56797">
              <w:rPr>
                <w:rFonts w:ascii="Calibri" w:eastAsia="Times New Roman" w:hAnsi="Calibri" w:cs="Times New Roman"/>
                <w:b/>
                <w:bCs/>
                <w:color w:val="000000"/>
                <w:sz w:val="20"/>
                <w:szCs w:val="20"/>
              </w:rPr>
              <w:t>Module 3</w:t>
            </w:r>
          </w:p>
        </w:tc>
      </w:tr>
      <w:tr w:rsidR="00E664E4" w:rsidRPr="00B56797" w:rsidTr="00FB5C20">
        <w:trPr>
          <w:trHeight w:val="285"/>
          <w:jc w:val="center"/>
        </w:trPr>
        <w:tc>
          <w:tcPr>
            <w:tcW w:w="910"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proofErr w:type="spellStart"/>
            <w:r w:rsidRPr="00B56797">
              <w:rPr>
                <w:rFonts w:ascii="Calibri" w:eastAsia="Times New Roman" w:hAnsi="Calibri" w:cs="Times New Roman"/>
                <w:color w:val="000000"/>
                <w:sz w:val="20"/>
                <w:szCs w:val="20"/>
              </w:rPr>
              <w:t>Xss</w:t>
            </w:r>
            <w:proofErr w:type="spellEnd"/>
            <w:r w:rsidRPr="00B56797">
              <w:rPr>
                <w:rFonts w:ascii="Calibri" w:eastAsia="Times New Roman" w:hAnsi="Calibri" w:cs="Times New Roman"/>
                <w:color w:val="000000"/>
                <w:sz w:val="20"/>
                <w:szCs w:val="20"/>
              </w:rPr>
              <w:t>(121)</w:t>
            </w:r>
          </w:p>
        </w:tc>
        <w:tc>
          <w:tcPr>
            <w:tcW w:w="814"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21</w:t>
            </w:r>
          </w:p>
        </w:tc>
        <w:tc>
          <w:tcPr>
            <w:tcW w:w="140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H</w:t>
            </w:r>
            <w:r w:rsidRPr="00B56797">
              <w:rPr>
                <w:rFonts w:ascii="Calibri" w:eastAsia="Times New Roman" w:hAnsi="Calibri" w:cs="Times New Roman"/>
                <w:color w:val="000000"/>
                <w:sz w:val="20"/>
                <w:szCs w:val="20"/>
                <w:vertAlign w:val="subscript"/>
              </w:rPr>
              <w:t>2</w:t>
            </w:r>
            <w:r w:rsidRPr="00B56797">
              <w:rPr>
                <w:rFonts w:ascii="Calibri" w:eastAsia="Times New Roman" w:hAnsi="Calibri" w:cs="Times New Roman"/>
                <w:color w:val="000000"/>
                <w:sz w:val="20"/>
                <w:szCs w:val="20"/>
              </w:rPr>
              <w:t>O</w:t>
            </w:r>
          </w:p>
        </w:tc>
        <w:tc>
          <w:tcPr>
            <w:tcW w:w="119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1</w:t>
            </w:r>
          </w:p>
        </w:tc>
        <w:tc>
          <w:tcPr>
            <w:tcW w:w="3982" w:type="dxa"/>
            <w:vMerge w:val="restart"/>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Water acts as a wash solution in this case and does not participate in any of the reactions</w:t>
            </w:r>
          </w:p>
        </w:tc>
      </w:tr>
      <w:tr w:rsidR="00E664E4" w:rsidRPr="00B56797" w:rsidTr="00FB5C20">
        <w:trPr>
          <w:trHeight w:val="285"/>
          <w:jc w:val="center"/>
        </w:trPr>
        <w:tc>
          <w:tcPr>
            <w:tcW w:w="910"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proofErr w:type="spellStart"/>
            <w:r w:rsidRPr="00B56797">
              <w:rPr>
                <w:rFonts w:ascii="Calibri" w:eastAsia="Times New Roman" w:hAnsi="Calibri" w:cs="Times New Roman"/>
                <w:color w:val="000000"/>
                <w:sz w:val="20"/>
                <w:szCs w:val="20"/>
              </w:rPr>
              <w:t>Xss</w:t>
            </w:r>
            <w:proofErr w:type="spellEnd"/>
            <w:r w:rsidRPr="00B56797">
              <w:rPr>
                <w:rFonts w:ascii="Calibri" w:eastAsia="Times New Roman" w:hAnsi="Calibri" w:cs="Times New Roman"/>
                <w:color w:val="000000"/>
                <w:sz w:val="20"/>
                <w:szCs w:val="20"/>
              </w:rPr>
              <w:t>(126)</w:t>
            </w:r>
          </w:p>
        </w:tc>
        <w:tc>
          <w:tcPr>
            <w:tcW w:w="814"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22</w:t>
            </w:r>
          </w:p>
        </w:tc>
        <w:tc>
          <w:tcPr>
            <w:tcW w:w="140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H</w:t>
            </w:r>
            <w:r w:rsidRPr="00B56797">
              <w:rPr>
                <w:rFonts w:ascii="Calibri" w:eastAsia="Times New Roman" w:hAnsi="Calibri" w:cs="Times New Roman"/>
                <w:color w:val="000000"/>
                <w:sz w:val="20"/>
                <w:szCs w:val="20"/>
                <w:vertAlign w:val="subscript"/>
              </w:rPr>
              <w:t>2</w:t>
            </w:r>
            <w:r w:rsidRPr="00B56797">
              <w:rPr>
                <w:rFonts w:ascii="Calibri" w:eastAsia="Times New Roman" w:hAnsi="Calibri" w:cs="Times New Roman"/>
                <w:color w:val="000000"/>
                <w:sz w:val="20"/>
                <w:szCs w:val="20"/>
              </w:rPr>
              <w:t>O</w:t>
            </w:r>
          </w:p>
        </w:tc>
        <w:tc>
          <w:tcPr>
            <w:tcW w:w="119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1</w:t>
            </w:r>
          </w:p>
        </w:tc>
        <w:tc>
          <w:tcPr>
            <w:tcW w:w="3982" w:type="dxa"/>
            <w:vMerge/>
            <w:tcBorders>
              <w:top w:val="nil"/>
              <w:left w:val="nil"/>
              <w:bottom w:val="nil"/>
              <w:right w:val="nil"/>
            </w:tcBorders>
            <w:vAlign w:val="center"/>
            <w:hideMark/>
          </w:tcPr>
          <w:p w:rsidR="00E664E4" w:rsidRPr="00B56797" w:rsidRDefault="00E664E4" w:rsidP="003D664B">
            <w:pPr>
              <w:spacing w:after="0" w:line="240" w:lineRule="auto"/>
              <w:rPr>
                <w:rFonts w:ascii="Calibri" w:eastAsia="Times New Roman" w:hAnsi="Calibri" w:cs="Times New Roman"/>
                <w:color w:val="000000"/>
                <w:sz w:val="20"/>
                <w:szCs w:val="20"/>
              </w:rPr>
            </w:pPr>
          </w:p>
        </w:tc>
      </w:tr>
      <w:tr w:rsidR="00E664E4" w:rsidRPr="00B56797" w:rsidTr="00FB5C20">
        <w:trPr>
          <w:trHeight w:val="285"/>
          <w:jc w:val="center"/>
        </w:trPr>
        <w:tc>
          <w:tcPr>
            <w:tcW w:w="910"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proofErr w:type="spellStart"/>
            <w:r w:rsidRPr="00B56797">
              <w:rPr>
                <w:rFonts w:ascii="Calibri" w:eastAsia="Times New Roman" w:hAnsi="Calibri" w:cs="Times New Roman"/>
                <w:color w:val="000000"/>
                <w:sz w:val="20"/>
                <w:szCs w:val="20"/>
              </w:rPr>
              <w:t>Xss</w:t>
            </w:r>
            <w:proofErr w:type="spellEnd"/>
            <w:r w:rsidRPr="00B56797">
              <w:rPr>
                <w:rFonts w:ascii="Calibri" w:eastAsia="Times New Roman" w:hAnsi="Calibri" w:cs="Times New Roman"/>
                <w:color w:val="000000"/>
                <w:sz w:val="20"/>
                <w:szCs w:val="20"/>
              </w:rPr>
              <w:t>(154)</w:t>
            </w:r>
          </w:p>
        </w:tc>
        <w:tc>
          <w:tcPr>
            <w:tcW w:w="814"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29</w:t>
            </w:r>
          </w:p>
        </w:tc>
        <w:tc>
          <w:tcPr>
            <w:tcW w:w="140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sz w:val="20"/>
                <w:szCs w:val="20"/>
              </w:rPr>
            </w:pPr>
            <w:r w:rsidRPr="00B56797">
              <w:rPr>
                <w:rFonts w:ascii="Calibri" w:eastAsia="Times New Roman" w:hAnsi="Calibri" w:cs="Times New Roman"/>
                <w:sz w:val="20"/>
                <w:szCs w:val="20"/>
              </w:rPr>
              <w:t>CH</w:t>
            </w:r>
            <w:r w:rsidRPr="00B56797">
              <w:rPr>
                <w:rFonts w:ascii="Calibri" w:eastAsia="Times New Roman" w:hAnsi="Calibri" w:cs="Times New Roman"/>
                <w:sz w:val="20"/>
                <w:szCs w:val="20"/>
                <w:vertAlign w:val="subscript"/>
              </w:rPr>
              <w:t>3</w:t>
            </w:r>
            <w:r w:rsidRPr="00B56797">
              <w:rPr>
                <w:rFonts w:ascii="Calibri" w:eastAsia="Times New Roman" w:hAnsi="Calibri" w:cs="Times New Roman"/>
                <w:sz w:val="20"/>
                <w:szCs w:val="20"/>
              </w:rPr>
              <w:t>OH</w:t>
            </w:r>
          </w:p>
        </w:tc>
        <w:tc>
          <w:tcPr>
            <w:tcW w:w="119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sz w:val="20"/>
                <w:szCs w:val="20"/>
              </w:rPr>
            </w:pPr>
            <w:r w:rsidRPr="00B56797">
              <w:rPr>
                <w:rFonts w:ascii="Calibri" w:eastAsia="Times New Roman" w:hAnsi="Calibri" w:cs="Times New Roman"/>
                <w:sz w:val="20"/>
                <w:szCs w:val="20"/>
              </w:rPr>
              <w:t>10</w:t>
            </w:r>
          </w:p>
        </w:tc>
        <w:tc>
          <w:tcPr>
            <w:tcW w:w="3982" w:type="dxa"/>
            <w:vMerge w:val="restart"/>
            <w:tcBorders>
              <w:top w:val="nil"/>
              <w:left w:val="nil"/>
              <w:bottom w:val="single" w:sz="4" w:space="0" w:color="000000"/>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Both methanol and ammonium carbonate are a wash solution and do not participate in any of the reactions</w:t>
            </w:r>
          </w:p>
        </w:tc>
      </w:tr>
      <w:tr w:rsidR="00E664E4" w:rsidRPr="00B56797" w:rsidTr="00FB5C20">
        <w:trPr>
          <w:trHeight w:val="285"/>
          <w:jc w:val="center"/>
        </w:trPr>
        <w:tc>
          <w:tcPr>
            <w:tcW w:w="910"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proofErr w:type="spellStart"/>
            <w:r w:rsidRPr="00B56797">
              <w:rPr>
                <w:rFonts w:ascii="Calibri" w:eastAsia="Times New Roman" w:hAnsi="Calibri" w:cs="Times New Roman"/>
                <w:color w:val="000000"/>
                <w:sz w:val="20"/>
                <w:szCs w:val="20"/>
              </w:rPr>
              <w:t>Xss</w:t>
            </w:r>
            <w:proofErr w:type="spellEnd"/>
            <w:r w:rsidRPr="00B56797">
              <w:rPr>
                <w:rFonts w:ascii="Calibri" w:eastAsia="Times New Roman" w:hAnsi="Calibri" w:cs="Times New Roman"/>
                <w:color w:val="000000"/>
                <w:sz w:val="20"/>
                <w:szCs w:val="20"/>
              </w:rPr>
              <w:t>(166)</w:t>
            </w:r>
          </w:p>
        </w:tc>
        <w:tc>
          <w:tcPr>
            <w:tcW w:w="814"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31</w:t>
            </w:r>
          </w:p>
        </w:tc>
        <w:tc>
          <w:tcPr>
            <w:tcW w:w="140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sz w:val="20"/>
                <w:szCs w:val="20"/>
              </w:rPr>
            </w:pPr>
            <w:r w:rsidRPr="00B56797">
              <w:rPr>
                <w:rFonts w:ascii="Calibri" w:eastAsia="Times New Roman" w:hAnsi="Calibri" w:cs="Times New Roman"/>
                <w:sz w:val="20"/>
                <w:szCs w:val="20"/>
              </w:rPr>
              <w:t>CH</w:t>
            </w:r>
            <w:r w:rsidRPr="00B56797">
              <w:rPr>
                <w:rFonts w:ascii="Calibri" w:eastAsia="Times New Roman" w:hAnsi="Calibri" w:cs="Times New Roman"/>
                <w:sz w:val="20"/>
                <w:szCs w:val="20"/>
                <w:vertAlign w:val="subscript"/>
              </w:rPr>
              <w:t>3</w:t>
            </w:r>
            <w:r w:rsidRPr="00B56797">
              <w:rPr>
                <w:rFonts w:ascii="Calibri" w:eastAsia="Times New Roman" w:hAnsi="Calibri" w:cs="Times New Roman"/>
                <w:sz w:val="20"/>
                <w:szCs w:val="20"/>
              </w:rPr>
              <w:t>OH</w:t>
            </w:r>
          </w:p>
        </w:tc>
        <w:tc>
          <w:tcPr>
            <w:tcW w:w="119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sz w:val="20"/>
                <w:szCs w:val="20"/>
              </w:rPr>
            </w:pPr>
            <w:r w:rsidRPr="00B56797">
              <w:rPr>
                <w:rFonts w:ascii="Calibri" w:eastAsia="Times New Roman" w:hAnsi="Calibri" w:cs="Times New Roman"/>
                <w:sz w:val="20"/>
                <w:szCs w:val="20"/>
              </w:rPr>
              <w:t>10</w:t>
            </w:r>
          </w:p>
        </w:tc>
        <w:tc>
          <w:tcPr>
            <w:tcW w:w="3982" w:type="dxa"/>
            <w:vMerge/>
            <w:tcBorders>
              <w:top w:val="nil"/>
              <w:left w:val="nil"/>
              <w:bottom w:val="single" w:sz="4" w:space="0" w:color="000000"/>
              <w:right w:val="nil"/>
            </w:tcBorders>
            <w:vAlign w:val="center"/>
            <w:hideMark/>
          </w:tcPr>
          <w:p w:rsidR="00E664E4" w:rsidRPr="00B56797" w:rsidRDefault="00E664E4" w:rsidP="003D664B">
            <w:pPr>
              <w:spacing w:after="0" w:line="240" w:lineRule="auto"/>
              <w:rPr>
                <w:rFonts w:ascii="Calibri" w:eastAsia="Times New Roman" w:hAnsi="Calibri" w:cs="Times New Roman"/>
                <w:color w:val="000000"/>
                <w:sz w:val="20"/>
                <w:szCs w:val="20"/>
              </w:rPr>
            </w:pPr>
          </w:p>
        </w:tc>
      </w:tr>
      <w:tr w:rsidR="00E664E4" w:rsidRPr="00B56797" w:rsidTr="00FB5C20">
        <w:trPr>
          <w:trHeight w:val="285"/>
          <w:jc w:val="center"/>
        </w:trPr>
        <w:tc>
          <w:tcPr>
            <w:tcW w:w="910"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proofErr w:type="spellStart"/>
            <w:r w:rsidRPr="00B56797">
              <w:rPr>
                <w:rFonts w:ascii="Calibri" w:eastAsia="Times New Roman" w:hAnsi="Calibri" w:cs="Times New Roman"/>
                <w:color w:val="000000"/>
                <w:sz w:val="20"/>
                <w:szCs w:val="20"/>
              </w:rPr>
              <w:t>Xss</w:t>
            </w:r>
            <w:proofErr w:type="spellEnd"/>
            <w:r w:rsidRPr="00B56797">
              <w:rPr>
                <w:rFonts w:ascii="Calibri" w:eastAsia="Times New Roman" w:hAnsi="Calibri" w:cs="Times New Roman"/>
                <w:color w:val="000000"/>
                <w:sz w:val="20"/>
                <w:szCs w:val="20"/>
              </w:rPr>
              <w:t>(156)</w:t>
            </w:r>
          </w:p>
        </w:tc>
        <w:tc>
          <w:tcPr>
            <w:tcW w:w="814"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29</w:t>
            </w:r>
          </w:p>
        </w:tc>
        <w:tc>
          <w:tcPr>
            <w:tcW w:w="140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sz w:val="20"/>
                <w:szCs w:val="20"/>
              </w:rPr>
            </w:pPr>
            <w:r w:rsidRPr="00B56797">
              <w:rPr>
                <w:rFonts w:ascii="Calibri" w:eastAsia="Times New Roman" w:hAnsi="Calibri" w:cs="Times New Roman"/>
                <w:sz w:val="20"/>
                <w:szCs w:val="20"/>
              </w:rPr>
              <w:t>(NH</w:t>
            </w:r>
            <w:r w:rsidRPr="00B56797">
              <w:rPr>
                <w:rFonts w:ascii="Calibri" w:eastAsia="Times New Roman" w:hAnsi="Calibri" w:cs="Times New Roman"/>
                <w:sz w:val="20"/>
                <w:szCs w:val="20"/>
                <w:vertAlign w:val="subscript"/>
              </w:rPr>
              <w:t>4</w:t>
            </w:r>
            <w:r w:rsidRPr="00B56797">
              <w:rPr>
                <w:rFonts w:ascii="Calibri" w:eastAsia="Times New Roman" w:hAnsi="Calibri" w:cs="Times New Roman"/>
                <w:sz w:val="20"/>
                <w:szCs w:val="20"/>
              </w:rPr>
              <w:t>)</w:t>
            </w:r>
            <w:r w:rsidRPr="00B56797">
              <w:rPr>
                <w:rFonts w:ascii="Calibri" w:eastAsia="Times New Roman" w:hAnsi="Calibri" w:cs="Times New Roman"/>
                <w:sz w:val="20"/>
                <w:szCs w:val="20"/>
                <w:vertAlign w:val="subscript"/>
              </w:rPr>
              <w:t>2</w:t>
            </w:r>
            <w:r w:rsidRPr="00B56797">
              <w:rPr>
                <w:rFonts w:ascii="Calibri" w:eastAsia="Times New Roman" w:hAnsi="Calibri" w:cs="Times New Roman"/>
                <w:sz w:val="20"/>
                <w:szCs w:val="20"/>
              </w:rPr>
              <w:t>CO</w:t>
            </w:r>
            <w:r w:rsidRPr="00B56797">
              <w:rPr>
                <w:rFonts w:ascii="Calibri" w:eastAsia="Times New Roman" w:hAnsi="Calibri" w:cs="Times New Roman"/>
                <w:sz w:val="20"/>
                <w:szCs w:val="20"/>
                <w:vertAlign w:val="subscript"/>
              </w:rPr>
              <w:t>3</w:t>
            </w:r>
            <w:r w:rsidRPr="00B56797">
              <w:rPr>
                <w:rFonts w:ascii="Calibri" w:eastAsia="Times New Roman" w:hAnsi="Calibri" w:cs="Times New Roman"/>
                <w:sz w:val="20"/>
                <w:szCs w:val="20"/>
              </w:rPr>
              <w:t>.H</w:t>
            </w:r>
            <w:r w:rsidRPr="00B56797">
              <w:rPr>
                <w:rFonts w:ascii="Calibri" w:eastAsia="Times New Roman" w:hAnsi="Calibri" w:cs="Times New Roman"/>
                <w:sz w:val="20"/>
                <w:szCs w:val="20"/>
                <w:vertAlign w:val="subscript"/>
              </w:rPr>
              <w:t>2</w:t>
            </w:r>
            <w:r w:rsidRPr="00B56797">
              <w:rPr>
                <w:rFonts w:ascii="Calibri" w:eastAsia="Times New Roman" w:hAnsi="Calibri" w:cs="Times New Roman"/>
                <w:sz w:val="20"/>
                <w:szCs w:val="20"/>
              </w:rPr>
              <w:t>O</w:t>
            </w:r>
          </w:p>
        </w:tc>
        <w:tc>
          <w:tcPr>
            <w:tcW w:w="119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sz w:val="20"/>
                <w:szCs w:val="20"/>
              </w:rPr>
            </w:pPr>
            <w:r w:rsidRPr="00B56797">
              <w:rPr>
                <w:rFonts w:ascii="Calibri" w:eastAsia="Times New Roman" w:hAnsi="Calibri" w:cs="Times New Roman"/>
                <w:sz w:val="20"/>
                <w:szCs w:val="20"/>
              </w:rPr>
              <w:t>13</w:t>
            </w:r>
          </w:p>
        </w:tc>
        <w:tc>
          <w:tcPr>
            <w:tcW w:w="3982" w:type="dxa"/>
            <w:vMerge/>
            <w:tcBorders>
              <w:top w:val="nil"/>
              <w:left w:val="nil"/>
              <w:bottom w:val="single" w:sz="4" w:space="0" w:color="000000"/>
              <w:right w:val="nil"/>
            </w:tcBorders>
            <w:vAlign w:val="center"/>
            <w:hideMark/>
          </w:tcPr>
          <w:p w:rsidR="00E664E4" w:rsidRPr="00B56797" w:rsidRDefault="00E664E4" w:rsidP="003D664B">
            <w:pPr>
              <w:spacing w:after="0" w:line="240" w:lineRule="auto"/>
              <w:rPr>
                <w:rFonts w:ascii="Calibri" w:eastAsia="Times New Roman" w:hAnsi="Calibri" w:cs="Times New Roman"/>
                <w:color w:val="000000"/>
                <w:sz w:val="20"/>
                <w:szCs w:val="20"/>
              </w:rPr>
            </w:pPr>
          </w:p>
        </w:tc>
      </w:tr>
      <w:tr w:rsidR="00E664E4" w:rsidRPr="00B56797" w:rsidTr="00FB5C20">
        <w:trPr>
          <w:trHeight w:val="285"/>
          <w:jc w:val="center"/>
        </w:trPr>
        <w:tc>
          <w:tcPr>
            <w:tcW w:w="910" w:type="dxa"/>
            <w:tcBorders>
              <w:top w:val="nil"/>
              <w:left w:val="nil"/>
              <w:bottom w:val="single" w:sz="4" w:space="0" w:color="auto"/>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proofErr w:type="spellStart"/>
            <w:r w:rsidRPr="00B56797">
              <w:rPr>
                <w:rFonts w:ascii="Calibri" w:eastAsia="Times New Roman" w:hAnsi="Calibri" w:cs="Times New Roman"/>
                <w:color w:val="000000"/>
                <w:sz w:val="20"/>
                <w:szCs w:val="20"/>
              </w:rPr>
              <w:t>Xss</w:t>
            </w:r>
            <w:proofErr w:type="spellEnd"/>
            <w:r w:rsidRPr="00B56797">
              <w:rPr>
                <w:rFonts w:ascii="Calibri" w:eastAsia="Times New Roman" w:hAnsi="Calibri" w:cs="Times New Roman"/>
                <w:color w:val="000000"/>
                <w:sz w:val="20"/>
                <w:szCs w:val="20"/>
              </w:rPr>
              <w:t>(168)</w:t>
            </w:r>
          </w:p>
        </w:tc>
        <w:tc>
          <w:tcPr>
            <w:tcW w:w="814" w:type="dxa"/>
            <w:tcBorders>
              <w:top w:val="nil"/>
              <w:left w:val="nil"/>
              <w:bottom w:val="single" w:sz="4" w:space="0" w:color="auto"/>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31</w:t>
            </w:r>
          </w:p>
        </w:tc>
        <w:tc>
          <w:tcPr>
            <w:tcW w:w="1402" w:type="dxa"/>
            <w:tcBorders>
              <w:top w:val="nil"/>
              <w:left w:val="nil"/>
              <w:bottom w:val="single" w:sz="4" w:space="0" w:color="auto"/>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sz w:val="20"/>
                <w:szCs w:val="20"/>
              </w:rPr>
            </w:pPr>
            <w:r w:rsidRPr="00B56797">
              <w:rPr>
                <w:rFonts w:ascii="Calibri" w:eastAsia="Times New Roman" w:hAnsi="Calibri" w:cs="Times New Roman"/>
                <w:sz w:val="20"/>
                <w:szCs w:val="20"/>
              </w:rPr>
              <w:t>(NH</w:t>
            </w:r>
            <w:r w:rsidRPr="00B56797">
              <w:rPr>
                <w:rFonts w:ascii="Calibri" w:eastAsia="Times New Roman" w:hAnsi="Calibri" w:cs="Times New Roman"/>
                <w:sz w:val="20"/>
                <w:szCs w:val="20"/>
                <w:vertAlign w:val="subscript"/>
              </w:rPr>
              <w:t>4</w:t>
            </w:r>
            <w:r w:rsidRPr="00B56797">
              <w:rPr>
                <w:rFonts w:ascii="Calibri" w:eastAsia="Times New Roman" w:hAnsi="Calibri" w:cs="Times New Roman"/>
                <w:sz w:val="20"/>
                <w:szCs w:val="20"/>
              </w:rPr>
              <w:t>)</w:t>
            </w:r>
            <w:r w:rsidRPr="00B56797">
              <w:rPr>
                <w:rFonts w:ascii="Calibri" w:eastAsia="Times New Roman" w:hAnsi="Calibri" w:cs="Times New Roman"/>
                <w:sz w:val="20"/>
                <w:szCs w:val="20"/>
                <w:vertAlign w:val="subscript"/>
              </w:rPr>
              <w:t>2</w:t>
            </w:r>
            <w:r w:rsidRPr="00B56797">
              <w:rPr>
                <w:rFonts w:ascii="Calibri" w:eastAsia="Times New Roman" w:hAnsi="Calibri" w:cs="Times New Roman"/>
                <w:sz w:val="20"/>
                <w:szCs w:val="20"/>
              </w:rPr>
              <w:t>CO</w:t>
            </w:r>
            <w:r w:rsidRPr="00B56797">
              <w:rPr>
                <w:rFonts w:ascii="Calibri" w:eastAsia="Times New Roman" w:hAnsi="Calibri" w:cs="Times New Roman"/>
                <w:sz w:val="20"/>
                <w:szCs w:val="20"/>
                <w:vertAlign w:val="subscript"/>
              </w:rPr>
              <w:t>3</w:t>
            </w:r>
            <w:r w:rsidRPr="00B56797">
              <w:rPr>
                <w:rFonts w:ascii="Calibri" w:eastAsia="Times New Roman" w:hAnsi="Calibri" w:cs="Times New Roman"/>
                <w:sz w:val="20"/>
                <w:szCs w:val="20"/>
              </w:rPr>
              <w:t>.H</w:t>
            </w:r>
            <w:r w:rsidRPr="00B56797">
              <w:rPr>
                <w:rFonts w:ascii="Calibri" w:eastAsia="Times New Roman" w:hAnsi="Calibri" w:cs="Times New Roman"/>
                <w:sz w:val="20"/>
                <w:szCs w:val="20"/>
                <w:vertAlign w:val="subscript"/>
              </w:rPr>
              <w:t>2</w:t>
            </w:r>
            <w:r w:rsidRPr="00B56797">
              <w:rPr>
                <w:rFonts w:ascii="Calibri" w:eastAsia="Times New Roman" w:hAnsi="Calibri" w:cs="Times New Roman"/>
                <w:sz w:val="20"/>
                <w:szCs w:val="20"/>
              </w:rPr>
              <w:t>O</w:t>
            </w:r>
          </w:p>
        </w:tc>
        <w:tc>
          <w:tcPr>
            <w:tcW w:w="1192" w:type="dxa"/>
            <w:tcBorders>
              <w:top w:val="nil"/>
              <w:left w:val="nil"/>
              <w:bottom w:val="single" w:sz="4" w:space="0" w:color="auto"/>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sz w:val="20"/>
                <w:szCs w:val="20"/>
              </w:rPr>
            </w:pPr>
            <w:r w:rsidRPr="00B56797">
              <w:rPr>
                <w:rFonts w:ascii="Calibri" w:eastAsia="Times New Roman" w:hAnsi="Calibri" w:cs="Times New Roman"/>
                <w:sz w:val="20"/>
                <w:szCs w:val="20"/>
              </w:rPr>
              <w:t>13</w:t>
            </w:r>
          </w:p>
        </w:tc>
        <w:tc>
          <w:tcPr>
            <w:tcW w:w="3982" w:type="dxa"/>
            <w:vMerge/>
            <w:tcBorders>
              <w:top w:val="nil"/>
              <w:left w:val="nil"/>
              <w:bottom w:val="single" w:sz="4" w:space="0" w:color="000000"/>
              <w:right w:val="nil"/>
            </w:tcBorders>
            <w:vAlign w:val="center"/>
            <w:hideMark/>
          </w:tcPr>
          <w:p w:rsidR="00E664E4" w:rsidRPr="00B56797" w:rsidRDefault="00E664E4" w:rsidP="003D664B">
            <w:pPr>
              <w:spacing w:after="0" w:line="240" w:lineRule="auto"/>
              <w:rPr>
                <w:rFonts w:ascii="Calibri" w:eastAsia="Times New Roman" w:hAnsi="Calibri" w:cs="Times New Roman"/>
                <w:color w:val="000000"/>
                <w:sz w:val="20"/>
                <w:szCs w:val="20"/>
              </w:rPr>
            </w:pPr>
          </w:p>
        </w:tc>
      </w:tr>
      <w:tr w:rsidR="00E664E4" w:rsidRPr="00B56797" w:rsidTr="003D664B">
        <w:trPr>
          <w:trHeight w:val="255"/>
          <w:jc w:val="center"/>
        </w:trPr>
        <w:tc>
          <w:tcPr>
            <w:tcW w:w="8300" w:type="dxa"/>
            <w:gridSpan w:val="5"/>
            <w:tcBorders>
              <w:top w:val="single" w:sz="4" w:space="0" w:color="auto"/>
              <w:left w:val="nil"/>
              <w:bottom w:val="single" w:sz="4" w:space="0" w:color="auto"/>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b/>
                <w:bCs/>
                <w:color w:val="000000"/>
                <w:sz w:val="20"/>
                <w:szCs w:val="20"/>
              </w:rPr>
            </w:pPr>
            <w:r w:rsidRPr="00B56797">
              <w:rPr>
                <w:rFonts w:ascii="Calibri" w:eastAsia="Times New Roman" w:hAnsi="Calibri" w:cs="Times New Roman"/>
                <w:b/>
                <w:bCs/>
                <w:color w:val="000000"/>
                <w:sz w:val="20"/>
                <w:szCs w:val="20"/>
              </w:rPr>
              <w:t>Module 4</w:t>
            </w:r>
          </w:p>
        </w:tc>
      </w:tr>
      <w:tr w:rsidR="00E664E4" w:rsidRPr="00B56797" w:rsidTr="00FB5C20">
        <w:trPr>
          <w:trHeight w:val="285"/>
          <w:jc w:val="center"/>
        </w:trPr>
        <w:tc>
          <w:tcPr>
            <w:tcW w:w="910"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proofErr w:type="spellStart"/>
            <w:r w:rsidRPr="00B56797">
              <w:rPr>
                <w:rFonts w:ascii="Calibri" w:eastAsia="Times New Roman" w:hAnsi="Calibri" w:cs="Times New Roman"/>
                <w:color w:val="000000"/>
                <w:sz w:val="20"/>
                <w:szCs w:val="20"/>
              </w:rPr>
              <w:t>Xss</w:t>
            </w:r>
            <w:proofErr w:type="spellEnd"/>
            <w:r w:rsidRPr="00B56797">
              <w:rPr>
                <w:rFonts w:ascii="Calibri" w:eastAsia="Times New Roman" w:hAnsi="Calibri" w:cs="Times New Roman"/>
                <w:color w:val="000000"/>
                <w:sz w:val="20"/>
                <w:szCs w:val="20"/>
              </w:rPr>
              <w:t>(192)</w:t>
            </w:r>
          </w:p>
        </w:tc>
        <w:tc>
          <w:tcPr>
            <w:tcW w:w="814"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37</w:t>
            </w:r>
          </w:p>
        </w:tc>
        <w:tc>
          <w:tcPr>
            <w:tcW w:w="140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sz w:val="20"/>
                <w:szCs w:val="20"/>
              </w:rPr>
            </w:pPr>
            <w:r w:rsidRPr="00B56797">
              <w:rPr>
                <w:rFonts w:ascii="Calibri" w:eastAsia="Times New Roman" w:hAnsi="Calibri" w:cs="Times New Roman"/>
                <w:sz w:val="20"/>
                <w:szCs w:val="20"/>
              </w:rPr>
              <w:t>N</w:t>
            </w:r>
            <w:r w:rsidRPr="00B56797">
              <w:rPr>
                <w:rFonts w:ascii="Calibri" w:eastAsia="Times New Roman" w:hAnsi="Calibri" w:cs="Times New Roman"/>
                <w:sz w:val="20"/>
                <w:szCs w:val="20"/>
                <w:vertAlign w:val="subscript"/>
              </w:rPr>
              <w:t>2</w:t>
            </w:r>
          </w:p>
        </w:tc>
        <w:tc>
          <w:tcPr>
            <w:tcW w:w="119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sz w:val="20"/>
                <w:szCs w:val="20"/>
              </w:rPr>
            </w:pPr>
            <w:r w:rsidRPr="00B56797">
              <w:rPr>
                <w:rFonts w:ascii="Calibri" w:eastAsia="Times New Roman" w:hAnsi="Calibri" w:cs="Times New Roman"/>
                <w:sz w:val="20"/>
                <w:szCs w:val="20"/>
              </w:rPr>
              <w:t>2</w:t>
            </w:r>
          </w:p>
        </w:tc>
        <w:tc>
          <w:tcPr>
            <w:tcW w:w="3982" w:type="dxa"/>
            <w:vMerge w:val="restart"/>
            <w:tcBorders>
              <w:top w:val="nil"/>
              <w:left w:val="nil"/>
              <w:bottom w:val="single" w:sz="4" w:space="0" w:color="000000"/>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Nitrogen is a carrier gas and does not participate in any of the reactions</w:t>
            </w:r>
          </w:p>
        </w:tc>
      </w:tr>
      <w:tr w:rsidR="00E664E4" w:rsidRPr="00B56797" w:rsidTr="00FB5C20">
        <w:trPr>
          <w:trHeight w:val="285"/>
          <w:jc w:val="center"/>
        </w:trPr>
        <w:tc>
          <w:tcPr>
            <w:tcW w:w="910"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proofErr w:type="spellStart"/>
            <w:r w:rsidRPr="00B56797">
              <w:rPr>
                <w:rFonts w:ascii="Calibri" w:eastAsia="Times New Roman" w:hAnsi="Calibri" w:cs="Times New Roman"/>
                <w:color w:val="000000"/>
                <w:sz w:val="20"/>
                <w:szCs w:val="20"/>
              </w:rPr>
              <w:t>Xss</w:t>
            </w:r>
            <w:proofErr w:type="spellEnd"/>
            <w:r w:rsidRPr="00B56797">
              <w:rPr>
                <w:rFonts w:ascii="Calibri" w:eastAsia="Times New Roman" w:hAnsi="Calibri" w:cs="Times New Roman"/>
                <w:color w:val="000000"/>
                <w:sz w:val="20"/>
                <w:szCs w:val="20"/>
              </w:rPr>
              <w:t>(202)</w:t>
            </w:r>
          </w:p>
        </w:tc>
        <w:tc>
          <w:tcPr>
            <w:tcW w:w="814"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41</w:t>
            </w:r>
          </w:p>
        </w:tc>
        <w:tc>
          <w:tcPr>
            <w:tcW w:w="140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sz w:val="20"/>
                <w:szCs w:val="20"/>
              </w:rPr>
            </w:pPr>
            <w:r w:rsidRPr="00B56797">
              <w:rPr>
                <w:rFonts w:ascii="Calibri" w:eastAsia="Times New Roman" w:hAnsi="Calibri" w:cs="Times New Roman"/>
                <w:sz w:val="20"/>
                <w:szCs w:val="20"/>
              </w:rPr>
              <w:t>N</w:t>
            </w:r>
            <w:r w:rsidRPr="00B56797">
              <w:rPr>
                <w:rFonts w:ascii="Calibri" w:eastAsia="Times New Roman" w:hAnsi="Calibri" w:cs="Times New Roman"/>
                <w:sz w:val="20"/>
                <w:szCs w:val="20"/>
                <w:vertAlign w:val="subscript"/>
              </w:rPr>
              <w:t>2</w:t>
            </w:r>
          </w:p>
        </w:tc>
        <w:tc>
          <w:tcPr>
            <w:tcW w:w="119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sz w:val="20"/>
                <w:szCs w:val="20"/>
              </w:rPr>
            </w:pPr>
            <w:r w:rsidRPr="00B56797">
              <w:rPr>
                <w:rFonts w:ascii="Calibri" w:eastAsia="Times New Roman" w:hAnsi="Calibri" w:cs="Times New Roman"/>
                <w:sz w:val="20"/>
                <w:szCs w:val="20"/>
              </w:rPr>
              <w:t>2</w:t>
            </w:r>
          </w:p>
        </w:tc>
        <w:tc>
          <w:tcPr>
            <w:tcW w:w="3982" w:type="dxa"/>
            <w:vMerge/>
            <w:tcBorders>
              <w:top w:val="nil"/>
              <w:left w:val="nil"/>
              <w:bottom w:val="single" w:sz="4" w:space="0" w:color="000000"/>
              <w:right w:val="nil"/>
            </w:tcBorders>
            <w:vAlign w:val="center"/>
            <w:hideMark/>
          </w:tcPr>
          <w:p w:rsidR="00E664E4" w:rsidRPr="00B56797" w:rsidRDefault="00E664E4" w:rsidP="003D664B">
            <w:pPr>
              <w:spacing w:after="0" w:line="240" w:lineRule="auto"/>
              <w:rPr>
                <w:rFonts w:ascii="Calibri" w:eastAsia="Times New Roman" w:hAnsi="Calibri" w:cs="Times New Roman"/>
                <w:color w:val="000000"/>
                <w:sz w:val="20"/>
                <w:szCs w:val="20"/>
              </w:rPr>
            </w:pPr>
          </w:p>
        </w:tc>
      </w:tr>
      <w:tr w:rsidR="00E664E4" w:rsidRPr="00B56797" w:rsidTr="00FB5C20">
        <w:trPr>
          <w:trHeight w:val="285"/>
          <w:jc w:val="center"/>
        </w:trPr>
        <w:tc>
          <w:tcPr>
            <w:tcW w:w="910"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proofErr w:type="spellStart"/>
            <w:r w:rsidRPr="00B56797">
              <w:rPr>
                <w:rFonts w:ascii="Calibri" w:eastAsia="Times New Roman" w:hAnsi="Calibri" w:cs="Times New Roman"/>
                <w:color w:val="000000"/>
                <w:sz w:val="20"/>
                <w:szCs w:val="20"/>
              </w:rPr>
              <w:t>Xss</w:t>
            </w:r>
            <w:proofErr w:type="spellEnd"/>
            <w:r w:rsidRPr="00B56797">
              <w:rPr>
                <w:rFonts w:ascii="Calibri" w:eastAsia="Times New Roman" w:hAnsi="Calibri" w:cs="Times New Roman"/>
                <w:color w:val="000000"/>
                <w:sz w:val="20"/>
                <w:szCs w:val="20"/>
              </w:rPr>
              <w:t>(205)</w:t>
            </w:r>
          </w:p>
        </w:tc>
        <w:tc>
          <w:tcPr>
            <w:tcW w:w="814"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42</w:t>
            </w:r>
          </w:p>
        </w:tc>
        <w:tc>
          <w:tcPr>
            <w:tcW w:w="140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sz w:val="20"/>
                <w:szCs w:val="20"/>
              </w:rPr>
            </w:pPr>
            <w:r w:rsidRPr="00B56797">
              <w:rPr>
                <w:rFonts w:ascii="Calibri" w:eastAsia="Times New Roman" w:hAnsi="Calibri" w:cs="Times New Roman"/>
                <w:sz w:val="20"/>
                <w:szCs w:val="20"/>
              </w:rPr>
              <w:t>N</w:t>
            </w:r>
            <w:r w:rsidRPr="00B56797">
              <w:rPr>
                <w:rFonts w:ascii="Calibri" w:eastAsia="Times New Roman" w:hAnsi="Calibri" w:cs="Times New Roman"/>
                <w:sz w:val="20"/>
                <w:szCs w:val="20"/>
                <w:vertAlign w:val="subscript"/>
              </w:rPr>
              <w:t>2</w:t>
            </w:r>
          </w:p>
        </w:tc>
        <w:tc>
          <w:tcPr>
            <w:tcW w:w="119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sz w:val="20"/>
                <w:szCs w:val="20"/>
              </w:rPr>
            </w:pPr>
            <w:r w:rsidRPr="00B56797">
              <w:rPr>
                <w:rFonts w:ascii="Calibri" w:eastAsia="Times New Roman" w:hAnsi="Calibri" w:cs="Times New Roman"/>
                <w:sz w:val="20"/>
                <w:szCs w:val="20"/>
              </w:rPr>
              <w:t>2</w:t>
            </w:r>
          </w:p>
        </w:tc>
        <w:tc>
          <w:tcPr>
            <w:tcW w:w="3982" w:type="dxa"/>
            <w:vMerge/>
            <w:tcBorders>
              <w:top w:val="nil"/>
              <w:left w:val="nil"/>
              <w:bottom w:val="single" w:sz="4" w:space="0" w:color="000000"/>
              <w:right w:val="nil"/>
            </w:tcBorders>
            <w:vAlign w:val="center"/>
            <w:hideMark/>
          </w:tcPr>
          <w:p w:rsidR="00E664E4" w:rsidRPr="00B56797" w:rsidRDefault="00E664E4" w:rsidP="003D664B">
            <w:pPr>
              <w:spacing w:after="0" w:line="240" w:lineRule="auto"/>
              <w:rPr>
                <w:rFonts w:ascii="Calibri" w:eastAsia="Times New Roman" w:hAnsi="Calibri" w:cs="Times New Roman"/>
                <w:color w:val="000000"/>
                <w:sz w:val="20"/>
                <w:szCs w:val="20"/>
              </w:rPr>
            </w:pPr>
          </w:p>
        </w:tc>
      </w:tr>
      <w:tr w:rsidR="00E664E4" w:rsidRPr="00B56797" w:rsidTr="00FB5C20">
        <w:trPr>
          <w:trHeight w:val="285"/>
          <w:jc w:val="center"/>
        </w:trPr>
        <w:tc>
          <w:tcPr>
            <w:tcW w:w="910" w:type="dxa"/>
            <w:tcBorders>
              <w:top w:val="nil"/>
              <w:left w:val="nil"/>
              <w:bottom w:val="single" w:sz="4" w:space="0" w:color="auto"/>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proofErr w:type="spellStart"/>
            <w:r w:rsidRPr="00B56797">
              <w:rPr>
                <w:rFonts w:ascii="Calibri" w:eastAsia="Times New Roman" w:hAnsi="Calibri" w:cs="Times New Roman"/>
                <w:color w:val="000000"/>
                <w:sz w:val="20"/>
                <w:szCs w:val="20"/>
              </w:rPr>
              <w:t>Xss</w:t>
            </w:r>
            <w:proofErr w:type="spellEnd"/>
            <w:r w:rsidRPr="00B56797">
              <w:rPr>
                <w:rFonts w:ascii="Calibri" w:eastAsia="Times New Roman" w:hAnsi="Calibri" w:cs="Times New Roman"/>
                <w:color w:val="000000"/>
                <w:sz w:val="20"/>
                <w:szCs w:val="20"/>
              </w:rPr>
              <w:t>(212)</w:t>
            </w:r>
          </w:p>
        </w:tc>
        <w:tc>
          <w:tcPr>
            <w:tcW w:w="814" w:type="dxa"/>
            <w:tcBorders>
              <w:top w:val="nil"/>
              <w:left w:val="nil"/>
              <w:bottom w:val="single" w:sz="4" w:space="0" w:color="auto"/>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43</w:t>
            </w:r>
          </w:p>
        </w:tc>
        <w:tc>
          <w:tcPr>
            <w:tcW w:w="1402" w:type="dxa"/>
            <w:tcBorders>
              <w:top w:val="nil"/>
              <w:left w:val="nil"/>
              <w:bottom w:val="single" w:sz="4" w:space="0" w:color="auto"/>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sz w:val="20"/>
                <w:szCs w:val="20"/>
              </w:rPr>
            </w:pPr>
            <w:r w:rsidRPr="00B56797">
              <w:rPr>
                <w:rFonts w:ascii="Calibri" w:eastAsia="Times New Roman" w:hAnsi="Calibri" w:cs="Times New Roman"/>
                <w:sz w:val="20"/>
                <w:szCs w:val="20"/>
              </w:rPr>
              <w:t>N</w:t>
            </w:r>
            <w:r w:rsidRPr="00B56797">
              <w:rPr>
                <w:rFonts w:ascii="Calibri" w:eastAsia="Times New Roman" w:hAnsi="Calibri" w:cs="Times New Roman"/>
                <w:sz w:val="20"/>
                <w:szCs w:val="20"/>
                <w:vertAlign w:val="subscript"/>
              </w:rPr>
              <w:t>2</w:t>
            </w:r>
          </w:p>
        </w:tc>
        <w:tc>
          <w:tcPr>
            <w:tcW w:w="1192" w:type="dxa"/>
            <w:tcBorders>
              <w:top w:val="nil"/>
              <w:left w:val="nil"/>
              <w:bottom w:val="single" w:sz="4" w:space="0" w:color="auto"/>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sz w:val="20"/>
                <w:szCs w:val="20"/>
              </w:rPr>
            </w:pPr>
            <w:r w:rsidRPr="00B56797">
              <w:rPr>
                <w:rFonts w:ascii="Calibri" w:eastAsia="Times New Roman" w:hAnsi="Calibri" w:cs="Times New Roman"/>
                <w:sz w:val="20"/>
                <w:szCs w:val="20"/>
              </w:rPr>
              <w:t>2</w:t>
            </w:r>
          </w:p>
        </w:tc>
        <w:tc>
          <w:tcPr>
            <w:tcW w:w="3982" w:type="dxa"/>
            <w:vMerge/>
            <w:tcBorders>
              <w:top w:val="nil"/>
              <w:left w:val="nil"/>
              <w:bottom w:val="single" w:sz="4" w:space="0" w:color="000000"/>
              <w:right w:val="nil"/>
            </w:tcBorders>
            <w:vAlign w:val="center"/>
            <w:hideMark/>
          </w:tcPr>
          <w:p w:rsidR="00E664E4" w:rsidRPr="00B56797" w:rsidRDefault="00E664E4" w:rsidP="003D664B">
            <w:pPr>
              <w:spacing w:after="0" w:line="240" w:lineRule="auto"/>
              <w:rPr>
                <w:rFonts w:ascii="Calibri" w:eastAsia="Times New Roman" w:hAnsi="Calibri" w:cs="Times New Roman"/>
                <w:color w:val="000000"/>
                <w:sz w:val="20"/>
                <w:szCs w:val="20"/>
              </w:rPr>
            </w:pPr>
          </w:p>
        </w:tc>
      </w:tr>
      <w:tr w:rsidR="00E664E4" w:rsidRPr="00B56797" w:rsidTr="003D664B">
        <w:trPr>
          <w:trHeight w:val="255"/>
          <w:jc w:val="center"/>
        </w:trPr>
        <w:tc>
          <w:tcPr>
            <w:tcW w:w="8300" w:type="dxa"/>
            <w:gridSpan w:val="5"/>
            <w:tcBorders>
              <w:top w:val="single" w:sz="4" w:space="0" w:color="auto"/>
              <w:left w:val="nil"/>
              <w:bottom w:val="single" w:sz="4" w:space="0" w:color="auto"/>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b/>
                <w:bCs/>
                <w:color w:val="000000"/>
                <w:sz w:val="20"/>
                <w:szCs w:val="20"/>
              </w:rPr>
            </w:pPr>
            <w:r w:rsidRPr="00B56797">
              <w:rPr>
                <w:rFonts w:ascii="Calibri" w:eastAsia="Times New Roman" w:hAnsi="Calibri" w:cs="Times New Roman"/>
                <w:b/>
                <w:bCs/>
                <w:color w:val="000000"/>
                <w:sz w:val="20"/>
                <w:szCs w:val="20"/>
              </w:rPr>
              <w:t>Module 5</w:t>
            </w:r>
          </w:p>
        </w:tc>
      </w:tr>
      <w:tr w:rsidR="00E664E4" w:rsidRPr="00B56797" w:rsidTr="00FB5C20">
        <w:trPr>
          <w:trHeight w:val="285"/>
          <w:jc w:val="center"/>
        </w:trPr>
        <w:tc>
          <w:tcPr>
            <w:tcW w:w="910"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proofErr w:type="spellStart"/>
            <w:r w:rsidRPr="00B56797">
              <w:rPr>
                <w:rFonts w:ascii="Calibri" w:eastAsia="Times New Roman" w:hAnsi="Calibri" w:cs="Times New Roman"/>
                <w:color w:val="000000"/>
                <w:sz w:val="20"/>
                <w:szCs w:val="20"/>
              </w:rPr>
              <w:t>Xss</w:t>
            </w:r>
            <w:proofErr w:type="spellEnd"/>
            <w:r w:rsidRPr="00B56797">
              <w:rPr>
                <w:rFonts w:ascii="Calibri" w:eastAsia="Times New Roman" w:hAnsi="Calibri" w:cs="Times New Roman"/>
                <w:color w:val="000000"/>
                <w:sz w:val="20"/>
                <w:szCs w:val="20"/>
              </w:rPr>
              <w:t>(228)</w:t>
            </w:r>
          </w:p>
        </w:tc>
        <w:tc>
          <w:tcPr>
            <w:tcW w:w="814"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48</w:t>
            </w:r>
          </w:p>
        </w:tc>
        <w:tc>
          <w:tcPr>
            <w:tcW w:w="140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sz w:val="20"/>
                <w:szCs w:val="20"/>
              </w:rPr>
            </w:pPr>
            <w:r w:rsidRPr="00B56797">
              <w:rPr>
                <w:rFonts w:ascii="Calibri" w:eastAsia="Times New Roman" w:hAnsi="Calibri" w:cs="Times New Roman"/>
                <w:sz w:val="20"/>
                <w:szCs w:val="20"/>
              </w:rPr>
              <w:t>N</w:t>
            </w:r>
            <w:r w:rsidRPr="00B56797">
              <w:rPr>
                <w:rFonts w:ascii="Calibri" w:eastAsia="Times New Roman" w:hAnsi="Calibri" w:cs="Times New Roman"/>
                <w:sz w:val="20"/>
                <w:szCs w:val="20"/>
                <w:vertAlign w:val="subscript"/>
              </w:rPr>
              <w:t>2</w:t>
            </w:r>
          </w:p>
        </w:tc>
        <w:tc>
          <w:tcPr>
            <w:tcW w:w="119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sz w:val="20"/>
                <w:szCs w:val="20"/>
              </w:rPr>
            </w:pPr>
            <w:r w:rsidRPr="00B56797">
              <w:rPr>
                <w:rFonts w:ascii="Calibri" w:eastAsia="Times New Roman" w:hAnsi="Calibri" w:cs="Times New Roman"/>
                <w:sz w:val="20"/>
                <w:szCs w:val="20"/>
              </w:rPr>
              <w:t>2</w:t>
            </w:r>
          </w:p>
        </w:tc>
        <w:tc>
          <w:tcPr>
            <w:tcW w:w="3982" w:type="dxa"/>
            <w:vMerge w:val="restart"/>
            <w:tcBorders>
              <w:top w:val="nil"/>
              <w:left w:val="nil"/>
              <w:bottom w:val="single" w:sz="8" w:space="0" w:color="000000"/>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Nitrogen is a carrier gas and does not participate in any of the reactions</w:t>
            </w:r>
          </w:p>
        </w:tc>
      </w:tr>
      <w:tr w:rsidR="00E664E4" w:rsidRPr="00B56797" w:rsidTr="00FB5C20">
        <w:trPr>
          <w:trHeight w:val="285"/>
          <w:jc w:val="center"/>
        </w:trPr>
        <w:tc>
          <w:tcPr>
            <w:tcW w:w="910"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proofErr w:type="spellStart"/>
            <w:r w:rsidRPr="00B56797">
              <w:rPr>
                <w:rFonts w:ascii="Calibri" w:eastAsia="Times New Roman" w:hAnsi="Calibri" w:cs="Times New Roman"/>
                <w:color w:val="000000"/>
                <w:sz w:val="20"/>
                <w:szCs w:val="20"/>
              </w:rPr>
              <w:t>Xss</w:t>
            </w:r>
            <w:proofErr w:type="spellEnd"/>
            <w:r w:rsidRPr="00B56797">
              <w:rPr>
                <w:rFonts w:ascii="Calibri" w:eastAsia="Times New Roman" w:hAnsi="Calibri" w:cs="Times New Roman"/>
                <w:color w:val="000000"/>
                <w:sz w:val="20"/>
                <w:szCs w:val="20"/>
              </w:rPr>
              <w:t>(233)</w:t>
            </w:r>
          </w:p>
        </w:tc>
        <w:tc>
          <w:tcPr>
            <w:tcW w:w="814"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49</w:t>
            </w:r>
          </w:p>
        </w:tc>
        <w:tc>
          <w:tcPr>
            <w:tcW w:w="140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sz w:val="20"/>
                <w:szCs w:val="20"/>
              </w:rPr>
            </w:pPr>
            <w:r w:rsidRPr="00B56797">
              <w:rPr>
                <w:rFonts w:ascii="Calibri" w:eastAsia="Times New Roman" w:hAnsi="Calibri" w:cs="Times New Roman"/>
                <w:sz w:val="20"/>
                <w:szCs w:val="20"/>
              </w:rPr>
              <w:t>N</w:t>
            </w:r>
            <w:r w:rsidRPr="00B56797">
              <w:rPr>
                <w:rFonts w:ascii="Calibri" w:eastAsia="Times New Roman" w:hAnsi="Calibri" w:cs="Times New Roman"/>
                <w:sz w:val="20"/>
                <w:szCs w:val="20"/>
                <w:vertAlign w:val="subscript"/>
              </w:rPr>
              <w:t>2</w:t>
            </w:r>
          </w:p>
        </w:tc>
        <w:tc>
          <w:tcPr>
            <w:tcW w:w="119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sz w:val="20"/>
                <w:szCs w:val="20"/>
              </w:rPr>
            </w:pPr>
            <w:r w:rsidRPr="00B56797">
              <w:rPr>
                <w:rFonts w:ascii="Calibri" w:eastAsia="Times New Roman" w:hAnsi="Calibri" w:cs="Times New Roman"/>
                <w:sz w:val="20"/>
                <w:szCs w:val="20"/>
              </w:rPr>
              <w:t>2</w:t>
            </w:r>
          </w:p>
        </w:tc>
        <w:tc>
          <w:tcPr>
            <w:tcW w:w="3982" w:type="dxa"/>
            <w:vMerge/>
            <w:tcBorders>
              <w:top w:val="nil"/>
              <w:left w:val="nil"/>
              <w:bottom w:val="single" w:sz="8" w:space="0" w:color="000000"/>
              <w:right w:val="nil"/>
            </w:tcBorders>
            <w:vAlign w:val="center"/>
            <w:hideMark/>
          </w:tcPr>
          <w:p w:rsidR="00E664E4" w:rsidRPr="00B56797" w:rsidRDefault="00E664E4" w:rsidP="003D664B">
            <w:pPr>
              <w:spacing w:after="0" w:line="240" w:lineRule="auto"/>
              <w:rPr>
                <w:rFonts w:ascii="Calibri" w:eastAsia="Times New Roman" w:hAnsi="Calibri" w:cs="Times New Roman"/>
                <w:color w:val="000000"/>
                <w:sz w:val="20"/>
                <w:szCs w:val="20"/>
              </w:rPr>
            </w:pPr>
          </w:p>
        </w:tc>
      </w:tr>
      <w:tr w:rsidR="00E664E4" w:rsidRPr="00B56797" w:rsidTr="00FB5C20">
        <w:trPr>
          <w:trHeight w:val="285"/>
          <w:jc w:val="center"/>
        </w:trPr>
        <w:tc>
          <w:tcPr>
            <w:tcW w:w="910"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proofErr w:type="spellStart"/>
            <w:r w:rsidRPr="00B56797">
              <w:rPr>
                <w:rFonts w:ascii="Calibri" w:eastAsia="Times New Roman" w:hAnsi="Calibri" w:cs="Times New Roman"/>
                <w:color w:val="000000"/>
                <w:sz w:val="20"/>
                <w:szCs w:val="20"/>
              </w:rPr>
              <w:t>Xss</w:t>
            </w:r>
            <w:proofErr w:type="spellEnd"/>
            <w:r w:rsidRPr="00B56797">
              <w:rPr>
                <w:rFonts w:ascii="Calibri" w:eastAsia="Times New Roman" w:hAnsi="Calibri" w:cs="Times New Roman"/>
                <w:color w:val="000000"/>
                <w:sz w:val="20"/>
                <w:szCs w:val="20"/>
              </w:rPr>
              <w:t>(242)</w:t>
            </w:r>
          </w:p>
        </w:tc>
        <w:tc>
          <w:tcPr>
            <w:tcW w:w="814"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51</w:t>
            </w:r>
          </w:p>
        </w:tc>
        <w:tc>
          <w:tcPr>
            <w:tcW w:w="140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sz w:val="20"/>
                <w:szCs w:val="20"/>
              </w:rPr>
            </w:pPr>
            <w:r w:rsidRPr="00B56797">
              <w:rPr>
                <w:rFonts w:ascii="Calibri" w:eastAsia="Times New Roman" w:hAnsi="Calibri" w:cs="Times New Roman"/>
                <w:sz w:val="20"/>
                <w:szCs w:val="20"/>
              </w:rPr>
              <w:t>N</w:t>
            </w:r>
            <w:r w:rsidRPr="00B56797">
              <w:rPr>
                <w:rFonts w:ascii="Calibri" w:eastAsia="Times New Roman" w:hAnsi="Calibri" w:cs="Times New Roman"/>
                <w:sz w:val="20"/>
                <w:szCs w:val="20"/>
                <w:vertAlign w:val="subscript"/>
              </w:rPr>
              <w:t>2</w:t>
            </w:r>
          </w:p>
        </w:tc>
        <w:tc>
          <w:tcPr>
            <w:tcW w:w="119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sz w:val="20"/>
                <w:szCs w:val="20"/>
              </w:rPr>
            </w:pPr>
            <w:r w:rsidRPr="00B56797">
              <w:rPr>
                <w:rFonts w:ascii="Calibri" w:eastAsia="Times New Roman" w:hAnsi="Calibri" w:cs="Times New Roman"/>
                <w:sz w:val="20"/>
                <w:szCs w:val="20"/>
              </w:rPr>
              <w:t>2</w:t>
            </w:r>
          </w:p>
        </w:tc>
        <w:tc>
          <w:tcPr>
            <w:tcW w:w="3982" w:type="dxa"/>
            <w:vMerge/>
            <w:tcBorders>
              <w:top w:val="nil"/>
              <w:left w:val="nil"/>
              <w:bottom w:val="single" w:sz="8" w:space="0" w:color="000000"/>
              <w:right w:val="nil"/>
            </w:tcBorders>
            <w:vAlign w:val="center"/>
            <w:hideMark/>
          </w:tcPr>
          <w:p w:rsidR="00E664E4" w:rsidRPr="00B56797" w:rsidRDefault="00E664E4" w:rsidP="003D664B">
            <w:pPr>
              <w:spacing w:after="0" w:line="240" w:lineRule="auto"/>
              <w:rPr>
                <w:rFonts w:ascii="Calibri" w:eastAsia="Times New Roman" w:hAnsi="Calibri" w:cs="Times New Roman"/>
                <w:color w:val="000000"/>
                <w:sz w:val="20"/>
                <w:szCs w:val="20"/>
              </w:rPr>
            </w:pPr>
          </w:p>
        </w:tc>
      </w:tr>
      <w:tr w:rsidR="00E664E4" w:rsidRPr="00B56797" w:rsidTr="00FB5C20">
        <w:trPr>
          <w:trHeight w:val="285"/>
          <w:jc w:val="center"/>
        </w:trPr>
        <w:tc>
          <w:tcPr>
            <w:tcW w:w="910"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proofErr w:type="spellStart"/>
            <w:r w:rsidRPr="00B56797">
              <w:rPr>
                <w:rFonts w:ascii="Calibri" w:eastAsia="Times New Roman" w:hAnsi="Calibri" w:cs="Times New Roman"/>
                <w:color w:val="000000"/>
                <w:sz w:val="20"/>
                <w:szCs w:val="20"/>
              </w:rPr>
              <w:t>Xss</w:t>
            </w:r>
            <w:proofErr w:type="spellEnd"/>
            <w:r w:rsidRPr="00B56797">
              <w:rPr>
                <w:rFonts w:ascii="Calibri" w:eastAsia="Times New Roman" w:hAnsi="Calibri" w:cs="Times New Roman"/>
                <w:color w:val="000000"/>
                <w:sz w:val="20"/>
                <w:szCs w:val="20"/>
              </w:rPr>
              <w:t>(247)</w:t>
            </w:r>
          </w:p>
        </w:tc>
        <w:tc>
          <w:tcPr>
            <w:tcW w:w="814"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53</w:t>
            </w:r>
          </w:p>
        </w:tc>
        <w:tc>
          <w:tcPr>
            <w:tcW w:w="140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sz w:val="20"/>
                <w:szCs w:val="20"/>
              </w:rPr>
            </w:pPr>
            <w:r w:rsidRPr="00B56797">
              <w:rPr>
                <w:rFonts w:ascii="Calibri" w:eastAsia="Times New Roman" w:hAnsi="Calibri" w:cs="Times New Roman"/>
                <w:sz w:val="20"/>
                <w:szCs w:val="20"/>
              </w:rPr>
              <w:t>N</w:t>
            </w:r>
            <w:r w:rsidRPr="00B56797">
              <w:rPr>
                <w:rFonts w:ascii="Calibri" w:eastAsia="Times New Roman" w:hAnsi="Calibri" w:cs="Times New Roman"/>
                <w:sz w:val="20"/>
                <w:szCs w:val="20"/>
                <w:vertAlign w:val="subscript"/>
              </w:rPr>
              <w:t>2</w:t>
            </w:r>
          </w:p>
        </w:tc>
        <w:tc>
          <w:tcPr>
            <w:tcW w:w="119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sz w:val="20"/>
                <w:szCs w:val="20"/>
              </w:rPr>
            </w:pPr>
            <w:r w:rsidRPr="00B56797">
              <w:rPr>
                <w:rFonts w:ascii="Calibri" w:eastAsia="Times New Roman" w:hAnsi="Calibri" w:cs="Times New Roman"/>
                <w:sz w:val="20"/>
                <w:szCs w:val="20"/>
              </w:rPr>
              <w:t>2</w:t>
            </w:r>
          </w:p>
        </w:tc>
        <w:tc>
          <w:tcPr>
            <w:tcW w:w="3982" w:type="dxa"/>
            <w:vMerge/>
            <w:tcBorders>
              <w:top w:val="nil"/>
              <w:left w:val="nil"/>
              <w:bottom w:val="single" w:sz="8" w:space="0" w:color="000000"/>
              <w:right w:val="nil"/>
            </w:tcBorders>
            <w:vAlign w:val="center"/>
            <w:hideMark/>
          </w:tcPr>
          <w:p w:rsidR="00E664E4" w:rsidRPr="00B56797" w:rsidRDefault="00E664E4" w:rsidP="003D664B">
            <w:pPr>
              <w:spacing w:after="0" w:line="240" w:lineRule="auto"/>
              <w:rPr>
                <w:rFonts w:ascii="Calibri" w:eastAsia="Times New Roman" w:hAnsi="Calibri" w:cs="Times New Roman"/>
                <w:color w:val="000000"/>
                <w:sz w:val="20"/>
                <w:szCs w:val="20"/>
              </w:rPr>
            </w:pPr>
          </w:p>
        </w:tc>
      </w:tr>
      <w:tr w:rsidR="00E664E4" w:rsidRPr="00B56797" w:rsidTr="00FB5C20">
        <w:trPr>
          <w:trHeight w:val="285"/>
          <w:jc w:val="center"/>
        </w:trPr>
        <w:tc>
          <w:tcPr>
            <w:tcW w:w="910"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proofErr w:type="spellStart"/>
            <w:r w:rsidRPr="00B56797">
              <w:rPr>
                <w:rFonts w:ascii="Calibri" w:eastAsia="Times New Roman" w:hAnsi="Calibri" w:cs="Times New Roman"/>
                <w:color w:val="000000"/>
                <w:sz w:val="20"/>
                <w:szCs w:val="20"/>
              </w:rPr>
              <w:t>Xss</w:t>
            </w:r>
            <w:proofErr w:type="spellEnd"/>
            <w:r w:rsidRPr="00B56797">
              <w:rPr>
                <w:rFonts w:ascii="Calibri" w:eastAsia="Times New Roman" w:hAnsi="Calibri" w:cs="Times New Roman"/>
                <w:color w:val="000000"/>
                <w:sz w:val="20"/>
                <w:szCs w:val="20"/>
              </w:rPr>
              <w:t>(251)</w:t>
            </w:r>
          </w:p>
        </w:tc>
        <w:tc>
          <w:tcPr>
            <w:tcW w:w="814"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54</w:t>
            </w:r>
          </w:p>
        </w:tc>
        <w:tc>
          <w:tcPr>
            <w:tcW w:w="140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sz w:val="20"/>
                <w:szCs w:val="20"/>
              </w:rPr>
            </w:pPr>
            <w:r w:rsidRPr="00B56797">
              <w:rPr>
                <w:rFonts w:ascii="Calibri" w:eastAsia="Times New Roman" w:hAnsi="Calibri" w:cs="Times New Roman"/>
                <w:sz w:val="20"/>
                <w:szCs w:val="20"/>
              </w:rPr>
              <w:t>N</w:t>
            </w:r>
            <w:r w:rsidRPr="00B56797">
              <w:rPr>
                <w:rFonts w:ascii="Calibri" w:eastAsia="Times New Roman" w:hAnsi="Calibri" w:cs="Times New Roman"/>
                <w:sz w:val="20"/>
                <w:szCs w:val="20"/>
                <w:vertAlign w:val="subscript"/>
              </w:rPr>
              <w:t>2</w:t>
            </w:r>
          </w:p>
        </w:tc>
        <w:tc>
          <w:tcPr>
            <w:tcW w:w="119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sz w:val="20"/>
                <w:szCs w:val="20"/>
              </w:rPr>
            </w:pPr>
            <w:r w:rsidRPr="00B56797">
              <w:rPr>
                <w:rFonts w:ascii="Calibri" w:eastAsia="Times New Roman" w:hAnsi="Calibri" w:cs="Times New Roman"/>
                <w:sz w:val="20"/>
                <w:szCs w:val="20"/>
              </w:rPr>
              <w:t>2</w:t>
            </w:r>
          </w:p>
        </w:tc>
        <w:tc>
          <w:tcPr>
            <w:tcW w:w="3982" w:type="dxa"/>
            <w:vMerge/>
            <w:tcBorders>
              <w:top w:val="nil"/>
              <w:left w:val="nil"/>
              <w:bottom w:val="single" w:sz="8" w:space="0" w:color="000000"/>
              <w:right w:val="nil"/>
            </w:tcBorders>
            <w:vAlign w:val="center"/>
            <w:hideMark/>
          </w:tcPr>
          <w:p w:rsidR="00E664E4" w:rsidRPr="00B56797" w:rsidRDefault="00E664E4" w:rsidP="003D664B">
            <w:pPr>
              <w:spacing w:after="0" w:line="240" w:lineRule="auto"/>
              <w:rPr>
                <w:rFonts w:ascii="Calibri" w:eastAsia="Times New Roman" w:hAnsi="Calibri" w:cs="Times New Roman"/>
                <w:color w:val="000000"/>
                <w:sz w:val="20"/>
                <w:szCs w:val="20"/>
              </w:rPr>
            </w:pPr>
          </w:p>
        </w:tc>
      </w:tr>
      <w:tr w:rsidR="00E664E4" w:rsidRPr="00B56797" w:rsidTr="00FB5C20">
        <w:trPr>
          <w:trHeight w:val="285"/>
          <w:jc w:val="center"/>
        </w:trPr>
        <w:tc>
          <w:tcPr>
            <w:tcW w:w="910"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proofErr w:type="spellStart"/>
            <w:r w:rsidRPr="00B56797">
              <w:rPr>
                <w:rFonts w:ascii="Calibri" w:eastAsia="Times New Roman" w:hAnsi="Calibri" w:cs="Times New Roman"/>
                <w:color w:val="000000"/>
                <w:sz w:val="20"/>
                <w:szCs w:val="20"/>
              </w:rPr>
              <w:t>Xss</w:t>
            </w:r>
            <w:proofErr w:type="spellEnd"/>
            <w:r w:rsidRPr="00B56797">
              <w:rPr>
                <w:rFonts w:ascii="Calibri" w:eastAsia="Times New Roman" w:hAnsi="Calibri" w:cs="Times New Roman"/>
                <w:color w:val="000000"/>
                <w:sz w:val="20"/>
                <w:szCs w:val="20"/>
              </w:rPr>
              <w:t>(257)</w:t>
            </w:r>
          </w:p>
        </w:tc>
        <w:tc>
          <w:tcPr>
            <w:tcW w:w="814"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55</w:t>
            </w:r>
          </w:p>
        </w:tc>
        <w:tc>
          <w:tcPr>
            <w:tcW w:w="140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sz w:val="20"/>
                <w:szCs w:val="20"/>
              </w:rPr>
            </w:pPr>
            <w:r w:rsidRPr="00B56797">
              <w:rPr>
                <w:rFonts w:ascii="Calibri" w:eastAsia="Times New Roman" w:hAnsi="Calibri" w:cs="Times New Roman"/>
                <w:sz w:val="20"/>
                <w:szCs w:val="20"/>
              </w:rPr>
              <w:t>N</w:t>
            </w:r>
            <w:r w:rsidRPr="00B56797">
              <w:rPr>
                <w:rFonts w:ascii="Calibri" w:eastAsia="Times New Roman" w:hAnsi="Calibri" w:cs="Times New Roman"/>
                <w:sz w:val="20"/>
                <w:szCs w:val="20"/>
                <w:vertAlign w:val="subscript"/>
              </w:rPr>
              <w:t>2</w:t>
            </w:r>
          </w:p>
        </w:tc>
        <w:tc>
          <w:tcPr>
            <w:tcW w:w="1192" w:type="dxa"/>
            <w:tcBorders>
              <w:top w:val="nil"/>
              <w:left w:val="nil"/>
              <w:bottom w:val="nil"/>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sz w:val="20"/>
                <w:szCs w:val="20"/>
              </w:rPr>
            </w:pPr>
            <w:r w:rsidRPr="00B56797">
              <w:rPr>
                <w:rFonts w:ascii="Calibri" w:eastAsia="Times New Roman" w:hAnsi="Calibri" w:cs="Times New Roman"/>
                <w:sz w:val="20"/>
                <w:szCs w:val="20"/>
              </w:rPr>
              <w:t>2</w:t>
            </w:r>
          </w:p>
        </w:tc>
        <w:tc>
          <w:tcPr>
            <w:tcW w:w="3982" w:type="dxa"/>
            <w:vMerge/>
            <w:tcBorders>
              <w:top w:val="nil"/>
              <w:left w:val="nil"/>
              <w:bottom w:val="single" w:sz="8" w:space="0" w:color="000000"/>
              <w:right w:val="nil"/>
            </w:tcBorders>
            <w:vAlign w:val="center"/>
            <w:hideMark/>
          </w:tcPr>
          <w:p w:rsidR="00E664E4" w:rsidRPr="00B56797" w:rsidRDefault="00E664E4" w:rsidP="003D664B">
            <w:pPr>
              <w:spacing w:after="0" w:line="240" w:lineRule="auto"/>
              <w:rPr>
                <w:rFonts w:ascii="Calibri" w:eastAsia="Times New Roman" w:hAnsi="Calibri" w:cs="Times New Roman"/>
                <w:color w:val="000000"/>
                <w:sz w:val="20"/>
                <w:szCs w:val="20"/>
              </w:rPr>
            </w:pPr>
          </w:p>
        </w:tc>
      </w:tr>
      <w:tr w:rsidR="00E664E4" w:rsidRPr="00B56797" w:rsidTr="00FB5C20">
        <w:trPr>
          <w:trHeight w:val="300"/>
          <w:jc w:val="center"/>
        </w:trPr>
        <w:tc>
          <w:tcPr>
            <w:tcW w:w="910" w:type="dxa"/>
            <w:tcBorders>
              <w:top w:val="nil"/>
              <w:left w:val="nil"/>
              <w:bottom w:val="single" w:sz="8" w:space="0" w:color="auto"/>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proofErr w:type="spellStart"/>
            <w:r w:rsidRPr="00B56797">
              <w:rPr>
                <w:rFonts w:ascii="Calibri" w:eastAsia="Times New Roman" w:hAnsi="Calibri" w:cs="Times New Roman"/>
                <w:color w:val="000000"/>
                <w:sz w:val="20"/>
                <w:szCs w:val="20"/>
              </w:rPr>
              <w:t>Xss</w:t>
            </w:r>
            <w:proofErr w:type="spellEnd"/>
            <w:r w:rsidRPr="00B56797">
              <w:rPr>
                <w:rFonts w:ascii="Calibri" w:eastAsia="Times New Roman" w:hAnsi="Calibri" w:cs="Times New Roman"/>
                <w:color w:val="000000"/>
                <w:sz w:val="20"/>
                <w:szCs w:val="20"/>
              </w:rPr>
              <w:t>(263)</w:t>
            </w:r>
          </w:p>
        </w:tc>
        <w:tc>
          <w:tcPr>
            <w:tcW w:w="814" w:type="dxa"/>
            <w:tcBorders>
              <w:top w:val="nil"/>
              <w:left w:val="nil"/>
              <w:bottom w:val="single" w:sz="8" w:space="0" w:color="auto"/>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color w:val="000000"/>
                <w:sz w:val="20"/>
                <w:szCs w:val="20"/>
              </w:rPr>
            </w:pPr>
            <w:r w:rsidRPr="00B56797">
              <w:rPr>
                <w:rFonts w:ascii="Calibri" w:eastAsia="Times New Roman" w:hAnsi="Calibri" w:cs="Times New Roman"/>
                <w:color w:val="000000"/>
                <w:sz w:val="20"/>
                <w:szCs w:val="20"/>
              </w:rPr>
              <w:t>56</w:t>
            </w:r>
          </w:p>
        </w:tc>
        <w:tc>
          <w:tcPr>
            <w:tcW w:w="1402" w:type="dxa"/>
            <w:tcBorders>
              <w:top w:val="nil"/>
              <w:left w:val="nil"/>
              <w:bottom w:val="single" w:sz="8" w:space="0" w:color="auto"/>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sz w:val="20"/>
                <w:szCs w:val="20"/>
              </w:rPr>
            </w:pPr>
            <w:r w:rsidRPr="00B56797">
              <w:rPr>
                <w:rFonts w:ascii="Calibri" w:eastAsia="Times New Roman" w:hAnsi="Calibri" w:cs="Times New Roman"/>
                <w:sz w:val="20"/>
                <w:szCs w:val="20"/>
              </w:rPr>
              <w:t>N</w:t>
            </w:r>
            <w:r w:rsidRPr="00B56797">
              <w:rPr>
                <w:rFonts w:ascii="Calibri" w:eastAsia="Times New Roman" w:hAnsi="Calibri" w:cs="Times New Roman"/>
                <w:sz w:val="20"/>
                <w:szCs w:val="20"/>
                <w:vertAlign w:val="subscript"/>
              </w:rPr>
              <w:t>2</w:t>
            </w:r>
          </w:p>
        </w:tc>
        <w:tc>
          <w:tcPr>
            <w:tcW w:w="1192" w:type="dxa"/>
            <w:tcBorders>
              <w:top w:val="nil"/>
              <w:left w:val="nil"/>
              <w:bottom w:val="single" w:sz="8" w:space="0" w:color="auto"/>
              <w:right w:val="nil"/>
            </w:tcBorders>
            <w:shd w:val="clear" w:color="auto" w:fill="auto"/>
            <w:vAlign w:val="center"/>
            <w:hideMark/>
          </w:tcPr>
          <w:p w:rsidR="00E664E4" w:rsidRPr="00B56797" w:rsidRDefault="00E664E4" w:rsidP="003D664B">
            <w:pPr>
              <w:spacing w:after="0" w:line="240" w:lineRule="auto"/>
              <w:jc w:val="center"/>
              <w:rPr>
                <w:rFonts w:ascii="Calibri" w:eastAsia="Times New Roman" w:hAnsi="Calibri" w:cs="Times New Roman"/>
                <w:sz w:val="20"/>
                <w:szCs w:val="20"/>
              </w:rPr>
            </w:pPr>
            <w:r w:rsidRPr="00B56797">
              <w:rPr>
                <w:rFonts w:ascii="Calibri" w:eastAsia="Times New Roman" w:hAnsi="Calibri" w:cs="Times New Roman"/>
                <w:sz w:val="20"/>
                <w:szCs w:val="20"/>
              </w:rPr>
              <w:t>2</w:t>
            </w:r>
          </w:p>
        </w:tc>
        <w:tc>
          <w:tcPr>
            <w:tcW w:w="3982" w:type="dxa"/>
            <w:vMerge/>
            <w:tcBorders>
              <w:top w:val="nil"/>
              <w:left w:val="nil"/>
              <w:bottom w:val="single" w:sz="8" w:space="0" w:color="000000"/>
              <w:right w:val="nil"/>
            </w:tcBorders>
            <w:vAlign w:val="center"/>
            <w:hideMark/>
          </w:tcPr>
          <w:p w:rsidR="00E664E4" w:rsidRPr="00B56797" w:rsidRDefault="00E664E4" w:rsidP="003D664B">
            <w:pPr>
              <w:spacing w:after="0" w:line="240" w:lineRule="auto"/>
              <w:rPr>
                <w:rFonts w:ascii="Calibri" w:eastAsia="Times New Roman" w:hAnsi="Calibri" w:cs="Times New Roman"/>
                <w:color w:val="000000"/>
                <w:sz w:val="20"/>
                <w:szCs w:val="20"/>
              </w:rPr>
            </w:pPr>
          </w:p>
        </w:tc>
      </w:tr>
    </w:tbl>
    <w:p w:rsidR="00E664E4" w:rsidRDefault="00E664E4" w:rsidP="00E664E4"/>
    <w:p w:rsidR="00E664E4" w:rsidRDefault="00C74C0A" w:rsidP="00E664E4">
      <w:pPr>
        <w:jc w:val="center"/>
        <w:rPr>
          <w:b/>
          <w:sz w:val="20"/>
          <w:szCs w:val="20"/>
        </w:rPr>
      </w:pPr>
      <w:r>
        <w:rPr>
          <w:b/>
          <w:noProof/>
          <w:sz w:val="20"/>
          <w:szCs w:val="20"/>
        </w:rPr>
        <w:lastRenderedPageBreak/>
        <w:drawing>
          <wp:inline distT="0" distB="0" distL="0" distR="0" wp14:anchorId="015892FA" wp14:editId="3E0B229D">
            <wp:extent cx="5943600" cy="44577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E664E4" w:rsidRDefault="00E664E4" w:rsidP="00E664E4">
      <w:pPr>
        <w:jc w:val="center"/>
        <w:rPr>
          <w:b/>
          <w:sz w:val="20"/>
          <w:szCs w:val="20"/>
        </w:rPr>
      </w:pPr>
      <w:r w:rsidRPr="00D6552F">
        <w:rPr>
          <w:b/>
          <w:sz w:val="20"/>
          <w:szCs w:val="20"/>
        </w:rPr>
        <w:t>Figure 4.</w:t>
      </w:r>
      <w:r w:rsidR="00C74C0A">
        <w:rPr>
          <w:b/>
          <w:sz w:val="20"/>
          <w:szCs w:val="20"/>
        </w:rPr>
        <w:t>2</w:t>
      </w:r>
      <w:r w:rsidRPr="00D6552F">
        <w:rPr>
          <w:b/>
          <w:sz w:val="20"/>
          <w:szCs w:val="20"/>
        </w:rPr>
        <w:t xml:space="preserve">. Scree </w:t>
      </w:r>
      <w:r>
        <w:rPr>
          <w:b/>
          <w:sz w:val="20"/>
          <w:szCs w:val="20"/>
        </w:rPr>
        <w:t>Plot of the Base C</w:t>
      </w:r>
      <w:r w:rsidRPr="00D6552F">
        <w:rPr>
          <w:b/>
          <w:sz w:val="20"/>
          <w:szCs w:val="20"/>
        </w:rPr>
        <w:t xml:space="preserve">ase </w:t>
      </w:r>
      <w:r>
        <w:rPr>
          <w:b/>
          <w:sz w:val="20"/>
          <w:szCs w:val="20"/>
        </w:rPr>
        <w:t>D</w:t>
      </w:r>
      <w:r w:rsidRPr="00D6552F">
        <w:rPr>
          <w:b/>
          <w:sz w:val="20"/>
          <w:szCs w:val="20"/>
        </w:rPr>
        <w:t xml:space="preserve">ata </w:t>
      </w:r>
      <w:r>
        <w:rPr>
          <w:b/>
          <w:sz w:val="20"/>
          <w:szCs w:val="20"/>
        </w:rPr>
        <w:t xml:space="preserve">after </w:t>
      </w:r>
      <w:r w:rsidRPr="00D6552F">
        <w:rPr>
          <w:b/>
          <w:sz w:val="20"/>
          <w:szCs w:val="20"/>
        </w:rPr>
        <w:t xml:space="preserve">the </w:t>
      </w:r>
      <w:r>
        <w:rPr>
          <w:b/>
          <w:sz w:val="20"/>
          <w:szCs w:val="20"/>
        </w:rPr>
        <w:t>A</w:t>
      </w:r>
      <w:r w:rsidRPr="00D6552F">
        <w:rPr>
          <w:b/>
          <w:sz w:val="20"/>
          <w:szCs w:val="20"/>
        </w:rPr>
        <w:t xml:space="preserve">ddition of Gaussian </w:t>
      </w:r>
      <w:r>
        <w:rPr>
          <w:b/>
          <w:sz w:val="20"/>
          <w:szCs w:val="20"/>
        </w:rPr>
        <w:t>W</w:t>
      </w:r>
      <w:r w:rsidRPr="00D6552F">
        <w:rPr>
          <w:b/>
          <w:sz w:val="20"/>
          <w:szCs w:val="20"/>
        </w:rPr>
        <w:t xml:space="preserve">hite </w:t>
      </w:r>
      <w:r>
        <w:rPr>
          <w:b/>
          <w:sz w:val="20"/>
          <w:szCs w:val="20"/>
        </w:rPr>
        <w:t>N</w:t>
      </w:r>
      <w:r w:rsidRPr="00D6552F">
        <w:rPr>
          <w:b/>
          <w:sz w:val="20"/>
          <w:szCs w:val="20"/>
        </w:rPr>
        <w:t>oise.</w:t>
      </w:r>
    </w:p>
    <w:p w:rsidR="00E664E4" w:rsidRDefault="00E664E4" w:rsidP="00E664E4">
      <w:pPr>
        <w:jc w:val="center"/>
        <w:rPr>
          <w:b/>
          <w:sz w:val="20"/>
          <w:szCs w:val="20"/>
        </w:rPr>
      </w:pPr>
    </w:p>
    <w:p w:rsidR="00E664E4" w:rsidRDefault="00E664E4" w:rsidP="00E664E4">
      <w:pPr>
        <w:jc w:val="center"/>
        <w:rPr>
          <w:b/>
          <w:sz w:val="20"/>
          <w:szCs w:val="20"/>
        </w:rPr>
      </w:pPr>
    </w:p>
    <w:p w:rsidR="00E664E4" w:rsidRDefault="00E664E4" w:rsidP="00E664E4">
      <w:pPr>
        <w:jc w:val="center"/>
        <w:rPr>
          <w:b/>
          <w:sz w:val="20"/>
          <w:szCs w:val="20"/>
        </w:rPr>
        <w:sectPr w:rsidR="00E664E4" w:rsidSect="00696884">
          <w:footerReference w:type="default" r:id="rId110"/>
          <w:pgSz w:w="12240" w:h="15840"/>
          <w:pgMar w:top="1440" w:right="1440" w:bottom="1440" w:left="1440" w:header="1440" w:footer="1440" w:gutter="0"/>
          <w:cols w:space="720"/>
          <w:docGrid w:linePitch="360"/>
        </w:sectPr>
      </w:pPr>
    </w:p>
    <w:p w:rsidR="00E664E4" w:rsidRDefault="0095728C" w:rsidP="00696884">
      <w:pPr>
        <w:jc w:val="center"/>
      </w:pPr>
      <w:r>
        <w:rPr>
          <w:noProof/>
        </w:rPr>
        <w:lastRenderedPageBreak/>
        <w:drawing>
          <wp:inline distT="0" distB="0" distL="0" distR="0" wp14:anchorId="4C3BB7CE" wp14:editId="2A0725D1">
            <wp:extent cx="8229600" cy="5029200"/>
            <wp:effectExtent l="0" t="0" r="0" b="0"/>
            <wp:docPr id="21"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229600" cy="5029200"/>
                    </a:xfrm>
                    <a:prstGeom prst="rect">
                      <a:avLst/>
                    </a:prstGeom>
                    <a:noFill/>
                    <a:ln>
                      <a:noFill/>
                    </a:ln>
                  </pic:spPr>
                </pic:pic>
              </a:graphicData>
            </a:graphic>
          </wp:inline>
        </w:drawing>
      </w:r>
    </w:p>
    <w:p w:rsidR="00E664E4" w:rsidRDefault="00185A08" w:rsidP="00E664E4">
      <w:pPr>
        <w:jc w:val="center"/>
        <w:rPr>
          <w:b/>
          <w:sz w:val="20"/>
          <w:szCs w:val="20"/>
        </w:rPr>
        <w:sectPr w:rsidR="00E664E4" w:rsidSect="00696884">
          <w:pgSz w:w="15840" w:h="12240" w:orient="landscape"/>
          <w:pgMar w:top="1440" w:right="1440" w:bottom="1440" w:left="1440" w:header="1440" w:footer="1440" w:gutter="0"/>
          <w:cols w:space="720"/>
          <w:docGrid w:linePitch="360"/>
        </w:sectPr>
      </w:pPr>
      <w:r>
        <w:rPr>
          <w:b/>
          <w:sz w:val="20"/>
          <w:szCs w:val="20"/>
        </w:rPr>
        <w:t>Figure 4.3</w:t>
      </w:r>
      <w:r w:rsidR="00E664E4">
        <w:rPr>
          <w:b/>
          <w:sz w:val="20"/>
          <w:szCs w:val="20"/>
        </w:rPr>
        <w:t xml:space="preserve">. </w:t>
      </w:r>
      <w:proofErr w:type="gramStart"/>
      <w:r w:rsidR="00E664E4">
        <w:rPr>
          <w:b/>
          <w:sz w:val="20"/>
          <w:szCs w:val="20"/>
        </w:rPr>
        <w:t>Base Case Loading</w:t>
      </w:r>
      <w:r w:rsidR="008205C9">
        <w:rPr>
          <w:b/>
          <w:sz w:val="20"/>
          <w:szCs w:val="20"/>
        </w:rPr>
        <w:t>s</w:t>
      </w:r>
      <w:r w:rsidR="00E664E4">
        <w:rPr>
          <w:b/>
          <w:sz w:val="20"/>
          <w:szCs w:val="20"/>
        </w:rPr>
        <w:t xml:space="preserve"> Vectors for </w:t>
      </w:r>
      <w:r w:rsidR="004E2FC0">
        <w:rPr>
          <w:b/>
          <w:sz w:val="20"/>
          <w:szCs w:val="20"/>
        </w:rPr>
        <w:t>A</w:t>
      </w:r>
      <w:r w:rsidR="00E664E4">
        <w:rPr>
          <w:b/>
          <w:sz w:val="20"/>
          <w:szCs w:val="20"/>
        </w:rPr>
        <w:t>ll State Variables</w:t>
      </w:r>
      <w:r w:rsidR="00E664E4" w:rsidRPr="00D6552F">
        <w:rPr>
          <w:b/>
          <w:sz w:val="20"/>
          <w:szCs w:val="20"/>
        </w:rPr>
        <w:t>.</w:t>
      </w:r>
      <w:proofErr w:type="gramEnd"/>
    </w:p>
    <w:p w:rsidR="0095728C" w:rsidRDefault="00E664E4" w:rsidP="00E664E4">
      <w:r>
        <w:lastRenderedPageBreak/>
        <w:t>Since Figure 4.</w:t>
      </w:r>
      <w:r w:rsidR="0095728C">
        <w:t>3</w:t>
      </w:r>
      <w:r>
        <w:t xml:space="preserve"> shows all 255 state variables for each principal component, it is very difficult to see which state variables contribute to each principal component. (Note that the variable index was preserved when the sta</w:t>
      </w:r>
      <w:r w:rsidR="0095728C">
        <w:t>te variables listed in Table 4.15</w:t>
      </w:r>
      <w:r>
        <w:t xml:space="preserve"> were removed.) Therefore, a plot of each principal component loading</w:t>
      </w:r>
      <w:r w:rsidR="008205C9">
        <w:t>s</w:t>
      </w:r>
      <w:r>
        <w:t xml:space="preserve"> vectors is shown below. Figure 4.</w:t>
      </w:r>
      <w:r w:rsidR="0095728C">
        <w:t>4</w:t>
      </w:r>
      <w:r>
        <w:t xml:space="preserve"> shows the bar chart of the first principal component loading</w:t>
      </w:r>
      <w:r w:rsidR="008205C9">
        <w:t>s</w:t>
      </w:r>
      <w:r>
        <w:t xml:space="preserve"> vectors for all the </w:t>
      </w:r>
      <w:r w:rsidR="007A21EF">
        <w:t xml:space="preserve">state </w:t>
      </w:r>
      <w:r>
        <w:t xml:space="preserve">variables of the base case model. </w:t>
      </w:r>
      <w:r w:rsidR="000E5ECB">
        <w:t xml:space="preserve">The heaviest contributors to PC1 are shown in Figure 4.4 in red. </w:t>
      </w:r>
      <w:r>
        <w:t>Table 4.1</w:t>
      </w:r>
      <w:r w:rsidR="0095728C">
        <w:t>6</w:t>
      </w:r>
      <w:r>
        <w:t xml:space="preserve"> provides a summary of how the primary state variables contributed to the first principal component. </w:t>
      </w:r>
    </w:p>
    <w:p w:rsidR="006848FF" w:rsidRDefault="006848FF" w:rsidP="00E664E4">
      <w:r>
        <w:t xml:space="preserve">Heavy contributors to PC1 are the input uranium feed flow rate </w:t>
      </w:r>
      <w:r w:rsidR="00BF6935">
        <w:t>[</w:t>
      </w:r>
      <w:proofErr w:type="spellStart"/>
      <w:proofErr w:type="gramStart"/>
      <w:r>
        <w:t>Xss</w:t>
      </w:r>
      <w:proofErr w:type="spellEnd"/>
      <w:r w:rsidR="00BF6935">
        <w:t>(</w:t>
      </w:r>
      <w:proofErr w:type="gramEnd"/>
      <w:r>
        <w:t>274)</w:t>
      </w:r>
      <w:r w:rsidR="00BF6935">
        <w:t>]</w:t>
      </w:r>
      <w:r>
        <w:t xml:space="preserve"> to Module 1 and the output uranium-bearing product flow rates from each of the five modules</w:t>
      </w:r>
      <w:r w:rsidR="00BF6935">
        <w:t xml:space="preserve"> [</w:t>
      </w:r>
      <w:proofErr w:type="spellStart"/>
      <w:r>
        <w:t>Xss</w:t>
      </w:r>
      <w:proofErr w:type="spellEnd"/>
      <w:r w:rsidR="00BF6935">
        <w:t>(</w:t>
      </w:r>
      <w:r>
        <w:t>64</w:t>
      </w:r>
      <w:r w:rsidR="00BF6935">
        <w:t>)</w:t>
      </w:r>
      <w:r>
        <w:t xml:space="preserve">, </w:t>
      </w:r>
      <w:proofErr w:type="spellStart"/>
      <w:r>
        <w:t>Xss</w:t>
      </w:r>
      <w:proofErr w:type="spellEnd"/>
      <w:r w:rsidR="00BF6935">
        <w:t>(</w:t>
      </w:r>
      <w:r>
        <w:t>111</w:t>
      </w:r>
      <w:r w:rsidR="00BF6935">
        <w:t>)</w:t>
      </w:r>
      <w:r>
        <w:t xml:space="preserve">, </w:t>
      </w:r>
      <w:proofErr w:type="spellStart"/>
      <w:r>
        <w:t>Xss</w:t>
      </w:r>
      <w:proofErr w:type="spellEnd"/>
      <w:r w:rsidR="00BF6935">
        <w:t>(</w:t>
      </w:r>
      <w:r>
        <w:t>163</w:t>
      </w:r>
      <w:r w:rsidR="00BF6935">
        <w:t>)</w:t>
      </w:r>
      <w:r>
        <w:t xml:space="preserve">, </w:t>
      </w:r>
      <w:proofErr w:type="spellStart"/>
      <w:r>
        <w:t>Xss</w:t>
      </w:r>
      <w:proofErr w:type="spellEnd"/>
      <w:r w:rsidR="00BF6935">
        <w:t>(</w:t>
      </w:r>
      <w:r>
        <w:t>218</w:t>
      </w:r>
      <w:r w:rsidR="00BF6935">
        <w:t>)</w:t>
      </w:r>
      <w:r>
        <w:t xml:space="preserve">, and </w:t>
      </w:r>
      <w:proofErr w:type="spellStart"/>
      <w:r>
        <w:t>Xss</w:t>
      </w:r>
      <w:proofErr w:type="spellEnd"/>
      <w:r w:rsidR="00BF6935">
        <w:t>(</w:t>
      </w:r>
      <w:r>
        <w:t>273)</w:t>
      </w:r>
      <w:r w:rsidR="00BF6935">
        <w:t>]</w:t>
      </w:r>
      <w:r>
        <w:t xml:space="preserve">. (Please refer to Figure 3.2 for a </w:t>
      </w:r>
      <w:proofErr w:type="spellStart"/>
      <w:r>
        <w:t>flowsheet</w:t>
      </w:r>
      <w:proofErr w:type="spellEnd"/>
      <w:r>
        <w:t xml:space="preserve"> of the process). </w:t>
      </w:r>
      <w:r w:rsidR="007A7FFA">
        <w:t>This correlation pattern is highly anticipated, since the molar flow rates of all uranium-bearing output streams should all be highly correlated to the main feed flow rate. This correlation pattern only became apparent after these state variable data column values were differentially weighted (as shown in Table 4.13) to exert their influence on the subsequent singular value decomposition. The internal state variables of all the modules representing the intermediate uranium-bearing flow rates contributed moderately to PC1, also as expected since these are all correlated to the product flow rates out of the modules. Since they are not differentially weighted, their contributions to PC1 are nominally lower than those representing the primary uranium-bearing product flow rates.</w:t>
      </w:r>
    </w:p>
    <w:p w:rsidR="00B7594C" w:rsidRDefault="00B7594C" w:rsidP="00B7594C">
      <w:r>
        <w:t xml:space="preserve">Figure 4.5 shows the bar chart of the second principal component loadings vectors for all the state variables of the base case model. The heaviest contributors to PC2 are shown in Figure 4.5 in red. Table 4.17 provides a summary of how the primary state variables contributed to the second principal component. </w:t>
      </w:r>
    </w:p>
    <w:p w:rsidR="00B7594C" w:rsidRDefault="00B7594C" w:rsidP="00B7594C">
      <w:r>
        <w:t>Figure 4.5 shows that PC2 mainly captures the variation of the UO</w:t>
      </w:r>
      <w:r w:rsidRPr="00BF6935">
        <w:rPr>
          <w:vertAlign w:val="subscript"/>
        </w:rPr>
        <w:t>2</w:t>
      </w:r>
      <w:r>
        <w:t xml:space="preserve"> product flow rate [</w:t>
      </w:r>
      <w:proofErr w:type="spellStart"/>
      <w:proofErr w:type="gramStart"/>
      <w:r>
        <w:t>Xss</w:t>
      </w:r>
      <w:proofErr w:type="spellEnd"/>
      <w:r>
        <w:t>(</w:t>
      </w:r>
      <w:proofErr w:type="gramEnd"/>
      <w:r>
        <w:t xml:space="preserve">219)] from Module 4, correlated with the input variable </w:t>
      </w:r>
      <m:oMath>
        <m:sSub>
          <m:sSubPr>
            <m:ctrlPr>
              <w:rPr>
                <w:rFonts w:ascii="Cambria Math" w:hAnsi="Cambria Math"/>
                <w:i/>
              </w:rPr>
            </m:ctrlPr>
          </m:sSubPr>
          <m:e>
            <m:r>
              <w:rPr>
                <w:rFonts w:ascii="Cambria Math" w:hAnsi="Cambria Math"/>
              </w:rPr>
              <m:t>α</m:t>
            </m:r>
          </m:e>
          <m:sub>
            <m:r>
              <w:rPr>
                <w:rFonts w:ascii="Cambria Math" w:hAnsi="Cambria Math"/>
              </w:rPr>
              <m:t>Mod4D</m:t>
            </m:r>
          </m:sub>
        </m:sSub>
      </m:oMath>
      <w:r>
        <w:rPr>
          <w:rFonts w:eastAsiaTheme="minorEastAsia"/>
        </w:rPr>
        <w:t xml:space="preserve"> [Xss(279)]. T</w:t>
      </w:r>
      <w:r>
        <w:t xml:space="preserve">he input variable </w:t>
      </w:r>
      <m:oMath>
        <m:sSub>
          <m:sSubPr>
            <m:ctrlPr>
              <w:rPr>
                <w:rFonts w:ascii="Cambria Math" w:hAnsi="Cambria Math"/>
                <w:i/>
              </w:rPr>
            </m:ctrlPr>
          </m:sSubPr>
          <m:e>
            <m:r>
              <w:rPr>
                <w:rFonts w:ascii="Cambria Math" w:hAnsi="Cambria Math"/>
              </w:rPr>
              <m:t>α</m:t>
            </m:r>
          </m:e>
          <m:sub>
            <m:r>
              <w:rPr>
                <w:rFonts w:ascii="Cambria Math" w:hAnsi="Cambria Math"/>
              </w:rPr>
              <m:t>Mod4D</m:t>
            </m:r>
          </m:sub>
        </m:sSub>
      </m:oMath>
      <w:r>
        <w:rPr>
          <w:rFonts w:eastAsiaTheme="minorEastAsia"/>
        </w:rPr>
        <w:t xml:space="preserve"> is a flow parameter that insures sufficient HF is fed to the hydrofluorination reaction for the conversion of UO</w:t>
      </w:r>
      <w:r w:rsidRPr="00BF6935">
        <w:rPr>
          <w:rFonts w:eastAsiaTheme="minorEastAsia"/>
          <w:vertAlign w:val="subscript"/>
        </w:rPr>
        <w:t>2</w:t>
      </w:r>
      <w:r>
        <w:rPr>
          <w:rFonts w:eastAsiaTheme="minorEastAsia"/>
        </w:rPr>
        <w:t xml:space="preserve"> to UF</w:t>
      </w:r>
      <w:r w:rsidRPr="00BF6935">
        <w:rPr>
          <w:rFonts w:eastAsiaTheme="minorEastAsia"/>
          <w:vertAlign w:val="subscript"/>
        </w:rPr>
        <w:t>4</w:t>
      </w:r>
      <w:r>
        <w:rPr>
          <w:rFonts w:eastAsiaTheme="minorEastAsia"/>
        </w:rPr>
        <w:t xml:space="preserve">. </w:t>
      </w:r>
      <w:r>
        <w:t>The UO</w:t>
      </w:r>
      <w:r w:rsidRPr="00BF6935">
        <w:rPr>
          <w:vertAlign w:val="subscript"/>
        </w:rPr>
        <w:t>2</w:t>
      </w:r>
      <w:r>
        <w:t xml:space="preserve"> product flow rate [</w:t>
      </w:r>
      <w:proofErr w:type="spellStart"/>
      <w:r>
        <w:t>Xss</w:t>
      </w:r>
      <w:proofErr w:type="spellEnd"/>
      <w:r>
        <w:t xml:space="preserve">(219)] from Module 4 is negative correlated with the input variable </w:t>
      </w:r>
      <m:oMath>
        <m:sSub>
          <m:sSubPr>
            <m:ctrlPr>
              <w:rPr>
                <w:rFonts w:ascii="Cambria Math" w:hAnsi="Cambria Math"/>
                <w:i/>
              </w:rPr>
            </m:ctrlPr>
          </m:sSubPr>
          <m:e>
            <m:r>
              <w:rPr>
                <w:rFonts w:ascii="Cambria Math" w:hAnsi="Cambria Math"/>
              </w:rPr>
              <m:t>α</m:t>
            </m:r>
          </m:e>
          <m:sub>
            <m:r>
              <w:rPr>
                <w:rFonts w:ascii="Cambria Math" w:hAnsi="Cambria Math"/>
              </w:rPr>
              <m:t>Mod4D</m:t>
            </m:r>
          </m:sub>
        </m:sSub>
      </m:oMath>
      <w:r>
        <w:rPr>
          <w:rFonts w:eastAsiaTheme="minorEastAsia"/>
        </w:rPr>
        <w:t xml:space="preserve"> [Xss(279)] because increasing that input variable causes more HF to be available for reaction which results in more UO</w:t>
      </w:r>
      <w:r w:rsidRPr="00BF6935">
        <w:rPr>
          <w:rFonts w:eastAsiaTheme="minorEastAsia"/>
          <w:vertAlign w:val="subscript"/>
        </w:rPr>
        <w:t>2</w:t>
      </w:r>
      <w:r>
        <w:rPr>
          <w:rFonts w:eastAsiaTheme="minorEastAsia"/>
        </w:rPr>
        <w:t xml:space="preserve"> being converted to UF</w:t>
      </w:r>
      <w:r w:rsidRPr="00BF6935">
        <w:rPr>
          <w:rFonts w:eastAsiaTheme="minorEastAsia"/>
          <w:vertAlign w:val="subscript"/>
        </w:rPr>
        <w:t>4</w:t>
      </w:r>
      <w:r>
        <w:rPr>
          <w:rFonts w:eastAsiaTheme="minorEastAsia"/>
        </w:rPr>
        <w:t xml:space="preserve"> therefore reducing the UO</w:t>
      </w:r>
      <w:r w:rsidRPr="00BF6935">
        <w:rPr>
          <w:rFonts w:eastAsiaTheme="minorEastAsia"/>
          <w:vertAlign w:val="subscript"/>
        </w:rPr>
        <w:t>2</w:t>
      </w:r>
      <w:r>
        <w:rPr>
          <w:rFonts w:eastAsiaTheme="minorEastAsia"/>
        </w:rPr>
        <w:t xml:space="preserve"> in the Module 4 output.</w:t>
      </w:r>
    </w:p>
    <w:p w:rsidR="006848FF" w:rsidRDefault="006848FF" w:rsidP="00E664E4"/>
    <w:p w:rsidR="006848FF" w:rsidRDefault="006848FF" w:rsidP="00E664E4"/>
    <w:p w:rsidR="00077237" w:rsidRDefault="00077237" w:rsidP="00E664E4"/>
    <w:p w:rsidR="00E664E4" w:rsidRDefault="00E664E4" w:rsidP="00E664E4"/>
    <w:p w:rsidR="00E664E4" w:rsidRDefault="00E664E4" w:rsidP="00E664E4">
      <w:pPr>
        <w:sectPr w:rsidR="00E664E4" w:rsidSect="00696884">
          <w:pgSz w:w="12240" w:h="15840"/>
          <w:pgMar w:top="1440" w:right="1440" w:bottom="1440" w:left="1440" w:header="1440" w:footer="1440" w:gutter="0"/>
          <w:cols w:space="720"/>
          <w:docGrid w:linePitch="360"/>
        </w:sectPr>
      </w:pPr>
    </w:p>
    <w:p w:rsidR="00E664E4" w:rsidRDefault="00A44143" w:rsidP="00E664E4">
      <w:pPr>
        <w:jc w:val="center"/>
      </w:pPr>
      <w:r>
        <w:rPr>
          <w:noProof/>
        </w:rPr>
        <w:lastRenderedPageBreak/>
        <w:drawing>
          <wp:inline distT="0" distB="0" distL="0" distR="0">
            <wp:extent cx="8229600" cy="5029200"/>
            <wp:effectExtent l="0" t="0" r="0" b="0"/>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229600" cy="5029200"/>
                    </a:xfrm>
                    <a:prstGeom prst="rect">
                      <a:avLst/>
                    </a:prstGeom>
                    <a:noFill/>
                    <a:ln>
                      <a:noFill/>
                    </a:ln>
                  </pic:spPr>
                </pic:pic>
              </a:graphicData>
            </a:graphic>
          </wp:inline>
        </w:drawing>
      </w:r>
    </w:p>
    <w:p w:rsidR="00E664E4" w:rsidRDefault="00E664E4" w:rsidP="00E664E4">
      <w:pPr>
        <w:jc w:val="center"/>
        <w:rPr>
          <w:b/>
          <w:sz w:val="20"/>
          <w:szCs w:val="20"/>
        </w:rPr>
      </w:pPr>
      <w:proofErr w:type="gramStart"/>
      <w:r>
        <w:rPr>
          <w:b/>
          <w:sz w:val="20"/>
          <w:szCs w:val="20"/>
        </w:rPr>
        <w:t>Figure 4.</w:t>
      </w:r>
      <w:r w:rsidR="0095728C">
        <w:rPr>
          <w:b/>
          <w:sz w:val="20"/>
          <w:szCs w:val="20"/>
        </w:rPr>
        <w:t>4</w:t>
      </w:r>
      <w:r>
        <w:rPr>
          <w:b/>
          <w:sz w:val="20"/>
          <w:szCs w:val="20"/>
        </w:rPr>
        <w:t>.</w:t>
      </w:r>
      <w:proofErr w:type="gramEnd"/>
      <w:r>
        <w:rPr>
          <w:b/>
          <w:sz w:val="20"/>
          <w:szCs w:val="20"/>
        </w:rPr>
        <w:t xml:space="preserve"> Base Case Principal Component 1 Loading</w:t>
      </w:r>
      <w:r w:rsidR="008205C9">
        <w:rPr>
          <w:b/>
          <w:sz w:val="20"/>
          <w:szCs w:val="20"/>
        </w:rPr>
        <w:t>s</w:t>
      </w:r>
      <w:r>
        <w:rPr>
          <w:b/>
          <w:sz w:val="20"/>
          <w:szCs w:val="20"/>
        </w:rPr>
        <w:t xml:space="preserve"> Vectors for </w:t>
      </w:r>
      <w:r w:rsidR="006046FE">
        <w:rPr>
          <w:b/>
          <w:sz w:val="20"/>
          <w:szCs w:val="20"/>
        </w:rPr>
        <w:t>A</w:t>
      </w:r>
      <w:r>
        <w:rPr>
          <w:b/>
          <w:sz w:val="20"/>
          <w:szCs w:val="20"/>
        </w:rPr>
        <w:t>ll State Variables</w:t>
      </w:r>
      <w:r w:rsidRPr="00D6552F">
        <w:rPr>
          <w:b/>
          <w:sz w:val="20"/>
          <w:szCs w:val="20"/>
        </w:rPr>
        <w:t>.</w:t>
      </w:r>
    </w:p>
    <w:p w:rsidR="00E664E4" w:rsidRDefault="00E664E4" w:rsidP="00E664E4">
      <w:pPr>
        <w:jc w:val="center"/>
        <w:sectPr w:rsidR="00E664E4" w:rsidSect="00696884">
          <w:pgSz w:w="15840" w:h="12240" w:orient="landscape"/>
          <w:pgMar w:top="1440" w:right="1440" w:bottom="1440" w:left="1440" w:header="1440" w:footer="1440" w:gutter="0"/>
          <w:cols w:space="720"/>
          <w:docGrid w:linePitch="360"/>
        </w:sectPr>
      </w:pPr>
    </w:p>
    <w:tbl>
      <w:tblPr>
        <w:tblW w:w="7200" w:type="dxa"/>
        <w:jc w:val="center"/>
        <w:tblLook w:val="04A0" w:firstRow="1" w:lastRow="0" w:firstColumn="1" w:lastColumn="0" w:noHBand="0" w:noVBand="1"/>
      </w:tblPr>
      <w:tblGrid>
        <w:gridCol w:w="592"/>
        <w:gridCol w:w="980"/>
        <w:gridCol w:w="924"/>
        <w:gridCol w:w="1105"/>
        <w:gridCol w:w="591"/>
        <w:gridCol w:w="979"/>
        <w:gridCol w:w="924"/>
        <w:gridCol w:w="1105"/>
      </w:tblGrid>
      <w:tr w:rsidR="00B66898" w:rsidRPr="00B66898" w:rsidTr="00B66898">
        <w:trPr>
          <w:trHeight w:val="270"/>
          <w:jc w:val="center"/>
        </w:trPr>
        <w:tc>
          <w:tcPr>
            <w:tcW w:w="5460" w:type="dxa"/>
            <w:gridSpan w:val="8"/>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lastRenderedPageBreak/>
              <w:t>Table 4.16. Primary State Variable Contributions to the First Principal Component</w:t>
            </w:r>
          </w:p>
        </w:tc>
      </w:tr>
      <w:tr w:rsidR="00B66898" w:rsidRPr="00B66898" w:rsidTr="00B66898">
        <w:trPr>
          <w:trHeight w:val="255"/>
          <w:jc w:val="center"/>
        </w:trPr>
        <w:tc>
          <w:tcPr>
            <w:tcW w:w="5460" w:type="dxa"/>
            <w:gridSpan w:val="8"/>
            <w:tcBorders>
              <w:top w:val="single" w:sz="8" w:space="0" w:color="auto"/>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Contribution</w:t>
            </w:r>
          </w:p>
        </w:tc>
      </w:tr>
      <w:tr w:rsidR="00B66898" w:rsidRPr="00B66898" w:rsidTr="00B66898">
        <w:trPr>
          <w:trHeight w:val="255"/>
          <w:jc w:val="center"/>
        </w:trPr>
        <w:tc>
          <w:tcPr>
            <w:tcW w:w="2762" w:type="dxa"/>
            <w:gridSpan w:val="4"/>
            <w:tcBorders>
              <w:top w:val="single" w:sz="4" w:space="0" w:color="auto"/>
              <w:left w:val="nil"/>
              <w:bottom w:val="nil"/>
              <w:right w:val="single" w:sz="4" w:space="0" w:color="000000"/>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Heavy</w:t>
            </w:r>
          </w:p>
        </w:tc>
        <w:tc>
          <w:tcPr>
            <w:tcW w:w="2698" w:type="dxa"/>
            <w:gridSpan w:val="4"/>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Moderate</w:t>
            </w:r>
          </w:p>
        </w:tc>
      </w:tr>
      <w:tr w:rsidR="00B66898" w:rsidRPr="00B66898" w:rsidTr="00B66898">
        <w:trPr>
          <w:trHeight w:val="255"/>
          <w:jc w:val="center"/>
        </w:trPr>
        <w:tc>
          <w:tcPr>
            <w:tcW w:w="354"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proofErr w:type="spellStart"/>
            <w:r w:rsidRPr="00B66898">
              <w:rPr>
                <w:rFonts w:ascii="Calibri" w:eastAsia="Times New Roman" w:hAnsi="Calibri" w:cs="Times New Roman"/>
                <w:b/>
                <w:bCs/>
                <w:color w:val="000000"/>
                <w:sz w:val="20"/>
                <w:szCs w:val="20"/>
              </w:rPr>
              <w:t>Xss</w:t>
            </w:r>
            <w:proofErr w:type="spellEnd"/>
          </w:p>
        </w:tc>
        <w:tc>
          <w:tcPr>
            <w:tcW w:w="716"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Module</w:t>
            </w:r>
          </w:p>
        </w:tc>
        <w:tc>
          <w:tcPr>
            <w:tcW w:w="804" w:type="dxa"/>
            <w:tcBorders>
              <w:top w:val="nil"/>
              <w:left w:val="nil"/>
              <w:bottom w:val="single" w:sz="4" w:space="0" w:color="auto"/>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Stream</w:t>
            </w:r>
          </w:p>
        </w:tc>
        <w:tc>
          <w:tcPr>
            <w:tcW w:w="888" w:type="dxa"/>
            <w:tcBorders>
              <w:top w:val="nil"/>
              <w:left w:val="nil"/>
              <w:bottom w:val="single" w:sz="4" w:space="0" w:color="auto"/>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Chemical</w:t>
            </w:r>
          </w:p>
        </w:tc>
        <w:tc>
          <w:tcPr>
            <w:tcW w:w="354"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proofErr w:type="spellStart"/>
            <w:r w:rsidRPr="00B66898">
              <w:rPr>
                <w:rFonts w:ascii="Calibri" w:eastAsia="Times New Roman" w:hAnsi="Calibri" w:cs="Times New Roman"/>
                <w:b/>
                <w:bCs/>
                <w:color w:val="000000"/>
                <w:sz w:val="20"/>
                <w:szCs w:val="20"/>
              </w:rPr>
              <w:t>Xss</w:t>
            </w:r>
            <w:proofErr w:type="spellEnd"/>
          </w:p>
        </w:tc>
        <w:tc>
          <w:tcPr>
            <w:tcW w:w="716"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Module</w:t>
            </w:r>
          </w:p>
        </w:tc>
        <w:tc>
          <w:tcPr>
            <w:tcW w:w="740" w:type="dxa"/>
            <w:tcBorders>
              <w:top w:val="nil"/>
              <w:left w:val="nil"/>
              <w:bottom w:val="single" w:sz="4" w:space="0" w:color="auto"/>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Stream</w:t>
            </w:r>
          </w:p>
        </w:tc>
        <w:tc>
          <w:tcPr>
            <w:tcW w:w="888" w:type="dxa"/>
            <w:tcBorders>
              <w:top w:val="nil"/>
              <w:left w:val="nil"/>
              <w:bottom w:val="single" w:sz="4" w:space="0" w:color="auto"/>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Chemical</w:t>
            </w:r>
          </w:p>
        </w:tc>
      </w:tr>
      <w:tr w:rsidR="00B66898" w:rsidRPr="00B66898" w:rsidTr="00B66898">
        <w:trPr>
          <w:trHeight w:val="255"/>
          <w:jc w:val="center"/>
        </w:trPr>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64</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w:t>
            </w:r>
          </w:p>
        </w:tc>
        <w:tc>
          <w:tcPr>
            <w:tcW w:w="80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12</w:t>
            </w:r>
          </w:p>
        </w:tc>
        <w:tc>
          <w:tcPr>
            <w:tcW w:w="88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UN</w:t>
            </w:r>
          </w:p>
        </w:tc>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w:t>
            </w:r>
          </w:p>
        </w:tc>
        <w:tc>
          <w:tcPr>
            <w:tcW w:w="88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UN</w:t>
            </w:r>
          </w:p>
        </w:tc>
      </w:tr>
      <w:tr w:rsidR="00B66898" w:rsidRPr="00B66898" w:rsidTr="00B66898">
        <w:trPr>
          <w:trHeight w:val="255"/>
          <w:jc w:val="center"/>
        </w:trPr>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111</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w:t>
            </w:r>
          </w:p>
        </w:tc>
        <w:tc>
          <w:tcPr>
            <w:tcW w:w="80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19</w:t>
            </w:r>
          </w:p>
        </w:tc>
        <w:tc>
          <w:tcPr>
            <w:tcW w:w="88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UN</w:t>
            </w:r>
          </w:p>
        </w:tc>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10</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w:t>
            </w:r>
          </w:p>
        </w:tc>
        <w:tc>
          <w:tcPr>
            <w:tcW w:w="88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UN</w:t>
            </w:r>
          </w:p>
        </w:tc>
      </w:tr>
      <w:tr w:rsidR="00B66898" w:rsidRPr="00B66898" w:rsidTr="00B66898">
        <w:trPr>
          <w:trHeight w:val="255"/>
          <w:jc w:val="center"/>
        </w:trPr>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163</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w:t>
            </w:r>
          </w:p>
        </w:tc>
        <w:tc>
          <w:tcPr>
            <w:tcW w:w="80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30</w:t>
            </w:r>
          </w:p>
        </w:tc>
        <w:tc>
          <w:tcPr>
            <w:tcW w:w="888"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AUC</w:t>
            </w:r>
          </w:p>
        </w:tc>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16</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w:t>
            </w:r>
          </w:p>
        </w:tc>
        <w:tc>
          <w:tcPr>
            <w:tcW w:w="88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UN</w:t>
            </w:r>
          </w:p>
        </w:tc>
      </w:tr>
      <w:tr w:rsidR="00B66898" w:rsidRPr="00B66898" w:rsidTr="00B66898">
        <w:trPr>
          <w:trHeight w:val="285"/>
          <w:jc w:val="center"/>
        </w:trPr>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218</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w:t>
            </w:r>
          </w:p>
        </w:tc>
        <w:tc>
          <w:tcPr>
            <w:tcW w:w="80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44</w:t>
            </w:r>
          </w:p>
        </w:tc>
        <w:tc>
          <w:tcPr>
            <w:tcW w:w="88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4</w:t>
            </w:r>
          </w:p>
        </w:tc>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41</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8</w:t>
            </w:r>
          </w:p>
        </w:tc>
        <w:tc>
          <w:tcPr>
            <w:tcW w:w="88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w:t>
            </w:r>
            <w:r w:rsidRPr="00B66898">
              <w:rPr>
                <w:rFonts w:ascii="Calibri" w:eastAsia="Times New Roman" w:hAnsi="Calibri" w:cs="Times New Roman"/>
                <w:sz w:val="20"/>
                <w:szCs w:val="20"/>
                <w:vertAlign w:val="subscript"/>
              </w:rPr>
              <w:t>3</w:t>
            </w:r>
            <w:r w:rsidRPr="00B66898">
              <w:rPr>
                <w:rFonts w:ascii="Calibri" w:eastAsia="Times New Roman" w:hAnsi="Calibri" w:cs="Times New Roman"/>
                <w:sz w:val="20"/>
                <w:szCs w:val="20"/>
              </w:rPr>
              <w:t>O</w:t>
            </w:r>
            <w:r w:rsidRPr="00B66898">
              <w:rPr>
                <w:rFonts w:ascii="Calibri" w:eastAsia="Times New Roman" w:hAnsi="Calibri" w:cs="Times New Roman"/>
                <w:sz w:val="20"/>
                <w:szCs w:val="20"/>
                <w:vertAlign w:val="subscript"/>
              </w:rPr>
              <w:t>8</w:t>
            </w:r>
          </w:p>
        </w:tc>
      </w:tr>
      <w:tr w:rsidR="00B66898" w:rsidRPr="00B66898" w:rsidTr="00B66898">
        <w:trPr>
          <w:trHeight w:val="285"/>
          <w:jc w:val="center"/>
        </w:trPr>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273</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80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60</w:t>
            </w:r>
          </w:p>
        </w:tc>
        <w:tc>
          <w:tcPr>
            <w:tcW w:w="88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6</w:t>
            </w:r>
          </w:p>
        </w:tc>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70</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13</w:t>
            </w:r>
          </w:p>
        </w:tc>
        <w:tc>
          <w:tcPr>
            <w:tcW w:w="88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UN</w:t>
            </w:r>
          </w:p>
        </w:tc>
      </w:tr>
      <w:tr w:rsidR="00B66898" w:rsidRPr="00B66898" w:rsidTr="00B66898">
        <w:trPr>
          <w:trHeight w:val="255"/>
          <w:jc w:val="center"/>
        </w:trPr>
        <w:tc>
          <w:tcPr>
            <w:tcW w:w="354"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274</w:t>
            </w:r>
          </w:p>
        </w:tc>
        <w:tc>
          <w:tcPr>
            <w:tcW w:w="716"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Input 1</w:t>
            </w:r>
          </w:p>
        </w:tc>
        <w:tc>
          <w:tcPr>
            <w:tcW w:w="804"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1A</w:t>
            </w:r>
          </w:p>
        </w:tc>
        <w:tc>
          <w:tcPr>
            <w:tcW w:w="888" w:type="dxa"/>
            <w:tcBorders>
              <w:top w:val="nil"/>
              <w:left w:val="nil"/>
              <w:bottom w:val="single" w:sz="4" w:space="0" w:color="auto"/>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w:t>
            </w:r>
          </w:p>
        </w:tc>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77</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14</w:t>
            </w:r>
          </w:p>
        </w:tc>
        <w:tc>
          <w:tcPr>
            <w:tcW w:w="88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UN</w:t>
            </w:r>
          </w:p>
        </w:tc>
      </w:tr>
      <w:tr w:rsidR="00B66898" w:rsidRPr="00B66898" w:rsidTr="00B66898">
        <w:trPr>
          <w:trHeight w:val="255"/>
          <w:jc w:val="center"/>
        </w:trPr>
        <w:tc>
          <w:tcPr>
            <w:tcW w:w="2762" w:type="dxa"/>
            <w:gridSpan w:val="4"/>
            <w:tcBorders>
              <w:top w:val="nil"/>
              <w:left w:val="nil"/>
              <w:bottom w:val="nil"/>
              <w:right w:val="single" w:sz="4" w:space="0" w:color="000000"/>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Slight</w:t>
            </w:r>
          </w:p>
        </w:tc>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84</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15</w:t>
            </w:r>
          </w:p>
        </w:tc>
        <w:tc>
          <w:tcPr>
            <w:tcW w:w="88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UN</w:t>
            </w:r>
          </w:p>
        </w:tc>
      </w:tr>
      <w:tr w:rsidR="00B66898" w:rsidRPr="00B66898" w:rsidTr="00B66898">
        <w:trPr>
          <w:trHeight w:val="285"/>
          <w:jc w:val="center"/>
        </w:trPr>
        <w:tc>
          <w:tcPr>
            <w:tcW w:w="354"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proofErr w:type="spellStart"/>
            <w:r w:rsidRPr="00B66898">
              <w:rPr>
                <w:rFonts w:ascii="Calibri" w:eastAsia="Times New Roman" w:hAnsi="Calibri" w:cs="Times New Roman"/>
                <w:b/>
                <w:bCs/>
                <w:color w:val="000000"/>
                <w:sz w:val="20"/>
                <w:szCs w:val="20"/>
              </w:rPr>
              <w:t>Xss</w:t>
            </w:r>
            <w:proofErr w:type="spellEnd"/>
          </w:p>
        </w:tc>
        <w:tc>
          <w:tcPr>
            <w:tcW w:w="716"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Module</w:t>
            </w:r>
          </w:p>
        </w:tc>
        <w:tc>
          <w:tcPr>
            <w:tcW w:w="804" w:type="dxa"/>
            <w:tcBorders>
              <w:top w:val="nil"/>
              <w:left w:val="nil"/>
              <w:bottom w:val="single" w:sz="4" w:space="0" w:color="auto"/>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Stream</w:t>
            </w:r>
          </w:p>
        </w:tc>
        <w:tc>
          <w:tcPr>
            <w:tcW w:w="888" w:type="dxa"/>
            <w:tcBorders>
              <w:top w:val="nil"/>
              <w:left w:val="nil"/>
              <w:bottom w:val="single" w:sz="4" w:space="0" w:color="auto"/>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Chemical</w:t>
            </w:r>
          </w:p>
        </w:tc>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92</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16</w:t>
            </w:r>
          </w:p>
        </w:tc>
        <w:tc>
          <w:tcPr>
            <w:tcW w:w="88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w:t>
            </w:r>
            <w:r w:rsidRPr="00B66898">
              <w:rPr>
                <w:rFonts w:ascii="Calibri" w:eastAsia="Times New Roman" w:hAnsi="Calibri" w:cs="Times New Roman"/>
                <w:sz w:val="20"/>
                <w:szCs w:val="20"/>
                <w:vertAlign w:val="subscript"/>
              </w:rPr>
              <w:t>3</w:t>
            </w:r>
            <w:r w:rsidRPr="00B66898">
              <w:rPr>
                <w:rFonts w:ascii="Calibri" w:eastAsia="Times New Roman" w:hAnsi="Calibri" w:cs="Times New Roman"/>
                <w:sz w:val="20"/>
                <w:szCs w:val="20"/>
              </w:rPr>
              <w:t>O</w:t>
            </w:r>
            <w:r w:rsidRPr="00B66898">
              <w:rPr>
                <w:rFonts w:ascii="Calibri" w:eastAsia="Times New Roman" w:hAnsi="Calibri" w:cs="Times New Roman"/>
                <w:sz w:val="20"/>
                <w:szCs w:val="20"/>
                <w:vertAlign w:val="subscript"/>
              </w:rPr>
              <w:t>8</w:t>
            </w:r>
          </w:p>
        </w:tc>
      </w:tr>
      <w:tr w:rsidR="00B66898" w:rsidRPr="00B66898" w:rsidTr="00B66898">
        <w:trPr>
          <w:trHeight w:val="285"/>
          <w:jc w:val="center"/>
        </w:trPr>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221</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80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45</w:t>
            </w:r>
          </w:p>
        </w:tc>
        <w:tc>
          <w:tcPr>
            <w:tcW w:w="88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4</w:t>
            </w:r>
          </w:p>
        </w:tc>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98</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17</w:t>
            </w:r>
          </w:p>
        </w:tc>
        <w:tc>
          <w:tcPr>
            <w:tcW w:w="88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UN</w:t>
            </w:r>
          </w:p>
        </w:tc>
      </w:tr>
      <w:tr w:rsidR="00B66898" w:rsidRPr="00B66898" w:rsidTr="00B66898">
        <w:trPr>
          <w:trHeight w:val="285"/>
          <w:jc w:val="center"/>
        </w:trPr>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254</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80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54</w:t>
            </w:r>
          </w:p>
        </w:tc>
        <w:tc>
          <w:tcPr>
            <w:tcW w:w="88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4</w:t>
            </w:r>
          </w:p>
        </w:tc>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123</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21</w:t>
            </w:r>
          </w:p>
        </w:tc>
        <w:tc>
          <w:tcPr>
            <w:tcW w:w="88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UN</w:t>
            </w:r>
          </w:p>
        </w:tc>
      </w:tr>
      <w:tr w:rsidR="00B66898" w:rsidRPr="00B66898" w:rsidTr="00B66898">
        <w:trPr>
          <w:trHeight w:val="285"/>
          <w:jc w:val="center"/>
        </w:trPr>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259</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80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55</w:t>
            </w:r>
          </w:p>
        </w:tc>
        <w:tc>
          <w:tcPr>
            <w:tcW w:w="88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6</w:t>
            </w:r>
          </w:p>
        </w:tc>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128</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22</w:t>
            </w:r>
          </w:p>
        </w:tc>
        <w:tc>
          <w:tcPr>
            <w:tcW w:w="88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UN</w:t>
            </w:r>
          </w:p>
        </w:tc>
      </w:tr>
      <w:tr w:rsidR="00B66898" w:rsidRPr="00B66898" w:rsidTr="00B66898">
        <w:trPr>
          <w:trHeight w:val="285"/>
          <w:jc w:val="center"/>
        </w:trPr>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265</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80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57</w:t>
            </w:r>
          </w:p>
        </w:tc>
        <w:tc>
          <w:tcPr>
            <w:tcW w:w="88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6</w:t>
            </w:r>
          </w:p>
        </w:tc>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138</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26</w:t>
            </w:r>
          </w:p>
        </w:tc>
        <w:tc>
          <w:tcPr>
            <w:tcW w:w="88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UN</w:t>
            </w:r>
          </w:p>
        </w:tc>
      </w:tr>
      <w:tr w:rsidR="00B66898" w:rsidRPr="00B66898" w:rsidTr="00B66898">
        <w:trPr>
          <w:trHeight w:val="285"/>
          <w:jc w:val="center"/>
        </w:trPr>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269</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80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58</w:t>
            </w:r>
          </w:p>
        </w:tc>
        <w:tc>
          <w:tcPr>
            <w:tcW w:w="88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4</w:t>
            </w:r>
          </w:p>
        </w:tc>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148</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27</w:t>
            </w:r>
          </w:p>
        </w:tc>
        <w:tc>
          <w:tcPr>
            <w:tcW w:w="88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AUC</w:t>
            </w:r>
          </w:p>
        </w:tc>
      </w:tr>
      <w:tr w:rsidR="00B66898" w:rsidRPr="00B66898" w:rsidTr="00B66898">
        <w:trPr>
          <w:trHeight w:val="285"/>
          <w:jc w:val="center"/>
        </w:trPr>
        <w:tc>
          <w:tcPr>
            <w:tcW w:w="354"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272</w:t>
            </w:r>
          </w:p>
        </w:tc>
        <w:tc>
          <w:tcPr>
            <w:tcW w:w="716"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804"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59</w:t>
            </w:r>
          </w:p>
        </w:tc>
        <w:tc>
          <w:tcPr>
            <w:tcW w:w="888" w:type="dxa"/>
            <w:tcBorders>
              <w:top w:val="nil"/>
              <w:left w:val="nil"/>
              <w:bottom w:val="single" w:sz="4" w:space="0" w:color="auto"/>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6</w:t>
            </w:r>
          </w:p>
        </w:tc>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159</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29</w:t>
            </w:r>
          </w:p>
        </w:tc>
        <w:tc>
          <w:tcPr>
            <w:tcW w:w="88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AUC</w:t>
            </w:r>
          </w:p>
        </w:tc>
      </w:tr>
      <w:tr w:rsidR="00B66898" w:rsidRPr="00B66898" w:rsidTr="00B66898">
        <w:trPr>
          <w:trHeight w:val="255"/>
          <w:jc w:val="center"/>
        </w:trPr>
        <w:tc>
          <w:tcPr>
            <w:tcW w:w="2762" w:type="dxa"/>
            <w:gridSpan w:val="4"/>
            <w:tcBorders>
              <w:top w:val="nil"/>
              <w:left w:val="nil"/>
              <w:bottom w:val="nil"/>
              <w:right w:val="single" w:sz="4" w:space="0" w:color="000000"/>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None</w:t>
            </w:r>
          </w:p>
        </w:tc>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169</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31</w:t>
            </w:r>
          </w:p>
        </w:tc>
        <w:tc>
          <w:tcPr>
            <w:tcW w:w="88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UN</w:t>
            </w:r>
          </w:p>
        </w:tc>
      </w:tr>
      <w:tr w:rsidR="00B66898" w:rsidRPr="00B66898" w:rsidTr="00B66898">
        <w:trPr>
          <w:trHeight w:val="285"/>
          <w:jc w:val="center"/>
        </w:trPr>
        <w:tc>
          <w:tcPr>
            <w:tcW w:w="354"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proofErr w:type="spellStart"/>
            <w:r w:rsidRPr="00B66898">
              <w:rPr>
                <w:rFonts w:ascii="Calibri" w:eastAsia="Times New Roman" w:hAnsi="Calibri" w:cs="Times New Roman"/>
                <w:b/>
                <w:bCs/>
                <w:color w:val="000000"/>
                <w:sz w:val="20"/>
                <w:szCs w:val="20"/>
              </w:rPr>
              <w:t>Xss</w:t>
            </w:r>
            <w:proofErr w:type="spellEnd"/>
          </w:p>
        </w:tc>
        <w:tc>
          <w:tcPr>
            <w:tcW w:w="716"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Module</w:t>
            </w:r>
          </w:p>
        </w:tc>
        <w:tc>
          <w:tcPr>
            <w:tcW w:w="804" w:type="dxa"/>
            <w:tcBorders>
              <w:top w:val="nil"/>
              <w:left w:val="nil"/>
              <w:bottom w:val="single" w:sz="4" w:space="0" w:color="auto"/>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Stream</w:t>
            </w:r>
          </w:p>
        </w:tc>
        <w:tc>
          <w:tcPr>
            <w:tcW w:w="888" w:type="dxa"/>
            <w:tcBorders>
              <w:top w:val="nil"/>
              <w:left w:val="nil"/>
              <w:bottom w:val="single" w:sz="4" w:space="0" w:color="auto"/>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Chemical</w:t>
            </w:r>
          </w:p>
        </w:tc>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181</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34</w:t>
            </w:r>
          </w:p>
        </w:tc>
        <w:tc>
          <w:tcPr>
            <w:tcW w:w="88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UO</w:t>
            </w:r>
            <w:r w:rsidRPr="00B66898">
              <w:rPr>
                <w:rFonts w:ascii="Calibri" w:eastAsia="Times New Roman" w:hAnsi="Calibri" w:cs="Times New Roman"/>
                <w:sz w:val="20"/>
                <w:szCs w:val="20"/>
                <w:vertAlign w:val="subscript"/>
              </w:rPr>
              <w:t>2</w:t>
            </w:r>
          </w:p>
        </w:tc>
      </w:tr>
      <w:tr w:rsidR="00B66898" w:rsidRPr="00B66898" w:rsidTr="00B66898">
        <w:trPr>
          <w:trHeight w:val="285"/>
          <w:jc w:val="center"/>
        </w:trPr>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40</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w:t>
            </w:r>
          </w:p>
        </w:tc>
        <w:tc>
          <w:tcPr>
            <w:tcW w:w="80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8</w:t>
            </w:r>
          </w:p>
        </w:tc>
        <w:tc>
          <w:tcPr>
            <w:tcW w:w="88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UN</w:t>
            </w:r>
          </w:p>
        </w:tc>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184</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35</w:t>
            </w:r>
          </w:p>
        </w:tc>
        <w:tc>
          <w:tcPr>
            <w:tcW w:w="88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UO</w:t>
            </w:r>
            <w:r w:rsidRPr="00B66898">
              <w:rPr>
                <w:rFonts w:ascii="Calibri" w:eastAsia="Times New Roman" w:hAnsi="Calibri" w:cs="Times New Roman"/>
                <w:sz w:val="20"/>
                <w:szCs w:val="20"/>
                <w:vertAlign w:val="subscript"/>
              </w:rPr>
              <w:t>2</w:t>
            </w:r>
          </w:p>
        </w:tc>
      </w:tr>
      <w:tr w:rsidR="00B66898" w:rsidRPr="00B66898" w:rsidTr="00B66898">
        <w:trPr>
          <w:trHeight w:val="285"/>
          <w:jc w:val="center"/>
        </w:trPr>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91</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w:t>
            </w:r>
          </w:p>
        </w:tc>
        <w:tc>
          <w:tcPr>
            <w:tcW w:w="80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16</w:t>
            </w:r>
          </w:p>
        </w:tc>
        <w:tc>
          <w:tcPr>
            <w:tcW w:w="88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UN</w:t>
            </w:r>
          </w:p>
        </w:tc>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198</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39</w:t>
            </w:r>
          </w:p>
        </w:tc>
        <w:tc>
          <w:tcPr>
            <w:tcW w:w="88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UO</w:t>
            </w:r>
            <w:r w:rsidRPr="00B66898">
              <w:rPr>
                <w:rFonts w:ascii="Calibri" w:eastAsia="Times New Roman" w:hAnsi="Calibri" w:cs="Times New Roman"/>
                <w:sz w:val="20"/>
                <w:szCs w:val="20"/>
                <w:vertAlign w:val="subscript"/>
              </w:rPr>
              <w:t>2</w:t>
            </w:r>
          </w:p>
        </w:tc>
      </w:tr>
      <w:tr w:rsidR="00B66898" w:rsidRPr="00B66898" w:rsidTr="00B66898">
        <w:trPr>
          <w:trHeight w:val="285"/>
          <w:jc w:val="center"/>
        </w:trPr>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117</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w:t>
            </w:r>
          </w:p>
        </w:tc>
        <w:tc>
          <w:tcPr>
            <w:tcW w:w="80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20</w:t>
            </w:r>
          </w:p>
        </w:tc>
        <w:tc>
          <w:tcPr>
            <w:tcW w:w="88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UN</w:t>
            </w:r>
          </w:p>
        </w:tc>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207</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42</w:t>
            </w:r>
          </w:p>
        </w:tc>
        <w:tc>
          <w:tcPr>
            <w:tcW w:w="88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4</w:t>
            </w:r>
          </w:p>
        </w:tc>
      </w:tr>
      <w:tr w:rsidR="00B66898" w:rsidRPr="00B66898" w:rsidTr="00B66898">
        <w:trPr>
          <w:trHeight w:val="285"/>
          <w:jc w:val="center"/>
        </w:trPr>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171</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w:t>
            </w:r>
          </w:p>
        </w:tc>
        <w:tc>
          <w:tcPr>
            <w:tcW w:w="80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31</w:t>
            </w:r>
          </w:p>
        </w:tc>
        <w:tc>
          <w:tcPr>
            <w:tcW w:w="888"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AUC</w:t>
            </w:r>
          </w:p>
        </w:tc>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214</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43</w:t>
            </w:r>
          </w:p>
        </w:tc>
        <w:tc>
          <w:tcPr>
            <w:tcW w:w="88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4</w:t>
            </w:r>
          </w:p>
        </w:tc>
      </w:tr>
      <w:tr w:rsidR="00B66898" w:rsidRPr="00B66898" w:rsidTr="00B66898">
        <w:trPr>
          <w:trHeight w:val="285"/>
          <w:jc w:val="center"/>
        </w:trPr>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208</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w:t>
            </w:r>
          </w:p>
        </w:tc>
        <w:tc>
          <w:tcPr>
            <w:tcW w:w="80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42</w:t>
            </w:r>
          </w:p>
        </w:tc>
        <w:tc>
          <w:tcPr>
            <w:tcW w:w="88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UO</w:t>
            </w:r>
            <w:r w:rsidRPr="00B66898">
              <w:rPr>
                <w:rFonts w:ascii="Calibri" w:eastAsia="Times New Roman" w:hAnsi="Calibri" w:cs="Times New Roman"/>
                <w:sz w:val="20"/>
                <w:szCs w:val="20"/>
                <w:vertAlign w:val="subscript"/>
              </w:rPr>
              <w:t>2</w:t>
            </w:r>
          </w:p>
        </w:tc>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217</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43</w:t>
            </w:r>
          </w:p>
        </w:tc>
        <w:tc>
          <w:tcPr>
            <w:tcW w:w="88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AUC</w:t>
            </w:r>
          </w:p>
        </w:tc>
      </w:tr>
      <w:tr w:rsidR="00B66898" w:rsidRPr="00B66898" w:rsidTr="00B66898">
        <w:trPr>
          <w:trHeight w:val="285"/>
          <w:jc w:val="center"/>
        </w:trPr>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215</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w:t>
            </w:r>
          </w:p>
        </w:tc>
        <w:tc>
          <w:tcPr>
            <w:tcW w:w="80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43</w:t>
            </w:r>
          </w:p>
        </w:tc>
        <w:tc>
          <w:tcPr>
            <w:tcW w:w="88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UO</w:t>
            </w:r>
            <w:r w:rsidRPr="00B66898">
              <w:rPr>
                <w:rFonts w:ascii="Calibri" w:eastAsia="Times New Roman" w:hAnsi="Calibri" w:cs="Times New Roman"/>
                <w:sz w:val="20"/>
                <w:szCs w:val="20"/>
                <w:vertAlign w:val="subscript"/>
              </w:rPr>
              <w:t>2</w:t>
            </w:r>
          </w:p>
        </w:tc>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224</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46</w:t>
            </w:r>
          </w:p>
        </w:tc>
        <w:tc>
          <w:tcPr>
            <w:tcW w:w="88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4</w:t>
            </w:r>
          </w:p>
        </w:tc>
      </w:tr>
      <w:tr w:rsidR="00B66898" w:rsidRPr="00B66898" w:rsidTr="00B66898">
        <w:trPr>
          <w:trHeight w:val="285"/>
          <w:jc w:val="center"/>
        </w:trPr>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219</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w:t>
            </w:r>
          </w:p>
        </w:tc>
        <w:tc>
          <w:tcPr>
            <w:tcW w:w="80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44</w:t>
            </w:r>
          </w:p>
        </w:tc>
        <w:tc>
          <w:tcPr>
            <w:tcW w:w="88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UO</w:t>
            </w:r>
            <w:r w:rsidRPr="00B66898">
              <w:rPr>
                <w:rFonts w:ascii="Calibri" w:eastAsia="Times New Roman" w:hAnsi="Calibri" w:cs="Times New Roman"/>
                <w:sz w:val="20"/>
                <w:szCs w:val="20"/>
                <w:vertAlign w:val="subscript"/>
              </w:rPr>
              <w:t>2</w:t>
            </w:r>
          </w:p>
        </w:tc>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230</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48</w:t>
            </w:r>
          </w:p>
        </w:tc>
        <w:tc>
          <w:tcPr>
            <w:tcW w:w="88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4</w:t>
            </w:r>
          </w:p>
        </w:tc>
      </w:tr>
      <w:tr w:rsidR="00B66898" w:rsidRPr="00B66898" w:rsidTr="00B66898">
        <w:trPr>
          <w:trHeight w:val="285"/>
          <w:jc w:val="center"/>
        </w:trPr>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222</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80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45</w:t>
            </w:r>
          </w:p>
        </w:tc>
        <w:tc>
          <w:tcPr>
            <w:tcW w:w="88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UO</w:t>
            </w:r>
            <w:r w:rsidRPr="00B66898">
              <w:rPr>
                <w:rFonts w:ascii="Calibri" w:eastAsia="Times New Roman" w:hAnsi="Calibri" w:cs="Times New Roman"/>
                <w:sz w:val="20"/>
                <w:szCs w:val="20"/>
                <w:vertAlign w:val="subscript"/>
              </w:rPr>
              <w:t>2</w:t>
            </w:r>
          </w:p>
        </w:tc>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235</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49</w:t>
            </w:r>
          </w:p>
        </w:tc>
        <w:tc>
          <w:tcPr>
            <w:tcW w:w="88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6</w:t>
            </w:r>
          </w:p>
        </w:tc>
      </w:tr>
      <w:tr w:rsidR="00B66898" w:rsidRPr="00B66898" w:rsidTr="00B66898">
        <w:trPr>
          <w:trHeight w:val="285"/>
          <w:jc w:val="center"/>
        </w:trPr>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225</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80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46</w:t>
            </w:r>
          </w:p>
        </w:tc>
        <w:tc>
          <w:tcPr>
            <w:tcW w:w="88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UO</w:t>
            </w:r>
            <w:r w:rsidRPr="00B66898">
              <w:rPr>
                <w:rFonts w:ascii="Calibri" w:eastAsia="Times New Roman" w:hAnsi="Calibri" w:cs="Times New Roman"/>
                <w:sz w:val="20"/>
                <w:szCs w:val="20"/>
                <w:vertAlign w:val="subscript"/>
              </w:rPr>
              <w:t>2</w:t>
            </w:r>
          </w:p>
        </w:tc>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239</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50</w:t>
            </w:r>
          </w:p>
        </w:tc>
        <w:tc>
          <w:tcPr>
            <w:tcW w:w="88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4</w:t>
            </w:r>
          </w:p>
        </w:tc>
      </w:tr>
      <w:tr w:rsidR="00B66898" w:rsidRPr="00B66898" w:rsidTr="00B66898">
        <w:trPr>
          <w:trHeight w:val="285"/>
          <w:jc w:val="center"/>
        </w:trPr>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240</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80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50</w:t>
            </w:r>
          </w:p>
        </w:tc>
        <w:tc>
          <w:tcPr>
            <w:tcW w:w="88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UO</w:t>
            </w:r>
            <w:r w:rsidRPr="00B66898">
              <w:rPr>
                <w:rFonts w:ascii="Calibri" w:eastAsia="Times New Roman" w:hAnsi="Calibri" w:cs="Times New Roman"/>
                <w:sz w:val="20"/>
                <w:szCs w:val="20"/>
                <w:vertAlign w:val="subscript"/>
              </w:rPr>
              <w:t>2</w:t>
            </w:r>
          </w:p>
        </w:tc>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244</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51</w:t>
            </w:r>
          </w:p>
        </w:tc>
        <w:tc>
          <w:tcPr>
            <w:tcW w:w="88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6</w:t>
            </w:r>
          </w:p>
        </w:tc>
      </w:tr>
      <w:tr w:rsidR="00B66898" w:rsidRPr="00B66898" w:rsidTr="00B66898">
        <w:trPr>
          <w:trHeight w:val="285"/>
          <w:jc w:val="center"/>
        </w:trPr>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270</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80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58</w:t>
            </w:r>
          </w:p>
        </w:tc>
        <w:tc>
          <w:tcPr>
            <w:tcW w:w="88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UO</w:t>
            </w:r>
            <w:r w:rsidRPr="00B66898">
              <w:rPr>
                <w:rFonts w:ascii="Calibri" w:eastAsia="Times New Roman" w:hAnsi="Calibri" w:cs="Times New Roman"/>
                <w:sz w:val="20"/>
                <w:szCs w:val="20"/>
                <w:vertAlign w:val="subscript"/>
              </w:rPr>
              <w:t>2</w:t>
            </w:r>
          </w:p>
        </w:tc>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246</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52</w:t>
            </w:r>
          </w:p>
        </w:tc>
        <w:tc>
          <w:tcPr>
            <w:tcW w:w="88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6</w:t>
            </w:r>
          </w:p>
        </w:tc>
      </w:tr>
      <w:tr w:rsidR="00B66898" w:rsidRPr="00B66898" w:rsidTr="00B66898">
        <w:trPr>
          <w:trHeight w:val="285"/>
          <w:jc w:val="center"/>
        </w:trPr>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275</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Input 2</w:t>
            </w:r>
          </w:p>
        </w:tc>
        <w:tc>
          <w:tcPr>
            <w:tcW w:w="80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 &amp; 5</w:t>
            </w:r>
          </w:p>
        </w:tc>
        <w:tc>
          <w:tcPr>
            <w:tcW w:w="888"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UN</w:t>
            </w:r>
          </w:p>
        </w:tc>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249</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53</w:t>
            </w:r>
          </w:p>
        </w:tc>
        <w:tc>
          <w:tcPr>
            <w:tcW w:w="88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6</w:t>
            </w:r>
          </w:p>
        </w:tc>
      </w:tr>
      <w:tr w:rsidR="00B66898" w:rsidRPr="00B66898" w:rsidTr="00B66898">
        <w:trPr>
          <w:trHeight w:val="285"/>
          <w:jc w:val="center"/>
        </w:trPr>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276</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Input 3</w:t>
            </w:r>
          </w:p>
        </w:tc>
        <w:tc>
          <w:tcPr>
            <w:tcW w:w="80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15 &amp; 16</w:t>
            </w:r>
          </w:p>
        </w:tc>
        <w:tc>
          <w:tcPr>
            <w:tcW w:w="888"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UN</w:t>
            </w:r>
          </w:p>
        </w:tc>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253</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54</w:t>
            </w:r>
          </w:p>
        </w:tc>
        <w:tc>
          <w:tcPr>
            <w:tcW w:w="88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6</w:t>
            </w:r>
          </w:p>
        </w:tc>
      </w:tr>
      <w:tr w:rsidR="00B66898" w:rsidRPr="00B66898" w:rsidTr="00B66898">
        <w:trPr>
          <w:trHeight w:val="255"/>
          <w:jc w:val="center"/>
        </w:trPr>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277</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Input 4</w:t>
            </w:r>
          </w:p>
        </w:tc>
        <w:tc>
          <w:tcPr>
            <w:tcW w:w="80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19 &amp; 20</w:t>
            </w:r>
          </w:p>
        </w:tc>
        <w:tc>
          <w:tcPr>
            <w:tcW w:w="888"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UN</w:t>
            </w:r>
          </w:p>
        </w:tc>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p>
        </w:tc>
        <w:tc>
          <w:tcPr>
            <w:tcW w:w="88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p>
        </w:tc>
      </w:tr>
      <w:tr w:rsidR="00B66898" w:rsidRPr="00B66898" w:rsidTr="00B66898">
        <w:trPr>
          <w:trHeight w:val="255"/>
          <w:jc w:val="center"/>
        </w:trPr>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278</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Input 5</w:t>
            </w:r>
          </w:p>
        </w:tc>
        <w:tc>
          <w:tcPr>
            <w:tcW w:w="80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30 &amp; 31</w:t>
            </w:r>
          </w:p>
        </w:tc>
        <w:tc>
          <w:tcPr>
            <w:tcW w:w="888"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AUC</w:t>
            </w:r>
          </w:p>
        </w:tc>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p>
        </w:tc>
        <w:tc>
          <w:tcPr>
            <w:tcW w:w="88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p>
        </w:tc>
      </w:tr>
      <w:tr w:rsidR="00B66898" w:rsidRPr="00B66898" w:rsidTr="00B66898">
        <w:trPr>
          <w:trHeight w:val="255"/>
          <w:jc w:val="center"/>
        </w:trPr>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279</w:t>
            </w: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Input 6</w:t>
            </w:r>
          </w:p>
        </w:tc>
        <w:tc>
          <w:tcPr>
            <w:tcW w:w="80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40</w:t>
            </w:r>
          </w:p>
        </w:tc>
        <w:tc>
          <w:tcPr>
            <w:tcW w:w="888"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HF</w:t>
            </w:r>
          </w:p>
        </w:tc>
        <w:tc>
          <w:tcPr>
            <w:tcW w:w="35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p>
        </w:tc>
        <w:tc>
          <w:tcPr>
            <w:tcW w:w="71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p>
        </w:tc>
        <w:tc>
          <w:tcPr>
            <w:tcW w:w="88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p>
        </w:tc>
      </w:tr>
      <w:tr w:rsidR="00B66898" w:rsidRPr="00B66898" w:rsidTr="00B66898">
        <w:trPr>
          <w:trHeight w:val="300"/>
          <w:jc w:val="center"/>
        </w:trPr>
        <w:tc>
          <w:tcPr>
            <w:tcW w:w="354" w:type="dxa"/>
            <w:tcBorders>
              <w:top w:val="nil"/>
              <w:left w:val="nil"/>
              <w:bottom w:val="single" w:sz="8"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280</w:t>
            </w:r>
          </w:p>
        </w:tc>
        <w:tc>
          <w:tcPr>
            <w:tcW w:w="716" w:type="dxa"/>
            <w:tcBorders>
              <w:top w:val="nil"/>
              <w:left w:val="nil"/>
              <w:bottom w:val="single" w:sz="8"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Input 7</w:t>
            </w:r>
          </w:p>
        </w:tc>
        <w:tc>
          <w:tcPr>
            <w:tcW w:w="804" w:type="dxa"/>
            <w:tcBorders>
              <w:top w:val="nil"/>
              <w:left w:val="nil"/>
              <w:bottom w:val="single" w:sz="8"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45</w:t>
            </w:r>
          </w:p>
        </w:tc>
        <w:tc>
          <w:tcPr>
            <w:tcW w:w="888" w:type="dxa"/>
            <w:tcBorders>
              <w:top w:val="nil"/>
              <w:left w:val="nil"/>
              <w:bottom w:val="single" w:sz="8" w:space="0" w:color="auto"/>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4</w:t>
            </w:r>
          </w:p>
        </w:tc>
        <w:tc>
          <w:tcPr>
            <w:tcW w:w="354" w:type="dxa"/>
            <w:tcBorders>
              <w:top w:val="nil"/>
              <w:left w:val="nil"/>
              <w:bottom w:val="single" w:sz="8"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 </w:t>
            </w:r>
          </w:p>
        </w:tc>
        <w:tc>
          <w:tcPr>
            <w:tcW w:w="716" w:type="dxa"/>
            <w:tcBorders>
              <w:top w:val="nil"/>
              <w:left w:val="nil"/>
              <w:bottom w:val="single" w:sz="8"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 </w:t>
            </w:r>
          </w:p>
        </w:tc>
        <w:tc>
          <w:tcPr>
            <w:tcW w:w="740" w:type="dxa"/>
            <w:tcBorders>
              <w:top w:val="nil"/>
              <w:left w:val="nil"/>
              <w:bottom w:val="single" w:sz="8"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 </w:t>
            </w:r>
          </w:p>
        </w:tc>
        <w:tc>
          <w:tcPr>
            <w:tcW w:w="888" w:type="dxa"/>
            <w:tcBorders>
              <w:top w:val="nil"/>
              <w:left w:val="nil"/>
              <w:bottom w:val="single" w:sz="8"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 </w:t>
            </w:r>
          </w:p>
        </w:tc>
      </w:tr>
    </w:tbl>
    <w:p w:rsidR="00424396" w:rsidRDefault="00424396"/>
    <w:p w:rsidR="00E664E4" w:rsidRDefault="00E664E4" w:rsidP="00E664E4"/>
    <w:p w:rsidR="00E664E4" w:rsidRDefault="00E664E4" w:rsidP="00E664E4"/>
    <w:p w:rsidR="00E664E4" w:rsidRDefault="00E664E4" w:rsidP="00E664E4">
      <w:pPr>
        <w:sectPr w:rsidR="00E664E4" w:rsidSect="00696884">
          <w:pgSz w:w="12240" w:h="15840"/>
          <w:pgMar w:top="1440" w:right="1440" w:bottom="1440" w:left="1440" w:header="1440" w:footer="1440" w:gutter="0"/>
          <w:cols w:space="720"/>
          <w:docGrid w:linePitch="360"/>
        </w:sectPr>
      </w:pPr>
    </w:p>
    <w:p w:rsidR="00E664E4" w:rsidRDefault="00A44143" w:rsidP="00E664E4">
      <w:pPr>
        <w:jc w:val="center"/>
        <w:rPr>
          <w:b/>
          <w:sz w:val="20"/>
          <w:szCs w:val="20"/>
        </w:rPr>
      </w:pPr>
      <w:r>
        <w:rPr>
          <w:b/>
          <w:noProof/>
          <w:sz w:val="20"/>
          <w:szCs w:val="20"/>
        </w:rPr>
        <w:lastRenderedPageBreak/>
        <w:drawing>
          <wp:inline distT="0" distB="0" distL="0" distR="0">
            <wp:extent cx="8229600" cy="5029200"/>
            <wp:effectExtent l="0" t="0" r="0" b="0"/>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229600" cy="5029200"/>
                    </a:xfrm>
                    <a:prstGeom prst="rect">
                      <a:avLst/>
                    </a:prstGeom>
                    <a:noFill/>
                    <a:ln>
                      <a:noFill/>
                    </a:ln>
                  </pic:spPr>
                </pic:pic>
              </a:graphicData>
            </a:graphic>
          </wp:inline>
        </w:drawing>
      </w:r>
    </w:p>
    <w:p w:rsidR="00E664E4" w:rsidRDefault="00E664E4" w:rsidP="00E664E4">
      <w:pPr>
        <w:jc w:val="center"/>
        <w:rPr>
          <w:b/>
          <w:sz w:val="20"/>
          <w:szCs w:val="20"/>
        </w:rPr>
        <w:sectPr w:rsidR="00E664E4" w:rsidSect="00696884">
          <w:pgSz w:w="15840" w:h="12240" w:orient="landscape"/>
          <w:pgMar w:top="1440" w:right="1440" w:bottom="1440" w:left="1440" w:header="1440" w:footer="1440" w:gutter="0"/>
          <w:cols w:space="720"/>
          <w:docGrid w:linePitch="360"/>
        </w:sectPr>
      </w:pPr>
      <w:proofErr w:type="gramStart"/>
      <w:r>
        <w:rPr>
          <w:b/>
          <w:sz w:val="20"/>
          <w:szCs w:val="20"/>
        </w:rPr>
        <w:t>Figure 4.</w:t>
      </w:r>
      <w:r w:rsidR="00E82366">
        <w:rPr>
          <w:b/>
          <w:sz w:val="20"/>
          <w:szCs w:val="20"/>
        </w:rPr>
        <w:t>5</w:t>
      </w:r>
      <w:r>
        <w:rPr>
          <w:b/>
          <w:sz w:val="20"/>
          <w:szCs w:val="20"/>
        </w:rPr>
        <w:t>.</w:t>
      </w:r>
      <w:proofErr w:type="gramEnd"/>
      <w:r>
        <w:rPr>
          <w:b/>
          <w:sz w:val="20"/>
          <w:szCs w:val="20"/>
        </w:rPr>
        <w:t xml:space="preserve"> Base Case Principal Component 2 Loading</w:t>
      </w:r>
      <w:r w:rsidR="008205C9">
        <w:rPr>
          <w:b/>
          <w:sz w:val="20"/>
          <w:szCs w:val="20"/>
        </w:rPr>
        <w:t>s</w:t>
      </w:r>
      <w:r>
        <w:rPr>
          <w:b/>
          <w:sz w:val="20"/>
          <w:szCs w:val="20"/>
        </w:rPr>
        <w:t xml:space="preserve"> Vectors for </w:t>
      </w:r>
      <w:r w:rsidR="006046FE">
        <w:rPr>
          <w:b/>
          <w:sz w:val="20"/>
          <w:szCs w:val="20"/>
        </w:rPr>
        <w:t>A</w:t>
      </w:r>
      <w:r>
        <w:rPr>
          <w:b/>
          <w:sz w:val="20"/>
          <w:szCs w:val="20"/>
        </w:rPr>
        <w:t>ll State Variables</w:t>
      </w:r>
      <w:r w:rsidRPr="00D6552F">
        <w:rPr>
          <w:b/>
          <w:sz w:val="20"/>
          <w:szCs w:val="20"/>
        </w:rPr>
        <w:t>.</w:t>
      </w:r>
    </w:p>
    <w:tbl>
      <w:tblPr>
        <w:tblW w:w="7200" w:type="dxa"/>
        <w:jc w:val="center"/>
        <w:tblLook w:val="04A0" w:firstRow="1" w:lastRow="0" w:firstColumn="1" w:lastColumn="0" w:noHBand="0" w:noVBand="1"/>
      </w:tblPr>
      <w:tblGrid>
        <w:gridCol w:w="592"/>
        <w:gridCol w:w="980"/>
        <w:gridCol w:w="924"/>
        <w:gridCol w:w="1105"/>
        <w:gridCol w:w="591"/>
        <w:gridCol w:w="979"/>
        <w:gridCol w:w="924"/>
        <w:gridCol w:w="1105"/>
      </w:tblGrid>
      <w:tr w:rsidR="00B66898" w:rsidRPr="00B66898" w:rsidTr="00B66898">
        <w:trPr>
          <w:trHeight w:val="255"/>
          <w:jc w:val="center"/>
        </w:trPr>
        <w:tc>
          <w:tcPr>
            <w:tcW w:w="5460" w:type="dxa"/>
            <w:gridSpan w:val="8"/>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lastRenderedPageBreak/>
              <w:t>Table 4.17. Primary State Variable Contributions to the Second Principal Component</w:t>
            </w:r>
          </w:p>
        </w:tc>
      </w:tr>
      <w:tr w:rsidR="00B66898" w:rsidRPr="00B66898" w:rsidTr="00B66898">
        <w:trPr>
          <w:trHeight w:val="255"/>
          <w:jc w:val="center"/>
        </w:trPr>
        <w:tc>
          <w:tcPr>
            <w:tcW w:w="5460" w:type="dxa"/>
            <w:gridSpan w:val="8"/>
            <w:tcBorders>
              <w:top w:val="single" w:sz="8" w:space="0" w:color="auto"/>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Contribution</w:t>
            </w:r>
          </w:p>
        </w:tc>
      </w:tr>
      <w:tr w:rsidR="00B66898" w:rsidRPr="00B66898" w:rsidTr="00B66898">
        <w:trPr>
          <w:trHeight w:val="255"/>
          <w:jc w:val="center"/>
        </w:trPr>
        <w:tc>
          <w:tcPr>
            <w:tcW w:w="2682" w:type="dxa"/>
            <w:gridSpan w:val="4"/>
            <w:tcBorders>
              <w:top w:val="single" w:sz="4" w:space="0" w:color="auto"/>
              <w:left w:val="nil"/>
              <w:bottom w:val="nil"/>
              <w:right w:val="single" w:sz="4" w:space="0" w:color="000000"/>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Heavy</w:t>
            </w:r>
          </w:p>
        </w:tc>
        <w:tc>
          <w:tcPr>
            <w:tcW w:w="2778" w:type="dxa"/>
            <w:gridSpan w:val="4"/>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None</w:t>
            </w:r>
          </w:p>
        </w:tc>
      </w:tr>
      <w:tr w:rsidR="00B66898" w:rsidRPr="00B66898" w:rsidTr="00B66898">
        <w:trPr>
          <w:trHeight w:val="255"/>
          <w:jc w:val="center"/>
        </w:trPr>
        <w:tc>
          <w:tcPr>
            <w:tcW w:w="370"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proofErr w:type="spellStart"/>
            <w:r w:rsidRPr="00B66898">
              <w:rPr>
                <w:rFonts w:ascii="Calibri" w:eastAsia="Times New Roman" w:hAnsi="Calibri" w:cs="Times New Roman"/>
                <w:b/>
                <w:bCs/>
                <w:color w:val="000000"/>
                <w:sz w:val="20"/>
                <w:szCs w:val="20"/>
              </w:rPr>
              <w:t>Xss</w:t>
            </w:r>
            <w:proofErr w:type="spellEnd"/>
          </w:p>
        </w:tc>
        <w:tc>
          <w:tcPr>
            <w:tcW w:w="748"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Module</w:t>
            </w:r>
          </w:p>
        </w:tc>
        <w:tc>
          <w:tcPr>
            <w:tcW w:w="694"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Stream</w:t>
            </w:r>
          </w:p>
        </w:tc>
        <w:tc>
          <w:tcPr>
            <w:tcW w:w="870" w:type="dxa"/>
            <w:tcBorders>
              <w:top w:val="nil"/>
              <w:left w:val="nil"/>
              <w:bottom w:val="single" w:sz="4" w:space="0" w:color="auto"/>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Chemical</w:t>
            </w:r>
          </w:p>
        </w:tc>
        <w:tc>
          <w:tcPr>
            <w:tcW w:w="370"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proofErr w:type="spellStart"/>
            <w:r w:rsidRPr="00B66898">
              <w:rPr>
                <w:rFonts w:ascii="Calibri" w:eastAsia="Times New Roman" w:hAnsi="Calibri" w:cs="Times New Roman"/>
                <w:b/>
                <w:bCs/>
                <w:color w:val="000000"/>
                <w:sz w:val="20"/>
                <w:szCs w:val="20"/>
              </w:rPr>
              <w:t>Xss</w:t>
            </w:r>
            <w:proofErr w:type="spellEnd"/>
          </w:p>
        </w:tc>
        <w:tc>
          <w:tcPr>
            <w:tcW w:w="748"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Module</w:t>
            </w:r>
          </w:p>
        </w:tc>
        <w:tc>
          <w:tcPr>
            <w:tcW w:w="732"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Stream</w:t>
            </w:r>
          </w:p>
        </w:tc>
        <w:tc>
          <w:tcPr>
            <w:tcW w:w="928"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Chemical</w:t>
            </w:r>
          </w:p>
        </w:tc>
      </w:tr>
      <w:tr w:rsidR="00B66898" w:rsidRPr="00B66898" w:rsidTr="00B66898">
        <w:trPr>
          <w:trHeight w:val="285"/>
          <w:jc w:val="center"/>
        </w:trPr>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219</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w:t>
            </w:r>
          </w:p>
        </w:tc>
        <w:tc>
          <w:tcPr>
            <w:tcW w:w="69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44</w:t>
            </w:r>
          </w:p>
        </w:tc>
        <w:tc>
          <w:tcPr>
            <w:tcW w:w="870"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UO</w:t>
            </w:r>
            <w:r w:rsidRPr="00B66898">
              <w:rPr>
                <w:rFonts w:ascii="Calibri" w:eastAsia="Times New Roman" w:hAnsi="Calibri" w:cs="Times New Roman"/>
                <w:color w:val="000000"/>
                <w:sz w:val="20"/>
                <w:szCs w:val="20"/>
                <w:vertAlign w:val="subscript"/>
              </w:rPr>
              <w:t>2</w:t>
            </w:r>
          </w:p>
        </w:tc>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w:t>
            </w:r>
          </w:p>
        </w:tc>
        <w:tc>
          <w:tcPr>
            <w:tcW w:w="732"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w:t>
            </w:r>
          </w:p>
        </w:tc>
        <w:tc>
          <w:tcPr>
            <w:tcW w:w="92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UN</w:t>
            </w:r>
          </w:p>
        </w:tc>
      </w:tr>
      <w:tr w:rsidR="00B66898" w:rsidRPr="00B66898" w:rsidTr="00B66898">
        <w:trPr>
          <w:trHeight w:val="255"/>
          <w:jc w:val="center"/>
        </w:trPr>
        <w:tc>
          <w:tcPr>
            <w:tcW w:w="370"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279</w:t>
            </w:r>
          </w:p>
        </w:tc>
        <w:tc>
          <w:tcPr>
            <w:tcW w:w="748"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Input 6</w:t>
            </w:r>
          </w:p>
        </w:tc>
        <w:tc>
          <w:tcPr>
            <w:tcW w:w="694"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40</w:t>
            </w:r>
          </w:p>
        </w:tc>
        <w:tc>
          <w:tcPr>
            <w:tcW w:w="870" w:type="dxa"/>
            <w:tcBorders>
              <w:top w:val="nil"/>
              <w:left w:val="nil"/>
              <w:bottom w:val="single" w:sz="4" w:space="0" w:color="auto"/>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HF</w:t>
            </w:r>
          </w:p>
        </w:tc>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10</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w:t>
            </w:r>
          </w:p>
        </w:tc>
        <w:tc>
          <w:tcPr>
            <w:tcW w:w="732"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w:t>
            </w:r>
          </w:p>
        </w:tc>
        <w:tc>
          <w:tcPr>
            <w:tcW w:w="92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UN</w:t>
            </w:r>
          </w:p>
        </w:tc>
      </w:tr>
      <w:tr w:rsidR="00B66898" w:rsidRPr="00B66898" w:rsidTr="00B66898">
        <w:trPr>
          <w:trHeight w:val="255"/>
          <w:jc w:val="center"/>
        </w:trPr>
        <w:tc>
          <w:tcPr>
            <w:tcW w:w="2682" w:type="dxa"/>
            <w:gridSpan w:val="4"/>
            <w:tcBorders>
              <w:top w:val="nil"/>
              <w:left w:val="nil"/>
              <w:bottom w:val="nil"/>
              <w:right w:val="single" w:sz="4" w:space="0" w:color="000000"/>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Moderate</w:t>
            </w:r>
          </w:p>
        </w:tc>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16</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w:t>
            </w:r>
          </w:p>
        </w:tc>
        <w:tc>
          <w:tcPr>
            <w:tcW w:w="732"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w:t>
            </w:r>
          </w:p>
        </w:tc>
        <w:tc>
          <w:tcPr>
            <w:tcW w:w="92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UN</w:t>
            </w:r>
          </w:p>
        </w:tc>
      </w:tr>
      <w:tr w:rsidR="00B66898" w:rsidRPr="00B66898" w:rsidTr="00B66898">
        <w:trPr>
          <w:trHeight w:val="255"/>
          <w:jc w:val="center"/>
        </w:trPr>
        <w:tc>
          <w:tcPr>
            <w:tcW w:w="370"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proofErr w:type="spellStart"/>
            <w:r w:rsidRPr="00B66898">
              <w:rPr>
                <w:rFonts w:ascii="Calibri" w:eastAsia="Times New Roman" w:hAnsi="Calibri" w:cs="Times New Roman"/>
                <w:b/>
                <w:bCs/>
                <w:color w:val="000000"/>
                <w:sz w:val="20"/>
                <w:szCs w:val="20"/>
              </w:rPr>
              <w:t>Xss</w:t>
            </w:r>
            <w:proofErr w:type="spellEnd"/>
          </w:p>
        </w:tc>
        <w:tc>
          <w:tcPr>
            <w:tcW w:w="748"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Module</w:t>
            </w:r>
          </w:p>
        </w:tc>
        <w:tc>
          <w:tcPr>
            <w:tcW w:w="694"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Stream</w:t>
            </w:r>
          </w:p>
        </w:tc>
        <w:tc>
          <w:tcPr>
            <w:tcW w:w="870" w:type="dxa"/>
            <w:tcBorders>
              <w:top w:val="nil"/>
              <w:left w:val="nil"/>
              <w:bottom w:val="single" w:sz="4" w:space="0" w:color="auto"/>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Chemical</w:t>
            </w:r>
          </w:p>
        </w:tc>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40</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w:t>
            </w:r>
          </w:p>
        </w:tc>
        <w:tc>
          <w:tcPr>
            <w:tcW w:w="732"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8</w:t>
            </w:r>
          </w:p>
        </w:tc>
        <w:tc>
          <w:tcPr>
            <w:tcW w:w="92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UN</w:t>
            </w:r>
          </w:p>
        </w:tc>
      </w:tr>
      <w:tr w:rsidR="00B66898" w:rsidRPr="00B66898" w:rsidTr="00B66898">
        <w:trPr>
          <w:trHeight w:val="285"/>
          <w:jc w:val="center"/>
        </w:trPr>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64</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w:t>
            </w:r>
          </w:p>
        </w:tc>
        <w:tc>
          <w:tcPr>
            <w:tcW w:w="69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12</w:t>
            </w:r>
          </w:p>
        </w:tc>
        <w:tc>
          <w:tcPr>
            <w:tcW w:w="870"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UN</w:t>
            </w:r>
          </w:p>
        </w:tc>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41</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w:t>
            </w:r>
          </w:p>
        </w:tc>
        <w:tc>
          <w:tcPr>
            <w:tcW w:w="732"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8</w:t>
            </w:r>
          </w:p>
        </w:tc>
        <w:tc>
          <w:tcPr>
            <w:tcW w:w="92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w:t>
            </w:r>
            <w:r w:rsidRPr="00B66898">
              <w:rPr>
                <w:rFonts w:ascii="Calibri" w:eastAsia="Times New Roman" w:hAnsi="Calibri" w:cs="Times New Roman"/>
                <w:color w:val="000000"/>
                <w:sz w:val="20"/>
                <w:szCs w:val="20"/>
                <w:vertAlign w:val="subscript"/>
              </w:rPr>
              <w:t>3</w:t>
            </w:r>
            <w:r w:rsidRPr="00B66898">
              <w:rPr>
                <w:rFonts w:ascii="Calibri" w:eastAsia="Times New Roman" w:hAnsi="Calibri" w:cs="Times New Roman"/>
                <w:color w:val="000000"/>
                <w:sz w:val="20"/>
                <w:szCs w:val="20"/>
              </w:rPr>
              <w:t>O</w:t>
            </w:r>
            <w:r w:rsidRPr="00B66898">
              <w:rPr>
                <w:rFonts w:ascii="Calibri" w:eastAsia="Times New Roman" w:hAnsi="Calibri" w:cs="Times New Roman"/>
                <w:color w:val="000000"/>
                <w:sz w:val="20"/>
                <w:szCs w:val="20"/>
                <w:vertAlign w:val="subscript"/>
              </w:rPr>
              <w:t>8</w:t>
            </w:r>
          </w:p>
        </w:tc>
      </w:tr>
      <w:tr w:rsidR="00B66898" w:rsidRPr="00B66898" w:rsidTr="00B66898">
        <w:trPr>
          <w:trHeight w:val="285"/>
          <w:jc w:val="center"/>
        </w:trPr>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208</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w:t>
            </w:r>
          </w:p>
        </w:tc>
        <w:tc>
          <w:tcPr>
            <w:tcW w:w="69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42</w:t>
            </w:r>
          </w:p>
        </w:tc>
        <w:tc>
          <w:tcPr>
            <w:tcW w:w="870"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UO</w:t>
            </w:r>
            <w:r w:rsidRPr="00B66898">
              <w:rPr>
                <w:rFonts w:ascii="Calibri" w:eastAsia="Times New Roman" w:hAnsi="Calibri" w:cs="Times New Roman"/>
                <w:color w:val="000000"/>
                <w:sz w:val="20"/>
                <w:szCs w:val="20"/>
                <w:vertAlign w:val="subscript"/>
              </w:rPr>
              <w:t>2</w:t>
            </w:r>
          </w:p>
        </w:tc>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70</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w:t>
            </w:r>
          </w:p>
        </w:tc>
        <w:tc>
          <w:tcPr>
            <w:tcW w:w="732"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13</w:t>
            </w:r>
          </w:p>
        </w:tc>
        <w:tc>
          <w:tcPr>
            <w:tcW w:w="92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UN</w:t>
            </w:r>
          </w:p>
        </w:tc>
      </w:tr>
      <w:tr w:rsidR="00B66898" w:rsidRPr="00B66898" w:rsidTr="00B66898">
        <w:trPr>
          <w:trHeight w:val="285"/>
          <w:jc w:val="center"/>
        </w:trPr>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215</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w:t>
            </w:r>
          </w:p>
        </w:tc>
        <w:tc>
          <w:tcPr>
            <w:tcW w:w="69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43</w:t>
            </w:r>
          </w:p>
        </w:tc>
        <w:tc>
          <w:tcPr>
            <w:tcW w:w="870"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UO</w:t>
            </w:r>
            <w:r w:rsidRPr="00B66898">
              <w:rPr>
                <w:rFonts w:ascii="Calibri" w:eastAsia="Times New Roman" w:hAnsi="Calibri" w:cs="Times New Roman"/>
                <w:color w:val="000000"/>
                <w:sz w:val="20"/>
                <w:szCs w:val="20"/>
                <w:vertAlign w:val="subscript"/>
              </w:rPr>
              <w:t>2</w:t>
            </w:r>
          </w:p>
        </w:tc>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77</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w:t>
            </w:r>
          </w:p>
        </w:tc>
        <w:tc>
          <w:tcPr>
            <w:tcW w:w="732"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14</w:t>
            </w:r>
          </w:p>
        </w:tc>
        <w:tc>
          <w:tcPr>
            <w:tcW w:w="92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UN</w:t>
            </w:r>
          </w:p>
        </w:tc>
      </w:tr>
      <w:tr w:rsidR="00B66898" w:rsidRPr="00B66898" w:rsidTr="00B66898">
        <w:trPr>
          <w:trHeight w:val="285"/>
          <w:jc w:val="center"/>
        </w:trPr>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218</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w:t>
            </w:r>
          </w:p>
        </w:tc>
        <w:tc>
          <w:tcPr>
            <w:tcW w:w="69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44</w:t>
            </w:r>
          </w:p>
        </w:tc>
        <w:tc>
          <w:tcPr>
            <w:tcW w:w="870"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UF</w:t>
            </w:r>
            <w:r w:rsidRPr="00B66898">
              <w:rPr>
                <w:rFonts w:ascii="Calibri" w:eastAsia="Times New Roman" w:hAnsi="Calibri" w:cs="Times New Roman"/>
                <w:color w:val="000000"/>
                <w:sz w:val="20"/>
                <w:szCs w:val="20"/>
                <w:vertAlign w:val="subscript"/>
              </w:rPr>
              <w:t>4</w:t>
            </w:r>
          </w:p>
        </w:tc>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84</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w:t>
            </w:r>
          </w:p>
        </w:tc>
        <w:tc>
          <w:tcPr>
            <w:tcW w:w="732"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15</w:t>
            </w:r>
          </w:p>
        </w:tc>
        <w:tc>
          <w:tcPr>
            <w:tcW w:w="92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UN</w:t>
            </w:r>
          </w:p>
        </w:tc>
      </w:tr>
      <w:tr w:rsidR="00B66898" w:rsidRPr="00B66898" w:rsidTr="00B66898">
        <w:trPr>
          <w:trHeight w:val="285"/>
          <w:jc w:val="center"/>
        </w:trPr>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222</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9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45</w:t>
            </w:r>
          </w:p>
        </w:tc>
        <w:tc>
          <w:tcPr>
            <w:tcW w:w="870"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UO</w:t>
            </w:r>
            <w:r w:rsidRPr="00B66898">
              <w:rPr>
                <w:rFonts w:ascii="Calibri" w:eastAsia="Times New Roman" w:hAnsi="Calibri" w:cs="Times New Roman"/>
                <w:color w:val="000000"/>
                <w:sz w:val="20"/>
                <w:szCs w:val="20"/>
                <w:vertAlign w:val="subscript"/>
              </w:rPr>
              <w:t>2</w:t>
            </w:r>
          </w:p>
        </w:tc>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91</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w:t>
            </w:r>
          </w:p>
        </w:tc>
        <w:tc>
          <w:tcPr>
            <w:tcW w:w="732"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16</w:t>
            </w:r>
          </w:p>
        </w:tc>
        <w:tc>
          <w:tcPr>
            <w:tcW w:w="92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UN</w:t>
            </w:r>
          </w:p>
        </w:tc>
      </w:tr>
      <w:tr w:rsidR="00B66898" w:rsidRPr="00B66898" w:rsidTr="00B66898">
        <w:trPr>
          <w:trHeight w:val="285"/>
          <w:jc w:val="center"/>
        </w:trPr>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225</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9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46</w:t>
            </w:r>
          </w:p>
        </w:tc>
        <w:tc>
          <w:tcPr>
            <w:tcW w:w="870"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UO</w:t>
            </w:r>
            <w:r w:rsidRPr="00B66898">
              <w:rPr>
                <w:rFonts w:ascii="Calibri" w:eastAsia="Times New Roman" w:hAnsi="Calibri" w:cs="Times New Roman"/>
                <w:color w:val="000000"/>
                <w:sz w:val="20"/>
                <w:szCs w:val="20"/>
                <w:vertAlign w:val="subscript"/>
              </w:rPr>
              <w:t>2</w:t>
            </w:r>
          </w:p>
        </w:tc>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92</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w:t>
            </w:r>
          </w:p>
        </w:tc>
        <w:tc>
          <w:tcPr>
            <w:tcW w:w="732"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16</w:t>
            </w:r>
          </w:p>
        </w:tc>
        <w:tc>
          <w:tcPr>
            <w:tcW w:w="92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w:t>
            </w:r>
            <w:r w:rsidRPr="00B66898">
              <w:rPr>
                <w:rFonts w:ascii="Calibri" w:eastAsia="Times New Roman" w:hAnsi="Calibri" w:cs="Times New Roman"/>
                <w:color w:val="000000"/>
                <w:sz w:val="20"/>
                <w:szCs w:val="20"/>
                <w:vertAlign w:val="subscript"/>
              </w:rPr>
              <w:t>3</w:t>
            </w:r>
            <w:r w:rsidRPr="00B66898">
              <w:rPr>
                <w:rFonts w:ascii="Calibri" w:eastAsia="Times New Roman" w:hAnsi="Calibri" w:cs="Times New Roman"/>
                <w:color w:val="000000"/>
                <w:sz w:val="20"/>
                <w:szCs w:val="20"/>
              </w:rPr>
              <w:t>O</w:t>
            </w:r>
            <w:r w:rsidRPr="00B66898">
              <w:rPr>
                <w:rFonts w:ascii="Calibri" w:eastAsia="Times New Roman" w:hAnsi="Calibri" w:cs="Times New Roman"/>
                <w:color w:val="000000"/>
                <w:sz w:val="20"/>
                <w:szCs w:val="20"/>
                <w:vertAlign w:val="subscript"/>
              </w:rPr>
              <w:t>8</w:t>
            </w:r>
          </w:p>
        </w:tc>
      </w:tr>
      <w:tr w:rsidR="00B66898" w:rsidRPr="00B66898" w:rsidTr="00B66898">
        <w:trPr>
          <w:trHeight w:val="285"/>
          <w:jc w:val="center"/>
        </w:trPr>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240</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9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50</w:t>
            </w:r>
          </w:p>
        </w:tc>
        <w:tc>
          <w:tcPr>
            <w:tcW w:w="870"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UO</w:t>
            </w:r>
            <w:r w:rsidRPr="00B66898">
              <w:rPr>
                <w:rFonts w:ascii="Calibri" w:eastAsia="Times New Roman" w:hAnsi="Calibri" w:cs="Times New Roman"/>
                <w:color w:val="000000"/>
                <w:sz w:val="20"/>
                <w:szCs w:val="20"/>
                <w:vertAlign w:val="subscript"/>
              </w:rPr>
              <w:t>2</w:t>
            </w:r>
          </w:p>
        </w:tc>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98</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w:t>
            </w:r>
          </w:p>
        </w:tc>
        <w:tc>
          <w:tcPr>
            <w:tcW w:w="732"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17</w:t>
            </w:r>
          </w:p>
        </w:tc>
        <w:tc>
          <w:tcPr>
            <w:tcW w:w="92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UN</w:t>
            </w:r>
          </w:p>
        </w:tc>
      </w:tr>
      <w:tr w:rsidR="00B66898" w:rsidRPr="00B66898" w:rsidTr="00B66898">
        <w:trPr>
          <w:trHeight w:val="285"/>
          <w:jc w:val="center"/>
        </w:trPr>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270</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9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58</w:t>
            </w:r>
          </w:p>
        </w:tc>
        <w:tc>
          <w:tcPr>
            <w:tcW w:w="870"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UO</w:t>
            </w:r>
            <w:r w:rsidRPr="00B66898">
              <w:rPr>
                <w:rFonts w:ascii="Calibri" w:eastAsia="Times New Roman" w:hAnsi="Calibri" w:cs="Times New Roman"/>
                <w:color w:val="000000"/>
                <w:sz w:val="20"/>
                <w:szCs w:val="20"/>
                <w:vertAlign w:val="subscript"/>
              </w:rPr>
              <w:t>2</w:t>
            </w:r>
          </w:p>
        </w:tc>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117</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w:t>
            </w:r>
          </w:p>
        </w:tc>
        <w:tc>
          <w:tcPr>
            <w:tcW w:w="732"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20</w:t>
            </w:r>
          </w:p>
        </w:tc>
        <w:tc>
          <w:tcPr>
            <w:tcW w:w="92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UN</w:t>
            </w:r>
          </w:p>
        </w:tc>
      </w:tr>
      <w:tr w:rsidR="00B66898" w:rsidRPr="00B66898" w:rsidTr="00B66898">
        <w:trPr>
          <w:trHeight w:val="285"/>
          <w:jc w:val="center"/>
        </w:trPr>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273</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9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60</w:t>
            </w:r>
          </w:p>
        </w:tc>
        <w:tc>
          <w:tcPr>
            <w:tcW w:w="870"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UF</w:t>
            </w:r>
            <w:r w:rsidRPr="00B66898">
              <w:rPr>
                <w:rFonts w:ascii="Calibri" w:eastAsia="Times New Roman" w:hAnsi="Calibri" w:cs="Times New Roman"/>
                <w:color w:val="000000"/>
                <w:sz w:val="20"/>
                <w:szCs w:val="20"/>
                <w:vertAlign w:val="subscript"/>
              </w:rPr>
              <w:t>6</w:t>
            </w:r>
          </w:p>
        </w:tc>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123</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w:t>
            </w:r>
          </w:p>
        </w:tc>
        <w:tc>
          <w:tcPr>
            <w:tcW w:w="732"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21</w:t>
            </w:r>
          </w:p>
        </w:tc>
        <w:tc>
          <w:tcPr>
            <w:tcW w:w="92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UN</w:t>
            </w:r>
          </w:p>
        </w:tc>
      </w:tr>
      <w:tr w:rsidR="00B66898" w:rsidRPr="00B66898" w:rsidTr="00B66898">
        <w:trPr>
          <w:trHeight w:val="255"/>
          <w:jc w:val="center"/>
        </w:trPr>
        <w:tc>
          <w:tcPr>
            <w:tcW w:w="370"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274</w:t>
            </w:r>
          </w:p>
        </w:tc>
        <w:tc>
          <w:tcPr>
            <w:tcW w:w="748"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Input 1</w:t>
            </w:r>
          </w:p>
        </w:tc>
        <w:tc>
          <w:tcPr>
            <w:tcW w:w="694"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1A</w:t>
            </w:r>
          </w:p>
        </w:tc>
        <w:tc>
          <w:tcPr>
            <w:tcW w:w="870" w:type="dxa"/>
            <w:tcBorders>
              <w:top w:val="nil"/>
              <w:left w:val="nil"/>
              <w:bottom w:val="single" w:sz="4" w:space="0" w:color="auto"/>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w:t>
            </w:r>
          </w:p>
        </w:tc>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128</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w:t>
            </w:r>
          </w:p>
        </w:tc>
        <w:tc>
          <w:tcPr>
            <w:tcW w:w="732"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22</w:t>
            </w:r>
          </w:p>
        </w:tc>
        <w:tc>
          <w:tcPr>
            <w:tcW w:w="92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UN</w:t>
            </w:r>
          </w:p>
        </w:tc>
      </w:tr>
      <w:tr w:rsidR="00B66898" w:rsidRPr="00B66898" w:rsidTr="00B66898">
        <w:trPr>
          <w:trHeight w:val="255"/>
          <w:jc w:val="center"/>
        </w:trPr>
        <w:tc>
          <w:tcPr>
            <w:tcW w:w="2682" w:type="dxa"/>
            <w:gridSpan w:val="4"/>
            <w:tcBorders>
              <w:top w:val="single" w:sz="4" w:space="0" w:color="auto"/>
              <w:left w:val="nil"/>
              <w:bottom w:val="nil"/>
              <w:right w:val="single" w:sz="4" w:space="0" w:color="000000"/>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Slight</w:t>
            </w:r>
          </w:p>
        </w:tc>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138</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w:t>
            </w:r>
          </w:p>
        </w:tc>
        <w:tc>
          <w:tcPr>
            <w:tcW w:w="732"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26</w:t>
            </w:r>
          </w:p>
        </w:tc>
        <w:tc>
          <w:tcPr>
            <w:tcW w:w="92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UN</w:t>
            </w:r>
          </w:p>
        </w:tc>
      </w:tr>
      <w:tr w:rsidR="00B66898" w:rsidRPr="00B66898" w:rsidTr="00B66898">
        <w:trPr>
          <w:trHeight w:val="255"/>
          <w:jc w:val="center"/>
        </w:trPr>
        <w:tc>
          <w:tcPr>
            <w:tcW w:w="370"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proofErr w:type="spellStart"/>
            <w:r w:rsidRPr="00B66898">
              <w:rPr>
                <w:rFonts w:ascii="Calibri" w:eastAsia="Times New Roman" w:hAnsi="Calibri" w:cs="Times New Roman"/>
                <w:b/>
                <w:bCs/>
                <w:color w:val="000000"/>
                <w:sz w:val="20"/>
                <w:szCs w:val="20"/>
              </w:rPr>
              <w:t>Xss</w:t>
            </w:r>
            <w:proofErr w:type="spellEnd"/>
          </w:p>
        </w:tc>
        <w:tc>
          <w:tcPr>
            <w:tcW w:w="748"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Module</w:t>
            </w:r>
          </w:p>
        </w:tc>
        <w:tc>
          <w:tcPr>
            <w:tcW w:w="694"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Stream</w:t>
            </w:r>
          </w:p>
        </w:tc>
        <w:tc>
          <w:tcPr>
            <w:tcW w:w="870" w:type="dxa"/>
            <w:tcBorders>
              <w:top w:val="nil"/>
              <w:left w:val="nil"/>
              <w:bottom w:val="single" w:sz="4" w:space="0" w:color="auto"/>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Chemical</w:t>
            </w:r>
          </w:p>
        </w:tc>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148</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w:t>
            </w:r>
          </w:p>
        </w:tc>
        <w:tc>
          <w:tcPr>
            <w:tcW w:w="732"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27</w:t>
            </w:r>
          </w:p>
        </w:tc>
        <w:tc>
          <w:tcPr>
            <w:tcW w:w="92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AUC</w:t>
            </w:r>
          </w:p>
        </w:tc>
      </w:tr>
      <w:tr w:rsidR="00B66898" w:rsidRPr="00B66898" w:rsidTr="00B66898">
        <w:trPr>
          <w:trHeight w:val="255"/>
          <w:jc w:val="center"/>
        </w:trPr>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111</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w:t>
            </w:r>
          </w:p>
        </w:tc>
        <w:tc>
          <w:tcPr>
            <w:tcW w:w="69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19</w:t>
            </w:r>
          </w:p>
        </w:tc>
        <w:tc>
          <w:tcPr>
            <w:tcW w:w="870"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UN</w:t>
            </w:r>
          </w:p>
        </w:tc>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159</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w:t>
            </w:r>
          </w:p>
        </w:tc>
        <w:tc>
          <w:tcPr>
            <w:tcW w:w="732"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29</w:t>
            </w:r>
          </w:p>
        </w:tc>
        <w:tc>
          <w:tcPr>
            <w:tcW w:w="92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AUC</w:t>
            </w:r>
          </w:p>
        </w:tc>
      </w:tr>
      <w:tr w:rsidR="00B66898" w:rsidRPr="00B66898" w:rsidTr="00B66898">
        <w:trPr>
          <w:trHeight w:val="255"/>
          <w:jc w:val="center"/>
        </w:trPr>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163</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w:t>
            </w:r>
          </w:p>
        </w:tc>
        <w:tc>
          <w:tcPr>
            <w:tcW w:w="69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30</w:t>
            </w:r>
          </w:p>
        </w:tc>
        <w:tc>
          <w:tcPr>
            <w:tcW w:w="870"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AUC</w:t>
            </w:r>
          </w:p>
        </w:tc>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169</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w:t>
            </w:r>
          </w:p>
        </w:tc>
        <w:tc>
          <w:tcPr>
            <w:tcW w:w="732"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31</w:t>
            </w:r>
          </w:p>
        </w:tc>
        <w:tc>
          <w:tcPr>
            <w:tcW w:w="92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UN</w:t>
            </w:r>
          </w:p>
        </w:tc>
      </w:tr>
      <w:tr w:rsidR="00B66898" w:rsidRPr="00B66898" w:rsidTr="00B66898">
        <w:trPr>
          <w:trHeight w:val="285"/>
          <w:jc w:val="center"/>
        </w:trPr>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207</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w:t>
            </w:r>
          </w:p>
        </w:tc>
        <w:tc>
          <w:tcPr>
            <w:tcW w:w="69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42</w:t>
            </w:r>
          </w:p>
        </w:tc>
        <w:tc>
          <w:tcPr>
            <w:tcW w:w="870"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UF</w:t>
            </w:r>
            <w:r w:rsidRPr="00B66898">
              <w:rPr>
                <w:rFonts w:ascii="Calibri" w:eastAsia="Times New Roman" w:hAnsi="Calibri" w:cs="Times New Roman"/>
                <w:color w:val="000000"/>
                <w:sz w:val="20"/>
                <w:szCs w:val="20"/>
                <w:vertAlign w:val="subscript"/>
              </w:rPr>
              <w:t>4</w:t>
            </w:r>
          </w:p>
        </w:tc>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171</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w:t>
            </w:r>
          </w:p>
        </w:tc>
        <w:tc>
          <w:tcPr>
            <w:tcW w:w="732"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31</w:t>
            </w:r>
          </w:p>
        </w:tc>
        <w:tc>
          <w:tcPr>
            <w:tcW w:w="92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AUC</w:t>
            </w:r>
          </w:p>
        </w:tc>
      </w:tr>
      <w:tr w:rsidR="00B66898" w:rsidRPr="00B66898" w:rsidTr="00B66898">
        <w:trPr>
          <w:trHeight w:val="285"/>
          <w:jc w:val="center"/>
        </w:trPr>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214</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w:t>
            </w:r>
          </w:p>
        </w:tc>
        <w:tc>
          <w:tcPr>
            <w:tcW w:w="69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43</w:t>
            </w:r>
          </w:p>
        </w:tc>
        <w:tc>
          <w:tcPr>
            <w:tcW w:w="870"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UF</w:t>
            </w:r>
            <w:r w:rsidRPr="00B66898">
              <w:rPr>
                <w:rFonts w:ascii="Calibri" w:eastAsia="Times New Roman" w:hAnsi="Calibri" w:cs="Times New Roman"/>
                <w:color w:val="000000"/>
                <w:sz w:val="20"/>
                <w:szCs w:val="20"/>
                <w:vertAlign w:val="subscript"/>
              </w:rPr>
              <w:t>4</w:t>
            </w:r>
          </w:p>
        </w:tc>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181</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w:t>
            </w:r>
          </w:p>
        </w:tc>
        <w:tc>
          <w:tcPr>
            <w:tcW w:w="732"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34</w:t>
            </w:r>
          </w:p>
        </w:tc>
        <w:tc>
          <w:tcPr>
            <w:tcW w:w="92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UO</w:t>
            </w:r>
            <w:r w:rsidRPr="00B66898">
              <w:rPr>
                <w:rFonts w:ascii="Calibri" w:eastAsia="Times New Roman" w:hAnsi="Calibri" w:cs="Times New Roman"/>
                <w:color w:val="000000"/>
                <w:sz w:val="20"/>
                <w:szCs w:val="20"/>
                <w:vertAlign w:val="subscript"/>
              </w:rPr>
              <w:t>2</w:t>
            </w:r>
          </w:p>
        </w:tc>
      </w:tr>
      <w:tr w:rsidR="00B66898" w:rsidRPr="00B66898" w:rsidTr="00B66898">
        <w:trPr>
          <w:trHeight w:val="285"/>
          <w:jc w:val="center"/>
        </w:trPr>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221</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9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45</w:t>
            </w:r>
          </w:p>
        </w:tc>
        <w:tc>
          <w:tcPr>
            <w:tcW w:w="870"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UF</w:t>
            </w:r>
            <w:r w:rsidRPr="00B66898">
              <w:rPr>
                <w:rFonts w:ascii="Calibri" w:eastAsia="Times New Roman" w:hAnsi="Calibri" w:cs="Times New Roman"/>
                <w:color w:val="000000"/>
                <w:sz w:val="20"/>
                <w:szCs w:val="20"/>
                <w:vertAlign w:val="subscript"/>
              </w:rPr>
              <w:t>4</w:t>
            </w:r>
          </w:p>
        </w:tc>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184</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w:t>
            </w:r>
          </w:p>
        </w:tc>
        <w:tc>
          <w:tcPr>
            <w:tcW w:w="732"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35</w:t>
            </w:r>
          </w:p>
        </w:tc>
        <w:tc>
          <w:tcPr>
            <w:tcW w:w="92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UO</w:t>
            </w:r>
            <w:r w:rsidRPr="00B66898">
              <w:rPr>
                <w:rFonts w:ascii="Calibri" w:eastAsia="Times New Roman" w:hAnsi="Calibri" w:cs="Times New Roman"/>
                <w:color w:val="000000"/>
                <w:sz w:val="20"/>
                <w:szCs w:val="20"/>
                <w:vertAlign w:val="subscript"/>
              </w:rPr>
              <w:t>2</w:t>
            </w:r>
          </w:p>
        </w:tc>
      </w:tr>
      <w:tr w:rsidR="00B66898" w:rsidRPr="00B66898" w:rsidTr="00B66898">
        <w:trPr>
          <w:trHeight w:val="285"/>
          <w:jc w:val="center"/>
        </w:trPr>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224</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9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46</w:t>
            </w:r>
          </w:p>
        </w:tc>
        <w:tc>
          <w:tcPr>
            <w:tcW w:w="870"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UF</w:t>
            </w:r>
            <w:r w:rsidRPr="00B66898">
              <w:rPr>
                <w:rFonts w:ascii="Calibri" w:eastAsia="Times New Roman" w:hAnsi="Calibri" w:cs="Times New Roman"/>
                <w:color w:val="000000"/>
                <w:sz w:val="20"/>
                <w:szCs w:val="20"/>
                <w:vertAlign w:val="subscript"/>
              </w:rPr>
              <w:t>4</w:t>
            </w:r>
          </w:p>
        </w:tc>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198</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w:t>
            </w:r>
          </w:p>
        </w:tc>
        <w:tc>
          <w:tcPr>
            <w:tcW w:w="732"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39</w:t>
            </w:r>
          </w:p>
        </w:tc>
        <w:tc>
          <w:tcPr>
            <w:tcW w:w="92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UO</w:t>
            </w:r>
            <w:r w:rsidRPr="00B66898">
              <w:rPr>
                <w:rFonts w:ascii="Calibri" w:eastAsia="Times New Roman" w:hAnsi="Calibri" w:cs="Times New Roman"/>
                <w:color w:val="000000"/>
                <w:sz w:val="20"/>
                <w:szCs w:val="20"/>
                <w:vertAlign w:val="subscript"/>
              </w:rPr>
              <w:t>2</w:t>
            </w:r>
          </w:p>
        </w:tc>
      </w:tr>
      <w:tr w:rsidR="00B66898" w:rsidRPr="00B66898" w:rsidTr="00B66898">
        <w:trPr>
          <w:trHeight w:val="285"/>
          <w:jc w:val="center"/>
        </w:trPr>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230</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9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48</w:t>
            </w:r>
          </w:p>
        </w:tc>
        <w:tc>
          <w:tcPr>
            <w:tcW w:w="870"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UF</w:t>
            </w:r>
            <w:r w:rsidRPr="00B66898">
              <w:rPr>
                <w:rFonts w:ascii="Calibri" w:eastAsia="Times New Roman" w:hAnsi="Calibri" w:cs="Times New Roman"/>
                <w:color w:val="000000"/>
                <w:sz w:val="20"/>
                <w:szCs w:val="20"/>
                <w:vertAlign w:val="subscript"/>
              </w:rPr>
              <w:t>4</w:t>
            </w:r>
          </w:p>
        </w:tc>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217</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w:t>
            </w:r>
          </w:p>
        </w:tc>
        <w:tc>
          <w:tcPr>
            <w:tcW w:w="732"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43</w:t>
            </w:r>
          </w:p>
        </w:tc>
        <w:tc>
          <w:tcPr>
            <w:tcW w:w="92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AUC</w:t>
            </w:r>
          </w:p>
        </w:tc>
      </w:tr>
      <w:tr w:rsidR="00B66898" w:rsidRPr="00B66898" w:rsidTr="00B66898">
        <w:trPr>
          <w:trHeight w:val="285"/>
          <w:jc w:val="center"/>
        </w:trPr>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235</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9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49</w:t>
            </w:r>
          </w:p>
        </w:tc>
        <w:tc>
          <w:tcPr>
            <w:tcW w:w="870"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UF</w:t>
            </w:r>
            <w:r w:rsidRPr="00B66898">
              <w:rPr>
                <w:rFonts w:ascii="Calibri" w:eastAsia="Times New Roman" w:hAnsi="Calibri" w:cs="Times New Roman"/>
                <w:color w:val="000000"/>
                <w:sz w:val="20"/>
                <w:szCs w:val="20"/>
                <w:vertAlign w:val="subscript"/>
              </w:rPr>
              <w:t>6</w:t>
            </w:r>
          </w:p>
        </w:tc>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275</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Input 2</w:t>
            </w:r>
          </w:p>
        </w:tc>
        <w:tc>
          <w:tcPr>
            <w:tcW w:w="732"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 &amp; 5</w:t>
            </w:r>
          </w:p>
        </w:tc>
        <w:tc>
          <w:tcPr>
            <w:tcW w:w="92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UN</w:t>
            </w:r>
          </w:p>
        </w:tc>
      </w:tr>
      <w:tr w:rsidR="00B66898" w:rsidRPr="00B66898" w:rsidTr="00B66898">
        <w:trPr>
          <w:trHeight w:val="285"/>
          <w:jc w:val="center"/>
        </w:trPr>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239</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9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50</w:t>
            </w:r>
          </w:p>
        </w:tc>
        <w:tc>
          <w:tcPr>
            <w:tcW w:w="870"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UF</w:t>
            </w:r>
            <w:r w:rsidRPr="00B66898">
              <w:rPr>
                <w:rFonts w:ascii="Calibri" w:eastAsia="Times New Roman" w:hAnsi="Calibri" w:cs="Times New Roman"/>
                <w:color w:val="000000"/>
                <w:sz w:val="20"/>
                <w:szCs w:val="20"/>
                <w:vertAlign w:val="subscript"/>
              </w:rPr>
              <w:t>4</w:t>
            </w:r>
          </w:p>
        </w:tc>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276</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Input 3</w:t>
            </w:r>
          </w:p>
        </w:tc>
        <w:tc>
          <w:tcPr>
            <w:tcW w:w="732"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15 &amp; 16</w:t>
            </w:r>
          </w:p>
        </w:tc>
        <w:tc>
          <w:tcPr>
            <w:tcW w:w="92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UN</w:t>
            </w:r>
          </w:p>
        </w:tc>
      </w:tr>
      <w:tr w:rsidR="00B66898" w:rsidRPr="00B66898" w:rsidTr="00B66898">
        <w:trPr>
          <w:trHeight w:val="285"/>
          <w:jc w:val="center"/>
        </w:trPr>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244</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9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51</w:t>
            </w:r>
          </w:p>
        </w:tc>
        <w:tc>
          <w:tcPr>
            <w:tcW w:w="870"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UF</w:t>
            </w:r>
            <w:r w:rsidRPr="00B66898">
              <w:rPr>
                <w:rFonts w:ascii="Calibri" w:eastAsia="Times New Roman" w:hAnsi="Calibri" w:cs="Times New Roman"/>
                <w:color w:val="000000"/>
                <w:sz w:val="20"/>
                <w:szCs w:val="20"/>
                <w:vertAlign w:val="subscript"/>
              </w:rPr>
              <w:t>6</w:t>
            </w:r>
          </w:p>
        </w:tc>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277</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Input 4</w:t>
            </w:r>
          </w:p>
        </w:tc>
        <w:tc>
          <w:tcPr>
            <w:tcW w:w="732"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19 &amp; 20</w:t>
            </w:r>
          </w:p>
        </w:tc>
        <w:tc>
          <w:tcPr>
            <w:tcW w:w="92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UN</w:t>
            </w:r>
          </w:p>
        </w:tc>
      </w:tr>
      <w:tr w:rsidR="00B66898" w:rsidRPr="00B66898" w:rsidTr="00B66898">
        <w:trPr>
          <w:trHeight w:val="285"/>
          <w:jc w:val="center"/>
        </w:trPr>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246</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9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52</w:t>
            </w:r>
          </w:p>
        </w:tc>
        <w:tc>
          <w:tcPr>
            <w:tcW w:w="870"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UF</w:t>
            </w:r>
            <w:r w:rsidRPr="00B66898">
              <w:rPr>
                <w:rFonts w:ascii="Calibri" w:eastAsia="Times New Roman" w:hAnsi="Calibri" w:cs="Times New Roman"/>
                <w:color w:val="000000"/>
                <w:sz w:val="20"/>
                <w:szCs w:val="20"/>
                <w:vertAlign w:val="subscript"/>
              </w:rPr>
              <w:t>6</w:t>
            </w:r>
          </w:p>
        </w:tc>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278</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Input 5</w:t>
            </w:r>
          </w:p>
        </w:tc>
        <w:tc>
          <w:tcPr>
            <w:tcW w:w="732"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30 &amp; 31</w:t>
            </w:r>
          </w:p>
        </w:tc>
        <w:tc>
          <w:tcPr>
            <w:tcW w:w="92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AUC</w:t>
            </w:r>
          </w:p>
        </w:tc>
      </w:tr>
      <w:tr w:rsidR="00B66898" w:rsidRPr="00B66898" w:rsidTr="00B66898">
        <w:trPr>
          <w:trHeight w:val="285"/>
          <w:jc w:val="center"/>
        </w:trPr>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249</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9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53</w:t>
            </w:r>
          </w:p>
        </w:tc>
        <w:tc>
          <w:tcPr>
            <w:tcW w:w="870"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UF</w:t>
            </w:r>
            <w:r w:rsidRPr="00B66898">
              <w:rPr>
                <w:rFonts w:ascii="Calibri" w:eastAsia="Times New Roman" w:hAnsi="Calibri" w:cs="Times New Roman"/>
                <w:color w:val="000000"/>
                <w:sz w:val="20"/>
                <w:szCs w:val="20"/>
                <w:vertAlign w:val="subscript"/>
              </w:rPr>
              <w:t>6</w:t>
            </w:r>
          </w:p>
        </w:tc>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280</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Input 7</w:t>
            </w:r>
          </w:p>
        </w:tc>
        <w:tc>
          <w:tcPr>
            <w:tcW w:w="732"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45</w:t>
            </w:r>
          </w:p>
        </w:tc>
        <w:tc>
          <w:tcPr>
            <w:tcW w:w="92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UF</w:t>
            </w:r>
            <w:r w:rsidRPr="00B66898">
              <w:rPr>
                <w:rFonts w:ascii="Calibri" w:eastAsia="Times New Roman" w:hAnsi="Calibri" w:cs="Times New Roman"/>
                <w:color w:val="000000"/>
                <w:sz w:val="20"/>
                <w:szCs w:val="20"/>
                <w:vertAlign w:val="subscript"/>
              </w:rPr>
              <w:t>4</w:t>
            </w:r>
          </w:p>
        </w:tc>
      </w:tr>
      <w:tr w:rsidR="00B66898" w:rsidRPr="00B66898" w:rsidTr="00B66898">
        <w:trPr>
          <w:trHeight w:val="300"/>
          <w:jc w:val="center"/>
        </w:trPr>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253</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9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54</w:t>
            </w:r>
          </w:p>
        </w:tc>
        <w:tc>
          <w:tcPr>
            <w:tcW w:w="870"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UF</w:t>
            </w:r>
            <w:r w:rsidRPr="00B66898">
              <w:rPr>
                <w:rFonts w:ascii="Calibri" w:eastAsia="Times New Roman" w:hAnsi="Calibri" w:cs="Times New Roman"/>
                <w:color w:val="000000"/>
                <w:sz w:val="20"/>
                <w:szCs w:val="20"/>
                <w:vertAlign w:val="subscript"/>
              </w:rPr>
              <w:t>6</w:t>
            </w:r>
          </w:p>
        </w:tc>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rPr>
                <w:rFonts w:ascii="Calibri" w:eastAsia="Times New Roman" w:hAnsi="Calibri" w:cs="Times New Roman"/>
                <w:color w:val="000000"/>
              </w:rPr>
            </w:pP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rPr>
                <w:rFonts w:ascii="Calibri" w:eastAsia="Times New Roman" w:hAnsi="Calibri" w:cs="Times New Roman"/>
                <w:color w:val="000000"/>
              </w:rPr>
            </w:pPr>
          </w:p>
        </w:tc>
        <w:tc>
          <w:tcPr>
            <w:tcW w:w="732"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rPr>
                <w:rFonts w:ascii="Calibri" w:eastAsia="Times New Roman" w:hAnsi="Calibri" w:cs="Times New Roman"/>
                <w:color w:val="000000"/>
              </w:rPr>
            </w:pPr>
          </w:p>
        </w:tc>
        <w:tc>
          <w:tcPr>
            <w:tcW w:w="92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rPr>
                <w:rFonts w:ascii="Calibri" w:eastAsia="Times New Roman" w:hAnsi="Calibri" w:cs="Times New Roman"/>
                <w:color w:val="000000"/>
              </w:rPr>
            </w:pPr>
          </w:p>
        </w:tc>
      </w:tr>
      <w:tr w:rsidR="00B66898" w:rsidRPr="00B66898" w:rsidTr="00B66898">
        <w:trPr>
          <w:trHeight w:val="300"/>
          <w:jc w:val="center"/>
        </w:trPr>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254</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9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54</w:t>
            </w:r>
          </w:p>
        </w:tc>
        <w:tc>
          <w:tcPr>
            <w:tcW w:w="870"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UF</w:t>
            </w:r>
            <w:r w:rsidRPr="00B66898">
              <w:rPr>
                <w:rFonts w:ascii="Calibri" w:eastAsia="Times New Roman" w:hAnsi="Calibri" w:cs="Times New Roman"/>
                <w:color w:val="000000"/>
                <w:sz w:val="20"/>
                <w:szCs w:val="20"/>
                <w:vertAlign w:val="subscript"/>
              </w:rPr>
              <w:t>4</w:t>
            </w:r>
          </w:p>
        </w:tc>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rPr>
                <w:rFonts w:ascii="Calibri" w:eastAsia="Times New Roman" w:hAnsi="Calibri" w:cs="Times New Roman"/>
                <w:color w:val="000000"/>
              </w:rPr>
            </w:pP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rPr>
                <w:rFonts w:ascii="Calibri" w:eastAsia="Times New Roman" w:hAnsi="Calibri" w:cs="Times New Roman"/>
                <w:color w:val="000000"/>
              </w:rPr>
            </w:pPr>
          </w:p>
        </w:tc>
        <w:tc>
          <w:tcPr>
            <w:tcW w:w="732"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rPr>
                <w:rFonts w:ascii="Calibri" w:eastAsia="Times New Roman" w:hAnsi="Calibri" w:cs="Times New Roman"/>
                <w:color w:val="000000"/>
              </w:rPr>
            </w:pPr>
          </w:p>
        </w:tc>
        <w:tc>
          <w:tcPr>
            <w:tcW w:w="92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rPr>
                <w:rFonts w:ascii="Calibri" w:eastAsia="Times New Roman" w:hAnsi="Calibri" w:cs="Times New Roman"/>
                <w:color w:val="000000"/>
              </w:rPr>
            </w:pPr>
          </w:p>
        </w:tc>
      </w:tr>
      <w:tr w:rsidR="00B66898" w:rsidRPr="00B66898" w:rsidTr="00B66898">
        <w:trPr>
          <w:trHeight w:val="300"/>
          <w:jc w:val="center"/>
        </w:trPr>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259</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9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55</w:t>
            </w:r>
          </w:p>
        </w:tc>
        <w:tc>
          <w:tcPr>
            <w:tcW w:w="870"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UF</w:t>
            </w:r>
            <w:r w:rsidRPr="00B66898">
              <w:rPr>
                <w:rFonts w:ascii="Calibri" w:eastAsia="Times New Roman" w:hAnsi="Calibri" w:cs="Times New Roman"/>
                <w:color w:val="000000"/>
                <w:sz w:val="20"/>
                <w:szCs w:val="20"/>
                <w:vertAlign w:val="subscript"/>
              </w:rPr>
              <w:t>6</w:t>
            </w:r>
          </w:p>
        </w:tc>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rPr>
                <w:rFonts w:ascii="Calibri" w:eastAsia="Times New Roman" w:hAnsi="Calibri" w:cs="Times New Roman"/>
                <w:color w:val="000000"/>
              </w:rPr>
            </w:pP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rPr>
                <w:rFonts w:ascii="Calibri" w:eastAsia="Times New Roman" w:hAnsi="Calibri" w:cs="Times New Roman"/>
                <w:color w:val="000000"/>
              </w:rPr>
            </w:pPr>
          </w:p>
        </w:tc>
        <w:tc>
          <w:tcPr>
            <w:tcW w:w="732"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rPr>
                <w:rFonts w:ascii="Calibri" w:eastAsia="Times New Roman" w:hAnsi="Calibri" w:cs="Times New Roman"/>
                <w:color w:val="000000"/>
              </w:rPr>
            </w:pPr>
          </w:p>
        </w:tc>
        <w:tc>
          <w:tcPr>
            <w:tcW w:w="92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rPr>
                <w:rFonts w:ascii="Calibri" w:eastAsia="Times New Roman" w:hAnsi="Calibri" w:cs="Times New Roman"/>
                <w:color w:val="000000"/>
              </w:rPr>
            </w:pPr>
          </w:p>
        </w:tc>
      </w:tr>
      <w:tr w:rsidR="00B66898" w:rsidRPr="00B66898" w:rsidTr="00B66898">
        <w:trPr>
          <w:trHeight w:val="300"/>
          <w:jc w:val="center"/>
        </w:trPr>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265</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9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57</w:t>
            </w:r>
          </w:p>
        </w:tc>
        <w:tc>
          <w:tcPr>
            <w:tcW w:w="870"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UF</w:t>
            </w:r>
            <w:r w:rsidRPr="00B66898">
              <w:rPr>
                <w:rFonts w:ascii="Calibri" w:eastAsia="Times New Roman" w:hAnsi="Calibri" w:cs="Times New Roman"/>
                <w:color w:val="000000"/>
                <w:sz w:val="20"/>
                <w:szCs w:val="20"/>
                <w:vertAlign w:val="subscript"/>
              </w:rPr>
              <w:t>6</w:t>
            </w:r>
          </w:p>
        </w:tc>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rPr>
                <w:rFonts w:ascii="Calibri" w:eastAsia="Times New Roman" w:hAnsi="Calibri" w:cs="Times New Roman"/>
                <w:color w:val="000000"/>
              </w:rPr>
            </w:pP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rPr>
                <w:rFonts w:ascii="Calibri" w:eastAsia="Times New Roman" w:hAnsi="Calibri" w:cs="Times New Roman"/>
                <w:color w:val="000000"/>
              </w:rPr>
            </w:pPr>
          </w:p>
        </w:tc>
        <w:tc>
          <w:tcPr>
            <w:tcW w:w="732"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rPr>
                <w:rFonts w:ascii="Calibri" w:eastAsia="Times New Roman" w:hAnsi="Calibri" w:cs="Times New Roman"/>
                <w:color w:val="000000"/>
              </w:rPr>
            </w:pPr>
          </w:p>
        </w:tc>
        <w:tc>
          <w:tcPr>
            <w:tcW w:w="92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rPr>
                <w:rFonts w:ascii="Calibri" w:eastAsia="Times New Roman" w:hAnsi="Calibri" w:cs="Times New Roman"/>
                <w:color w:val="000000"/>
              </w:rPr>
            </w:pPr>
          </w:p>
        </w:tc>
      </w:tr>
      <w:tr w:rsidR="00B66898" w:rsidRPr="00B66898" w:rsidTr="00B66898">
        <w:trPr>
          <w:trHeight w:val="300"/>
          <w:jc w:val="center"/>
        </w:trPr>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269</w:t>
            </w: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94"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58</w:t>
            </w:r>
          </w:p>
        </w:tc>
        <w:tc>
          <w:tcPr>
            <w:tcW w:w="870"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UF</w:t>
            </w:r>
            <w:r w:rsidRPr="00B66898">
              <w:rPr>
                <w:rFonts w:ascii="Calibri" w:eastAsia="Times New Roman" w:hAnsi="Calibri" w:cs="Times New Roman"/>
                <w:color w:val="000000"/>
                <w:sz w:val="20"/>
                <w:szCs w:val="20"/>
                <w:vertAlign w:val="subscript"/>
              </w:rPr>
              <w:t>4</w:t>
            </w:r>
          </w:p>
        </w:tc>
        <w:tc>
          <w:tcPr>
            <w:tcW w:w="37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rPr>
                <w:rFonts w:ascii="Calibri" w:eastAsia="Times New Roman" w:hAnsi="Calibri" w:cs="Times New Roman"/>
                <w:color w:val="000000"/>
              </w:rPr>
            </w:pPr>
          </w:p>
        </w:tc>
        <w:tc>
          <w:tcPr>
            <w:tcW w:w="74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rPr>
                <w:rFonts w:ascii="Calibri" w:eastAsia="Times New Roman" w:hAnsi="Calibri" w:cs="Times New Roman"/>
                <w:color w:val="000000"/>
              </w:rPr>
            </w:pPr>
          </w:p>
        </w:tc>
        <w:tc>
          <w:tcPr>
            <w:tcW w:w="732"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rPr>
                <w:rFonts w:ascii="Calibri" w:eastAsia="Times New Roman" w:hAnsi="Calibri" w:cs="Times New Roman"/>
                <w:color w:val="000000"/>
              </w:rPr>
            </w:pPr>
          </w:p>
        </w:tc>
        <w:tc>
          <w:tcPr>
            <w:tcW w:w="92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rPr>
                <w:rFonts w:ascii="Calibri" w:eastAsia="Times New Roman" w:hAnsi="Calibri" w:cs="Times New Roman"/>
                <w:color w:val="000000"/>
              </w:rPr>
            </w:pPr>
          </w:p>
        </w:tc>
      </w:tr>
      <w:tr w:rsidR="00B66898" w:rsidRPr="00B66898" w:rsidTr="00B66898">
        <w:trPr>
          <w:trHeight w:val="300"/>
          <w:jc w:val="center"/>
        </w:trPr>
        <w:tc>
          <w:tcPr>
            <w:tcW w:w="370" w:type="dxa"/>
            <w:tcBorders>
              <w:top w:val="nil"/>
              <w:left w:val="nil"/>
              <w:bottom w:val="single" w:sz="8"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272</w:t>
            </w:r>
          </w:p>
        </w:tc>
        <w:tc>
          <w:tcPr>
            <w:tcW w:w="748" w:type="dxa"/>
            <w:tcBorders>
              <w:top w:val="nil"/>
              <w:left w:val="nil"/>
              <w:bottom w:val="single" w:sz="8"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94" w:type="dxa"/>
            <w:tcBorders>
              <w:top w:val="nil"/>
              <w:left w:val="nil"/>
              <w:bottom w:val="single" w:sz="8"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59</w:t>
            </w:r>
          </w:p>
        </w:tc>
        <w:tc>
          <w:tcPr>
            <w:tcW w:w="870" w:type="dxa"/>
            <w:tcBorders>
              <w:top w:val="nil"/>
              <w:left w:val="nil"/>
              <w:bottom w:val="single" w:sz="8" w:space="0" w:color="auto"/>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UF</w:t>
            </w:r>
            <w:r w:rsidRPr="00B66898">
              <w:rPr>
                <w:rFonts w:ascii="Calibri" w:eastAsia="Times New Roman" w:hAnsi="Calibri" w:cs="Times New Roman"/>
                <w:color w:val="000000"/>
                <w:sz w:val="20"/>
                <w:szCs w:val="20"/>
                <w:vertAlign w:val="subscript"/>
              </w:rPr>
              <w:t>6</w:t>
            </w:r>
          </w:p>
        </w:tc>
        <w:tc>
          <w:tcPr>
            <w:tcW w:w="370" w:type="dxa"/>
            <w:tcBorders>
              <w:top w:val="nil"/>
              <w:left w:val="nil"/>
              <w:bottom w:val="single" w:sz="8"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 </w:t>
            </w:r>
          </w:p>
        </w:tc>
        <w:tc>
          <w:tcPr>
            <w:tcW w:w="748" w:type="dxa"/>
            <w:tcBorders>
              <w:top w:val="nil"/>
              <w:left w:val="nil"/>
              <w:bottom w:val="single" w:sz="8"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 </w:t>
            </w:r>
          </w:p>
        </w:tc>
        <w:tc>
          <w:tcPr>
            <w:tcW w:w="732" w:type="dxa"/>
            <w:tcBorders>
              <w:top w:val="nil"/>
              <w:left w:val="nil"/>
              <w:bottom w:val="single" w:sz="8"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 </w:t>
            </w:r>
          </w:p>
        </w:tc>
        <w:tc>
          <w:tcPr>
            <w:tcW w:w="928" w:type="dxa"/>
            <w:tcBorders>
              <w:top w:val="nil"/>
              <w:left w:val="nil"/>
              <w:bottom w:val="single" w:sz="8"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 </w:t>
            </w:r>
          </w:p>
        </w:tc>
      </w:tr>
    </w:tbl>
    <w:p w:rsidR="00B66898" w:rsidRDefault="00B66898" w:rsidP="00E664E4"/>
    <w:p w:rsidR="008205C9" w:rsidRDefault="008205C9">
      <w:r>
        <w:br w:type="page"/>
      </w:r>
    </w:p>
    <w:p w:rsidR="006A3764" w:rsidRDefault="00E664E4" w:rsidP="00E664E4">
      <w:r>
        <w:lastRenderedPageBreak/>
        <w:t>Figure 4.</w:t>
      </w:r>
      <w:r w:rsidR="006A3764">
        <w:t>6</w:t>
      </w:r>
      <w:r>
        <w:t xml:space="preserve"> shows the bar chart of the third principal component loading</w:t>
      </w:r>
      <w:r w:rsidR="008205C9">
        <w:t>s</w:t>
      </w:r>
      <w:r>
        <w:t xml:space="preserve"> vectors for all the </w:t>
      </w:r>
      <w:r w:rsidR="00683944">
        <w:t xml:space="preserve">state </w:t>
      </w:r>
      <w:r>
        <w:t xml:space="preserve">variables of the base case model. </w:t>
      </w:r>
      <w:r w:rsidR="006A3764">
        <w:t xml:space="preserve">The heaviest contributors to PC3 are shown in Figure 4.6 in red. </w:t>
      </w:r>
      <w:r>
        <w:t>Table 4.1</w:t>
      </w:r>
      <w:r w:rsidR="006A3764">
        <w:t>8</w:t>
      </w:r>
      <w:r>
        <w:t xml:space="preserve"> provides a summary of how the primary state variables contributed to the third principal component.</w:t>
      </w:r>
    </w:p>
    <w:p w:rsidR="00A3165C" w:rsidRDefault="009E5C76" w:rsidP="00E664E4">
      <w:r>
        <w:t xml:space="preserve">Figure 4.6 shows that PC3 captures the variation in five of the seven input variables along with all of the uranium-bearing product flow rates from the five modules and uranium-bearing waste streams from Modules 2 and 3. </w:t>
      </w:r>
    </w:p>
    <w:p w:rsidR="00893E79" w:rsidRDefault="009E5C76" w:rsidP="002141AC">
      <w:pPr>
        <w:rPr>
          <w:rFonts w:eastAsiaTheme="minorEastAsia"/>
        </w:rPr>
      </w:pPr>
      <w:r>
        <w:t>The uranyl nitrate flow rate [</w:t>
      </w:r>
      <w:proofErr w:type="spellStart"/>
      <w:proofErr w:type="gramStart"/>
      <w:r>
        <w:t>Xss</w:t>
      </w:r>
      <w:proofErr w:type="spellEnd"/>
      <w:r>
        <w:t>(</w:t>
      </w:r>
      <w:proofErr w:type="gramEnd"/>
      <w:r>
        <w:t xml:space="preserve">91)] in the waste stream from Module 2B was negatively correlated with the input variable </w:t>
      </w:r>
      <m:oMath>
        <m:sSub>
          <m:sSubPr>
            <m:ctrlPr>
              <w:rPr>
                <w:rFonts w:ascii="Cambria Math" w:hAnsi="Cambria Math"/>
                <w:i/>
              </w:rPr>
            </m:ctrlPr>
          </m:sSubPr>
          <m:e>
            <m:r>
              <w:rPr>
                <w:rFonts w:ascii="Cambria Math" w:hAnsi="Cambria Math"/>
              </w:rPr>
              <m:t>K</m:t>
            </m:r>
          </m:e>
          <m:sub>
            <m:r>
              <w:rPr>
                <w:rFonts w:ascii="Cambria Math" w:hAnsi="Cambria Math"/>
              </w:rPr>
              <m:t>Mod2B,14</m:t>
            </m:r>
          </m:sub>
        </m:sSub>
      </m:oMath>
      <w:r>
        <w:rPr>
          <w:rFonts w:eastAsiaTheme="minorEastAsia"/>
        </w:rPr>
        <w:t xml:space="preserve"> [Xss(276)] as expected since </w:t>
      </w:r>
      <w:r>
        <w:t xml:space="preserve">input variable </w:t>
      </w:r>
      <m:oMath>
        <m:sSub>
          <m:sSubPr>
            <m:ctrlPr>
              <w:rPr>
                <w:rFonts w:ascii="Cambria Math" w:hAnsi="Cambria Math"/>
                <w:i/>
              </w:rPr>
            </m:ctrlPr>
          </m:sSubPr>
          <m:e>
            <m:r>
              <w:rPr>
                <w:rFonts w:ascii="Cambria Math" w:hAnsi="Cambria Math"/>
              </w:rPr>
              <m:t>K</m:t>
            </m:r>
          </m:e>
          <m:sub>
            <m:r>
              <w:rPr>
                <w:rFonts w:ascii="Cambria Math" w:hAnsi="Cambria Math"/>
              </w:rPr>
              <m:t>Mod2B,14</m:t>
            </m:r>
          </m:sub>
        </m:sSub>
      </m:oMath>
      <w:r>
        <w:rPr>
          <w:rFonts w:eastAsiaTheme="minorEastAsia"/>
        </w:rPr>
        <w:t xml:space="preserve"> controls how much of the uranyl nitrate in Stream 14 goes to Stream 15. Therefore, if </w:t>
      </w:r>
      <m:oMath>
        <m:sSub>
          <m:sSubPr>
            <m:ctrlPr>
              <w:rPr>
                <w:rFonts w:ascii="Cambria Math" w:hAnsi="Cambria Math"/>
                <w:i/>
              </w:rPr>
            </m:ctrlPr>
          </m:sSubPr>
          <m:e>
            <m:r>
              <w:rPr>
                <w:rFonts w:ascii="Cambria Math" w:hAnsi="Cambria Math"/>
              </w:rPr>
              <m:t>K</m:t>
            </m:r>
          </m:e>
          <m:sub>
            <m:r>
              <w:rPr>
                <w:rFonts w:ascii="Cambria Math" w:hAnsi="Cambria Math"/>
              </w:rPr>
              <m:t>Mod2B,14</m:t>
            </m:r>
          </m:sub>
        </m:sSub>
      </m:oMath>
      <w:r>
        <w:rPr>
          <w:rFonts w:eastAsiaTheme="minorEastAsia"/>
        </w:rPr>
        <w:t xml:space="preserve"> increases then the uranyl nitrate in Stream 15 increases and the uranyl nitrate in Stream 16 [</w:t>
      </w:r>
      <w:proofErr w:type="gramStart"/>
      <w:r>
        <w:rPr>
          <w:rFonts w:eastAsiaTheme="minorEastAsia"/>
        </w:rPr>
        <w:t>Xss(</w:t>
      </w:r>
      <w:proofErr w:type="gramEnd"/>
      <w:r>
        <w:rPr>
          <w:rFonts w:eastAsiaTheme="minorEastAsia"/>
        </w:rPr>
        <w:t>91)] must decrease.</w:t>
      </w:r>
      <w:r w:rsidR="00893E79">
        <w:rPr>
          <w:rFonts w:eastAsiaTheme="minorEastAsia"/>
        </w:rPr>
        <w:t xml:space="preserve"> The uranyl nitrate output flow rate [</w:t>
      </w:r>
      <w:proofErr w:type="spellStart"/>
      <w:proofErr w:type="gramStart"/>
      <w:r w:rsidR="00893E79">
        <w:rPr>
          <w:rFonts w:eastAsiaTheme="minorEastAsia"/>
        </w:rPr>
        <w:t>Xss</w:t>
      </w:r>
      <w:proofErr w:type="spellEnd"/>
      <w:r w:rsidR="00893E79">
        <w:rPr>
          <w:rFonts w:eastAsiaTheme="minorEastAsia"/>
        </w:rPr>
        <w:t>(</w:t>
      </w:r>
      <w:proofErr w:type="gramEnd"/>
      <w:r w:rsidR="00893E79">
        <w:rPr>
          <w:rFonts w:eastAsiaTheme="minorEastAsia"/>
        </w:rPr>
        <w:t xml:space="preserve">111)] is positively correlated with </w:t>
      </w:r>
      <w:r w:rsidR="00893E79">
        <w:t xml:space="preserve">the input variable </w:t>
      </w:r>
      <m:oMath>
        <m:sSub>
          <m:sSubPr>
            <m:ctrlPr>
              <w:rPr>
                <w:rFonts w:ascii="Cambria Math" w:hAnsi="Cambria Math"/>
                <w:i/>
              </w:rPr>
            </m:ctrlPr>
          </m:sSubPr>
          <m:e>
            <m:r>
              <w:rPr>
                <w:rFonts w:ascii="Cambria Math" w:hAnsi="Cambria Math"/>
              </w:rPr>
              <m:t>K</m:t>
            </m:r>
          </m:e>
          <m:sub>
            <m:r>
              <w:rPr>
                <w:rFonts w:ascii="Cambria Math" w:hAnsi="Cambria Math"/>
              </w:rPr>
              <m:t>Mod2B,14</m:t>
            </m:r>
          </m:sub>
        </m:sSub>
      </m:oMath>
      <w:r w:rsidR="00893E79">
        <w:rPr>
          <w:rFonts w:eastAsiaTheme="minorEastAsia"/>
        </w:rPr>
        <w:t xml:space="preserve"> [Xss(276)] as expected for the same reason as above. Additionally, </w:t>
      </w:r>
      <w:proofErr w:type="gramStart"/>
      <w:r w:rsidR="00893E79">
        <w:rPr>
          <w:rFonts w:eastAsiaTheme="minorEastAsia"/>
        </w:rPr>
        <w:t>Xss(</w:t>
      </w:r>
      <w:proofErr w:type="gramEnd"/>
      <w:r w:rsidR="00893E79">
        <w:rPr>
          <w:rFonts w:eastAsiaTheme="minorEastAsia"/>
        </w:rPr>
        <w:t>111) is negatively correlated with Xss(91) because more uranyl nitrate in the product results in less uranyl n</w:t>
      </w:r>
      <w:proofErr w:type="spellStart"/>
      <w:r w:rsidR="00893E79">
        <w:rPr>
          <w:rFonts w:eastAsiaTheme="minorEastAsia"/>
        </w:rPr>
        <w:t>itrate</w:t>
      </w:r>
      <w:proofErr w:type="spellEnd"/>
      <w:r w:rsidR="00893E79">
        <w:rPr>
          <w:rFonts w:eastAsiaTheme="minorEastAsia"/>
        </w:rPr>
        <w:t xml:space="preserve"> in the waste.</w:t>
      </w:r>
    </w:p>
    <w:p w:rsidR="009E5C76" w:rsidRDefault="009E5C76" w:rsidP="009E5C76">
      <w:pPr>
        <w:rPr>
          <w:rFonts w:eastAsiaTheme="minorEastAsia"/>
        </w:rPr>
      </w:pPr>
      <w:r>
        <w:t>The uranyl nitrate flow rate [</w:t>
      </w:r>
      <w:proofErr w:type="spellStart"/>
      <w:proofErr w:type="gramStart"/>
      <w:r>
        <w:t>Xss</w:t>
      </w:r>
      <w:proofErr w:type="spellEnd"/>
      <w:r>
        <w:t>(</w:t>
      </w:r>
      <w:proofErr w:type="gramEnd"/>
      <w:r>
        <w:t xml:space="preserve">117)] in the waste stream from Module 2D was negatively correlated with the input variable </w:t>
      </w:r>
      <m:oMath>
        <m:sSub>
          <m:sSubPr>
            <m:ctrlPr>
              <w:rPr>
                <w:rFonts w:ascii="Cambria Math" w:hAnsi="Cambria Math"/>
                <w:i/>
              </w:rPr>
            </m:ctrlPr>
          </m:sSubPr>
          <m:e>
            <m:r>
              <w:rPr>
                <w:rFonts w:ascii="Cambria Math" w:hAnsi="Cambria Math"/>
              </w:rPr>
              <m:t>K</m:t>
            </m:r>
          </m:e>
          <m:sub>
            <m:r>
              <w:rPr>
                <w:rFonts w:ascii="Cambria Math" w:hAnsi="Cambria Math"/>
              </w:rPr>
              <m:t>Mod2D,14</m:t>
            </m:r>
          </m:sub>
        </m:sSub>
      </m:oMath>
      <w:r>
        <w:rPr>
          <w:rFonts w:eastAsiaTheme="minorEastAsia"/>
        </w:rPr>
        <w:t xml:space="preserve"> [Xss(277)] as expected since </w:t>
      </w:r>
      <w:r>
        <w:t xml:space="preserve">input variable </w:t>
      </w:r>
      <m:oMath>
        <m:sSub>
          <m:sSubPr>
            <m:ctrlPr>
              <w:rPr>
                <w:rFonts w:ascii="Cambria Math" w:hAnsi="Cambria Math"/>
                <w:i/>
              </w:rPr>
            </m:ctrlPr>
          </m:sSubPr>
          <m:e>
            <m:r>
              <w:rPr>
                <w:rFonts w:ascii="Cambria Math" w:hAnsi="Cambria Math"/>
              </w:rPr>
              <m:t>K</m:t>
            </m:r>
          </m:e>
          <m:sub>
            <m:r>
              <w:rPr>
                <w:rFonts w:ascii="Cambria Math" w:hAnsi="Cambria Math"/>
              </w:rPr>
              <m:t>Mod2D,14</m:t>
            </m:r>
          </m:sub>
        </m:sSub>
      </m:oMath>
      <w:r>
        <w:rPr>
          <w:rFonts w:eastAsiaTheme="minorEastAsia"/>
        </w:rPr>
        <w:t xml:space="preserve"> controls how much of the uranyl nitrate in Stream 17 goes to Stream 19. Therefore, if </w:t>
      </w:r>
      <m:oMath>
        <m:sSub>
          <m:sSubPr>
            <m:ctrlPr>
              <w:rPr>
                <w:rFonts w:ascii="Cambria Math" w:hAnsi="Cambria Math"/>
                <w:i/>
              </w:rPr>
            </m:ctrlPr>
          </m:sSubPr>
          <m:e>
            <m:r>
              <w:rPr>
                <w:rFonts w:ascii="Cambria Math" w:hAnsi="Cambria Math"/>
              </w:rPr>
              <m:t>K</m:t>
            </m:r>
          </m:e>
          <m:sub>
            <m:r>
              <w:rPr>
                <w:rFonts w:ascii="Cambria Math" w:hAnsi="Cambria Math"/>
              </w:rPr>
              <m:t>Mod2D,14</m:t>
            </m:r>
          </m:sub>
        </m:sSub>
      </m:oMath>
      <w:r>
        <w:rPr>
          <w:rFonts w:eastAsiaTheme="minorEastAsia"/>
        </w:rPr>
        <w:t xml:space="preserve"> increases then the uranyl nitrate in Stream 19 increases and the uranyl nitrate in Stream 20 [</w:t>
      </w:r>
      <w:proofErr w:type="gramStart"/>
      <w:r>
        <w:rPr>
          <w:rFonts w:eastAsiaTheme="minorEastAsia"/>
        </w:rPr>
        <w:t>Xss(</w:t>
      </w:r>
      <w:proofErr w:type="gramEnd"/>
      <w:r>
        <w:rPr>
          <w:rFonts w:eastAsiaTheme="minorEastAsia"/>
        </w:rPr>
        <w:t xml:space="preserve">117)] must decrease. </w:t>
      </w:r>
      <w:r w:rsidR="00893E79">
        <w:rPr>
          <w:rFonts w:eastAsiaTheme="minorEastAsia"/>
        </w:rPr>
        <w:t>The uranyl nitrate output flow rate [</w:t>
      </w:r>
      <w:proofErr w:type="spellStart"/>
      <w:proofErr w:type="gramStart"/>
      <w:r w:rsidR="00893E79">
        <w:rPr>
          <w:rFonts w:eastAsiaTheme="minorEastAsia"/>
        </w:rPr>
        <w:t>Xss</w:t>
      </w:r>
      <w:proofErr w:type="spellEnd"/>
      <w:r w:rsidR="00893E79">
        <w:rPr>
          <w:rFonts w:eastAsiaTheme="minorEastAsia"/>
        </w:rPr>
        <w:t>(</w:t>
      </w:r>
      <w:proofErr w:type="gramEnd"/>
      <w:r w:rsidR="00893E79">
        <w:rPr>
          <w:rFonts w:eastAsiaTheme="minorEastAsia"/>
        </w:rPr>
        <w:t xml:space="preserve">111)] is positively correlated with </w:t>
      </w:r>
      <w:r w:rsidR="00893E79">
        <w:t xml:space="preserve">the input variable </w:t>
      </w:r>
      <m:oMath>
        <m:sSub>
          <m:sSubPr>
            <m:ctrlPr>
              <w:rPr>
                <w:rFonts w:ascii="Cambria Math" w:hAnsi="Cambria Math"/>
                <w:i/>
              </w:rPr>
            </m:ctrlPr>
          </m:sSubPr>
          <m:e>
            <m:r>
              <w:rPr>
                <w:rFonts w:ascii="Cambria Math" w:hAnsi="Cambria Math"/>
              </w:rPr>
              <m:t>K</m:t>
            </m:r>
          </m:e>
          <m:sub>
            <m:r>
              <w:rPr>
                <w:rFonts w:ascii="Cambria Math" w:hAnsi="Cambria Math"/>
              </w:rPr>
              <m:t>Mod2D,14</m:t>
            </m:r>
          </m:sub>
        </m:sSub>
      </m:oMath>
      <w:r w:rsidR="00893E79">
        <w:rPr>
          <w:rFonts w:eastAsiaTheme="minorEastAsia"/>
        </w:rPr>
        <w:t xml:space="preserve"> [Xss(277)] as expected for the same reason as above. Additionally, </w:t>
      </w:r>
      <w:proofErr w:type="gramStart"/>
      <w:r w:rsidR="00893E79">
        <w:rPr>
          <w:rFonts w:eastAsiaTheme="minorEastAsia"/>
        </w:rPr>
        <w:t>Xss(</w:t>
      </w:r>
      <w:proofErr w:type="gramEnd"/>
      <w:r w:rsidR="00893E79">
        <w:rPr>
          <w:rFonts w:eastAsiaTheme="minorEastAsia"/>
        </w:rPr>
        <w:t>111) is negatively correlated with Xss(117) because more uranyl nitrate in the product results in less uranyl nitrate in the waste.</w:t>
      </w:r>
    </w:p>
    <w:p w:rsidR="009E5C76" w:rsidRDefault="009E5C76" w:rsidP="009E5C76">
      <w:pPr>
        <w:rPr>
          <w:rFonts w:eastAsiaTheme="minorEastAsia"/>
        </w:rPr>
      </w:pPr>
      <w:r>
        <w:t>The AUC flow rate [</w:t>
      </w:r>
      <w:proofErr w:type="spellStart"/>
      <w:proofErr w:type="gramStart"/>
      <w:r>
        <w:t>Xss</w:t>
      </w:r>
      <w:proofErr w:type="spellEnd"/>
      <w:r>
        <w:t>(</w:t>
      </w:r>
      <w:proofErr w:type="gramEnd"/>
      <w:r>
        <w:t>171)] in the waste stream from Module 3</w:t>
      </w:r>
      <w:r w:rsidR="00893E79">
        <w:t>D</w:t>
      </w:r>
      <w:r>
        <w:t xml:space="preserve"> was negatively correlated with the input variable </w:t>
      </w:r>
      <m:oMath>
        <m:sSub>
          <m:sSubPr>
            <m:ctrlPr>
              <w:rPr>
                <w:rFonts w:ascii="Cambria Math" w:hAnsi="Cambria Math"/>
                <w:i/>
              </w:rPr>
            </m:ctrlPr>
          </m:sSubPr>
          <m:e>
            <m:r>
              <w:rPr>
                <w:rFonts w:ascii="Cambria Math" w:hAnsi="Cambria Math"/>
              </w:rPr>
              <m:t>K</m:t>
            </m:r>
          </m:e>
          <m:sub>
            <m:r>
              <w:rPr>
                <w:rFonts w:ascii="Cambria Math" w:hAnsi="Cambria Math"/>
              </w:rPr>
              <m:t>Mod3D,19</m:t>
            </m:r>
          </m:sub>
        </m:sSub>
      </m:oMath>
      <w:r>
        <w:rPr>
          <w:rFonts w:eastAsiaTheme="minorEastAsia"/>
        </w:rPr>
        <w:t xml:space="preserve"> [Xss(27</w:t>
      </w:r>
      <w:r w:rsidR="00893E79">
        <w:rPr>
          <w:rFonts w:eastAsiaTheme="minorEastAsia"/>
        </w:rPr>
        <w:t>8</w:t>
      </w:r>
      <w:r>
        <w:rPr>
          <w:rFonts w:eastAsiaTheme="minorEastAsia"/>
        </w:rPr>
        <w:t xml:space="preserve">)] as expected since </w:t>
      </w:r>
      <w:r>
        <w:t xml:space="preserve">input variable </w:t>
      </w:r>
      <m:oMath>
        <m:sSub>
          <m:sSubPr>
            <m:ctrlPr>
              <w:rPr>
                <w:rFonts w:ascii="Cambria Math" w:hAnsi="Cambria Math"/>
                <w:i/>
              </w:rPr>
            </m:ctrlPr>
          </m:sSubPr>
          <m:e>
            <m:r>
              <w:rPr>
                <w:rFonts w:ascii="Cambria Math" w:hAnsi="Cambria Math"/>
              </w:rPr>
              <m:t>K</m:t>
            </m:r>
          </m:e>
          <m:sub>
            <m:r>
              <w:rPr>
                <w:rFonts w:ascii="Cambria Math" w:hAnsi="Cambria Math"/>
              </w:rPr>
              <m:t>Mod3D,19</m:t>
            </m:r>
          </m:sub>
        </m:sSub>
      </m:oMath>
      <w:r>
        <w:rPr>
          <w:rFonts w:eastAsiaTheme="minorEastAsia"/>
        </w:rPr>
        <w:t xml:space="preserve"> controls how much of the </w:t>
      </w:r>
      <w:r w:rsidR="00893E79">
        <w:rPr>
          <w:rFonts w:eastAsiaTheme="minorEastAsia"/>
        </w:rPr>
        <w:t>AUC</w:t>
      </w:r>
      <w:r>
        <w:rPr>
          <w:rFonts w:eastAsiaTheme="minorEastAsia"/>
        </w:rPr>
        <w:t xml:space="preserve"> in Stream </w:t>
      </w:r>
      <w:r w:rsidR="00893E79">
        <w:rPr>
          <w:rFonts w:eastAsiaTheme="minorEastAsia"/>
        </w:rPr>
        <w:t>29</w:t>
      </w:r>
      <w:r>
        <w:rPr>
          <w:rFonts w:eastAsiaTheme="minorEastAsia"/>
        </w:rPr>
        <w:t xml:space="preserve"> goes to Stream </w:t>
      </w:r>
      <w:r w:rsidR="00893E79">
        <w:rPr>
          <w:rFonts w:eastAsiaTheme="minorEastAsia"/>
        </w:rPr>
        <w:t>30</w:t>
      </w:r>
      <w:r>
        <w:rPr>
          <w:rFonts w:eastAsiaTheme="minorEastAsia"/>
        </w:rPr>
        <w:t xml:space="preserve">. Therefore, if </w:t>
      </w:r>
      <m:oMath>
        <m:sSub>
          <m:sSubPr>
            <m:ctrlPr>
              <w:rPr>
                <w:rFonts w:ascii="Cambria Math" w:hAnsi="Cambria Math"/>
                <w:i/>
              </w:rPr>
            </m:ctrlPr>
          </m:sSubPr>
          <m:e>
            <m:r>
              <w:rPr>
                <w:rFonts w:ascii="Cambria Math" w:hAnsi="Cambria Math"/>
              </w:rPr>
              <m:t>K</m:t>
            </m:r>
          </m:e>
          <m:sub>
            <m:r>
              <w:rPr>
                <w:rFonts w:ascii="Cambria Math" w:hAnsi="Cambria Math"/>
              </w:rPr>
              <m:t>Mod3D,19</m:t>
            </m:r>
          </m:sub>
        </m:sSub>
      </m:oMath>
      <w:r>
        <w:rPr>
          <w:rFonts w:eastAsiaTheme="minorEastAsia"/>
        </w:rPr>
        <w:t xml:space="preserve"> increases then the </w:t>
      </w:r>
      <w:r w:rsidR="00893E79">
        <w:rPr>
          <w:rFonts w:eastAsiaTheme="minorEastAsia"/>
        </w:rPr>
        <w:t>AUC</w:t>
      </w:r>
      <w:r>
        <w:rPr>
          <w:rFonts w:eastAsiaTheme="minorEastAsia"/>
        </w:rPr>
        <w:t xml:space="preserve"> in Stream </w:t>
      </w:r>
      <w:r w:rsidR="00893E79">
        <w:rPr>
          <w:rFonts w:eastAsiaTheme="minorEastAsia"/>
        </w:rPr>
        <w:t xml:space="preserve">30 </w:t>
      </w:r>
      <w:r>
        <w:rPr>
          <w:rFonts w:eastAsiaTheme="minorEastAsia"/>
        </w:rPr>
        <w:t xml:space="preserve">increases and the </w:t>
      </w:r>
      <w:r w:rsidR="00893E79">
        <w:rPr>
          <w:rFonts w:eastAsiaTheme="minorEastAsia"/>
        </w:rPr>
        <w:t>AUC</w:t>
      </w:r>
      <w:r>
        <w:rPr>
          <w:rFonts w:eastAsiaTheme="minorEastAsia"/>
        </w:rPr>
        <w:t xml:space="preserve"> in Stream </w:t>
      </w:r>
      <w:r w:rsidR="00893E79">
        <w:rPr>
          <w:rFonts w:eastAsiaTheme="minorEastAsia"/>
        </w:rPr>
        <w:t>31</w:t>
      </w:r>
      <w:r>
        <w:rPr>
          <w:rFonts w:eastAsiaTheme="minorEastAsia"/>
        </w:rPr>
        <w:t xml:space="preserve"> [</w:t>
      </w:r>
      <w:proofErr w:type="spellStart"/>
      <w:proofErr w:type="gramStart"/>
      <w:r>
        <w:rPr>
          <w:rFonts w:eastAsiaTheme="minorEastAsia"/>
        </w:rPr>
        <w:t>Xss</w:t>
      </w:r>
      <w:proofErr w:type="spellEnd"/>
      <w:r>
        <w:rPr>
          <w:rFonts w:eastAsiaTheme="minorEastAsia"/>
        </w:rPr>
        <w:t>(</w:t>
      </w:r>
      <w:proofErr w:type="gramEnd"/>
      <w:r>
        <w:rPr>
          <w:rFonts w:eastAsiaTheme="minorEastAsia"/>
        </w:rPr>
        <w:t>17</w:t>
      </w:r>
      <w:r w:rsidR="00893E79">
        <w:rPr>
          <w:rFonts w:eastAsiaTheme="minorEastAsia"/>
        </w:rPr>
        <w:t>1</w:t>
      </w:r>
      <w:r>
        <w:rPr>
          <w:rFonts w:eastAsiaTheme="minorEastAsia"/>
        </w:rPr>
        <w:t xml:space="preserve">)] must decrease. </w:t>
      </w:r>
      <w:r w:rsidR="00893E79">
        <w:rPr>
          <w:rFonts w:eastAsiaTheme="minorEastAsia"/>
        </w:rPr>
        <w:t>The AUC output flow rate [</w:t>
      </w:r>
      <w:proofErr w:type="spellStart"/>
      <w:proofErr w:type="gramStart"/>
      <w:r w:rsidR="00893E79">
        <w:rPr>
          <w:rFonts w:eastAsiaTheme="minorEastAsia"/>
        </w:rPr>
        <w:t>Xss</w:t>
      </w:r>
      <w:proofErr w:type="spellEnd"/>
      <w:r w:rsidR="00893E79">
        <w:rPr>
          <w:rFonts w:eastAsiaTheme="minorEastAsia"/>
        </w:rPr>
        <w:t>(</w:t>
      </w:r>
      <w:proofErr w:type="gramEnd"/>
      <w:r w:rsidR="00893E79">
        <w:rPr>
          <w:rFonts w:eastAsiaTheme="minorEastAsia"/>
        </w:rPr>
        <w:t xml:space="preserve">163)] is positively correlated with </w:t>
      </w:r>
      <w:r w:rsidR="00893E79">
        <w:t xml:space="preserve">the input variable </w:t>
      </w:r>
      <m:oMath>
        <m:sSub>
          <m:sSubPr>
            <m:ctrlPr>
              <w:rPr>
                <w:rFonts w:ascii="Cambria Math" w:hAnsi="Cambria Math"/>
                <w:i/>
              </w:rPr>
            </m:ctrlPr>
          </m:sSubPr>
          <m:e>
            <m:r>
              <w:rPr>
                <w:rFonts w:ascii="Cambria Math" w:hAnsi="Cambria Math"/>
              </w:rPr>
              <m:t>K</m:t>
            </m:r>
          </m:e>
          <m:sub>
            <m:r>
              <w:rPr>
                <w:rFonts w:ascii="Cambria Math" w:hAnsi="Cambria Math"/>
              </w:rPr>
              <m:t>Mod3D,19</m:t>
            </m:r>
          </m:sub>
        </m:sSub>
      </m:oMath>
      <w:r w:rsidR="00893E79">
        <w:rPr>
          <w:rFonts w:eastAsiaTheme="minorEastAsia"/>
        </w:rPr>
        <w:t xml:space="preserve"> [Xss(278)] as expected for the same reason as above. Additionally, </w:t>
      </w:r>
      <w:proofErr w:type="spellStart"/>
      <w:proofErr w:type="gramStart"/>
      <w:r w:rsidR="00893E79">
        <w:rPr>
          <w:rFonts w:eastAsiaTheme="minorEastAsia"/>
        </w:rPr>
        <w:t>Xss</w:t>
      </w:r>
      <w:proofErr w:type="spellEnd"/>
      <w:r w:rsidR="00893E79">
        <w:rPr>
          <w:rFonts w:eastAsiaTheme="minorEastAsia"/>
        </w:rPr>
        <w:t>(</w:t>
      </w:r>
      <w:proofErr w:type="gramEnd"/>
      <w:r w:rsidR="00893E79">
        <w:rPr>
          <w:rFonts w:eastAsiaTheme="minorEastAsia"/>
        </w:rPr>
        <w:t xml:space="preserve">163) is negatively correlated with </w:t>
      </w:r>
      <w:proofErr w:type="spellStart"/>
      <w:r w:rsidR="00893E79">
        <w:rPr>
          <w:rFonts w:eastAsiaTheme="minorEastAsia"/>
        </w:rPr>
        <w:t>Xss</w:t>
      </w:r>
      <w:proofErr w:type="spellEnd"/>
      <w:r w:rsidR="00893E79">
        <w:rPr>
          <w:rFonts w:eastAsiaTheme="minorEastAsia"/>
        </w:rPr>
        <w:t>(171) because more AUC in the product results in less AUC in the waste.</w:t>
      </w:r>
    </w:p>
    <w:p w:rsidR="00E664E4" w:rsidRDefault="00E664E4" w:rsidP="00E664E4"/>
    <w:p w:rsidR="00E664E4" w:rsidRDefault="00E664E4" w:rsidP="00E664E4">
      <w:pPr>
        <w:sectPr w:rsidR="00E664E4" w:rsidSect="00696884">
          <w:pgSz w:w="12240" w:h="15840"/>
          <w:pgMar w:top="1440" w:right="1440" w:bottom="1440" w:left="1440" w:header="1440" w:footer="1440" w:gutter="0"/>
          <w:cols w:space="720"/>
          <w:docGrid w:linePitch="360"/>
        </w:sectPr>
      </w:pPr>
    </w:p>
    <w:p w:rsidR="00E664E4" w:rsidRDefault="00A44143" w:rsidP="00E664E4">
      <w:pPr>
        <w:jc w:val="center"/>
        <w:rPr>
          <w:b/>
          <w:sz w:val="20"/>
          <w:szCs w:val="20"/>
        </w:rPr>
      </w:pPr>
      <w:r>
        <w:rPr>
          <w:b/>
          <w:noProof/>
          <w:sz w:val="20"/>
          <w:szCs w:val="20"/>
        </w:rPr>
        <w:lastRenderedPageBreak/>
        <w:drawing>
          <wp:inline distT="0" distB="0" distL="0" distR="0">
            <wp:extent cx="8229600" cy="5029200"/>
            <wp:effectExtent l="0" t="0" r="0" b="0"/>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8229600" cy="5029200"/>
                    </a:xfrm>
                    <a:prstGeom prst="rect">
                      <a:avLst/>
                    </a:prstGeom>
                    <a:noFill/>
                    <a:ln>
                      <a:noFill/>
                    </a:ln>
                  </pic:spPr>
                </pic:pic>
              </a:graphicData>
            </a:graphic>
          </wp:inline>
        </w:drawing>
      </w:r>
    </w:p>
    <w:p w:rsidR="00E664E4" w:rsidRDefault="00E664E4" w:rsidP="00E664E4">
      <w:pPr>
        <w:jc w:val="center"/>
        <w:rPr>
          <w:b/>
          <w:sz w:val="20"/>
          <w:szCs w:val="20"/>
        </w:rPr>
        <w:sectPr w:rsidR="00E664E4" w:rsidSect="00696884">
          <w:pgSz w:w="15840" w:h="12240" w:orient="landscape"/>
          <w:pgMar w:top="1440" w:right="1440" w:bottom="1440" w:left="1440" w:header="1440" w:footer="1440" w:gutter="0"/>
          <w:cols w:space="720"/>
          <w:docGrid w:linePitch="360"/>
        </w:sectPr>
      </w:pPr>
      <w:proofErr w:type="gramStart"/>
      <w:r>
        <w:rPr>
          <w:b/>
          <w:sz w:val="20"/>
          <w:szCs w:val="20"/>
        </w:rPr>
        <w:t>Figure 4.</w:t>
      </w:r>
      <w:r w:rsidR="006A3764">
        <w:rPr>
          <w:b/>
          <w:sz w:val="20"/>
          <w:szCs w:val="20"/>
        </w:rPr>
        <w:t>6</w:t>
      </w:r>
      <w:r>
        <w:rPr>
          <w:b/>
          <w:sz w:val="20"/>
          <w:szCs w:val="20"/>
        </w:rPr>
        <w:t>.</w:t>
      </w:r>
      <w:proofErr w:type="gramEnd"/>
      <w:r>
        <w:rPr>
          <w:b/>
          <w:sz w:val="20"/>
          <w:szCs w:val="20"/>
        </w:rPr>
        <w:t xml:space="preserve"> Base Case Principal Component 3 Loading</w:t>
      </w:r>
      <w:r w:rsidR="008205C9">
        <w:rPr>
          <w:b/>
          <w:sz w:val="20"/>
          <w:szCs w:val="20"/>
        </w:rPr>
        <w:t>s</w:t>
      </w:r>
      <w:r>
        <w:rPr>
          <w:b/>
          <w:sz w:val="20"/>
          <w:szCs w:val="20"/>
        </w:rPr>
        <w:t xml:space="preserve"> Vectors for </w:t>
      </w:r>
      <w:r w:rsidR="006046FE">
        <w:rPr>
          <w:b/>
          <w:sz w:val="20"/>
          <w:szCs w:val="20"/>
        </w:rPr>
        <w:t>A</w:t>
      </w:r>
      <w:r>
        <w:rPr>
          <w:b/>
          <w:sz w:val="20"/>
          <w:szCs w:val="20"/>
        </w:rPr>
        <w:t>ll State Variables</w:t>
      </w:r>
      <w:r w:rsidRPr="00D6552F">
        <w:rPr>
          <w:b/>
          <w:sz w:val="20"/>
          <w:szCs w:val="20"/>
        </w:rPr>
        <w:t>.</w:t>
      </w:r>
    </w:p>
    <w:tbl>
      <w:tblPr>
        <w:tblW w:w="7200" w:type="dxa"/>
        <w:jc w:val="center"/>
        <w:tblLook w:val="04A0" w:firstRow="1" w:lastRow="0" w:firstColumn="1" w:lastColumn="0" w:noHBand="0" w:noVBand="1"/>
      </w:tblPr>
      <w:tblGrid>
        <w:gridCol w:w="592"/>
        <w:gridCol w:w="980"/>
        <w:gridCol w:w="924"/>
        <w:gridCol w:w="1105"/>
        <w:gridCol w:w="591"/>
        <w:gridCol w:w="979"/>
        <w:gridCol w:w="924"/>
        <w:gridCol w:w="1105"/>
      </w:tblGrid>
      <w:tr w:rsidR="00B66898" w:rsidRPr="00B66898" w:rsidTr="00B66898">
        <w:trPr>
          <w:trHeight w:val="270"/>
          <w:jc w:val="center"/>
        </w:trPr>
        <w:tc>
          <w:tcPr>
            <w:tcW w:w="5460" w:type="dxa"/>
            <w:gridSpan w:val="8"/>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lastRenderedPageBreak/>
              <w:t>Table 4.18. Primary State Variable Contributions to the Third Principal Component</w:t>
            </w:r>
          </w:p>
        </w:tc>
      </w:tr>
      <w:tr w:rsidR="00B66898" w:rsidRPr="00B66898" w:rsidTr="00B66898">
        <w:trPr>
          <w:trHeight w:val="255"/>
          <w:jc w:val="center"/>
        </w:trPr>
        <w:tc>
          <w:tcPr>
            <w:tcW w:w="5460" w:type="dxa"/>
            <w:gridSpan w:val="8"/>
            <w:tcBorders>
              <w:top w:val="single" w:sz="8" w:space="0" w:color="auto"/>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Contribution</w:t>
            </w:r>
          </w:p>
        </w:tc>
      </w:tr>
      <w:tr w:rsidR="00B66898" w:rsidRPr="00B66898" w:rsidTr="00B66898">
        <w:trPr>
          <w:trHeight w:val="255"/>
          <w:jc w:val="center"/>
        </w:trPr>
        <w:tc>
          <w:tcPr>
            <w:tcW w:w="2750" w:type="dxa"/>
            <w:gridSpan w:val="4"/>
            <w:tcBorders>
              <w:top w:val="single" w:sz="4" w:space="0" w:color="auto"/>
              <w:left w:val="nil"/>
              <w:bottom w:val="nil"/>
              <w:right w:val="single" w:sz="4" w:space="0" w:color="000000"/>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Heavy</w:t>
            </w:r>
          </w:p>
        </w:tc>
        <w:tc>
          <w:tcPr>
            <w:tcW w:w="2710" w:type="dxa"/>
            <w:gridSpan w:val="4"/>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Slight</w:t>
            </w:r>
          </w:p>
        </w:tc>
      </w:tr>
      <w:tr w:rsidR="00B66898" w:rsidRPr="00B66898" w:rsidTr="00B66898">
        <w:trPr>
          <w:trHeight w:val="255"/>
          <w:jc w:val="center"/>
        </w:trPr>
        <w:tc>
          <w:tcPr>
            <w:tcW w:w="367"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proofErr w:type="spellStart"/>
            <w:r w:rsidRPr="00B66898">
              <w:rPr>
                <w:rFonts w:ascii="Calibri" w:eastAsia="Times New Roman" w:hAnsi="Calibri" w:cs="Times New Roman"/>
                <w:b/>
                <w:bCs/>
                <w:color w:val="000000"/>
                <w:sz w:val="20"/>
                <w:szCs w:val="20"/>
              </w:rPr>
              <w:t>Xss</w:t>
            </w:r>
            <w:proofErr w:type="spellEnd"/>
          </w:p>
        </w:tc>
        <w:tc>
          <w:tcPr>
            <w:tcW w:w="740"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Module</w:t>
            </w:r>
          </w:p>
        </w:tc>
        <w:tc>
          <w:tcPr>
            <w:tcW w:w="725"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Stream</w:t>
            </w:r>
          </w:p>
        </w:tc>
        <w:tc>
          <w:tcPr>
            <w:tcW w:w="918" w:type="dxa"/>
            <w:tcBorders>
              <w:top w:val="nil"/>
              <w:left w:val="nil"/>
              <w:bottom w:val="single" w:sz="4" w:space="0" w:color="auto"/>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Chemical</w:t>
            </w:r>
          </w:p>
        </w:tc>
        <w:tc>
          <w:tcPr>
            <w:tcW w:w="366"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proofErr w:type="spellStart"/>
            <w:r w:rsidRPr="00B66898">
              <w:rPr>
                <w:rFonts w:ascii="Calibri" w:eastAsia="Times New Roman" w:hAnsi="Calibri" w:cs="Times New Roman"/>
                <w:b/>
                <w:bCs/>
                <w:color w:val="000000"/>
                <w:sz w:val="20"/>
                <w:szCs w:val="20"/>
              </w:rPr>
              <w:t>Xss</w:t>
            </w:r>
            <w:proofErr w:type="spellEnd"/>
          </w:p>
        </w:tc>
        <w:tc>
          <w:tcPr>
            <w:tcW w:w="740"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Module</w:t>
            </w:r>
          </w:p>
        </w:tc>
        <w:tc>
          <w:tcPr>
            <w:tcW w:w="686"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Stream</w:t>
            </w:r>
          </w:p>
        </w:tc>
        <w:tc>
          <w:tcPr>
            <w:tcW w:w="918" w:type="dxa"/>
            <w:tcBorders>
              <w:top w:val="nil"/>
              <w:left w:val="nil"/>
              <w:bottom w:val="single" w:sz="4" w:space="0" w:color="auto"/>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Chemical</w:t>
            </w:r>
          </w:p>
        </w:tc>
      </w:tr>
      <w:tr w:rsidR="00B66898" w:rsidRPr="00B66898" w:rsidTr="00B66898">
        <w:trPr>
          <w:trHeight w:val="255"/>
          <w:jc w:val="center"/>
        </w:trPr>
        <w:tc>
          <w:tcPr>
            <w:tcW w:w="367"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64</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w:t>
            </w:r>
          </w:p>
        </w:tc>
        <w:tc>
          <w:tcPr>
            <w:tcW w:w="725"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12</w:t>
            </w:r>
          </w:p>
        </w:tc>
        <w:tc>
          <w:tcPr>
            <w:tcW w:w="91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UN</w:t>
            </w:r>
          </w:p>
        </w:tc>
        <w:tc>
          <w:tcPr>
            <w:tcW w:w="36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16</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w:t>
            </w:r>
          </w:p>
        </w:tc>
        <w:tc>
          <w:tcPr>
            <w:tcW w:w="68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w:t>
            </w:r>
          </w:p>
        </w:tc>
        <w:tc>
          <w:tcPr>
            <w:tcW w:w="91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UN</w:t>
            </w:r>
          </w:p>
        </w:tc>
      </w:tr>
      <w:tr w:rsidR="00B66898" w:rsidRPr="00B66898" w:rsidTr="00B66898">
        <w:trPr>
          <w:trHeight w:val="285"/>
          <w:jc w:val="center"/>
        </w:trPr>
        <w:tc>
          <w:tcPr>
            <w:tcW w:w="367"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91</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w:t>
            </w:r>
          </w:p>
        </w:tc>
        <w:tc>
          <w:tcPr>
            <w:tcW w:w="725"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16</w:t>
            </w:r>
          </w:p>
        </w:tc>
        <w:tc>
          <w:tcPr>
            <w:tcW w:w="91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UN</w:t>
            </w:r>
          </w:p>
        </w:tc>
        <w:tc>
          <w:tcPr>
            <w:tcW w:w="36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41</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w:t>
            </w:r>
          </w:p>
        </w:tc>
        <w:tc>
          <w:tcPr>
            <w:tcW w:w="68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8</w:t>
            </w:r>
          </w:p>
        </w:tc>
        <w:tc>
          <w:tcPr>
            <w:tcW w:w="91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w:t>
            </w:r>
            <w:r w:rsidRPr="00B66898">
              <w:rPr>
                <w:rFonts w:ascii="Calibri" w:eastAsia="Times New Roman" w:hAnsi="Calibri" w:cs="Times New Roman"/>
                <w:sz w:val="20"/>
                <w:szCs w:val="20"/>
                <w:vertAlign w:val="subscript"/>
              </w:rPr>
              <w:t>3</w:t>
            </w:r>
            <w:r w:rsidRPr="00B66898">
              <w:rPr>
                <w:rFonts w:ascii="Calibri" w:eastAsia="Times New Roman" w:hAnsi="Calibri" w:cs="Times New Roman"/>
                <w:sz w:val="20"/>
                <w:szCs w:val="20"/>
              </w:rPr>
              <w:t>O</w:t>
            </w:r>
            <w:r w:rsidRPr="00B66898">
              <w:rPr>
                <w:rFonts w:ascii="Calibri" w:eastAsia="Times New Roman" w:hAnsi="Calibri" w:cs="Times New Roman"/>
                <w:sz w:val="20"/>
                <w:szCs w:val="20"/>
                <w:vertAlign w:val="subscript"/>
              </w:rPr>
              <w:t>8</w:t>
            </w:r>
          </w:p>
        </w:tc>
      </w:tr>
      <w:tr w:rsidR="00B66898" w:rsidRPr="00B66898" w:rsidTr="00B66898">
        <w:trPr>
          <w:trHeight w:val="255"/>
          <w:jc w:val="center"/>
        </w:trPr>
        <w:tc>
          <w:tcPr>
            <w:tcW w:w="367"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111</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w:t>
            </w:r>
          </w:p>
        </w:tc>
        <w:tc>
          <w:tcPr>
            <w:tcW w:w="725"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19</w:t>
            </w:r>
          </w:p>
        </w:tc>
        <w:tc>
          <w:tcPr>
            <w:tcW w:w="91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UN</w:t>
            </w:r>
          </w:p>
        </w:tc>
        <w:tc>
          <w:tcPr>
            <w:tcW w:w="36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70</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w:t>
            </w:r>
          </w:p>
        </w:tc>
        <w:tc>
          <w:tcPr>
            <w:tcW w:w="68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13</w:t>
            </w:r>
          </w:p>
        </w:tc>
        <w:tc>
          <w:tcPr>
            <w:tcW w:w="91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UN</w:t>
            </w:r>
          </w:p>
        </w:tc>
      </w:tr>
      <w:tr w:rsidR="00B66898" w:rsidRPr="00B66898" w:rsidTr="00B66898">
        <w:trPr>
          <w:trHeight w:val="255"/>
          <w:jc w:val="center"/>
        </w:trPr>
        <w:tc>
          <w:tcPr>
            <w:tcW w:w="367"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117</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w:t>
            </w:r>
          </w:p>
        </w:tc>
        <w:tc>
          <w:tcPr>
            <w:tcW w:w="725"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20</w:t>
            </w:r>
          </w:p>
        </w:tc>
        <w:tc>
          <w:tcPr>
            <w:tcW w:w="91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UN</w:t>
            </w:r>
          </w:p>
        </w:tc>
        <w:tc>
          <w:tcPr>
            <w:tcW w:w="36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77</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w:t>
            </w:r>
          </w:p>
        </w:tc>
        <w:tc>
          <w:tcPr>
            <w:tcW w:w="68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14</w:t>
            </w:r>
          </w:p>
        </w:tc>
        <w:tc>
          <w:tcPr>
            <w:tcW w:w="91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UN</w:t>
            </w:r>
          </w:p>
        </w:tc>
      </w:tr>
      <w:tr w:rsidR="00B66898" w:rsidRPr="00B66898" w:rsidTr="00B66898">
        <w:trPr>
          <w:trHeight w:val="285"/>
          <w:jc w:val="center"/>
        </w:trPr>
        <w:tc>
          <w:tcPr>
            <w:tcW w:w="367"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163</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w:t>
            </w:r>
          </w:p>
        </w:tc>
        <w:tc>
          <w:tcPr>
            <w:tcW w:w="725"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30</w:t>
            </w:r>
          </w:p>
        </w:tc>
        <w:tc>
          <w:tcPr>
            <w:tcW w:w="918"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AUC</w:t>
            </w:r>
          </w:p>
        </w:tc>
        <w:tc>
          <w:tcPr>
            <w:tcW w:w="36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92</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w:t>
            </w:r>
          </w:p>
        </w:tc>
        <w:tc>
          <w:tcPr>
            <w:tcW w:w="68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16</w:t>
            </w:r>
          </w:p>
        </w:tc>
        <w:tc>
          <w:tcPr>
            <w:tcW w:w="91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w:t>
            </w:r>
            <w:r w:rsidRPr="00B66898">
              <w:rPr>
                <w:rFonts w:ascii="Calibri" w:eastAsia="Times New Roman" w:hAnsi="Calibri" w:cs="Times New Roman"/>
                <w:sz w:val="20"/>
                <w:szCs w:val="20"/>
                <w:vertAlign w:val="subscript"/>
              </w:rPr>
              <w:t>3</w:t>
            </w:r>
            <w:r w:rsidRPr="00B66898">
              <w:rPr>
                <w:rFonts w:ascii="Calibri" w:eastAsia="Times New Roman" w:hAnsi="Calibri" w:cs="Times New Roman"/>
                <w:sz w:val="20"/>
                <w:szCs w:val="20"/>
              </w:rPr>
              <w:t>O</w:t>
            </w:r>
            <w:r w:rsidRPr="00B66898">
              <w:rPr>
                <w:rFonts w:ascii="Calibri" w:eastAsia="Times New Roman" w:hAnsi="Calibri" w:cs="Times New Roman"/>
                <w:sz w:val="20"/>
                <w:szCs w:val="20"/>
                <w:vertAlign w:val="subscript"/>
              </w:rPr>
              <w:t>8</w:t>
            </w:r>
          </w:p>
        </w:tc>
      </w:tr>
      <w:tr w:rsidR="00B66898" w:rsidRPr="00B66898" w:rsidTr="00B66898">
        <w:trPr>
          <w:trHeight w:val="255"/>
          <w:jc w:val="center"/>
        </w:trPr>
        <w:tc>
          <w:tcPr>
            <w:tcW w:w="367"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171</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w:t>
            </w:r>
          </w:p>
        </w:tc>
        <w:tc>
          <w:tcPr>
            <w:tcW w:w="725"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31</w:t>
            </w:r>
          </w:p>
        </w:tc>
        <w:tc>
          <w:tcPr>
            <w:tcW w:w="918"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AUC</w:t>
            </w:r>
          </w:p>
        </w:tc>
        <w:tc>
          <w:tcPr>
            <w:tcW w:w="36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123</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w:t>
            </w:r>
          </w:p>
        </w:tc>
        <w:tc>
          <w:tcPr>
            <w:tcW w:w="68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21</w:t>
            </w:r>
          </w:p>
        </w:tc>
        <w:tc>
          <w:tcPr>
            <w:tcW w:w="91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UN</w:t>
            </w:r>
          </w:p>
        </w:tc>
      </w:tr>
      <w:tr w:rsidR="00B66898" w:rsidRPr="00B66898" w:rsidTr="00B66898">
        <w:trPr>
          <w:trHeight w:val="285"/>
          <w:jc w:val="center"/>
        </w:trPr>
        <w:tc>
          <w:tcPr>
            <w:tcW w:w="367"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218</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w:t>
            </w:r>
          </w:p>
        </w:tc>
        <w:tc>
          <w:tcPr>
            <w:tcW w:w="725"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44</w:t>
            </w:r>
          </w:p>
        </w:tc>
        <w:tc>
          <w:tcPr>
            <w:tcW w:w="91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4</w:t>
            </w:r>
          </w:p>
        </w:tc>
        <w:tc>
          <w:tcPr>
            <w:tcW w:w="36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128</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w:t>
            </w:r>
          </w:p>
        </w:tc>
        <w:tc>
          <w:tcPr>
            <w:tcW w:w="68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22</w:t>
            </w:r>
          </w:p>
        </w:tc>
        <w:tc>
          <w:tcPr>
            <w:tcW w:w="91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UN</w:t>
            </w:r>
          </w:p>
        </w:tc>
      </w:tr>
      <w:tr w:rsidR="00B66898" w:rsidRPr="00B66898" w:rsidTr="00B66898">
        <w:trPr>
          <w:trHeight w:val="285"/>
          <w:jc w:val="center"/>
        </w:trPr>
        <w:tc>
          <w:tcPr>
            <w:tcW w:w="367"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219</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w:t>
            </w:r>
          </w:p>
        </w:tc>
        <w:tc>
          <w:tcPr>
            <w:tcW w:w="725"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44</w:t>
            </w:r>
          </w:p>
        </w:tc>
        <w:tc>
          <w:tcPr>
            <w:tcW w:w="91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UO</w:t>
            </w:r>
            <w:r w:rsidRPr="00B66898">
              <w:rPr>
                <w:rFonts w:ascii="Calibri" w:eastAsia="Times New Roman" w:hAnsi="Calibri" w:cs="Times New Roman"/>
                <w:sz w:val="20"/>
                <w:szCs w:val="20"/>
                <w:vertAlign w:val="subscript"/>
              </w:rPr>
              <w:t>2</w:t>
            </w:r>
          </w:p>
        </w:tc>
        <w:tc>
          <w:tcPr>
            <w:tcW w:w="36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138</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w:t>
            </w:r>
          </w:p>
        </w:tc>
        <w:tc>
          <w:tcPr>
            <w:tcW w:w="68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26</w:t>
            </w:r>
          </w:p>
        </w:tc>
        <w:tc>
          <w:tcPr>
            <w:tcW w:w="91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UN</w:t>
            </w:r>
          </w:p>
        </w:tc>
      </w:tr>
      <w:tr w:rsidR="00B66898" w:rsidRPr="00B66898" w:rsidTr="00B66898">
        <w:trPr>
          <w:trHeight w:val="285"/>
          <w:jc w:val="center"/>
        </w:trPr>
        <w:tc>
          <w:tcPr>
            <w:tcW w:w="367"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273</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725"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60</w:t>
            </w:r>
          </w:p>
        </w:tc>
        <w:tc>
          <w:tcPr>
            <w:tcW w:w="91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6</w:t>
            </w:r>
          </w:p>
        </w:tc>
        <w:tc>
          <w:tcPr>
            <w:tcW w:w="36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148</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w:t>
            </w:r>
          </w:p>
        </w:tc>
        <w:tc>
          <w:tcPr>
            <w:tcW w:w="68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27</w:t>
            </w:r>
          </w:p>
        </w:tc>
        <w:tc>
          <w:tcPr>
            <w:tcW w:w="91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AUC</w:t>
            </w:r>
          </w:p>
        </w:tc>
      </w:tr>
      <w:tr w:rsidR="00B66898" w:rsidRPr="00B66898" w:rsidTr="00B66898">
        <w:trPr>
          <w:trHeight w:val="255"/>
          <w:jc w:val="center"/>
        </w:trPr>
        <w:tc>
          <w:tcPr>
            <w:tcW w:w="367"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274</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Input 1</w:t>
            </w:r>
          </w:p>
        </w:tc>
        <w:tc>
          <w:tcPr>
            <w:tcW w:w="725"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1A</w:t>
            </w:r>
          </w:p>
        </w:tc>
        <w:tc>
          <w:tcPr>
            <w:tcW w:w="918"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w:t>
            </w:r>
          </w:p>
        </w:tc>
        <w:tc>
          <w:tcPr>
            <w:tcW w:w="36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159</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w:t>
            </w:r>
          </w:p>
        </w:tc>
        <w:tc>
          <w:tcPr>
            <w:tcW w:w="68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29</w:t>
            </w:r>
          </w:p>
        </w:tc>
        <w:tc>
          <w:tcPr>
            <w:tcW w:w="918"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AUC</w:t>
            </w:r>
          </w:p>
        </w:tc>
      </w:tr>
      <w:tr w:rsidR="00B66898" w:rsidRPr="00B66898" w:rsidTr="00B66898">
        <w:trPr>
          <w:trHeight w:val="255"/>
          <w:jc w:val="center"/>
        </w:trPr>
        <w:tc>
          <w:tcPr>
            <w:tcW w:w="367"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276</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Input 3</w:t>
            </w:r>
          </w:p>
        </w:tc>
        <w:tc>
          <w:tcPr>
            <w:tcW w:w="725"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15 &amp; 16</w:t>
            </w:r>
          </w:p>
        </w:tc>
        <w:tc>
          <w:tcPr>
            <w:tcW w:w="918"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UN</w:t>
            </w:r>
          </w:p>
        </w:tc>
        <w:tc>
          <w:tcPr>
            <w:tcW w:w="36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169</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w:t>
            </w:r>
          </w:p>
        </w:tc>
        <w:tc>
          <w:tcPr>
            <w:tcW w:w="68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31</w:t>
            </w:r>
          </w:p>
        </w:tc>
        <w:tc>
          <w:tcPr>
            <w:tcW w:w="91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UN</w:t>
            </w:r>
          </w:p>
        </w:tc>
      </w:tr>
      <w:tr w:rsidR="00B66898" w:rsidRPr="00B66898" w:rsidTr="00B66898">
        <w:trPr>
          <w:trHeight w:val="285"/>
          <w:jc w:val="center"/>
        </w:trPr>
        <w:tc>
          <w:tcPr>
            <w:tcW w:w="367"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277</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Input 4</w:t>
            </w:r>
          </w:p>
        </w:tc>
        <w:tc>
          <w:tcPr>
            <w:tcW w:w="725"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19 &amp; 20</w:t>
            </w:r>
          </w:p>
        </w:tc>
        <w:tc>
          <w:tcPr>
            <w:tcW w:w="918"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UN</w:t>
            </w:r>
          </w:p>
        </w:tc>
        <w:tc>
          <w:tcPr>
            <w:tcW w:w="36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207</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w:t>
            </w:r>
          </w:p>
        </w:tc>
        <w:tc>
          <w:tcPr>
            <w:tcW w:w="68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42</w:t>
            </w:r>
          </w:p>
        </w:tc>
        <w:tc>
          <w:tcPr>
            <w:tcW w:w="91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4</w:t>
            </w:r>
          </w:p>
        </w:tc>
      </w:tr>
      <w:tr w:rsidR="00B66898" w:rsidRPr="00B66898" w:rsidTr="00B66898">
        <w:trPr>
          <w:trHeight w:val="285"/>
          <w:jc w:val="center"/>
        </w:trPr>
        <w:tc>
          <w:tcPr>
            <w:tcW w:w="367"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278</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Input 5</w:t>
            </w:r>
          </w:p>
        </w:tc>
        <w:tc>
          <w:tcPr>
            <w:tcW w:w="725"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30 &amp; 31</w:t>
            </w:r>
          </w:p>
        </w:tc>
        <w:tc>
          <w:tcPr>
            <w:tcW w:w="918"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AUC</w:t>
            </w:r>
          </w:p>
        </w:tc>
        <w:tc>
          <w:tcPr>
            <w:tcW w:w="36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208</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w:t>
            </w:r>
          </w:p>
        </w:tc>
        <w:tc>
          <w:tcPr>
            <w:tcW w:w="68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42</w:t>
            </w:r>
          </w:p>
        </w:tc>
        <w:tc>
          <w:tcPr>
            <w:tcW w:w="91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UO</w:t>
            </w:r>
            <w:r w:rsidRPr="00B66898">
              <w:rPr>
                <w:rFonts w:ascii="Calibri" w:eastAsia="Times New Roman" w:hAnsi="Calibri" w:cs="Times New Roman"/>
                <w:sz w:val="20"/>
                <w:szCs w:val="20"/>
                <w:vertAlign w:val="subscript"/>
              </w:rPr>
              <w:t>2</w:t>
            </w:r>
          </w:p>
        </w:tc>
      </w:tr>
      <w:tr w:rsidR="00B66898" w:rsidRPr="00B66898" w:rsidTr="00B66898">
        <w:trPr>
          <w:trHeight w:val="285"/>
          <w:jc w:val="center"/>
        </w:trPr>
        <w:tc>
          <w:tcPr>
            <w:tcW w:w="367"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279</w:t>
            </w:r>
          </w:p>
        </w:tc>
        <w:tc>
          <w:tcPr>
            <w:tcW w:w="740"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Input 6</w:t>
            </w:r>
          </w:p>
        </w:tc>
        <w:tc>
          <w:tcPr>
            <w:tcW w:w="725"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40</w:t>
            </w:r>
          </w:p>
        </w:tc>
        <w:tc>
          <w:tcPr>
            <w:tcW w:w="918" w:type="dxa"/>
            <w:tcBorders>
              <w:top w:val="nil"/>
              <w:left w:val="nil"/>
              <w:bottom w:val="single" w:sz="4" w:space="0" w:color="auto"/>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HF</w:t>
            </w:r>
          </w:p>
        </w:tc>
        <w:tc>
          <w:tcPr>
            <w:tcW w:w="36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214</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w:t>
            </w:r>
          </w:p>
        </w:tc>
        <w:tc>
          <w:tcPr>
            <w:tcW w:w="68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43</w:t>
            </w:r>
          </w:p>
        </w:tc>
        <w:tc>
          <w:tcPr>
            <w:tcW w:w="91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4</w:t>
            </w:r>
          </w:p>
        </w:tc>
      </w:tr>
      <w:tr w:rsidR="00B66898" w:rsidRPr="00B66898" w:rsidTr="00B66898">
        <w:trPr>
          <w:trHeight w:val="285"/>
          <w:jc w:val="center"/>
        </w:trPr>
        <w:tc>
          <w:tcPr>
            <w:tcW w:w="2750" w:type="dxa"/>
            <w:gridSpan w:val="4"/>
            <w:tcBorders>
              <w:top w:val="nil"/>
              <w:left w:val="nil"/>
              <w:bottom w:val="nil"/>
              <w:right w:val="single" w:sz="4" w:space="0" w:color="000000"/>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Moderate</w:t>
            </w:r>
          </w:p>
        </w:tc>
        <w:tc>
          <w:tcPr>
            <w:tcW w:w="36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215</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w:t>
            </w:r>
          </w:p>
        </w:tc>
        <w:tc>
          <w:tcPr>
            <w:tcW w:w="68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43</w:t>
            </w:r>
          </w:p>
        </w:tc>
        <w:tc>
          <w:tcPr>
            <w:tcW w:w="91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UO</w:t>
            </w:r>
            <w:r w:rsidRPr="00B66898">
              <w:rPr>
                <w:rFonts w:ascii="Calibri" w:eastAsia="Times New Roman" w:hAnsi="Calibri" w:cs="Times New Roman"/>
                <w:sz w:val="20"/>
                <w:szCs w:val="20"/>
                <w:vertAlign w:val="subscript"/>
              </w:rPr>
              <w:t>2</w:t>
            </w:r>
          </w:p>
        </w:tc>
      </w:tr>
      <w:tr w:rsidR="00B66898" w:rsidRPr="00B66898" w:rsidTr="00B66898">
        <w:trPr>
          <w:trHeight w:val="285"/>
          <w:jc w:val="center"/>
        </w:trPr>
        <w:tc>
          <w:tcPr>
            <w:tcW w:w="367"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proofErr w:type="spellStart"/>
            <w:r w:rsidRPr="00B66898">
              <w:rPr>
                <w:rFonts w:ascii="Calibri" w:eastAsia="Times New Roman" w:hAnsi="Calibri" w:cs="Times New Roman"/>
                <w:b/>
                <w:bCs/>
                <w:color w:val="000000"/>
                <w:sz w:val="20"/>
                <w:szCs w:val="20"/>
              </w:rPr>
              <w:t>Xss</w:t>
            </w:r>
            <w:proofErr w:type="spellEnd"/>
          </w:p>
        </w:tc>
        <w:tc>
          <w:tcPr>
            <w:tcW w:w="740"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Module</w:t>
            </w:r>
          </w:p>
        </w:tc>
        <w:tc>
          <w:tcPr>
            <w:tcW w:w="725"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Stream</w:t>
            </w:r>
          </w:p>
        </w:tc>
        <w:tc>
          <w:tcPr>
            <w:tcW w:w="918" w:type="dxa"/>
            <w:tcBorders>
              <w:top w:val="nil"/>
              <w:left w:val="nil"/>
              <w:bottom w:val="single" w:sz="4" w:space="0" w:color="auto"/>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Chemical</w:t>
            </w:r>
          </w:p>
        </w:tc>
        <w:tc>
          <w:tcPr>
            <w:tcW w:w="36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221</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8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45</w:t>
            </w:r>
          </w:p>
        </w:tc>
        <w:tc>
          <w:tcPr>
            <w:tcW w:w="91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4</w:t>
            </w:r>
          </w:p>
        </w:tc>
      </w:tr>
      <w:tr w:rsidR="00B66898" w:rsidRPr="00B66898" w:rsidTr="00B66898">
        <w:trPr>
          <w:trHeight w:val="285"/>
          <w:jc w:val="center"/>
        </w:trPr>
        <w:tc>
          <w:tcPr>
            <w:tcW w:w="367"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w:t>
            </w:r>
          </w:p>
        </w:tc>
        <w:tc>
          <w:tcPr>
            <w:tcW w:w="725"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w:t>
            </w:r>
          </w:p>
        </w:tc>
        <w:tc>
          <w:tcPr>
            <w:tcW w:w="91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UN</w:t>
            </w:r>
          </w:p>
        </w:tc>
        <w:tc>
          <w:tcPr>
            <w:tcW w:w="36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222</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8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45</w:t>
            </w:r>
          </w:p>
        </w:tc>
        <w:tc>
          <w:tcPr>
            <w:tcW w:w="91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UO</w:t>
            </w:r>
            <w:r w:rsidRPr="00B66898">
              <w:rPr>
                <w:rFonts w:ascii="Calibri" w:eastAsia="Times New Roman" w:hAnsi="Calibri" w:cs="Times New Roman"/>
                <w:sz w:val="20"/>
                <w:szCs w:val="20"/>
                <w:vertAlign w:val="subscript"/>
              </w:rPr>
              <w:t>2</w:t>
            </w:r>
          </w:p>
        </w:tc>
      </w:tr>
      <w:tr w:rsidR="00B66898" w:rsidRPr="00B66898" w:rsidTr="00B66898">
        <w:trPr>
          <w:trHeight w:val="285"/>
          <w:jc w:val="center"/>
        </w:trPr>
        <w:tc>
          <w:tcPr>
            <w:tcW w:w="367"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10</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w:t>
            </w:r>
          </w:p>
        </w:tc>
        <w:tc>
          <w:tcPr>
            <w:tcW w:w="725"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w:t>
            </w:r>
          </w:p>
        </w:tc>
        <w:tc>
          <w:tcPr>
            <w:tcW w:w="91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UN</w:t>
            </w:r>
          </w:p>
        </w:tc>
        <w:tc>
          <w:tcPr>
            <w:tcW w:w="36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224</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8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46</w:t>
            </w:r>
          </w:p>
        </w:tc>
        <w:tc>
          <w:tcPr>
            <w:tcW w:w="91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4</w:t>
            </w:r>
          </w:p>
        </w:tc>
      </w:tr>
      <w:tr w:rsidR="00B66898" w:rsidRPr="00B66898" w:rsidTr="00B66898">
        <w:trPr>
          <w:trHeight w:val="285"/>
          <w:jc w:val="center"/>
        </w:trPr>
        <w:tc>
          <w:tcPr>
            <w:tcW w:w="367"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40</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w:t>
            </w:r>
          </w:p>
        </w:tc>
        <w:tc>
          <w:tcPr>
            <w:tcW w:w="725"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8</w:t>
            </w:r>
          </w:p>
        </w:tc>
        <w:tc>
          <w:tcPr>
            <w:tcW w:w="91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UN</w:t>
            </w:r>
          </w:p>
        </w:tc>
        <w:tc>
          <w:tcPr>
            <w:tcW w:w="36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225</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8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46</w:t>
            </w:r>
          </w:p>
        </w:tc>
        <w:tc>
          <w:tcPr>
            <w:tcW w:w="91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UO</w:t>
            </w:r>
            <w:r w:rsidRPr="00B66898">
              <w:rPr>
                <w:rFonts w:ascii="Calibri" w:eastAsia="Times New Roman" w:hAnsi="Calibri" w:cs="Times New Roman"/>
                <w:sz w:val="20"/>
                <w:szCs w:val="20"/>
                <w:vertAlign w:val="subscript"/>
              </w:rPr>
              <w:t>2</w:t>
            </w:r>
          </w:p>
        </w:tc>
      </w:tr>
      <w:tr w:rsidR="00B66898" w:rsidRPr="00B66898" w:rsidTr="00B66898">
        <w:trPr>
          <w:trHeight w:val="285"/>
          <w:jc w:val="center"/>
        </w:trPr>
        <w:tc>
          <w:tcPr>
            <w:tcW w:w="367"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181</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w:t>
            </w:r>
          </w:p>
        </w:tc>
        <w:tc>
          <w:tcPr>
            <w:tcW w:w="725"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34</w:t>
            </w:r>
          </w:p>
        </w:tc>
        <w:tc>
          <w:tcPr>
            <w:tcW w:w="91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UO</w:t>
            </w:r>
            <w:r w:rsidRPr="00B66898">
              <w:rPr>
                <w:rFonts w:ascii="Calibri" w:eastAsia="Times New Roman" w:hAnsi="Calibri" w:cs="Times New Roman"/>
                <w:sz w:val="20"/>
                <w:szCs w:val="20"/>
                <w:vertAlign w:val="subscript"/>
              </w:rPr>
              <w:t>2</w:t>
            </w:r>
          </w:p>
        </w:tc>
        <w:tc>
          <w:tcPr>
            <w:tcW w:w="36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230</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8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48</w:t>
            </w:r>
          </w:p>
        </w:tc>
        <w:tc>
          <w:tcPr>
            <w:tcW w:w="91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4</w:t>
            </w:r>
          </w:p>
        </w:tc>
      </w:tr>
      <w:tr w:rsidR="00B66898" w:rsidRPr="00B66898" w:rsidTr="00B66898">
        <w:trPr>
          <w:trHeight w:val="285"/>
          <w:jc w:val="center"/>
        </w:trPr>
        <w:tc>
          <w:tcPr>
            <w:tcW w:w="367"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184</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w:t>
            </w:r>
          </w:p>
        </w:tc>
        <w:tc>
          <w:tcPr>
            <w:tcW w:w="725"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35</w:t>
            </w:r>
          </w:p>
        </w:tc>
        <w:tc>
          <w:tcPr>
            <w:tcW w:w="91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UO</w:t>
            </w:r>
            <w:r w:rsidRPr="00B66898">
              <w:rPr>
                <w:rFonts w:ascii="Calibri" w:eastAsia="Times New Roman" w:hAnsi="Calibri" w:cs="Times New Roman"/>
                <w:sz w:val="20"/>
                <w:szCs w:val="20"/>
                <w:vertAlign w:val="subscript"/>
              </w:rPr>
              <w:t>2</w:t>
            </w:r>
          </w:p>
        </w:tc>
        <w:tc>
          <w:tcPr>
            <w:tcW w:w="36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235</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8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49</w:t>
            </w:r>
          </w:p>
        </w:tc>
        <w:tc>
          <w:tcPr>
            <w:tcW w:w="91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6</w:t>
            </w:r>
          </w:p>
        </w:tc>
      </w:tr>
      <w:tr w:rsidR="00B66898" w:rsidRPr="00B66898" w:rsidTr="00B66898">
        <w:trPr>
          <w:trHeight w:val="285"/>
          <w:jc w:val="center"/>
        </w:trPr>
        <w:tc>
          <w:tcPr>
            <w:tcW w:w="367"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198</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w:t>
            </w:r>
          </w:p>
        </w:tc>
        <w:tc>
          <w:tcPr>
            <w:tcW w:w="725"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39</w:t>
            </w:r>
          </w:p>
        </w:tc>
        <w:tc>
          <w:tcPr>
            <w:tcW w:w="91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UO</w:t>
            </w:r>
            <w:r w:rsidRPr="00B66898">
              <w:rPr>
                <w:rFonts w:ascii="Calibri" w:eastAsia="Times New Roman" w:hAnsi="Calibri" w:cs="Times New Roman"/>
                <w:sz w:val="20"/>
                <w:szCs w:val="20"/>
                <w:vertAlign w:val="subscript"/>
              </w:rPr>
              <w:t>2</w:t>
            </w:r>
          </w:p>
        </w:tc>
        <w:tc>
          <w:tcPr>
            <w:tcW w:w="36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239</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8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50</w:t>
            </w:r>
          </w:p>
        </w:tc>
        <w:tc>
          <w:tcPr>
            <w:tcW w:w="91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4</w:t>
            </w:r>
          </w:p>
        </w:tc>
      </w:tr>
      <w:tr w:rsidR="00B66898" w:rsidRPr="00B66898" w:rsidTr="00B66898">
        <w:trPr>
          <w:trHeight w:val="285"/>
          <w:jc w:val="center"/>
        </w:trPr>
        <w:tc>
          <w:tcPr>
            <w:tcW w:w="367"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217</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w:t>
            </w:r>
          </w:p>
        </w:tc>
        <w:tc>
          <w:tcPr>
            <w:tcW w:w="725"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43</w:t>
            </w:r>
          </w:p>
        </w:tc>
        <w:tc>
          <w:tcPr>
            <w:tcW w:w="918"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AUC</w:t>
            </w:r>
          </w:p>
        </w:tc>
        <w:tc>
          <w:tcPr>
            <w:tcW w:w="36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240</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8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50</w:t>
            </w:r>
          </w:p>
        </w:tc>
        <w:tc>
          <w:tcPr>
            <w:tcW w:w="91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UO</w:t>
            </w:r>
            <w:r w:rsidRPr="00B66898">
              <w:rPr>
                <w:rFonts w:ascii="Calibri" w:eastAsia="Times New Roman" w:hAnsi="Calibri" w:cs="Times New Roman"/>
                <w:sz w:val="20"/>
                <w:szCs w:val="20"/>
                <w:vertAlign w:val="subscript"/>
              </w:rPr>
              <w:t>2</w:t>
            </w:r>
          </w:p>
        </w:tc>
      </w:tr>
      <w:tr w:rsidR="00B66898" w:rsidRPr="00B66898" w:rsidTr="00B66898">
        <w:trPr>
          <w:trHeight w:val="285"/>
          <w:jc w:val="center"/>
        </w:trPr>
        <w:tc>
          <w:tcPr>
            <w:tcW w:w="367"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275</w:t>
            </w:r>
          </w:p>
        </w:tc>
        <w:tc>
          <w:tcPr>
            <w:tcW w:w="740"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Input 2</w:t>
            </w:r>
          </w:p>
        </w:tc>
        <w:tc>
          <w:tcPr>
            <w:tcW w:w="725"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 &amp; 5</w:t>
            </w:r>
          </w:p>
        </w:tc>
        <w:tc>
          <w:tcPr>
            <w:tcW w:w="918" w:type="dxa"/>
            <w:tcBorders>
              <w:top w:val="nil"/>
              <w:left w:val="nil"/>
              <w:bottom w:val="single" w:sz="4" w:space="0" w:color="auto"/>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UN</w:t>
            </w:r>
          </w:p>
        </w:tc>
        <w:tc>
          <w:tcPr>
            <w:tcW w:w="36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244</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8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51</w:t>
            </w:r>
          </w:p>
        </w:tc>
        <w:tc>
          <w:tcPr>
            <w:tcW w:w="91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6</w:t>
            </w:r>
          </w:p>
        </w:tc>
      </w:tr>
      <w:tr w:rsidR="00B66898" w:rsidRPr="00B66898" w:rsidTr="00B66898">
        <w:trPr>
          <w:trHeight w:val="285"/>
          <w:jc w:val="center"/>
        </w:trPr>
        <w:tc>
          <w:tcPr>
            <w:tcW w:w="2750" w:type="dxa"/>
            <w:gridSpan w:val="4"/>
            <w:tcBorders>
              <w:top w:val="nil"/>
              <w:left w:val="nil"/>
              <w:bottom w:val="nil"/>
              <w:right w:val="single" w:sz="4" w:space="0" w:color="000000"/>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None</w:t>
            </w:r>
          </w:p>
        </w:tc>
        <w:tc>
          <w:tcPr>
            <w:tcW w:w="36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246</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8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52</w:t>
            </w:r>
          </w:p>
        </w:tc>
        <w:tc>
          <w:tcPr>
            <w:tcW w:w="91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6</w:t>
            </w:r>
          </w:p>
        </w:tc>
      </w:tr>
      <w:tr w:rsidR="00B66898" w:rsidRPr="00B66898" w:rsidTr="00B66898">
        <w:trPr>
          <w:trHeight w:val="285"/>
          <w:jc w:val="center"/>
        </w:trPr>
        <w:tc>
          <w:tcPr>
            <w:tcW w:w="367"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proofErr w:type="spellStart"/>
            <w:r w:rsidRPr="00B66898">
              <w:rPr>
                <w:rFonts w:ascii="Calibri" w:eastAsia="Times New Roman" w:hAnsi="Calibri" w:cs="Times New Roman"/>
                <w:b/>
                <w:bCs/>
                <w:color w:val="000000"/>
                <w:sz w:val="20"/>
                <w:szCs w:val="20"/>
              </w:rPr>
              <w:t>Xss</w:t>
            </w:r>
            <w:proofErr w:type="spellEnd"/>
          </w:p>
        </w:tc>
        <w:tc>
          <w:tcPr>
            <w:tcW w:w="740"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Module</w:t>
            </w:r>
          </w:p>
        </w:tc>
        <w:tc>
          <w:tcPr>
            <w:tcW w:w="725" w:type="dxa"/>
            <w:tcBorders>
              <w:top w:val="nil"/>
              <w:left w:val="nil"/>
              <w:bottom w:val="single" w:sz="4"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Stream</w:t>
            </w:r>
          </w:p>
        </w:tc>
        <w:tc>
          <w:tcPr>
            <w:tcW w:w="918" w:type="dxa"/>
            <w:tcBorders>
              <w:top w:val="nil"/>
              <w:left w:val="nil"/>
              <w:bottom w:val="single" w:sz="4" w:space="0" w:color="auto"/>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b/>
                <w:bCs/>
                <w:color w:val="000000"/>
                <w:sz w:val="20"/>
                <w:szCs w:val="20"/>
              </w:rPr>
            </w:pPr>
            <w:r w:rsidRPr="00B66898">
              <w:rPr>
                <w:rFonts w:ascii="Calibri" w:eastAsia="Times New Roman" w:hAnsi="Calibri" w:cs="Times New Roman"/>
                <w:b/>
                <w:bCs/>
                <w:color w:val="000000"/>
                <w:sz w:val="20"/>
                <w:szCs w:val="20"/>
              </w:rPr>
              <w:t>Chemical</w:t>
            </w:r>
          </w:p>
        </w:tc>
        <w:tc>
          <w:tcPr>
            <w:tcW w:w="36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249</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8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53</w:t>
            </w:r>
          </w:p>
        </w:tc>
        <w:tc>
          <w:tcPr>
            <w:tcW w:w="91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6</w:t>
            </w:r>
          </w:p>
        </w:tc>
      </w:tr>
      <w:tr w:rsidR="00B66898" w:rsidRPr="00B66898" w:rsidTr="00B66898">
        <w:trPr>
          <w:trHeight w:val="285"/>
          <w:jc w:val="center"/>
        </w:trPr>
        <w:tc>
          <w:tcPr>
            <w:tcW w:w="367"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84</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w:t>
            </w:r>
          </w:p>
        </w:tc>
        <w:tc>
          <w:tcPr>
            <w:tcW w:w="725"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15</w:t>
            </w:r>
          </w:p>
        </w:tc>
        <w:tc>
          <w:tcPr>
            <w:tcW w:w="91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UN</w:t>
            </w:r>
          </w:p>
        </w:tc>
        <w:tc>
          <w:tcPr>
            <w:tcW w:w="36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253</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8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54</w:t>
            </w:r>
          </w:p>
        </w:tc>
        <w:tc>
          <w:tcPr>
            <w:tcW w:w="91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6</w:t>
            </w:r>
          </w:p>
        </w:tc>
      </w:tr>
      <w:tr w:rsidR="00B66898" w:rsidRPr="00B66898" w:rsidTr="00B66898">
        <w:trPr>
          <w:trHeight w:val="285"/>
          <w:jc w:val="center"/>
        </w:trPr>
        <w:tc>
          <w:tcPr>
            <w:tcW w:w="367"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98</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w:t>
            </w:r>
          </w:p>
        </w:tc>
        <w:tc>
          <w:tcPr>
            <w:tcW w:w="725"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17</w:t>
            </w:r>
          </w:p>
        </w:tc>
        <w:tc>
          <w:tcPr>
            <w:tcW w:w="91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UN</w:t>
            </w:r>
          </w:p>
        </w:tc>
        <w:tc>
          <w:tcPr>
            <w:tcW w:w="36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254</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8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54</w:t>
            </w:r>
          </w:p>
        </w:tc>
        <w:tc>
          <w:tcPr>
            <w:tcW w:w="91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4</w:t>
            </w:r>
          </w:p>
        </w:tc>
      </w:tr>
      <w:tr w:rsidR="00B66898" w:rsidRPr="00B66898" w:rsidTr="00B66898">
        <w:trPr>
          <w:trHeight w:val="285"/>
          <w:jc w:val="center"/>
        </w:trPr>
        <w:tc>
          <w:tcPr>
            <w:tcW w:w="367"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280</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Input 7</w:t>
            </w:r>
          </w:p>
        </w:tc>
        <w:tc>
          <w:tcPr>
            <w:tcW w:w="725"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45</w:t>
            </w:r>
          </w:p>
        </w:tc>
        <w:tc>
          <w:tcPr>
            <w:tcW w:w="918" w:type="dxa"/>
            <w:tcBorders>
              <w:top w:val="nil"/>
              <w:left w:val="nil"/>
              <w:bottom w:val="nil"/>
              <w:right w:val="single" w:sz="4" w:space="0" w:color="auto"/>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4</w:t>
            </w:r>
          </w:p>
        </w:tc>
        <w:tc>
          <w:tcPr>
            <w:tcW w:w="36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259</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8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55</w:t>
            </w:r>
          </w:p>
        </w:tc>
        <w:tc>
          <w:tcPr>
            <w:tcW w:w="91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6</w:t>
            </w:r>
          </w:p>
        </w:tc>
      </w:tr>
      <w:tr w:rsidR="00B66898" w:rsidRPr="00B66898" w:rsidTr="00B66898">
        <w:trPr>
          <w:trHeight w:val="285"/>
          <w:jc w:val="center"/>
        </w:trPr>
        <w:tc>
          <w:tcPr>
            <w:tcW w:w="367"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p>
        </w:tc>
        <w:tc>
          <w:tcPr>
            <w:tcW w:w="725"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p>
        </w:tc>
        <w:tc>
          <w:tcPr>
            <w:tcW w:w="918"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 </w:t>
            </w:r>
          </w:p>
        </w:tc>
        <w:tc>
          <w:tcPr>
            <w:tcW w:w="36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265</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8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57</w:t>
            </w:r>
          </w:p>
        </w:tc>
        <w:tc>
          <w:tcPr>
            <w:tcW w:w="91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6</w:t>
            </w:r>
          </w:p>
        </w:tc>
      </w:tr>
      <w:tr w:rsidR="00B66898" w:rsidRPr="00B66898" w:rsidTr="00B66898">
        <w:trPr>
          <w:trHeight w:val="285"/>
          <w:jc w:val="center"/>
        </w:trPr>
        <w:tc>
          <w:tcPr>
            <w:tcW w:w="367"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p>
        </w:tc>
        <w:tc>
          <w:tcPr>
            <w:tcW w:w="725"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p>
        </w:tc>
        <w:tc>
          <w:tcPr>
            <w:tcW w:w="918"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 </w:t>
            </w:r>
          </w:p>
        </w:tc>
        <w:tc>
          <w:tcPr>
            <w:tcW w:w="36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269</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8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58</w:t>
            </w:r>
          </w:p>
        </w:tc>
        <w:tc>
          <w:tcPr>
            <w:tcW w:w="91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4</w:t>
            </w:r>
          </w:p>
        </w:tc>
      </w:tr>
      <w:tr w:rsidR="00B66898" w:rsidRPr="00B66898" w:rsidTr="00B66898">
        <w:trPr>
          <w:trHeight w:val="285"/>
          <w:jc w:val="center"/>
        </w:trPr>
        <w:tc>
          <w:tcPr>
            <w:tcW w:w="367"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p>
        </w:tc>
        <w:tc>
          <w:tcPr>
            <w:tcW w:w="725"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p>
        </w:tc>
        <w:tc>
          <w:tcPr>
            <w:tcW w:w="918" w:type="dxa"/>
            <w:tcBorders>
              <w:top w:val="nil"/>
              <w:left w:val="nil"/>
              <w:bottom w:val="nil"/>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 </w:t>
            </w:r>
          </w:p>
        </w:tc>
        <w:tc>
          <w:tcPr>
            <w:tcW w:w="36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270</w:t>
            </w:r>
          </w:p>
        </w:tc>
        <w:tc>
          <w:tcPr>
            <w:tcW w:w="740"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86" w:type="dxa"/>
            <w:tcBorders>
              <w:top w:val="nil"/>
              <w:left w:val="nil"/>
              <w:bottom w:val="nil"/>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58</w:t>
            </w:r>
          </w:p>
        </w:tc>
        <w:tc>
          <w:tcPr>
            <w:tcW w:w="918" w:type="dxa"/>
            <w:tcBorders>
              <w:top w:val="nil"/>
              <w:left w:val="nil"/>
              <w:bottom w:val="nil"/>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UO</w:t>
            </w:r>
            <w:r w:rsidRPr="00B66898">
              <w:rPr>
                <w:rFonts w:ascii="Calibri" w:eastAsia="Times New Roman" w:hAnsi="Calibri" w:cs="Times New Roman"/>
                <w:sz w:val="20"/>
                <w:szCs w:val="20"/>
                <w:vertAlign w:val="subscript"/>
              </w:rPr>
              <w:t>2</w:t>
            </w:r>
          </w:p>
        </w:tc>
      </w:tr>
      <w:tr w:rsidR="00B66898" w:rsidRPr="00B66898" w:rsidTr="00B66898">
        <w:trPr>
          <w:trHeight w:val="300"/>
          <w:jc w:val="center"/>
        </w:trPr>
        <w:tc>
          <w:tcPr>
            <w:tcW w:w="367" w:type="dxa"/>
            <w:tcBorders>
              <w:top w:val="nil"/>
              <w:left w:val="nil"/>
              <w:bottom w:val="single" w:sz="8"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 </w:t>
            </w:r>
          </w:p>
        </w:tc>
        <w:tc>
          <w:tcPr>
            <w:tcW w:w="740" w:type="dxa"/>
            <w:tcBorders>
              <w:top w:val="nil"/>
              <w:left w:val="nil"/>
              <w:bottom w:val="single" w:sz="8"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 </w:t>
            </w:r>
          </w:p>
        </w:tc>
        <w:tc>
          <w:tcPr>
            <w:tcW w:w="725" w:type="dxa"/>
            <w:tcBorders>
              <w:top w:val="nil"/>
              <w:left w:val="nil"/>
              <w:bottom w:val="single" w:sz="8"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 </w:t>
            </w:r>
          </w:p>
        </w:tc>
        <w:tc>
          <w:tcPr>
            <w:tcW w:w="918" w:type="dxa"/>
            <w:tcBorders>
              <w:top w:val="nil"/>
              <w:left w:val="nil"/>
              <w:bottom w:val="single" w:sz="8" w:space="0" w:color="auto"/>
              <w:right w:val="single" w:sz="4" w:space="0" w:color="auto"/>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 </w:t>
            </w:r>
          </w:p>
        </w:tc>
        <w:tc>
          <w:tcPr>
            <w:tcW w:w="366" w:type="dxa"/>
            <w:tcBorders>
              <w:top w:val="nil"/>
              <w:left w:val="nil"/>
              <w:bottom w:val="single" w:sz="8"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272</w:t>
            </w:r>
          </w:p>
        </w:tc>
        <w:tc>
          <w:tcPr>
            <w:tcW w:w="740" w:type="dxa"/>
            <w:tcBorders>
              <w:top w:val="nil"/>
              <w:left w:val="nil"/>
              <w:bottom w:val="single" w:sz="8"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w:t>
            </w:r>
          </w:p>
        </w:tc>
        <w:tc>
          <w:tcPr>
            <w:tcW w:w="686" w:type="dxa"/>
            <w:tcBorders>
              <w:top w:val="nil"/>
              <w:left w:val="nil"/>
              <w:bottom w:val="single" w:sz="8" w:space="0" w:color="auto"/>
              <w:right w:val="nil"/>
            </w:tcBorders>
            <w:shd w:val="clear" w:color="auto" w:fill="auto"/>
            <w:noWrap/>
            <w:vAlign w:val="center"/>
            <w:hideMark/>
          </w:tcPr>
          <w:p w:rsidR="00B66898" w:rsidRPr="00B66898" w:rsidRDefault="00B66898" w:rsidP="00B66898">
            <w:pPr>
              <w:spacing w:after="0" w:line="240" w:lineRule="auto"/>
              <w:jc w:val="center"/>
              <w:rPr>
                <w:rFonts w:ascii="Calibri" w:eastAsia="Times New Roman" w:hAnsi="Calibri" w:cs="Times New Roman"/>
                <w:color w:val="000000"/>
                <w:sz w:val="20"/>
                <w:szCs w:val="20"/>
              </w:rPr>
            </w:pPr>
            <w:r w:rsidRPr="00B66898">
              <w:rPr>
                <w:rFonts w:ascii="Calibri" w:eastAsia="Times New Roman" w:hAnsi="Calibri" w:cs="Times New Roman"/>
                <w:color w:val="000000"/>
                <w:sz w:val="20"/>
                <w:szCs w:val="20"/>
              </w:rPr>
              <w:t>59</w:t>
            </w:r>
          </w:p>
        </w:tc>
        <w:tc>
          <w:tcPr>
            <w:tcW w:w="918" w:type="dxa"/>
            <w:tcBorders>
              <w:top w:val="nil"/>
              <w:left w:val="nil"/>
              <w:bottom w:val="single" w:sz="8" w:space="0" w:color="auto"/>
              <w:right w:val="nil"/>
            </w:tcBorders>
            <w:shd w:val="clear" w:color="auto" w:fill="auto"/>
            <w:vAlign w:val="center"/>
            <w:hideMark/>
          </w:tcPr>
          <w:p w:rsidR="00B66898" w:rsidRPr="00B66898" w:rsidRDefault="00B66898" w:rsidP="00B66898">
            <w:pPr>
              <w:spacing w:after="0" w:line="240" w:lineRule="auto"/>
              <w:jc w:val="center"/>
              <w:rPr>
                <w:rFonts w:ascii="Calibri" w:eastAsia="Times New Roman" w:hAnsi="Calibri" w:cs="Times New Roman"/>
                <w:sz w:val="20"/>
                <w:szCs w:val="20"/>
              </w:rPr>
            </w:pPr>
            <w:r w:rsidRPr="00B66898">
              <w:rPr>
                <w:rFonts w:ascii="Calibri" w:eastAsia="Times New Roman" w:hAnsi="Calibri" w:cs="Times New Roman"/>
                <w:sz w:val="20"/>
                <w:szCs w:val="20"/>
              </w:rPr>
              <w:t>UF</w:t>
            </w:r>
            <w:r w:rsidRPr="00B66898">
              <w:rPr>
                <w:rFonts w:ascii="Calibri" w:eastAsia="Times New Roman" w:hAnsi="Calibri" w:cs="Times New Roman"/>
                <w:sz w:val="20"/>
                <w:szCs w:val="20"/>
                <w:vertAlign w:val="subscript"/>
              </w:rPr>
              <w:t>6</w:t>
            </w:r>
          </w:p>
        </w:tc>
      </w:tr>
    </w:tbl>
    <w:p w:rsidR="00F938ED" w:rsidRDefault="00F938ED"/>
    <w:p w:rsidR="00893E79" w:rsidRDefault="00893E79">
      <w:r>
        <w:br w:type="page"/>
      </w:r>
    </w:p>
    <w:p w:rsidR="00A35F22" w:rsidRDefault="00893E79" w:rsidP="00893E79">
      <w:r>
        <w:lastRenderedPageBreak/>
        <w:t xml:space="preserve">Since the contributions made by PC4 and PC5 were so small, the </w:t>
      </w:r>
      <w:r w:rsidR="00EE6922">
        <w:t xml:space="preserve">detailed </w:t>
      </w:r>
      <w:r>
        <w:t xml:space="preserve">correlation patterns cannot realistically be interpreted meaningfully. Therefore, those figures are not included here. Table 4.19 summarizes how the primary state variables loaded each of the principal components including PC4 and PC5. The state variables that represent the uranium component in the product stream from each module are highlighted in red. </w:t>
      </w:r>
    </w:p>
    <w:p w:rsidR="00A35F22" w:rsidRDefault="00A35F22" w:rsidP="00893E79">
      <w:pPr>
        <w:rPr>
          <w:rFonts w:eastAsiaTheme="minorEastAsia"/>
        </w:rPr>
      </w:pPr>
      <w:r>
        <w:t xml:space="preserve">According to Table 4.19, PC4 captured variation in input variable </w:t>
      </w:r>
      <m:oMath>
        <m:sSub>
          <m:sSubPr>
            <m:ctrlPr>
              <w:rPr>
                <w:rFonts w:ascii="Cambria Math" w:hAnsi="Cambria Math"/>
                <w:i/>
              </w:rPr>
            </m:ctrlPr>
          </m:sSubPr>
          <m:e>
            <m:r>
              <w:rPr>
                <w:rFonts w:ascii="Cambria Math" w:hAnsi="Cambria Math"/>
              </w:rPr>
              <m:t>K</m:t>
            </m:r>
          </m:e>
          <m:sub>
            <m:r>
              <w:rPr>
                <w:rFonts w:ascii="Cambria Math" w:hAnsi="Cambria Math"/>
              </w:rPr>
              <m:t>Mod1B,14</m:t>
            </m:r>
          </m:sub>
        </m:sSub>
      </m:oMath>
      <w:r>
        <w:rPr>
          <w:rFonts w:eastAsiaTheme="minorEastAsia"/>
        </w:rPr>
        <w:t xml:space="preserve"> and the uranyl nitrate flow rate [</w:t>
      </w:r>
      <w:proofErr w:type="gramStart"/>
      <w:r>
        <w:rPr>
          <w:rFonts w:eastAsiaTheme="minorEastAsia"/>
        </w:rPr>
        <w:t>Xss(</w:t>
      </w:r>
      <w:proofErr w:type="gramEnd"/>
      <w:r>
        <w:rPr>
          <w:rFonts w:eastAsiaTheme="minorEastAsia"/>
        </w:rPr>
        <w:t>40)] in the waste from Stream 8 in M</w:t>
      </w:r>
      <w:proofErr w:type="spellStart"/>
      <w:r>
        <w:rPr>
          <w:rFonts w:eastAsiaTheme="minorEastAsia"/>
        </w:rPr>
        <w:t>odule</w:t>
      </w:r>
      <w:proofErr w:type="spellEnd"/>
      <w:r>
        <w:rPr>
          <w:rFonts w:eastAsiaTheme="minorEastAsia"/>
        </w:rPr>
        <w:t xml:space="preserve"> 1. T</w:t>
      </w:r>
      <w:r w:rsidR="00EE6922">
        <w:rPr>
          <w:rFonts w:eastAsiaTheme="minorEastAsia"/>
        </w:rPr>
        <w:t xml:space="preserve">hese were negatively correlated which was expected since </w:t>
      </w:r>
      <m:oMath>
        <m:sSub>
          <m:sSubPr>
            <m:ctrlPr>
              <w:rPr>
                <w:rFonts w:ascii="Cambria Math" w:hAnsi="Cambria Math"/>
                <w:i/>
              </w:rPr>
            </m:ctrlPr>
          </m:sSubPr>
          <m:e>
            <m:r>
              <w:rPr>
                <w:rFonts w:ascii="Cambria Math" w:hAnsi="Cambria Math"/>
              </w:rPr>
              <m:t>K</m:t>
            </m:r>
          </m:e>
          <m:sub>
            <m:r>
              <w:rPr>
                <w:rFonts w:ascii="Cambria Math" w:hAnsi="Cambria Math"/>
              </w:rPr>
              <m:t>Mod1B,14</m:t>
            </m:r>
          </m:sub>
        </m:sSub>
      </m:oMath>
      <w:r w:rsidR="00EE6922">
        <w:rPr>
          <w:rFonts w:eastAsiaTheme="minorEastAsia"/>
        </w:rPr>
        <w:t xml:space="preserve"> controls how much of the uranyl nitrate in Stream 3 goes to Stream 4. An increase in </w:t>
      </w:r>
      <m:oMath>
        <m:sSub>
          <m:sSubPr>
            <m:ctrlPr>
              <w:rPr>
                <w:rFonts w:ascii="Cambria Math" w:hAnsi="Cambria Math"/>
                <w:i/>
              </w:rPr>
            </m:ctrlPr>
          </m:sSubPr>
          <m:e>
            <m:r>
              <w:rPr>
                <w:rFonts w:ascii="Cambria Math" w:hAnsi="Cambria Math"/>
              </w:rPr>
              <m:t>K</m:t>
            </m:r>
          </m:e>
          <m:sub>
            <m:r>
              <w:rPr>
                <w:rFonts w:ascii="Cambria Math" w:hAnsi="Cambria Math"/>
              </w:rPr>
              <m:t>Mod1B,14</m:t>
            </m:r>
          </m:sub>
        </m:sSub>
      </m:oMath>
      <w:r w:rsidR="00EE6922">
        <w:rPr>
          <w:rFonts w:eastAsiaTheme="minorEastAsia"/>
        </w:rPr>
        <w:t xml:space="preserve"> would increase the uranyl nitrate in Stream 4 and reduce the uranyl nitrate in Stream 5 thereby reducing the uranyl nitrate in Stream 8. </w:t>
      </w:r>
    </w:p>
    <w:p w:rsidR="00EE6922" w:rsidRDefault="00EE6922" w:rsidP="00EE6922">
      <w:pPr>
        <w:rPr>
          <w:rFonts w:eastAsiaTheme="minorEastAsia"/>
        </w:rPr>
      </w:pPr>
      <w:r>
        <w:t xml:space="preserve">Also according to Table 4.19, PC5 captured variation in input variable </w:t>
      </w:r>
      <m:oMath>
        <m:sSub>
          <m:sSubPr>
            <m:ctrlPr>
              <w:rPr>
                <w:rFonts w:ascii="Cambria Math" w:hAnsi="Cambria Math"/>
                <w:i/>
              </w:rPr>
            </m:ctrlPr>
          </m:sSubPr>
          <m:e>
            <m:r>
              <w:rPr>
                <w:rFonts w:ascii="Cambria Math" w:hAnsi="Cambria Math"/>
              </w:rPr>
              <m:t>S</m:t>
            </m:r>
          </m:e>
          <m:sub>
            <m:r>
              <w:rPr>
                <w:rFonts w:ascii="Cambria Math" w:hAnsi="Cambria Math"/>
              </w:rPr>
              <m:t>Mod5A</m:t>
            </m:r>
          </m:sub>
        </m:sSub>
      </m:oMath>
      <w:r>
        <w:rPr>
          <w:rFonts w:eastAsiaTheme="minorEastAsia"/>
        </w:rPr>
        <w:t xml:space="preserve"> and several of the uranium-bearing streams in Module 5, most of which were in the secondary fluorination section of Module 5. All of these variables were positively correlated. This correlation pattern was expected since </w:t>
      </w:r>
      <m:oMath>
        <m:sSub>
          <m:sSubPr>
            <m:ctrlPr>
              <w:rPr>
                <w:rFonts w:ascii="Cambria Math" w:hAnsi="Cambria Math"/>
                <w:i/>
              </w:rPr>
            </m:ctrlPr>
          </m:sSubPr>
          <m:e>
            <m:r>
              <w:rPr>
                <w:rFonts w:ascii="Cambria Math" w:hAnsi="Cambria Math"/>
              </w:rPr>
              <m:t>S</m:t>
            </m:r>
          </m:e>
          <m:sub>
            <m:r>
              <w:rPr>
                <w:rFonts w:ascii="Cambria Math" w:hAnsi="Cambria Math"/>
              </w:rPr>
              <m:t>Mod5A</m:t>
            </m:r>
          </m:sub>
        </m:sSub>
      </m:oMath>
      <w:r>
        <w:rPr>
          <w:rFonts w:eastAsiaTheme="minorEastAsia"/>
        </w:rPr>
        <w:t xml:space="preserve"> controls how much of the feed stream to Module 5 is split to the secondary process. An increase in </w:t>
      </w:r>
      <m:oMath>
        <m:sSub>
          <m:sSubPr>
            <m:ctrlPr>
              <w:rPr>
                <w:rFonts w:ascii="Cambria Math" w:hAnsi="Cambria Math"/>
                <w:i/>
              </w:rPr>
            </m:ctrlPr>
          </m:sSubPr>
          <m:e>
            <m:r>
              <w:rPr>
                <w:rFonts w:ascii="Cambria Math" w:hAnsi="Cambria Math"/>
              </w:rPr>
              <m:t>S</m:t>
            </m:r>
          </m:e>
          <m:sub>
            <m:r>
              <w:rPr>
                <w:rFonts w:ascii="Cambria Math" w:hAnsi="Cambria Math"/>
              </w:rPr>
              <m:t>Mod5A</m:t>
            </m:r>
          </m:sub>
        </m:sSub>
      </m:oMath>
      <w:r>
        <w:rPr>
          <w:rFonts w:eastAsiaTheme="minorEastAsia"/>
        </w:rPr>
        <w:t xml:space="preserve"> would result in incre</w:t>
      </w:r>
      <w:proofErr w:type="spellStart"/>
      <w:r>
        <w:rPr>
          <w:rFonts w:eastAsiaTheme="minorEastAsia"/>
        </w:rPr>
        <w:t>ases</w:t>
      </w:r>
      <w:proofErr w:type="spellEnd"/>
      <w:r>
        <w:rPr>
          <w:rFonts w:eastAsiaTheme="minorEastAsia"/>
        </w:rPr>
        <w:t xml:space="preserve"> in the uranium-bearing streams in this section of Module 5. </w:t>
      </w:r>
    </w:p>
    <w:p w:rsidR="00EE6922" w:rsidRDefault="00893E79" w:rsidP="00EE6922">
      <w:r>
        <w:t xml:space="preserve">Table 4.20 lists the first five loadings vectors for the input variables. This shows that the first input variable was the heaviest contributor to the first principal component while the other input variables did not contribute at all. For the second principal component, only the sixth input variable contributed heavily. Input variables 1, 3–6 contributed heavily to the third principal component. </w:t>
      </w:r>
      <w:r w:rsidR="00EE6922">
        <w:t xml:space="preserve">Additionally in PC3, input variables 2–5 and 7 are positively correlated to one another and negatively correlated to input variables 1 and 6. </w:t>
      </w:r>
      <w:r>
        <w:t>For the fourth principal component, input variable 2 contributed</w:t>
      </w:r>
      <w:r w:rsidR="00D21B4C">
        <w:t xml:space="preserve"> heavily</w:t>
      </w:r>
      <w:r>
        <w:t xml:space="preserve">. Input variable 7 contributed heavily to the fifth principal component. </w:t>
      </w:r>
      <w:r w:rsidR="00D21B4C">
        <w:t xml:space="preserve">Table 4.20 also shows that it is necessary to retain the first five principal components in order to capture variation in all of the input variables. </w:t>
      </w:r>
    </w:p>
    <w:p w:rsidR="00893E79" w:rsidRDefault="00893E79" w:rsidP="00893E79"/>
    <w:p w:rsidR="00893E79" w:rsidRDefault="00893E79"/>
    <w:p w:rsidR="00F938ED" w:rsidRDefault="00F938ED">
      <w:r>
        <w:br w:type="page"/>
      </w:r>
    </w:p>
    <w:tbl>
      <w:tblPr>
        <w:tblW w:w="7462" w:type="dxa"/>
        <w:jc w:val="center"/>
        <w:tblLook w:val="04A0" w:firstRow="1" w:lastRow="0" w:firstColumn="1" w:lastColumn="0" w:noHBand="0" w:noVBand="1"/>
      </w:tblPr>
      <w:tblGrid>
        <w:gridCol w:w="1289"/>
        <w:gridCol w:w="1030"/>
        <w:gridCol w:w="1030"/>
        <w:gridCol w:w="1030"/>
        <w:gridCol w:w="1030"/>
        <w:gridCol w:w="666"/>
        <w:gridCol w:w="1387"/>
      </w:tblGrid>
      <w:tr w:rsidR="00B07EE0" w:rsidRPr="00B07EE0" w:rsidTr="00F938ED">
        <w:trPr>
          <w:trHeight w:val="255"/>
          <w:jc w:val="center"/>
        </w:trPr>
        <w:tc>
          <w:tcPr>
            <w:tcW w:w="7462" w:type="dxa"/>
            <w:gridSpan w:val="7"/>
            <w:vMerge w:val="restart"/>
            <w:tcBorders>
              <w:top w:val="nil"/>
              <w:left w:val="nil"/>
              <w:bottom w:val="single" w:sz="8" w:space="0" w:color="000000"/>
              <w:right w:val="nil"/>
            </w:tcBorders>
            <w:shd w:val="clear" w:color="auto" w:fill="auto"/>
            <w:vAlign w:val="center"/>
            <w:hideMark/>
          </w:tcPr>
          <w:p w:rsidR="00B07EE0" w:rsidRPr="00B07EE0" w:rsidRDefault="00B07EE0" w:rsidP="00B07EE0">
            <w:pPr>
              <w:spacing w:after="0" w:line="240" w:lineRule="auto"/>
              <w:jc w:val="center"/>
              <w:rPr>
                <w:rFonts w:ascii="Calibri" w:eastAsia="Times New Roman" w:hAnsi="Calibri" w:cs="Times New Roman"/>
                <w:b/>
                <w:bCs/>
                <w:color w:val="000000"/>
                <w:sz w:val="20"/>
                <w:szCs w:val="20"/>
              </w:rPr>
            </w:pPr>
            <w:r w:rsidRPr="00B07EE0">
              <w:rPr>
                <w:rFonts w:ascii="Calibri" w:eastAsia="Times New Roman" w:hAnsi="Calibri" w:cs="Times New Roman"/>
                <w:b/>
                <w:bCs/>
                <w:color w:val="000000"/>
                <w:sz w:val="20"/>
                <w:szCs w:val="20"/>
              </w:rPr>
              <w:lastRenderedPageBreak/>
              <w:t>Table 4.19. Summary of How the Primary State Variables within Each Module Load Each Principal Component</w:t>
            </w:r>
          </w:p>
        </w:tc>
      </w:tr>
      <w:tr w:rsidR="00B07EE0" w:rsidRPr="00B07EE0" w:rsidTr="00F938ED">
        <w:trPr>
          <w:trHeight w:val="270"/>
          <w:jc w:val="center"/>
        </w:trPr>
        <w:tc>
          <w:tcPr>
            <w:tcW w:w="7462" w:type="dxa"/>
            <w:gridSpan w:val="7"/>
            <w:vMerge/>
            <w:tcBorders>
              <w:top w:val="nil"/>
              <w:left w:val="nil"/>
              <w:bottom w:val="single" w:sz="8" w:space="0" w:color="000000"/>
              <w:right w:val="nil"/>
            </w:tcBorders>
            <w:vAlign w:val="center"/>
            <w:hideMark/>
          </w:tcPr>
          <w:p w:rsidR="00B07EE0" w:rsidRPr="00B07EE0" w:rsidRDefault="00B07EE0" w:rsidP="00B07EE0">
            <w:pPr>
              <w:spacing w:after="0" w:line="240" w:lineRule="auto"/>
              <w:rPr>
                <w:rFonts w:ascii="Calibri" w:eastAsia="Times New Roman" w:hAnsi="Calibri" w:cs="Times New Roman"/>
                <w:b/>
                <w:bCs/>
                <w:color w:val="000000"/>
                <w:sz w:val="20"/>
                <w:szCs w:val="20"/>
              </w:rPr>
            </w:pPr>
          </w:p>
        </w:tc>
      </w:tr>
      <w:tr w:rsidR="00B07EE0" w:rsidRPr="00B07EE0" w:rsidTr="00F938ED">
        <w:trPr>
          <w:trHeight w:val="255"/>
          <w:jc w:val="center"/>
        </w:trPr>
        <w:tc>
          <w:tcPr>
            <w:tcW w:w="1289" w:type="dxa"/>
            <w:tcBorders>
              <w:top w:val="nil"/>
              <w:left w:val="nil"/>
              <w:bottom w:val="single" w:sz="4" w:space="0" w:color="auto"/>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State Variable</w:t>
            </w:r>
          </w:p>
        </w:tc>
        <w:tc>
          <w:tcPr>
            <w:tcW w:w="1030" w:type="dxa"/>
            <w:tcBorders>
              <w:top w:val="nil"/>
              <w:left w:val="nil"/>
              <w:bottom w:val="single" w:sz="4" w:space="0" w:color="auto"/>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PC1</w:t>
            </w:r>
          </w:p>
        </w:tc>
        <w:tc>
          <w:tcPr>
            <w:tcW w:w="1030" w:type="dxa"/>
            <w:tcBorders>
              <w:top w:val="nil"/>
              <w:left w:val="nil"/>
              <w:bottom w:val="single" w:sz="4" w:space="0" w:color="auto"/>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PC2</w:t>
            </w:r>
          </w:p>
        </w:tc>
        <w:tc>
          <w:tcPr>
            <w:tcW w:w="1030" w:type="dxa"/>
            <w:tcBorders>
              <w:top w:val="nil"/>
              <w:left w:val="nil"/>
              <w:bottom w:val="single" w:sz="4" w:space="0" w:color="auto"/>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PC3</w:t>
            </w:r>
          </w:p>
        </w:tc>
        <w:tc>
          <w:tcPr>
            <w:tcW w:w="1030" w:type="dxa"/>
            <w:tcBorders>
              <w:top w:val="nil"/>
              <w:left w:val="nil"/>
              <w:bottom w:val="single" w:sz="4" w:space="0" w:color="auto"/>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PC4</w:t>
            </w:r>
          </w:p>
        </w:tc>
        <w:tc>
          <w:tcPr>
            <w:tcW w:w="666" w:type="dxa"/>
            <w:tcBorders>
              <w:top w:val="nil"/>
              <w:left w:val="nil"/>
              <w:bottom w:val="single" w:sz="4" w:space="0" w:color="auto"/>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PC5</w:t>
            </w:r>
          </w:p>
        </w:tc>
        <w:tc>
          <w:tcPr>
            <w:tcW w:w="1387" w:type="dxa"/>
            <w:tcBorders>
              <w:top w:val="nil"/>
              <w:left w:val="nil"/>
              <w:bottom w:val="single" w:sz="4" w:space="0" w:color="auto"/>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Type of Stream</w:t>
            </w:r>
          </w:p>
        </w:tc>
      </w:tr>
      <w:tr w:rsidR="00B07EE0" w:rsidRPr="00B07EE0" w:rsidTr="00F938ED">
        <w:trPr>
          <w:trHeight w:val="255"/>
          <w:jc w:val="center"/>
        </w:trPr>
        <w:tc>
          <w:tcPr>
            <w:tcW w:w="7462" w:type="dxa"/>
            <w:gridSpan w:val="7"/>
            <w:tcBorders>
              <w:top w:val="single" w:sz="4" w:space="0" w:color="auto"/>
              <w:left w:val="nil"/>
              <w:bottom w:val="single" w:sz="4" w:space="0" w:color="auto"/>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0000"/>
                <w:sz w:val="20"/>
                <w:szCs w:val="20"/>
              </w:rPr>
            </w:pPr>
            <w:r w:rsidRPr="00B07EE0">
              <w:rPr>
                <w:rFonts w:ascii="Calibri" w:eastAsia="Times New Roman" w:hAnsi="Calibri" w:cs="Times New Roman"/>
                <w:b/>
                <w:bCs/>
                <w:color w:val="000000"/>
                <w:sz w:val="20"/>
                <w:szCs w:val="20"/>
              </w:rPr>
              <w:t>Module 1</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70C0"/>
                <w:sz w:val="20"/>
                <w:szCs w:val="20"/>
              </w:rPr>
            </w:pPr>
            <w:proofErr w:type="spellStart"/>
            <w:r w:rsidRPr="00B07EE0">
              <w:rPr>
                <w:rFonts w:ascii="Calibri" w:eastAsia="Times New Roman" w:hAnsi="Calibri" w:cs="Times New Roman"/>
                <w:b/>
                <w:bCs/>
                <w:color w:val="0070C0"/>
                <w:sz w:val="20"/>
                <w:szCs w:val="20"/>
              </w:rPr>
              <w:t>Xss</w:t>
            </w:r>
            <w:proofErr w:type="spellEnd"/>
            <w:r w:rsidRPr="00B07EE0">
              <w:rPr>
                <w:rFonts w:ascii="Calibri" w:eastAsia="Times New Roman" w:hAnsi="Calibri" w:cs="Times New Roman"/>
                <w:b/>
                <w:bCs/>
                <w:color w:val="0070C0"/>
                <w:sz w:val="20"/>
                <w:szCs w:val="20"/>
              </w:rPr>
              <w:t>(274)</w:t>
            </w:r>
          </w:p>
        </w:tc>
        <w:tc>
          <w:tcPr>
            <w:tcW w:w="1030" w:type="dxa"/>
            <w:tcBorders>
              <w:top w:val="nil"/>
              <w:left w:val="nil"/>
              <w:bottom w:val="nil"/>
              <w:right w:val="nil"/>
            </w:tcBorders>
            <w:shd w:val="clear" w:color="000000" w:fill="00B050"/>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Heavy</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30" w:type="dxa"/>
            <w:tcBorders>
              <w:top w:val="nil"/>
              <w:left w:val="nil"/>
              <w:bottom w:val="nil"/>
              <w:right w:val="nil"/>
            </w:tcBorders>
            <w:shd w:val="clear" w:color="000000" w:fill="00B050"/>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Heavy</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70C0"/>
                <w:sz w:val="20"/>
                <w:szCs w:val="20"/>
              </w:rPr>
            </w:pPr>
            <w:r w:rsidRPr="00B07EE0">
              <w:rPr>
                <w:rFonts w:ascii="Calibri" w:eastAsia="Times New Roman" w:hAnsi="Calibri" w:cs="Times New Roman"/>
                <w:b/>
                <w:bCs/>
                <w:color w:val="0070C0"/>
                <w:sz w:val="20"/>
                <w:szCs w:val="20"/>
              </w:rPr>
              <w:t>Input</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70C0"/>
                <w:sz w:val="20"/>
                <w:szCs w:val="20"/>
              </w:rPr>
            </w:pPr>
            <w:proofErr w:type="spellStart"/>
            <w:r w:rsidRPr="00B07EE0">
              <w:rPr>
                <w:rFonts w:ascii="Calibri" w:eastAsia="Times New Roman" w:hAnsi="Calibri" w:cs="Times New Roman"/>
                <w:b/>
                <w:bCs/>
                <w:color w:val="0070C0"/>
                <w:sz w:val="20"/>
                <w:szCs w:val="20"/>
              </w:rPr>
              <w:t>Xss</w:t>
            </w:r>
            <w:proofErr w:type="spellEnd"/>
            <w:r w:rsidRPr="00B07EE0">
              <w:rPr>
                <w:rFonts w:ascii="Calibri" w:eastAsia="Times New Roman" w:hAnsi="Calibri" w:cs="Times New Roman"/>
                <w:b/>
                <w:bCs/>
                <w:color w:val="0070C0"/>
                <w:sz w:val="20"/>
                <w:szCs w:val="20"/>
              </w:rPr>
              <w:t>(275)</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30" w:type="dxa"/>
            <w:tcBorders>
              <w:top w:val="nil"/>
              <w:left w:val="nil"/>
              <w:bottom w:val="nil"/>
              <w:right w:val="nil"/>
            </w:tcBorders>
            <w:shd w:val="clear" w:color="000000" w:fill="00B050"/>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Heavy</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70C0"/>
                <w:sz w:val="20"/>
                <w:szCs w:val="20"/>
              </w:rPr>
            </w:pPr>
            <w:r w:rsidRPr="00B07EE0">
              <w:rPr>
                <w:rFonts w:ascii="Calibri" w:eastAsia="Times New Roman" w:hAnsi="Calibri" w:cs="Times New Roman"/>
                <w:b/>
                <w:bCs/>
                <w:color w:val="0070C0"/>
                <w:sz w:val="20"/>
                <w:szCs w:val="20"/>
              </w:rPr>
              <w:t>Input</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proofErr w:type="spellStart"/>
            <w:r w:rsidRPr="00B07EE0">
              <w:rPr>
                <w:rFonts w:ascii="Calibri" w:eastAsia="Times New Roman" w:hAnsi="Calibri" w:cs="Times New Roman"/>
                <w:color w:val="000000"/>
                <w:sz w:val="20"/>
                <w:szCs w:val="20"/>
              </w:rPr>
              <w:t>Xss</w:t>
            </w:r>
            <w:proofErr w:type="spellEnd"/>
            <w:r w:rsidRPr="00B07EE0">
              <w:rPr>
                <w:rFonts w:ascii="Calibri" w:eastAsia="Times New Roman" w:hAnsi="Calibri" w:cs="Times New Roman"/>
                <w:color w:val="000000"/>
                <w:sz w:val="20"/>
                <w:szCs w:val="20"/>
              </w:rPr>
              <w:t>(3)</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r w:rsidRPr="00B07EE0">
              <w:rPr>
                <w:rFonts w:ascii="Calibri" w:eastAsia="Times New Roman" w:hAnsi="Calibri" w:cs="Times New Roman"/>
                <w:color w:val="000000"/>
                <w:sz w:val="20"/>
                <w:szCs w:val="20"/>
              </w:rPr>
              <w:t>Intermediate</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proofErr w:type="spellStart"/>
            <w:r w:rsidRPr="00B07EE0">
              <w:rPr>
                <w:rFonts w:ascii="Calibri" w:eastAsia="Times New Roman" w:hAnsi="Calibri" w:cs="Times New Roman"/>
                <w:color w:val="000000"/>
                <w:sz w:val="20"/>
                <w:szCs w:val="20"/>
              </w:rPr>
              <w:t>Xss</w:t>
            </w:r>
            <w:proofErr w:type="spellEnd"/>
            <w:r w:rsidRPr="00B07EE0">
              <w:rPr>
                <w:rFonts w:ascii="Calibri" w:eastAsia="Times New Roman" w:hAnsi="Calibri" w:cs="Times New Roman"/>
                <w:color w:val="000000"/>
                <w:sz w:val="20"/>
                <w:szCs w:val="20"/>
              </w:rPr>
              <w:t>(10)</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r w:rsidRPr="00B07EE0">
              <w:rPr>
                <w:rFonts w:ascii="Calibri" w:eastAsia="Times New Roman" w:hAnsi="Calibri" w:cs="Times New Roman"/>
                <w:color w:val="000000"/>
                <w:sz w:val="20"/>
                <w:szCs w:val="20"/>
              </w:rPr>
              <w:t>Intermediate</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proofErr w:type="spellStart"/>
            <w:r w:rsidRPr="00B07EE0">
              <w:rPr>
                <w:rFonts w:ascii="Calibri" w:eastAsia="Times New Roman" w:hAnsi="Calibri" w:cs="Times New Roman"/>
                <w:color w:val="000000"/>
                <w:sz w:val="20"/>
                <w:szCs w:val="20"/>
              </w:rPr>
              <w:t>Xss</w:t>
            </w:r>
            <w:proofErr w:type="spellEnd"/>
            <w:r w:rsidRPr="00B07EE0">
              <w:rPr>
                <w:rFonts w:ascii="Calibri" w:eastAsia="Times New Roman" w:hAnsi="Calibri" w:cs="Times New Roman"/>
                <w:color w:val="000000"/>
                <w:sz w:val="20"/>
                <w:szCs w:val="20"/>
              </w:rPr>
              <w:t>(16)</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r w:rsidRPr="00B07EE0">
              <w:rPr>
                <w:rFonts w:ascii="Calibri" w:eastAsia="Times New Roman" w:hAnsi="Calibri" w:cs="Times New Roman"/>
                <w:color w:val="000000"/>
                <w:sz w:val="20"/>
                <w:szCs w:val="20"/>
              </w:rPr>
              <w:t>Intermediate</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B050"/>
                <w:sz w:val="20"/>
                <w:szCs w:val="20"/>
              </w:rPr>
            </w:pPr>
            <w:proofErr w:type="spellStart"/>
            <w:r w:rsidRPr="00B07EE0">
              <w:rPr>
                <w:rFonts w:ascii="Calibri" w:eastAsia="Times New Roman" w:hAnsi="Calibri" w:cs="Times New Roman"/>
                <w:b/>
                <w:bCs/>
                <w:color w:val="00B050"/>
                <w:sz w:val="20"/>
                <w:szCs w:val="20"/>
              </w:rPr>
              <w:t>Xss</w:t>
            </w:r>
            <w:proofErr w:type="spellEnd"/>
            <w:r w:rsidRPr="00B07EE0">
              <w:rPr>
                <w:rFonts w:ascii="Calibri" w:eastAsia="Times New Roman" w:hAnsi="Calibri" w:cs="Times New Roman"/>
                <w:b/>
                <w:bCs/>
                <w:color w:val="00B050"/>
                <w:sz w:val="20"/>
                <w:szCs w:val="20"/>
              </w:rPr>
              <w:t>(40)</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30" w:type="dxa"/>
            <w:tcBorders>
              <w:top w:val="nil"/>
              <w:left w:val="nil"/>
              <w:bottom w:val="nil"/>
              <w:right w:val="nil"/>
            </w:tcBorders>
            <w:shd w:val="clear" w:color="000000" w:fill="00B050"/>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Heavy</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B050"/>
                <w:sz w:val="20"/>
                <w:szCs w:val="20"/>
              </w:rPr>
            </w:pPr>
            <w:r w:rsidRPr="00B07EE0">
              <w:rPr>
                <w:rFonts w:ascii="Calibri" w:eastAsia="Times New Roman" w:hAnsi="Calibri" w:cs="Times New Roman"/>
                <w:b/>
                <w:bCs/>
                <w:color w:val="00B050"/>
                <w:sz w:val="20"/>
                <w:szCs w:val="20"/>
              </w:rPr>
              <w:t>Waste</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B050"/>
                <w:sz w:val="20"/>
                <w:szCs w:val="20"/>
              </w:rPr>
            </w:pPr>
            <w:proofErr w:type="spellStart"/>
            <w:r w:rsidRPr="00B07EE0">
              <w:rPr>
                <w:rFonts w:ascii="Calibri" w:eastAsia="Times New Roman" w:hAnsi="Calibri" w:cs="Times New Roman"/>
                <w:b/>
                <w:bCs/>
                <w:color w:val="00B050"/>
                <w:sz w:val="20"/>
                <w:szCs w:val="20"/>
              </w:rPr>
              <w:t>Xss</w:t>
            </w:r>
            <w:proofErr w:type="spellEnd"/>
            <w:r w:rsidRPr="00B07EE0">
              <w:rPr>
                <w:rFonts w:ascii="Calibri" w:eastAsia="Times New Roman" w:hAnsi="Calibri" w:cs="Times New Roman"/>
                <w:b/>
                <w:bCs/>
                <w:color w:val="00B050"/>
                <w:sz w:val="20"/>
                <w:szCs w:val="20"/>
              </w:rPr>
              <w:t>(41)</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B050"/>
                <w:sz w:val="20"/>
                <w:szCs w:val="20"/>
              </w:rPr>
            </w:pPr>
            <w:r w:rsidRPr="00B07EE0">
              <w:rPr>
                <w:rFonts w:ascii="Calibri" w:eastAsia="Times New Roman" w:hAnsi="Calibri" w:cs="Times New Roman"/>
                <w:b/>
                <w:bCs/>
                <w:color w:val="00B050"/>
                <w:sz w:val="20"/>
                <w:szCs w:val="20"/>
              </w:rPr>
              <w:t>Waste</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FF0000"/>
                <w:sz w:val="20"/>
                <w:szCs w:val="20"/>
              </w:rPr>
            </w:pPr>
            <w:proofErr w:type="spellStart"/>
            <w:r w:rsidRPr="00B07EE0">
              <w:rPr>
                <w:rFonts w:ascii="Calibri" w:eastAsia="Times New Roman" w:hAnsi="Calibri" w:cs="Times New Roman"/>
                <w:b/>
                <w:bCs/>
                <w:color w:val="FF0000"/>
                <w:sz w:val="20"/>
                <w:szCs w:val="20"/>
              </w:rPr>
              <w:t>Xss</w:t>
            </w:r>
            <w:proofErr w:type="spellEnd"/>
            <w:r w:rsidRPr="00B07EE0">
              <w:rPr>
                <w:rFonts w:ascii="Calibri" w:eastAsia="Times New Roman" w:hAnsi="Calibri" w:cs="Times New Roman"/>
                <w:b/>
                <w:bCs/>
                <w:color w:val="FF0000"/>
                <w:sz w:val="20"/>
                <w:szCs w:val="20"/>
              </w:rPr>
              <w:t>(64)</w:t>
            </w:r>
          </w:p>
        </w:tc>
        <w:tc>
          <w:tcPr>
            <w:tcW w:w="1030" w:type="dxa"/>
            <w:tcBorders>
              <w:top w:val="nil"/>
              <w:left w:val="nil"/>
              <w:bottom w:val="nil"/>
              <w:right w:val="nil"/>
            </w:tcBorders>
            <w:shd w:val="clear" w:color="000000" w:fill="00B050"/>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Heavy</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30" w:type="dxa"/>
            <w:tcBorders>
              <w:top w:val="nil"/>
              <w:left w:val="nil"/>
              <w:bottom w:val="nil"/>
              <w:right w:val="nil"/>
            </w:tcBorders>
            <w:shd w:val="clear" w:color="000000" w:fill="00B050"/>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Heavy</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FF0000"/>
                <w:sz w:val="20"/>
                <w:szCs w:val="20"/>
              </w:rPr>
            </w:pPr>
            <w:r w:rsidRPr="00B07EE0">
              <w:rPr>
                <w:rFonts w:ascii="Calibri" w:eastAsia="Times New Roman" w:hAnsi="Calibri" w:cs="Times New Roman"/>
                <w:b/>
                <w:bCs/>
                <w:color w:val="FF0000"/>
                <w:sz w:val="20"/>
                <w:szCs w:val="20"/>
              </w:rPr>
              <w:t>Product</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B050"/>
                <w:sz w:val="20"/>
                <w:szCs w:val="20"/>
              </w:rPr>
            </w:pPr>
            <w:proofErr w:type="spellStart"/>
            <w:r w:rsidRPr="00B07EE0">
              <w:rPr>
                <w:rFonts w:ascii="Calibri" w:eastAsia="Times New Roman" w:hAnsi="Calibri" w:cs="Times New Roman"/>
                <w:b/>
                <w:bCs/>
                <w:color w:val="00B050"/>
                <w:sz w:val="20"/>
                <w:szCs w:val="20"/>
              </w:rPr>
              <w:t>Xss</w:t>
            </w:r>
            <w:proofErr w:type="spellEnd"/>
            <w:r w:rsidRPr="00B07EE0">
              <w:rPr>
                <w:rFonts w:ascii="Calibri" w:eastAsia="Times New Roman" w:hAnsi="Calibri" w:cs="Times New Roman"/>
                <w:b/>
                <w:bCs/>
                <w:color w:val="00B050"/>
                <w:sz w:val="20"/>
                <w:szCs w:val="20"/>
              </w:rPr>
              <w:t>(70)</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B050"/>
                <w:sz w:val="20"/>
                <w:szCs w:val="20"/>
              </w:rPr>
            </w:pPr>
            <w:r w:rsidRPr="00B07EE0">
              <w:rPr>
                <w:rFonts w:ascii="Calibri" w:eastAsia="Times New Roman" w:hAnsi="Calibri" w:cs="Times New Roman"/>
                <w:b/>
                <w:bCs/>
                <w:color w:val="00B050"/>
                <w:sz w:val="20"/>
                <w:szCs w:val="20"/>
              </w:rPr>
              <w:t>Waste</w:t>
            </w:r>
          </w:p>
        </w:tc>
      </w:tr>
      <w:tr w:rsidR="00B07EE0" w:rsidRPr="00B07EE0" w:rsidTr="00F938ED">
        <w:trPr>
          <w:trHeight w:val="255"/>
          <w:jc w:val="center"/>
        </w:trPr>
        <w:tc>
          <w:tcPr>
            <w:tcW w:w="7462" w:type="dxa"/>
            <w:gridSpan w:val="7"/>
            <w:tcBorders>
              <w:top w:val="single" w:sz="4" w:space="0" w:color="auto"/>
              <w:left w:val="nil"/>
              <w:bottom w:val="single" w:sz="4" w:space="0" w:color="auto"/>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0000"/>
                <w:sz w:val="20"/>
                <w:szCs w:val="20"/>
              </w:rPr>
            </w:pPr>
            <w:r w:rsidRPr="00B07EE0">
              <w:rPr>
                <w:rFonts w:ascii="Calibri" w:eastAsia="Times New Roman" w:hAnsi="Calibri" w:cs="Times New Roman"/>
                <w:b/>
                <w:bCs/>
                <w:color w:val="000000"/>
                <w:sz w:val="20"/>
                <w:szCs w:val="20"/>
              </w:rPr>
              <w:t>Module 2</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proofErr w:type="spellStart"/>
            <w:r w:rsidRPr="00B07EE0">
              <w:rPr>
                <w:rFonts w:ascii="Calibri" w:eastAsia="Times New Roman" w:hAnsi="Calibri" w:cs="Times New Roman"/>
                <w:color w:val="000000"/>
                <w:sz w:val="20"/>
                <w:szCs w:val="20"/>
              </w:rPr>
              <w:t>Xss</w:t>
            </w:r>
            <w:proofErr w:type="spellEnd"/>
            <w:r w:rsidRPr="00B07EE0">
              <w:rPr>
                <w:rFonts w:ascii="Calibri" w:eastAsia="Times New Roman" w:hAnsi="Calibri" w:cs="Times New Roman"/>
                <w:color w:val="000000"/>
                <w:sz w:val="20"/>
                <w:szCs w:val="20"/>
              </w:rPr>
              <w:t>(276)</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000000" w:fill="00B050"/>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Heavy</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70C0"/>
                <w:sz w:val="20"/>
                <w:szCs w:val="20"/>
              </w:rPr>
            </w:pPr>
            <w:r w:rsidRPr="00B07EE0">
              <w:rPr>
                <w:rFonts w:ascii="Calibri" w:eastAsia="Times New Roman" w:hAnsi="Calibri" w:cs="Times New Roman"/>
                <w:b/>
                <w:bCs/>
                <w:color w:val="0070C0"/>
                <w:sz w:val="20"/>
                <w:szCs w:val="20"/>
              </w:rPr>
              <w:t>Input</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proofErr w:type="spellStart"/>
            <w:r w:rsidRPr="00B07EE0">
              <w:rPr>
                <w:rFonts w:ascii="Calibri" w:eastAsia="Times New Roman" w:hAnsi="Calibri" w:cs="Times New Roman"/>
                <w:color w:val="000000"/>
                <w:sz w:val="20"/>
                <w:szCs w:val="20"/>
              </w:rPr>
              <w:t>Xss</w:t>
            </w:r>
            <w:proofErr w:type="spellEnd"/>
            <w:r w:rsidRPr="00B07EE0">
              <w:rPr>
                <w:rFonts w:ascii="Calibri" w:eastAsia="Times New Roman" w:hAnsi="Calibri" w:cs="Times New Roman"/>
                <w:color w:val="000000"/>
                <w:sz w:val="20"/>
                <w:szCs w:val="20"/>
              </w:rPr>
              <w:t>(277)</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000000" w:fill="00B050"/>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Heavy</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70C0"/>
                <w:sz w:val="20"/>
                <w:szCs w:val="20"/>
              </w:rPr>
            </w:pPr>
            <w:r w:rsidRPr="00B07EE0">
              <w:rPr>
                <w:rFonts w:ascii="Calibri" w:eastAsia="Times New Roman" w:hAnsi="Calibri" w:cs="Times New Roman"/>
                <w:b/>
                <w:bCs/>
                <w:color w:val="0070C0"/>
                <w:sz w:val="20"/>
                <w:szCs w:val="20"/>
              </w:rPr>
              <w:t>Input</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proofErr w:type="spellStart"/>
            <w:r w:rsidRPr="00B07EE0">
              <w:rPr>
                <w:rFonts w:ascii="Calibri" w:eastAsia="Times New Roman" w:hAnsi="Calibri" w:cs="Times New Roman"/>
                <w:color w:val="000000"/>
                <w:sz w:val="20"/>
                <w:szCs w:val="20"/>
              </w:rPr>
              <w:t>Xss</w:t>
            </w:r>
            <w:proofErr w:type="spellEnd"/>
            <w:r w:rsidRPr="00B07EE0">
              <w:rPr>
                <w:rFonts w:ascii="Calibri" w:eastAsia="Times New Roman" w:hAnsi="Calibri" w:cs="Times New Roman"/>
                <w:color w:val="000000"/>
                <w:sz w:val="20"/>
                <w:szCs w:val="20"/>
              </w:rPr>
              <w:t>(77)</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r w:rsidRPr="00B07EE0">
              <w:rPr>
                <w:rFonts w:ascii="Calibri" w:eastAsia="Times New Roman" w:hAnsi="Calibri" w:cs="Times New Roman"/>
                <w:color w:val="000000"/>
                <w:sz w:val="20"/>
                <w:szCs w:val="20"/>
              </w:rPr>
              <w:t>Intermediate</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proofErr w:type="spellStart"/>
            <w:r w:rsidRPr="00B07EE0">
              <w:rPr>
                <w:rFonts w:ascii="Calibri" w:eastAsia="Times New Roman" w:hAnsi="Calibri" w:cs="Times New Roman"/>
                <w:color w:val="000000"/>
                <w:sz w:val="20"/>
                <w:szCs w:val="20"/>
              </w:rPr>
              <w:t>Xss</w:t>
            </w:r>
            <w:proofErr w:type="spellEnd"/>
            <w:r w:rsidRPr="00B07EE0">
              <w:rPr>
                <w:rFonts w:ascii="Calibri" w:eastAsia="Times New Roman" w:hAnsi="Calibri" w:cs="Times New Roman"/>
                <w:color w:val="000000"/>
                <w:sz w:val="20"/>
                <w:szCs w:val="20"/>
              </w:rPr>
              <w:t>(84)</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r w:rsidRPr="00B07EE0">
              <w:rPr>
                <w:rFonts w:ascii="Calibri" w:eastAsia="Times New Roman" w:hAnsi="Calibri" w:cs="Times New Roman"/>
                <w:color w:val="000000"/>
                <w:sz w:val="20"/>
                <w:szCs w:val="20"/>
              </w:rPr>
              <w:t>Intermediate</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B050"/>
                <w:sz w:val="20"/>
                <w:szCs w:val="20"/>
              </w:rPr>
            </w:pPr>
            <w:proofErr w:type="spellStart"/>
            <w:r w:rsidRPr="00B07EE0">
              <w:rPr>
                <w:rFonts w:ascii="Calibri" w:eastAsia="Times New Roman" w:hAnsi="Calibri" w:cs="Times New Roman"/>
                <w:b/>
                <w:bCs/>
                <w:color w:val="00B050"/>
                <w:sz w:val="20"/>
                <w:szCs w:val="20"/>
              </w:rPr>
              <w:t>Xss</w:t>
            </w:r>
            <w:proofErr w:type="spellEnd"/>
            <w:r w:rsidRPr="00B07EE0">
              <w:rPr>
                <w:rFonts w:ascii="Calibri" w:eastAsia="Times New Roman" w:hAnsi="Calibri" w:cs="Times New Roman"/>
                <w:b/>
                <w:bCs/>
                <w:color w:val="00B050"/>
                <w:sz w:val="20"/>
                <w:szCs w:val="20"/>
              </w:rPr>
              <w:t>(91)</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000000" w:fill="00B050"/>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Heavy</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B050"/>
                <w:sz w:val="20"/>
                <w:szCs w:val="20"/>
              </w:rPr>
            </w:pPr>
            <w:r w:rsidRPr="00B07EE0">
              <w:rPr>
                <w:rFonts w:ascii="Calibri" w:eastAsia="Times New Roman" w:hAnsi="Calibri" w:cs="Times New Roman"/>
                <w:b/>
                <w:bCs/>
                <w:color w:val="00B050"/>
                <w:sz w:val="20"/>
                <w:szCs w:val="20"/>
              </w:rPr>
              <w:t>Waste</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B050"/>
                <w:sz w:val="20"/>
                <w:szCs w:val="20"/>
              </w:rPr>
            </w:pPr>
            <w:proofErr w:type="spellStart"/>
            <w:r w:rsidRPr="00B07EE0">
              <w:rPr>
                <w:rFonts w:ascii="Calibri" w:eastAsia="Times New Roman" w:hAnsi="Calibri" w:cs="Times New Roman"/>
                <w:b/>
                <w:bCs/>
                <w:color w:val="00B050"/>
                <w:sz w:val="20"/>
                <w:szCs w:val="20"/>
              </w:rPr>
              <w:t>Xss</w:t>
            </w:r>
            <w:proofErr w:type="spellEnd"/>
            <w:r w:rsidRPr="00B07EE0">
              <w:rPr>
                <w:rFonts w:ascii="Calibri" w:eastAsia="Times New Roman" w:hAnsi="Calibri" w:cs="Times New Roman"/>
                <w:b/>
                <w:bCs/>
                <w:color w:val="00B050"/>
                <w:sz w:val="20"/>
                <w:szCs w:val="20"/>
              </w:rPr>
              <w:t>(92)</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B050"/>
                <w:sz w:val="20"/>
                <w:szCs w:val="20"/>
              </w:rPr>
            </w:pPr>
            <w:r w:rsidRPr="00B07EE0">
              <w:rPr>
                <w:rFonts w:ascii="Calibri" w:eastAsia="Times New Roman" w:hAnsi="Calibri" w:cs="Times New Roman"/>
                <w:b/>
                <w:bCs/>
                <w:color w:val="00B050"/>
                <w:sz w:val="20"/>
                <w:szCs w:val="20"/>
              </w:rPr>
              <w:t>Waste</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proofErr w:type="spellStart"/>
            <w:r w:rsidRPr="00B07EE0">
              <w:rPr>
                <w:rFonts w:ascii="Calibri" w:eastAsia="Times New Roman" w:hAnsi="Calibri" w:cs="Times New Roman"/>
                <w:color w:val="000000"/>
                <w:sz w:val="20"/>
                <w:szCs w:val="20"/>
              </w:rPr>
              <w:t>Xss</w:t>
            </w:r>
            <w:proofErr w:type="spellEnd"/>
            <w:r w:rsidRPr="00B07EE0">
              <w:rPr>
                <w:rFonts w:ascii="Calibri" w:eastAsia="Times New Roman" w:hAnsi="Calibri" w:cs="Times New Roman"/>
                <w:color w:val="000000"/>
                <w:sz w:val="20"/>
                <w:szCs w:val="20"/>
              </w:rPr>
              <w:t>(98)</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r w:rsidRPr="00B07EE0">
              <w:rPr>
                <w:rFonts w:ascii="Calibri" w:eastAsia="Times New Roman" w:hAnsi="Calibri" w:cs="Times New Roman"/>
                <w:color w:val="000000"/>
                <w:sz w:val="20"/>
                <w:szCs w:val="20"/>
              </w:rPr>
              <w:t>Intermediate</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FF0000"/>
                <w:sz w:val="20"/>
                <w:szCs w:val="20"/>
              </w:rPr>
            </w:pPr>
            <w:proofErr w:type="spellStart"/>
            <w:r w:rsidRPr="00B07EE0">
              <w:rPr>
                <w:rFonts w:ascii="Calibri" w:eastAsia="Times New Roman" w:hAnsi="Calibri" w:cs="Times New Roman"/>
                <w:b/>
                <w:bCs/>
                <w:color w:val="FF0000"/>
                <w:sz w:val="20"/>
                <w:szCs w:val="20"/>
              </w:rPr>
              <w:t>Xss</w:t>
            </w:r>
            <w:proofErr w:type="spellEnd"/>
            <w:r w:rsidRPr="00B07EE0">
              <w:rPr>
                <w:rFonts w:ascii="Calibri" w:eastAsia="Times New Roman" w:hAnsi="Calibri" w:cs="Times New Roman"/>
                <w:b/>
                <w:bCs/>
                <w:color w:val="FF0000"/>
                <w:sz w:val="20"/>
                <w:szCs w:val="20"/>
              </w:rPr>
              <w:t>(111)</w:t>
            </w:r>
          </w:p>
        </w:tc>
        <w:tc>
          <w:tcPr>
            <w:tcW w:w="1030" w:type="dxa"/>
            <w:tcBorders>
              <w:top w:val="nil"/>
              <w:left w:val="nil"/>
              <w:bottom w:val="nil"/>
              <w:right w:val="nil"/>
            </w:tcBorders>
            <w:shd w:val="clear" w:color="000000" w:fill="00B050"/>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Heavy</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1030" w:type="dxa"/>
            <w:tcBorders>
              <w:top w:val="nil"/>
              <w:left w:val="nil"/>
              <w:bottom w:val="nil"/>
              <w:right w:val="nil"/>
            </w:tcBorders>
            <w:shd w:val="clear" w:color="000000" w:fill="00B050"/>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Heavy</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FF0000"/>
                <w:sz w:val="20"/>
                <w:szCs w:val="20"/>
              </w:rPr>
            </w:pPr>
            <w:r w:rsidRPr="00B07EE0">
              <w:rPr>
                <w:rFonts w:ascii="Calibri" w:eastAsia="Times New Roman" w:hAnsi="Calibri" w:cs="Times New Roman"/>
                <w:b/>
                <w:bCs/>
                <w:color w:val="FF0000"/>
                <w:sz w:val="20"/>
                <w:szCs w:val="20"/>
              </w:rPr>
              <w:t>Product</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B050"/>
                <w:sz w:val="20"/>
                <w:szCs w:val="20"/>
              </w:rPr>
            </w:pPr>
            <w:proofErr w:type="spellStart"/>
            <w:r w:rsidRPr="00B07EE0">
              <w:rPr>
                <w:rFonts w:ascii="Calibri" w:eastAsia="Times New Roman" w:hAnsi="Calibri" w:cs="Times New Roman"/>
                <w:b/>
                <w:bCs/>
                <w:color w:val="00B050"/>
                <w:sz w:val="20"/>
                <w:szCs w:val="20"/>
              </w:rPr>
              <w:t>Xss</w:t>
            </w:r>
            <w:proofErr w:type="spellEnd"/>
            <w:r w:rsidRPr="00B07EE0">
              <w:rPr>
                <w:rFonts w:ascii="Calibri" w:eastAsia="Times New Roman" w:hAnsi="Calibri" w:cs="Times New Roman"/>
                <w:b/>
                <w:bCs/>
                <w:color w:val="00B050"/>
                <w:sz w:val="20"/>
                <w:szCs w:val="20"/>
              </w:rPr>
              <w:t>(117)</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000000" w:fill="00B050"/>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Heavy</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B050"/>
                <w:sz w:val="20"/>
                <w:szCs w:val="20"/>
              </w:rPr>
            </w:pPr>
            <w:r w:rsidRPr="00B07EE0">
              <w:rPr>
                <w:rFonts w:ascii="Calibri" w:eastAsia="Times New Roman" w:hAnsi="Calibri" w:cs="Times New Roman"/>
                <w:b/>
                <w:bCs/>
                <w:color w:val="00B050"/>
                <w:sz w:val="20"/>
                <w:szCs w:val="20"/>
              </w:rPr>
              <w:t>Waste</w:t>
            </w:r>
          </w:p>
        </w:tc>
      </w:tr>
      <w:tr w:rsidR="00B07EE0" w:rsidRPr="00B07EE0" w:rsidTr="00F938ED">
        <w:trPr>
          <w:trHeight w:val="255"/>
          <w:jc w:val="center"/>
        </w:trPr>
        <w:tc>
          <w:tcPr>
            <w:tcW w:w="7462" w:type="dxa"/>
            <w:gridSpan w:val="7"/>
            <w:tcBorders>
              <w:top w:val="single" w:sz="4" w:space="0" w:color="auto"/>
              <w:left w:val="nil"/>
              <w:bottom w:val="single" w:sz="4" w:space="0" w:color="auto"/>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0000"/>
                <w:sz w:val="20"/>
                <w:szCs w:val="20"/>
              </w:rPr>
            </w:pPr>
            <w:r w:rsidRPr="00B07EE0">
              <w:rPr>
                <w:rFonts w:ascii="Calibri" w:eastAsia="Times New Roman" w:hAnsi="Calibri" w:cs="Times New Roman"/>
                <w:b/>
                <w:bCs/>
                <w:color w:val="000000"/>
                <w:sz w:val="20"/>
                <w:szCs w:val="20"/>
              </w:rPr>
              <w:t>Module 3</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proofErr w:type="spellStart"/>
            <w:r w:rsidRPr="00B07EE0">
              <w:rPr>
                <w:rFonts w:ascii="Calibri" w:eastAsia="Times New Roman" w:hAnsi="Calibri" w:cs="Times New Roman"/>
                <w:color w:val="000000"/>
                <w:sz w:val="20"/>
                <w:szCs w:val="20"/>
              </w:rPr>
              <w:t>Xss</w:t>
            </w:r>
            <w:proofErr w:type="spellEnd"/>
            <w:r w:rsidRPr="00B07EE0">
              <w:rPr>
                <w:rFonts w:ascii="Calibri" w:eastAsia="Times New Roman" w:hAnsi="Calibri" w:cs="Times New Roman"/>
                <w:color w:val="000000"/>
                <w:sz w:val="20"/>
                <w:szCs w:val="20"/>
              </w:rPr>
              <w:t>(278)</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000000" w:fill="00B050"/>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Heavy</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70C0"/>
                <w:sz w:val="20"/>
                <w:szCs w:val="20"/>
              </w:rPr>
            </w:pPr>
            <w:r w:rsidRPr="00B07EE0">
              <w:rPr>
                <w:rFonts w:ascii="Calibri" w:eastAsia="Times New Roman" w:hAnsi="Calibri" w:cs="Times New Roman"/>
                <w:b/>
                <w:bCs/>
                <w:color w:val="0070C0"/>
                <w:sz w:val="20"/>
                <w:szCs w:val="20"/>
              </w:rPr>
              <w:t>Input</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B050"/>
                <w:sz w:val="20"/>
                <w:szCs w:val="20"/>
              </w:rPr>
            </w:pPr>
            <w:proofErr w:type="spellStart"/>
            <w:r w:rsidRPr="00B07EE0">
              <w:rPr>
                <w:rFonts w:ascii="Calibri" w:eastAsia="Times New Roman" w:hAnsi="Calibri" w:cs="Times New Roman"/>
                <w:b/>
                <w:bCs/>
                <w:color w:val="00B050"/>
                <w:sz w:val="20"/>
                <w:szCs w:val="20"/>
              </w:rPr>
              <w:t>Xss</w:t>
            </w:r>
            <w:proofErr w:type="spellEnd"/>
            <w:r w:rsidRPr="00B07EE0">
              <w:rPr>
                <w:rFonts w:ascii="Calibri" w:eastAsia="Times New Roman" w:hAnsi="Calibri" w:cs="Times New Roman"/>
                <w:b/>
                <w:bCs/>
                <w:color w:val="00B050"/>
                <w:sz w:val="20"/>
                <w:szCs w:val="20"/>
              </w:rPr>
              <w:t>(123)</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B050"/>
                <w:sz w:val="20"/>
                <w:szCs w:val="20"/>
              </w:rPr>
            </w:pPr>
            <w:r w:rsidRPr="00B07EE0">
              <w:rPr>
                <w:rFonts w:ascii="Calibri" w:eastAsia="Times New Roman" w:hAnsi="Calibri" w:cs="Times New Roman"/>
                <w:b/>
                <w:bCs/>
                <w:color w:val="00B050"/>
                <w:sz w:val="20"/>
                <w:szCs w:val="20"/>
              </w:rPr>
              <w:t>Waste</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proofErr w:type="spellStart"/>
            <w:r w:rsidRPr="00B07EE0">
              <w:rPr>
                <w:rFonts w:ascii="Calibri" w:eastAsia="Times New Roman" w:hAnsi="Calibri" w:cs="Times New Roman"/>
                <w:color w:val="000000"/>
                <w:sz w:val="20"/>
                <w:szCs w:val="20"/>
              </w:rPr>
              <w:t>Xss</w:t>
            </w:r>
            <w:proofErr w:type="spellEnd"/>
            <w:r w:rsidRPr="00B07EE0">
              <w:rPr>
                <w:rFonts w:ascii="Calibri" w:eastAsia="Times New Roman" w:hAnsi="Calibri" w:cs="Times New Roman"/>
                <w:color w:val="000000"/>
                <w:sz w:val="20"/>
                <w:szCs w:val="20"/>
              </w:rPr>
              <w:t>(128)</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r w:rsidRPr="00B07EE0">
              <w:rPr>
                <w:rFonts w:ascii="Calibri" w:eastAsia="Times New Roman" w:hAnsi="Calibri" w:cs="Times New Roman"/>
                <w:color w:val="000000"/>
                <w:sz w:val="20"/>
                <w:szCs w:val="20"/>
              </w:rPr>
              <w:t>Intermediate</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proofErr w:type="spellStart"/>
            <w:r w:rsidRPr="00B07EE0">
              <w:rPr>
                <w:rFonts w:ascii="Calibri" w:eastAsia="Times New Roman" w:hAnsi="Calibri" w:cs="Times New Roman"/>
                <w:color w:val="000000"/>
                <w:sz w:val="20"/>
                <w:szCs w:val="20"/>
              </w:rPr>
              <w:t>Xss</w:t>
            </w:r>
            <w:proofErr w:type="spellEnd"/>
            <w:r w:rsidRPr="00B07EE0">
              <w:rPr>
                <w:rFonts w:ascii="Calibri" w:eastAsia="Times New Roman" w:hAnsi="Calibri" w:cs="Times New Roman"/>
                <w:color w:val="000000"/>
                <w:sz w:val="20"/>
                <w:szCs w:val="20"/>
              </w:rPr>
              <w:t>(138)</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r w:rsidRPr="00B07EE0">
              <w:rPr>
                <w:rFonts w:ascii="Calibri" w:eastAsia="Times New Roman" w:hAnsi="Calibri" w:cs="Times New Roman"/>
                <w:color w:val="000000"/>
                <w:sz w:val="20"/>
                <w:szCs w:val="20"/>
              </w:rPr>
              <w:t>Intermediate</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proofErr w:type="spellStart"/>
            <w:r w:rsidRPr="00B07EE0">
              <w:rPr>
                <w:rFonts w:ascii="Calibri" w:eastAsia="Times New Roman" w:hAnsi="Calibri" w:cs="Times New Roman"/>
                <w:color w:val="000000"/>
                <w:sz w:val="20"/>
                <w:szCs w:val="20"/>
              </w:rPr>
              <w:t>Xss</w:t>
            </w:r>
            <w:proofErr w:type="spellEnd"/>
            <w:r w:rsidRPr="00B07EE0">
              <w:rPr>
                <w:rFonts w:ascii="Calibri" w:eastAsia="Times New Roman" w:hAnsi="Calibri" w:cs="Times New Roman"/>
                <w:color w:val="000000"/>
                <w:sz w:val="20"/>
                <w:szCs w:val="20"/>
              </w:rPr>
              <w:t>(148)</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r w:rsidRPr="00B07EE0">
              <w:rPr>
                <w:rFonts w:ascii="Calibri" w:eastAsia="Times New Roman" w:hAnsi="Calibri" w:cs="Times New Roman"/>
                <w:color w:val="000000"/>
                <w:sz w:val="20"/>
                <w:szCs w:val="20"/>
              </w:rPr>
              <w:t>Intermediate</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proofErr w:type="spellStart"/>
            <w:r w:rsidRPr="00B07EE0">
              <w:rPr>
                <w:rFonts w:ascii="Calibri" w:eastAsia="Times New Roman" w:hAnsi="Calibri" w:cs="Times New Roman"/>
                <w:color w:val="000000"/>
                <w:sz w:val="20"/>
                <w:szCs w:val="20"/>
              </w:rPr>
              <w:t>Xss</w:t>
            </w:r>
            <w:proofErr w:type="spellEnd"/>
            <w:r w:rsidRPr="00B07EE0">
              <w:rPr>
                <w:rFonts w:ascii="Calibri" w:eastAsia="Times New Roman" w:hAnsi="Calibri" w:cs="Times New Roman"/>
                <w:color w:val="000000"/>
                <w:sz w:val="20"/>
                <w:szCs w:val="20"/>
              </w:rPr>
              <w:t>(159)</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r w:rsidRPr="00B07EE0">
              <w:rPr>
                <w:rFonts w:ascii="Calibri" w:eastAsia="Times New Roman" w:hAnsi="Calibri" w:cs="Times New Roman"/>
                <w:color w:val="000000"/>
                <w:sz w:val="20"/>
                <w:szCs w:val="20"/>
              </w:rPr>
              <w:t>Intermediate</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FF0000"/>
                <w:sz w:val="20"/>
                <w:szCs w:val="20"/>
              </w:rPr>
            </w:pPr>
            <w:proofErr w:type="spellStart"/>
            <w:r w:rsidRPr="00B07EE0">
              <w:rPr>
                <w:rFonts w:ascii="Calibri" w:eastAsia="Times New Roman" w:hAnsi="Calibri" w:cs="Times New Roman"/>
                <w:b/>
                <w:bCs/>
                <w:color w:val="FF0000"/>
                <w:sz w:val="20"/>
                <w:szCs w:val="20"/>
              </w:rPr>
              <w:t>Xss</w:t>
            </w:r>
            <w:proofErr w:type="spellEnd"/>
            <w:r w:rsidRPr="00B07EE0">
              <w:rPr>
                <w:rFonts w:ascii="Calibri" w:eastAsia="Times New Roman" w:hAnsi="Calibri" w:cs="Times New Roman"/>
                <w:b/>
                <w:bCs/>
                <w:color w:val="FF0000"/>
                <w:sz w:val="20"/>
                <w:szCs w:val="20"/>
              </w:rPr>
              <w:t>(163)</w:t>
            </w:r>
          </w:p>
        </w:tc>
        <w:tc>
          <w:tcPr>
            <w:tcW w:w="1030" w:type="dxa"/>
            <w:tcBorders>
              <w:top w:val="nil"/>
              <w:left w:val="nil"/>
              <w:bottom w:val="nil"/>
              <w:right w:val="nil"/>
            </w:tcBorders>
            <w:shd w:val="clear" w:color="000000" w:fill="00B050"/>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Heavy</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1030" w:type="dxa"/>
            <w:tcBorders>
              <w:top w:val="nil"/>
              <w:left w:val="nil"/>
              <w:bottom w:val="nil"/>
              <w:right w:val="nil"/>
            </w:tcBorders>
            <w:shd w:val="clear" w:color="000000" w:fill="00B050"/>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Heavy</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FF0000"/>
                <w:sz w:val="20"/>
                <w:szCs w:val="20"/>
              </w:rPr>
            </w:pPr>
            <w:r w:rsidRPr="00B07EE0">
              <w:rPr>
                <w:rFonts w:ascii="Calibri" w:eastAsia="Times New Roman" w:hAnsi="Calibri" w:cs="Times New Roman"/>
                <w:b/>
                <w:bCs/>
                <w:color w:val="FF0000"/>
                <w:sz w:val="20"/>
                <w:szCs w:val="20"/>
              </w:rPr>
              <w:t>Product</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B050"/>
                <w:sz w:val="20"/>
                <w:szCs w:val="20"/>
              </w:rPr>
            </w:pPr>
            <w:proofErr w:type="spellStart"/>
            <w:r w:rsidRPr="00B07EE0">
              <w:rPr>
                <w:rFonts w:ascii="Calibri" w:eastAsia="Times New Roman" w:hAnsi="Calibri" w:cs="Times New Roman"/>
                <w:b/>
                <w:bCs/>
                <w:color w:val="00B050"/>
                <w:sz w:val="20"/>
                <w:szCs w:val="20"/>
              </w:rPr>
              <w:t>Xss</w:t>
            </w:r>
            <w:proofErr w:type="spellEnd"/>
            <w:r w:rsidRPr="00B07EE0">
              <w:rPr>
                <w:rFonts w:ascii="Calibri" w:eastAsia="Times New Roman" w:hAnsi="Calibri" w:cs="Times New Roman"/>
                <w:b/>
                <w:bCs/>
                <w:color w:val="00B050"/>
                <w:sz w:val="20"/>
                <w:szCs w:val="20"/>
              </w:rPr>
              <w:t>(169)</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B050"/>
                <w:sz w:val="20"/>
                <w:szCs w:val="20"/>
              </w:rPr>
            </w:pPr>
            <w:r w:rsidRPr="00B07EE0">
              <w:rPr>
                <w:rFonts w:ascii="Calibri" w:eastAsia="Times New Roman" w:hAnsi="Calibri" w:cs="Times New Roman"/>
                <w:b/>
                <w:bCs/>
                <w:color w:val="00B050"/>
                <w:sz w:val="20"/>
                <w:szCs w:val="20"/>
              </w:rPr>
              <w:t>Waste</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B050"/>
                <w:sz w:val="20"/>
                <w:szCs w:val="20"/>
              </w:rPr>
            </w:pPr>
            <w:proofErr w:type="spellStart"/>
            <w:r w:rsidRPr="00B07EE0">
              <w:rPr>
                <w:rFonts w:ascii="Calibri" w:eastAsia="Times New Roman" w:hAnsi="Calibri" w:cs="Times New Roman"/>
                <w:b/>
                <w:bCs/>
                <w:color w:val="00B050"/>
                <w:sz w:val="20"/>
                <w:szCs w:val="20"/>
              </w:rPr>
              <w:t>Xss</w:t>
            </w:r>
            <w:proofErr w:type="spellEnd"/>
            <w:r w:rsidRPr="00B07EE0">
              <w:rPr>
                <w:rFonts w:ascii="Calibri" w:eastAsia="Times New Roman" w:hAnsi="Calibri" w:cs="Times New Roman"/>
                <w:b/>
                <w:bCs/>
                <w:color w:val="00B050"/>
                <w:sz w:val="20"/>
                <w:szCs w:val="20"/>
              </w:rPr>
              <w:t>(171)</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000000" w:fill="00B050"/>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Heavy</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B050"/>
                <w:sz w:val="20"/>
                <w:szCs w:val="20"/>
              </w:rPr>
            </w:pPr>
            <w:r w:rsidRPr="00B07EE0">
              <w:rPr>
                <w:rFonts w:ascii="Calibri" w:eastAsia="Times New Roman" w:hAnsi="Calibri" w:cs="Times New Roman"/>
                <w:b/>
                <w:bCs/>
                <w:color w:val="00B050"/>
                <w:sz w:val="20"/>
                <w:szCs w:val="20"/>
              </w:rPr>
              <w:t>Waste</w:t>
            </w:r>
          </w:p>
        </w:tc>
      </w:tr>
      <w:tr w:rsidR="00B07EE0" w:rsidRPr="00B07EE0" w:rsidTr="00F938ED">
        <w:trPr>
          <w:trHeight w:val="255"/>
          <w:jc w:val="center"/>
        </w:trPr>
        <w:tc>
          <w:tcPr>
            <w:tcW w:w="7462" w:type="dxa"/>
            <w:gridSpan w:val="7"/>
            <w:tcBorders>
              <w:top w:val="single" w:sz="4" w:space="0" w:color="auto"/>
              <w:left w:val="nil"/>
              <w:bottom w:val="single" w:sz="4" w:space="0" w:color="auto"/>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0000"/>
                <w:sz w:val="20"/>
                <w:szCs w:val="20"/>
              </w:rPr>
            </w:pPr>
            <w:r w:rsidRPr="00B07EE0">
              <w:rPr>
                <w:rFonts w:ascii="Calibri" w:eastAsia="Times New Roman" w:hAnsi="Calibri" w:cs="Times New Roman"/>
                <w:b/>
                <w:bCs/>
                <w:color w:val="000000"/>
                <w:sz w:val="20"/>
                <w:szCs w:val="20"/>
              </w:rPr>
              <w:t>Module 4</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proofErr w:type="spellStart"/>
            <w:r w:rsidRPr="00B07EE0">
              <w:rPr>
                <w:rFonts w:ascii="Calibri" w:eastAsia="Times New Roman" w:hAnsi="Calibri" w:cs="Times New Roman"/>
                <w:color w:val="000000"/>
                <w:sz w:val="20"/>
                <w:szCs w:val="20"/>
              </w:rPr>
              <w:t>Xss</w:t>
            </w:r>
            <w:proofErr w:type="spellEnd"/>
            <w:r w:rsidRPr="00B07EE0">
              <w:rPr>
                <w:rFonts w:ascii="Calibri" w:eastAsia="Times New Roman" w:hAnsi="Calibri" w:cs="Times New Roman"/>
                <w:color w:val="000000"/>
                <w:sz w:val="20"/>
                <w:szCs w:val="20"/>
              </w:rPr>
              <w:t>(279)</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000000" w:fill="00B050"/>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Heavy</w:t>
            </w:r>
          </w:p>
        </w:tc>
        <w:tc>
          <w:tcPr>
            <w:tcW w:w="1030" w:type="dxa"/>
            <w:tcBorders>
              <w:top w:val="nil"/>
              <w:left w:val="nil"/>
              <w:bottom w:val="nil"/>
              <w:right w:val="nil"/>
            </w:tcBorders>
            <w:shd w:val="clear" w:color="000000" w:fill="00B050"/>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Heavy</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70C0"/>
                <w:sz w:val="20"/>
                <w:szCs w:val="20"/>
              </w:rPr>
            </w:pPr>
            <w:r w:rsidRPr="00B07EE0">
              <w:rPr>
                <w:rFonts w:ascii="Calibri" w:eastAsia="Times New Roman" w:hAnsi="Calibri" w:cs="Times New Roman"/>
                <w:b/>
                <w:bCs/>
                <w:color w:val="0070C0"/>
                <w:sz w:val="20"/>
                <w:szCs w:val="20"/>
              </w:rPr>
              <w:t>Input</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proofErr w:type="spellStart"/>
            <w:r w:rsidRPr="00B07EE0">
              <w:rPr>
                <w:rFonts w:ascii="Calibri" w:eastAsia="Times New Roman" w:hAnsi="Calibri" w:cs="Times New Roman"/>
                <w:color w:val="000000"/>
                <w:sz w:val="20"/>
                <w:szCs w:val="20"/>
              </w:rPr>
              <w:t>Xss</w:t>
            </w:r>
            <w:proofErr w:type="spellEnd"/>
            <w:r w:rsidRPr="00B07EE0">
              <w:rPr>
                <w:rFonts w:ascii="Calibri" w:eastAsia="Times New Roman" w:hAnsi="Calibri" w:cs="Times New Roman"/>
                <w:color w:val="000000"/>
                <w:sz w:val="20"/>
                <w:szCs w:val="20"/>
              </w:rPr>
              <w:t>(181)</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r w:rsidRPr="00B07EE0">
              <w:rPr>
                <w:rFonts w:ascii="Calibri" w:eastAsia="Times New Roman" w:hAnsi="Calibri" w:cs="Times New Roman"/>
                <w:color w:val="000000"/>
                <w:sz w:val="20"/>
                <w:szCs w:val="20"/>
              </w:rPr>
              <w:t>Intermediate</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proofErr w:type="spellStart"/>
            <w:r w:rsidRPr="00B07EE0">
              <w:rPr>
                <w:rFonts w:ascii="Calibri" w:eastAsia="Times New Roman" w:hAnsi="Calibri" w:cs="Times New Roman"/>
                <w:color w:val="000000"/>
                <w:sz w:val="20"/>
                <w:szCs w:val="20"/>
              </w:rPr>
              <w:t>Xss</w:t>
            </w:r>
            <w:proofErr w:type="spellEnd"/>
            <w:r w:rsidRPr="00B07EE0">
              <w:rPr>
                <w:rFonts w:ascii="Calibri" w:eastAsia="Times New Roman" w:hAnsi="Calibri" w:cs="Times New Roman"/>
                <w:color w:val="000000"/>
                <w:sz w:val="20"/>
                <w:szCs w:val="20"/>
              </w:rPr>
              <w:t>(184)</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r w:rsidRPr="00B07EE0">
              <w:rPr>
                <w:rFonts w:ascii="Calibri" w:eastAsia="Times New Roman" w:hAnsi="Calibri" w:cs="Times New Roman"/>
                <w:color w:val="000000"/>
                <w:sz w:val="20"/>
                <w:szCs w:val="20"/>
              </w:rPr>
              <w:t>Intermediate</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proofErr w:type="spellStart"/>
            <w:r w:rsidRPr="00B07EE0">
              <w:rPr>
                <w:rFonts w:ascii="Calibri" w:eastAsia="Times New Roman" w:hAnsi="Calibri" w:cs="Times New Roman"/>
                <w:color w:val="000000"/>
                <w:sz w:val="20"/>
                <w:szCs w:val="20"/>
              </w:rPr>
              <w:t>Xss</w:t>
            </w:r>
            <w:proofErr w:type="spellEnd"/>
            <w:r w:rsidRPr="00B07EE0">
              <w:rPr>
                <w:rFonts w:ascii="Calibri" w:eastAsia="Times New Roman" w:hAnsi="Calibri" w:cs="Times New Roman"/>
                <w:color w:val="000000"/>
                <w:sz w:val="20"/>
                <w:szCs w:val="20"/>
              </w:rPr>
              <w:t>(198)</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r w:rsidRPr="00B07EE0">
              <w:rPr>
                <w:rFonts w:ascii="Calibri" w:eastAsia="Times New Roman" w:hAnsi="Calibri" w:cs="Times New Roman"/>
                <w:color w:val="000000"/>
                <w:sz w:val="20"/>
                <w:szCs w:val="20"/>
              </w:rPr>
              <w:t>Intermediate</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proofErr w:type="spellStart"/>
            <w:r w:rsidRPr="00B07EE0">
              <w:rPr>
                <w:rFonts w:ascii="Calibri" w:eastAsia="Times New Roman" w:hAnsi="Calibri" w:cs="Times New Roman"/>
                <w:color w:val="000000"/>
                <w:sz w:val="20"/>
                <w:szCs w:val="20"/>
              </w:rPr>
              <w:t>Xss</w:t>
            </w:r>
            <w:proofErr w:type="spellEnd"/>
            <w:r w:rsidRPr="00B07EE0">
              <w:rPr>
                <w:rFonts w:ascii="Calibri" w:eastAsia="Times New Roman" w:hAnsi="Calibri" w:cs="Times New Roman"/>
                <w:color w:val="000000"/>
                <w:sz w:val="20"/>
                <w:szCs w:val="20"/>
              </w:rPr>
              <w:t>(207)</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r w:rsidRPr="00B07EE0">
              <w:rPr>
                <w:rFonts w:ascii="Calibri" w:eastAsia="Times New Roman" w:hAnsi="Calibri" w:cs="Times New Roman"/>
                <w:color w:val="000000"/>
                <w:sz w:val="20"/>
                <w:szCs w:val="20"/>
              </w:rPr>
              <w:t>Intermediate</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proofErr w:type="spellStart"/>
            <w:r w:rsidRPr="00B07EE0">
              <w:rPr>
                <w:rFonts w:ascii="Calibri" w:eastAsia="Times New Roman" w:hAnsi="Calibri" w:cs="Times New Roman"/>
                <w:color w:val="000000"/>
                <w:sz w:val="20"/>
                <w:szCs w:val="20"/>
              </w:rPr>
              <w:t>Xss</w:t>
            </w:r>
            <w:proofErr w:type="spellEnd"/>
            <w:r w:rsidRPr="00B07EE0">
              <w:rPr>
                <w:rFonts w:ascii="Calibri" w:eastAsia="Times New Roman" w:hAnsi="Calibri" w:cs="Times New Roman"/>
                <w:color w:val="000000"/>
                <w:sz w:val="20"/>
                <w:szCs w:val="20"/>
              </w:rPr>
              <w:t>(208)</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r w:rsidRPr="00B07EE0">
              <w:rPr>
                <w:rFonts w:ascii="Calibri" w:eastAsia="Times New Roman" w:hAnsi="Calibri" w:cs="Times New Roman"/>
                <w:color w:val="000000"/>
                <w:sz w:val="20"/>
                <w:szCs w:val="20"/>
              </w:rPr>
              <w:t>Intermediate</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B050"/>
                <w:sz w:val="20"/>
                <w:szCs w:val="20"/>
              </w:rPr>
            </w:pPr>
            <w:proofErr w:type="spellStart"/>
            <w:r w:rsidRPr="00B07EE0">
              <w:rPr>
                <w:rFonts w:ascii="Calibri" w:eastAsia="Times New Roman" w:hAnsi="Calibri" w:cs="Times New Roman"/>
                <w:b/>
                <w:bCs/>
                <w:color w:val="00B050"/>
                <w:sz w:val="20"/>
                <w:szCs w:val="20"/>
              </w:rPr>
              <w:t>Xss</w:t>
            </w:r>
            <w:proofErr w:type="spellEnd"/>
            <w:r w:rsidRPr="00B07EE0">
              <w:rPr>
                <w:rFonts w:ascii="Calibri" w:eastAsia="Times New Roman" w:hAnsi="Calibri" w:cs="Times New Roman"/>
                <w:b/>
                <w:bCs/>
                <w:color w:val="00B050"/>
                <w:sz w:val="20"/>
                <w:szCs w:val="20"/>
              </w:rPr>
              <w:t>(214)</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B050"/>
                <w:sz w:val="20"/>
                <w:szCs w:val="20"/>
              </w:rPr>
            </w:pPr>
            <w:r w:rsidRPr="00B07EE0">
              <w:rPr>
                <w:rFonts w:ascii="Calibri" w:eastAsia="Times New Roman" w:hAnsi="Calibri" w:cs="Times New Roman"/>
                <w:b/>
                <w:bCs/>
                <w:color w:val="00B050"/>
                <w:sz w:val="20"/>
                <w:szCs w:val="20"/>
              </w:rPr>
              <w:t>Waste</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B050"/>
                <w:sz w:val="20"/>
                <w:szCs w:val="20"/>
              </w:rPr>
            </w:pPr>
            <w:proofErr w:type="spellStart"/>
            <w:r w:rsidRPr="00B07EE0">
              <w:rPr>
                <w:rFonts w:ascii="Calibri" w:eastAsia="Times New Roman" w:hAnsi="Calibri" w:cs="Times New Roman"/>
                <w:b/>
                <w:bCs/>
                <w:color w:val="00B050"/>
                <w:sz w:val="20"/>
                <w:szCs w:val="20"/>
              </w:rPr>
              <w:t>Xss</w:t>
            </w:r>
            <w:proofErr w:type="spellEnd"/>
            <w:r w:rsidRPr="00B07EE0">
              <w:rPr>
                <w:rFonts w:ascii="Calibri" w:eastAsia="Times New Roman" w:hAnsi="Calibri" w:cs="Times New Roman"/>
                <w:b/>
                <w:bCs/>
                <w:color w:val="00B050"/>
                <w:sz w:val="20"/>
                <w:szCs w:val="20"/>
              </w:rPr>
              <w:t>(215)</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B050"/>
                <w:sz w:val="20"/>
                <w:szCs w:val="20"/>
              </w:rPr>
            </w:pPr>
            <w:r w:rsidRPr="00B07EE0">
              <w:rPr>
                <w:rFonts w:ascii="Calibri" w:eastAsia="Times New Roman" w:hAnsi="Calibri" w:cs="Times New Roman"/>
                <w:b/>
                <w:bCs/>
                <w:color w:val="00B050"/>
                <w:sz w:val="20"/>
                <w:szCs w:val="20"/>
              </w:rPr>
              <w:t>Waste</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B050"/>
                <w:sz w:val="20"/>
                <w:szCs w:val="20"/>
              </w:rPr>
            </w:pPr>
            <w:proofErr w:type="spellStart"/>
            <w:r w:rsidRPr="00B07EE0">
              <w:rPr>
                <w:rFonts w:ascii="Calibri" w:eastAsia="Times New Roman" w:hAnsi="Calibri" w:cs="Times New Roman"/>
                <w:b/>
                <w:bCs/>
                <w:color w:val="00B050"/>
                <w:sz w:val="20"/>
                <w:szCs w:val="20"/>
              </w:rPr>
              <w:t>Xss</w:t>
            </w:r>
            <w:proofErr w:type="spellEnd"/>
            <w:r w:rsidRPr="00B07EE0">
              <w:rPr>
                <w:rFonts w:ascii="Calibri" w:eastAsia="Times New Roman" w:hAnsi="Calibri" w:cs="Times New Roman"/>
                <w:b/>
                <w:bCs/>
                <w:color w:val="00B050"/>
                <w:sz w:val="20"/>
                <w:szCs w:val="20"/>
              </w:rPr>
              <w:t>(217)</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B050"/>
                <w:sz w:val="20"/>
                <w:szCs w:val="20"/>
              </w:rPr>
            </w:pPr>
            <w:r w:rsidRPr="00B07EE0">
              <w:rPr>
                <w:rFonts w:ascii="Calibri" w:eastAsia="Times New Roman" w:hAnsi="Calibri" w:cs="Times New Roman"/>
                <w:b/>
                <w:bCs/>
                <w:color w:val="00B050"/>
                <w:sz w:val="20"/>
                <w:szCs w:val="20"/>
              </w:rPr>
              <w:t>Waste</w:t>
            </w:r>
          </w:p>
        </w:tc>
      </w:tr>
      <w:tr w:rsidR="00B07EE0" w:rsidRPr="00B07EE0" w:rsidTr="00F938ED">
        <w:trPr>
          <w:trHeight w:val="255"/>
          <w:jc w:val="center"/>
        </w:trPr>
        <w:tc>
          <w:tcPr>
            <w:tcW w:w="128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FF0000"/>
                <w:sz w:val="20"/>
                <w:szCs w:val="20"/>
              </w:rPr>
            </w:pPr>
            <w:proofErr w:type="spellStart"/>
            <w:r w:rsidRPr="00B07EE0">
              <w:rPr>
                <w:rFonts w:ascii="Calibri" w:eastAsia="Times New Roman" w:hAnsi="Calibri" w:cs="Times New Roman"/>
                <w:b/>
                <w:bCs/>
                <w:color w:val="FF0000"/>
                <w:sz w:val="20"/>
                <w:szCs w:val="20"/>
              </w:rPr>
              <w:t>Xss</w:t>
            </w:r>
            <w:proofErr w:type="spellEnd"/>
            <w:r w:rsidRPr="00B07EE0">
              <w:rPr>
                <w:rFonts w:ascii="Calibri" w:eastAsia="Times New Roman" w:hAnsi="Calibri" w:cs="Times New Roman"/>
                <w:b/>
                <w:bCs/>
                <w:color w:val="FF0000"/>
                <w:sz w:val="20"/>
                <w:szCs w:val="20"/>
              </w:rPr>
              <w:t>(218)</w:t>
            </w:r>
          </w:p>
        </w:tc>
        <w:tc>
          <w:tcPr>
            <w:tcW w:w="1030" w:type="dxa"/>
            <w:tcBorders>
              <w:top w:val="nil"/>
              <w:left w:val="nil"/>
              <w:bottom w:val="nil"/>
              <w:right w:val="nil"/>
            </w:tcBorders>
            <w:shd w:val="clear" w:color="000000" w:fill="00B050"/>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Heavy</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30" w:type="dxa"/>
            <w:tcBorders>
              <w:top w:val="nil"/>
              <w:left w:val="nil"/>
              <w:bottom w:val="nil"/>
              <w:right w:val="nil"/>
            </w:tcBorders>
            <w:shd w:val="clear" w:color="000000" w:fill="00B050"/>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Heavy</w:t>
            </w:r>
          </w:p>
        </w:tc>
        <w:tc>
          <w:tcPr>
            <w:tcW w:w="1030"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6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1387"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FF0000"/>
                <w:sz w:val="20"/>
                <w:szCs w:val="20"/>
              </w:rPr>
            </w:pPr>
            <w:r w:rsidRPr="00B07EE0">
              <w:rPr>
                <w:rFonts w:ascii="Calibri" w:eastAsia="Times New Roman" w:hAnsi="Calibri" w:cs="Times New Roman"/>
                <w:b/>
                <w:bCs/>
                <w:color w:val="FF0000"/>
                <w:sz w:val="20"/>
                <w:szCs w:val="20"/>
              </w:rPr>
              <w:t>Product</w:t>
            </w:r>
          </w:p>
        </w:tc>
      </w:tr>
      <w:tr w:rsidR="00B07EE0" w:rsidRPr="00B07EE0" w:rsidTr="00F938ED">
        <w:trPr>
          <w:trHeight w:val="270"/>
          <w:jc w:val="center"/>
        </w:trPr>
        <w:tc>
          <w:tcPr>
            <w:tcW w:w="1289" w:type="dxa"/>
            <w:tcBorders>
              <w:top w:val="nil"/>
              <w:left w:val="nil"/>
              <w:bottom w:val="single" w:sz="8" w:space="0" w:color="auto"/>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FF0000"/>
                <w:sz w:val="20"/>
                <w:szCs w:val="20"/>
              </w:rPr>
            </w:pPr>
            <w:proofErr w:type="spellStart"/>
            <w:r w:rsidRPr="00B07EE0">
              <w:rPr>
                <w:rFonts w:ascii="Calibri" w:eastAsia="Times New Roman" w:hAnsi="Calibri" w:cs="Times New Roman"/>
                <w:b/>
                <w:bCs/>
                <w:color w:val="FF0000"/>
                <w:sz w:val="20"/>
                <w:szCs w:val="20"/>
              </w:rPr>
              <w:t>Xss</w:t>
            </w:r>
            <w:proofErr w:type="spellEnd"/>
            <w:r w:rsidRPr="00B07EE0">
              <w:rPr>
                <w:rFonts w:ascii="Calibri" w:eastAsia="Times New Roman" w:hAnsi="Calibri" w:cs="Times New Roman"/>
                <w:b/>
                <w:bCs/>
                <w:color w:val="FF0000"/>
                <w:sz w:val="20"/>
                <w:szCs w:val="20"/>
              </w:rPr>
              <w:t>(219)</w:t>
            </w:r>
          </w:p>
        </w:tc>
        <w:tc>
          <w:tcPr>
            <w:tcW w:w="1030" w:type="dxa"/>
            <w:tcBorders>
              <w:top w:val="nil"/>
              <w:left w:val="nil"/>
              <w:bottom w:val="single" w:sz="8" w:space="0" w:color="auto"/>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30" w:type="dxa"/>
            <w:tcBorders>
              <w:top w:val="nil"/>
              <w:left w:val="nil"/>
              <w:bottom w:val="single" w:sz="8" w:space="0" w:color="auto"/>
              <w:right w:val="nil"/>
            </w:tcBorders>
            <w:shd w:val="clear" w:color="000000" w:fill="00B050"/>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Heavy</w:t>
            </w:r>
          </w:p>
        </w:tc>
        <w:tc>
          <w:tcPr>
            <w:tcW w:w="1030" w:type="dxa"/>
            <w:tcBorders>
              <w:top w:val="nil"/>
              <w:left w:val="nil"/>
              <w:bottom w:val="single" w:sz="8" w:space="0" w:color="auto"/>
              <w:right w:val="nil"/>
            </w:tcBorders>
            <w:shd w:val="clear" w:color="000000" w:fill="00B050"/>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Heavy</w:t>
            </w:r>
          </w:p>
        </w:tc>
        <w:tc>
          <w:tcPr>
            <w:tcW w:w="1030" w:type="dxa"/>
            <w:tcBorders>
              <w:top w:val="nil"/>
              <w:left w:val="nil"/>
              <w:bottom w:val="single" w:sz="8" w:space="0" w:color="auto"/>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66" w:type="dxa"/>
            <w:tcBorders>
              <w:top w:val="nil"/>
              <w:left w:val="nil"/>
              <w:bottom w:val="single" w:sz="8" w:space="0" w:color="auto"/>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387" w:type="dxa"/>
            <w:tcBorders>
              <w:top w:val="nil"/>
              <w:left w:val="nil"/>
              <w:bottom w:val="single" w:sz="8" w:space="0" w:color="auto"/>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FF0000"/>
                <w:sz w:val="20"/>
                <w:szCs w:val="20"/>
              </w:rPr>
            </w:pPr>
            <w:r w:rsidRPr="00B07EE0">
              <w:rPr>
                <w:rFonts w:ascii="Calibri" w:eastAsia="Times New Roman" w:hAnsi="Calibri" w:cs="Times New Roman"/>
                <w:b/>
                <w:bCs/>
                <w:color w:val="FF0000"/>
                <w:sz w:val="20"/>
                <w:szCs w:val="20"/>
              </w:rPr>
              <w:t>Product</w:t>
            </w:r>
          </w:p>
        </w:tc>
      </w:tr>
    </w:tbl>
    <w:p w:rsidR="006F72CC" w:rsidRDefault="006F72CC"/>
    <w:tbl>
      <w:tblPr>
        <w:tblW w:w="7200" w:type="dxa"/>
        <w:jc w:val="center"/>
        <w:tblLook w:val="04A0" w:firstRow="1" w:lastRow="0" w:firstColumn="1" w:lastColumn="0" w:noHBand="0" w:noVBand="1"/>
      </w:tblPr>
      <w:tblGrid>
        <w:gridCol w:w="1436"/>
        <w:gridCol w:w="1038"/>
        <w:gridCol w:w="1038"/>
        <w:gridCol w:w="737"/>
        <w:gridCol w:w="671"/>
        <w:gridCol w:w="737"/>
        <w:gridCol w:w="1543"/>
      </w:tblGrid>
      <w:tr w:rsidR="00B07EE0" w:rsidRPr="00B07EE0" w:rsidTr="00B07EE0">
        <w:trPr>
          <w:trHeight w:val="255"/>
          <w:jc w:val="center"/>
        </w:trPr>
        <w:tc>
          <w:tcPr>
            <w:tcW w:w="6820" w:type="dxa"/>
            <w:gridSpan w:val="7"/>
            <w:vMerge w:val="restart"/>
            <w:tcBorders>
              <w:top w:val="nil"/>
              <w:left w:val="nil"/>
              <w:bottom w:val="single" w:sz="8" w:space="0" w:color="000000"/>
              <w:right w:val="nil"/>
            </w:tcBorders>
            <w:shd w:val="clear" w:color="auto" w:fill="auto"/>
            <w:vAlign w:val="center"/>
            <w:hideMark/>
          </w:tcPr>
          <w:p w:rsidR="00B07EE0" w:rsidRPr="00B07EE0" w:rsidRDefault="00B07EE0" w:rsidP="00B07EE0">
            <w:pPr>
              <w:spacing w:after="0" w:line="240" w:lineRule="auto"/>
              <w:jc w:val="center"/>
              <w:rPr>
                <w:rFonts w:ascii="Calibri" w:eastAsia="Times New Roman" w:hAnsi="Calibri" w:cs="Times New Roman"/>
                <w:b/>
                <w:bCs/>
                <w:color w:val="000000"/>
                <w:sz w:val="20"/>
                <w:szCs w:val="20"/>
              </w:rPr>
            </w:pPr>
            <w:r w:rsidRPr="00B07EE0">
              <w:rPr>
                <w:rFonts w:ascii="Calibri" w:eastAsia="Times New Roman" w:hAnsi="Calibri" w:cs="Times New Roman"/>
                <w:b/>
                <w:bCs/>
                <w:color w:val="000000"/>
                <w:sz w:val="20"/>
                <w:szCs w:val="20"/>
              </w:rPr>
              <w:lastRenderedPageBreak/>
              <w:t>Table 4.19. Summary of How the Primary State Variables within Each Module Load Each Principal Component (continued)</w:t>
            </w:r>
          </w:p>
        </w:tc>
      </w:tr>
      <w:tr w:rsidR="00B07EE0" w:rsidRPr="00B07EE0" w:rsidTr="00B07EE0">
        <w:trPr>
          <w:trHeight w:val="270"/>
          <w:jc w:val="center"/>
        </w:trPr>
        <w:tc>
          <w:tcPr>
            <w:tcW w:w="6820" w:type="dxa"/>
            <w:gridSpan w:val="7"/>
            <w:vMerge/>
            <w:tcBorders>
              <w:top w:val="nil"/>
              <w:left w:val="nil"/>
              <w:bottom w:val="single" w:sz="8" w:space="0" w:color="000000"/>
              <w:right w:val="nil"/>
            </w:tcBorders>
            <w:vAlign w:val="center"/>
            <w:hideMark/>
          </w:tcPr>
          <w:p w:rsidR="00B07EE0" w:rsidRPr="00B07EE0" w:rsidRDefault="00B07EE0" w:rsidP="00B07EE0">
            <w:pPr>
              <w:spacing w:after="0" w:line="240" w:lineRule="auto"/>
              <w:rPr>
                <w:rFonts w:ascii="Calibri" w:eastAsia="Times New Roman" w:hAnsi="Calibri" w:cs="Times New Roman"/>
                <w:b/>
                <w:bCs/>
                <w:color w:val="000000"/>
                <w:sz w:val="20"/>
                <w:szCs w:val="20"/>
              </w:rPr>
            </w:pPr>
          </w:p>
        </w:tc>
      </w:tr>
      <w:tr w:rsidR="00B07EE0" w:rsidRPr="00B07EE0" w:rsidTr="00B07EE0">
        <w:trPr>
          <w:trHeight w:val="255"/>
          <w:jc w:val="center"/>
        </w:trPr>
        <w:tc>
          <w:tcPr>
            <w:tcW w:w="1425"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State Variable</w:t>
            </w:r>
          </w:p>
        </w:tc>
        <w:tc>
          <w:tcPr>
            <w:tcW w:w="1002"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PC1</w:t>
            </w:r>
          </w:p>
        </w:tc>
        <w:tc>
          <w:tcPr>
            <w:tcW w:w="100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PC2</w:t>
            </w:r>
          </w:p>
        </w:tc>
        <w:tc>
          <w:tcPr>
            <w:tcW w:w="64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PC3</w:t>
            </w:r>
          </w:p>
        </w:tc>
        <w:tc>
          <w:tcPr>
            <w:tcW w:w="56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PC4</w:t>
            </w:r>
          </w:p>
        </w:tc>
        <w:tc>
          <w:tcPr>
            <w:tcW w:w="64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PC5</w:t>
            </w:r>
          </w:p>
        </w:tc>
        <w:tc>
          <w:tcPr>
            <w:tcW w:w="153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Type of Stream</w:t>
            </w:r>
          </w:p>
        </w:tc>
      </w:tr>
      <w:tr w:rsidR="00B07EE0" w:rsidRPr="00B07EE0" w:rsidTr="00B07EE0">
        <w:trPr>
          <w:trHeight w:val="255"/>
          <w:jc w:val="center"/>
        </w:trPr>
        <w:tc>
          <w:tcPr>
            <w:tcW w:w="6820" w:type="dxa"/>
            <w:gridSpan w:val="7"/>
            <w:tcBorders>
              <w:top w:val="single" w:sz="4" w:space="0" w:color="auto"/>
              <w:left w:val="nil"/>
              <w:bottom w:val="single" w:sz="4" w:space="0" w:color="auto"/>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0000"/>
                <w:sz w:val="20"/>
                <w:szCs w:val="20"/>
              </w:rPr>
            </w:pPr>
            <w:r w:rsidRPr="00B07EE0">
              <w:rPr>
                <w:rFonts w:ascii="Calibri" w:eastAsia="Times New Roman" w:hAnsi="Calibri" w:cs="Times New Roman"/>
                <w:b/>
                <w:bCs/>
                <w:color w:val="000000"/>
                <w:sz w:val="20"/>
                <w:szCs w:val="20"/>
              </w:rPr>
              <w:t>Module 5</w:t>
            </w:r>
          </w:p>
        </w:tc>
      </w:tr>
      <w:tr w:rsidR="00B07EE0" w:rsidRPr="00B07EE0" w:rsidTr="00B07EE0">
        <w:trPr>
          <w:trHeight w:val="255"/>
          <w:jc w:val="center"/>
        </w:trPr>
        <w:tc>
          <w:tcPr>
            <w:tcW w:w="1425"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proofErr w:type="spellStart"/>
            <w:r w:rsidRPr="00B07EE0">
              <w:rPr>
                <w:rFonts w:ascii="Calibri" w:eastAsia="Times New Roman" w:hAnsi="Calibri" w:cs="Times New Roman"/>
                <w:color w:val="000000"/>
                <w:sz w:val="20"/>
                <w:szCs w:val="20"/>
              </w:rPr>
              <w:t>Xss</w:t>
            </w:r>
            <w:proofErr w:type="spellEnd"/>
            <w:r w:rsidRPr="00B07EE0">
              <w:rPr>
                <w:rFonts w:ascii="Calibri" w:eastAsia="Times New Roman" w:hAnsi="Calibri" w:cs="Times New Roman"/>
                <w:color w:val="000000"/>
                <w:sz w:val="20"/>
                <w:szCs w:val="20"/>
              </w:rPr>
              <w:t>(280)</w:t>
            </w:r>
          </w:p>
        </w:tc>
        <w:tc>
          <w:tcPr>
            <w:tcW w:w="1002"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0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64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56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46" w:type="dxa"/>
            <w:tcBorders>
              <w:top w:val="nil"/>
              <w:left w:val="nil"/>
              <w:bottom w:val="nil"/>
              <w:right w:val="nil"/>
            </w:tcBorders>
            <w:shd w:val="clear" w:color="000000" w:fill="00B050"/>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Heavy</w:t>
            </w:r>
          </w:p>
        </w:tc>
        <w:tc>
          <w:tcPr>
            <w:tcW w:w="153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70C0"/>
                <w:sz w:val="20"/>
                <w:szCs w:val="20"/>
              </w:rPr>
            </w:pPr>
            <w:r w:rsidRPr="00B07EE0">
              <w:rPr>
                <w:rFonts w:ascii="Calibri" w:eastAsia="Times New Roman" w:hAnsi="Calibri" w:cs="Times New Roman"/>
                <w:b/>
                <w:bCs/>
                <w:color w:val="0070C0"/>
                <w:sz w:val="20"/>
                <w:szCs w:val="20"/>
              </w:rPr>
              <w:t>Input</w:t>
            </w:r>
          </w:p>
        </w:tc>
      </w:tr>
      <w:tr w:rsidR="00B07EE0" w:rsidRPr="00B07EE0" w:rsidTr="00B07EE0">
        <w:trPr>
          <w:trHeight w:val="255"/>
          <w:jc w:val="center"/>
        </w:trPr>
        <w:tc>
          <w:tcPr>
            <w:tcW w:w="1425"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proofErr w:type="spellStart"/>
            <w:r w:rsidRPr="00B07EE0">
              <w:rPr>
                <w:rFonts w:ascii="Calibri" w:eastAsia="Times New Roman" w:hAnsi="Calibri" w:cs="Times New Roman"/>
                <w:color w:val="000000"/>
                <w:sz w:val="20"/>
                <w:szCs w:val="20"/>
              </w:rPr>
              <w:t>Xss</w:t>
            </w:r>
            <w:proofErr w:type="spellEnd"/>
            <w:r w:rsidRPr="00B07EE0">
              <w:rPr>
                <w:rFonts w:ascii="Calibri" w:eastAsia="Times New Roman" w:hAnsi="Calibri" w:cs="Times New Roman"/>
                <w:color w:val="000000"/>
                <w:sz w:val="20"/>
                <w:szCs w:val="20"/>
              </w:rPr>
              <w:t>(221)</w:t>
            </w:r>
          </w:p>
        </w:tc>
        <w:tc>
          <w:tcPr>
            <w:tcW w:w="1002"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100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4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56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46" w:type="dxa"/>
            <w:tcBorders>
              <w:top w:val="nil"/>
              <w:left w:val="nil"/>
              <w:bottom w:val="nil"/>
              <w:right w:val="nil"/>
            </w:tcBorders>
            <w:shd w:val="clear" w:color="000000" w:fill="00B050"/>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Heavy</w:t>
            </w:r>
          </w:p>
        </w:tc>
        <w:tc>
          <w:tcPr>
            <w:tcW w:w="153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r w:rsidRPr="00B07EE0">
              <w:rPr>
                <w:rFonts w:ascii="Calibri" w:eastAsia="Times New Roman" w:hAnsi="Calibri" w:cs="Times New Roman"/>
                <w:color w:val="000000"/>
                <w:sz w:val="20"/>
                <w:szCs w:val="20"/>
              </w:rPr>
              <w:t>Intermediate</w:t>
            </w:r>
          </w:p>
        </w:tc>
      </w:tr>
      <w:tr w:rsidR="00B07EE0" w:rsidRPr="00B07EE0" w:rsidTr="00B07EE0">
        <w:trPr>
          <w:trHeight w:val="255"/>
          <w:jc w:val="center"/>
        </w:trPr>
        <w:tc>
          <w:tcPr>
            <w:tcW w:w="1425"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proofErr w:type="spellStart"/>
            <w:r w:rsidRPr="00B07EE0">
              <w:rPr>
                <w:rFonts w:ascii="Calibri" w:eastAsia="Times New Roman" w:hAnsi="Calibri" w:cs="Times New Roman"/>
                <w:color w:val="000000"/>
                <w:sz w:val="20"/>
                <w:szCs w:val="20"/>
              </w:rPr>
              <w:t>Xss</w:t>
            </w:r>
            <w:proofErr w:type="spellEnd"/>
            <w:r w:rsidRPr="00B07EE0">
              <w:rPr>
                <w:rFonts w:ascii="Calibri" w:eastAsia="Times New Roman" w:hAnsi="Calibri" w:cs="Times New Roman"/>
                <w:color w:val="000000"/>
                <w:sz w:val="20"/>
                <w:szCs w:val="20"/>
              </w:rPr>
              <w:t>(222)</w:t>
            </w:r>
          </w:p>
        </w:tc>
        <w:tc>
          <w:tcPr>
            <w:tcW w:w="1002"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0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64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56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64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153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r w:rsidRPr="00B07EE0">
              <w:rPr>
                <w:rFonts w:ascii="Calibri" w:eastAsia="Times New Roman" w:hAnsi="Calibri" w:cs="Times New Roman"/>
                <w:color w:val="000000"/>
                <w:sz w:val="20"/>
                <w:szCs w:val="20"/>
              </w:rPr>
              <w:t>Intermediate</w:t>
            </w:r>
          </w:p>
        </w:tc>
      </w:tr>
      <w:tr w:rsidR="00B07EE0" w:rsidRPr="00B07EE0" w:rsidTr="00B07EE0">
        <w:trPr>
          <w:trHeight w:val="255"/>
          <w:jc w:val="center"/>
        </w:trPr>
        <w:tc>
          <w:tcPr>
            <w:tcW w:w="1425"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proofErr w:type="spellStart"/>
            <w:r w:rsidRPr="00B07EE0">
              <w:rPr>
                <w:rFonts w:ascii="Calibri" w:eastAsia="Times New Roman" w:hAnsi="Calibri" w:cs="Times New Roman"/>
                <w:color w:val="000000"/>
                <w:sz w:val="20"/>
                <w:szCs w:val="20"/>
              </w:rPr>
              <w:t>Xss</w:t>
            </w:r>
            <w:proofErr w:type="spellEnd"/>
            <w:r w:rsidRPr="00B07EE0">
              <w:rPr>
                <w:rFonts w:ascii="Calibri" w:eastAsia="Times New Roman" w:hAnsi="Calibri" w:cs="Times New Roman"/>
                <w:color w:val="000000"/>
                <w:sz w:val="20"/>
                <w:szCs w:val="20"/>
              </w:rPr>
              <w:t>(224)</w:t>
            </w:r>
          </w:p>
        </w:tc>
        <w:tc>
          <w:tcPr>
            <w:tcW w:w="1002"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0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4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56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64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153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r w:rsidRPr="00B07EE0">
              <w:rPr>
                <w:rFonts w:ascii="Calibri" w:eastAsia="Times New Roman" w:hAnsi="Calibri" w:cs="Times New Roman"/>
                <w:color w:val="000000"/>
                <w:sz w:val="20"/>
                <w:szCs w:val="20"/>
              </w:rPr>
              <w:t>Intermediate</w:t>
            </w:r>
          </w:p>
        </w:tc>
      </w:tr>
      <w:tr w:rsidR="00B07EE0" w:rsidRPr="00B07EE0" w:rsidTr="00B07EE0">
        <w:trPr>
          <w:trHeight w:val="255"/>
          <w:jc w:val="center"/>
        </w:trPr>
        <w:tc>
          <w:tcPr>
            <w:tcW w:w="1425"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proofErr w:type="spellStart"/>
            <w:r w:rsidRPr="00B07EE0">
              <w:rPr>
                <w:rFonts w:ascii="Calibri" w:eastAsia="Times New Roman" w:hAnsi="Calibri" w:cs="Times New Roman"/>
                <w:color w:val="000000"/>
                <w:sz w:val="20"/>
                <w:szCs w:val="20"/>
              </w:rPr>
              <w:t>Xss</w:t>
            </w:r>
            <w:proofErr w:type="spellEnd"/>
            <w:r w:rsidRPr="00B07EE0">
              <w:rPr>
                <w:rFonts w:ascii="Calibri" w:eastAsia="Times New Roman" w:hAnsi="Calibri" w:cs="Times New Roman"/>
                <w:color w:val="000000"/>
                <w:sz w:val="20"/>
                <w:szCs w:val="20"/>
              </w:rPr>
              <w:t>(225)</w:t>
            </w:r>
          </w:p>
        </w:tc>
        <w:tc>
          <w:tcPr>
            <w:tcW w:w="1002"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0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64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56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64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53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r w:rsidRPr="00B07EE0">
              <w:rPr>
                <w:rFonts w:ascii="Calibri" w:eastAsia="Times New Roman" w:hAnsi="Calibri" w:cs="Times New Roman"/>
                <w:color w:val="000000"/>
                <w:sz w:val="20"/>
                <w:szCs w:val="20"/>
              </w:rPr>
              <w:t>Intermediate</w:t>
            </w:r>
          </w:p>
        </w:tc>
      </w:tr>
      <w:tr w:rsidR="00B07EE0" w:rsidRPr="00B07EE0" w:rsidTr="00B07EE0">
        <w:trPr>
          <w:trHeight w:val="255"/>
          <w:jc w:val="center"/>
        </w:trPr>
        <w:tc>
          <w:tcPr>
            <w:tcW w:w="1425"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proofErr w:type="spellStart"/>
            <w:r w:rsidRPr="00B07EE0">
              <w:rPr>
                <w:rFonts w:ascii="Calibri" w:eastAsia="Times New Roman" w:hAnsi="Calibri" w:cs="Times New Roman"/>
                <w:color w:val="000000"/>
                <w:sz w:val="20"/>
                <w:szCs w:val="20"/>
              </w:rPr>
              <w:t>Xss</w:t>
            </w:r>
            <w:proofErr w:type="spellEnd"/>
            <w:r w:rsidRPr="00B07EE0">
              <w:rPr>
                <w:rFonts w:ascii="Calibri" w:eastAsia="Times New Roman" w:hAnsi="Calibri" w:cs="Times New Roman"/>
                <w:color w:val="000000"/>
                <w:sz w:val="20"/>
                <w:szCs w:val="20"/>
              </w:rPr>
              <w:t>(230)</w:t>
            </w:r>
          </w:p>
        </w:tc>
        <w:tc>
          <w:tcPr>
            <w:tcW w:w="1002"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0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4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56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64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153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r w:rsidRPr="00B07EE0">
              <w:rPr>
                <w:rFonts w:ascii="Calibri" w:eastAsia="Times New Roman" w:hAnsi="Calibri" w:cs="Times New Roman"/>
                <w:color w:val="000000"/>
                <w:sz w:val="20"/>
                <w:szCs w:val="20"/>
              </w:rPr>
              <w:t>Intermediate</w:t>
            </w:r>
          </w:p>
        </w:tc>
      </w:tr>
      <w:tr w:rsidR="00B07EE0" w:rsidRPr="00B07EE0" w:rsidTr="00B07EE0">
        <w:trPr>
          <w:trHeight w:val="255"/>
          <w:jc w:val="center"/>
        </w:trPr>
        <w:tc>
          <w:tcPr>
            <w:tcW w:w="1425"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proofErr w:type="spellStart"/>
            <w:r w:rsidRPr="00B07EE0">
              <w:rPr>
                <w:rFonts w:ascii="Calibri" w:eastAsia="Times New Roman" w:hAnsi="Calibri" w:cs="Times New Roman"/>
                <w:color w:val="000000"/>
                <w:sz w:val="20"/>
                <w:szCs w:val="20"/>
              </w:rPr>
              <w:t>Xss</w:t>
            </w:r>
            <w:proofErr w:type="spellEnd"/>
            <w:r w:rsidRPr="00B07EE0">
              <w:rPr>
                <w:rFonts w:ascii="Calibri" w:eastAsia="Times New Roman" w:hAnsi="Calibri" w:cs="Times New Roman"/>
                <w:color w:val="000000"/>
                <w:sz w:val="20"/>
                <w:szCs w:val="20"/>
              </w:rPr>
              <w:t>(235)</w:t>
            </w:r>
          </w:p>
        </w:tc>
        <w:tc>
          <w:tcPr>
            <w:tcW w:w="1002"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0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4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56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64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153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r w:rsidRPr="00B07EE0">
              <w:rPr>
                <w:rFonts w:ascii="Calibri" w:eastAsia="Times New Roman" w:hAnsi="Calibri" w:cs="Times New Roman"/>
                <w:color w:val="000000"/>
                <w:sz w:val="20"/>
                <w:szCs w:val="20"/>
              </w:rPr>
              <w:t>Intermediate</w:t>
            </w:r>
          </w:p>
        </w:tc>
      </w:tr>
      <w:tr w:rsidR="00B07EE0" w:rsidRPr="00B07EE0" w:rsidTr="00B07EE0">
        <w:trPr>
          <w:trHeight w:val="255"/>
          <w:jc w:val="center"/>
        </w:trPr>
        <w:tc>
          <w:tcPr>
            <w:tcW w:w="1425"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B050"/>
                <w:sz w:val="20"/>
                <w:szCs w:val="20"/>
              </w:rPr>
            </w:pPr>
            <w:proofErr w:type="spellStart"/>
            <w:r w:rsidRPr="00B07EE0">
              <w:rPr>
                <w:rFonts w:ascii="Calibri" w:eastAsia="Times New Roman" w:hAnsi="Calibri" w:cs="Times New Roman"/>
                <w:b/>
                <w:bCs/>
                <w:color w:val="00B050"/>
                <w:sz w:val="20"/>
                <w:szCs w:val="20"/>
              </w:rPr>
              <w:t>Xss</w:t>
            </w:r>
            <w:proofErr w:type="spellEnd"/>
            <w:r w:rsidRPr="00B07EE0">
              <w:rPr>
                <w:rFonts w:ascii="Calibri" w:eastAsia="Times New Roman" w:hAnsi="Calibri" w:cs="Times New Roman"/>
                <w:b/>
                <w:bCs/>
                <w:color w:val="00B050"/>
                <w:sz w:val="20"/>
                <w:szCs w:val="20"/>
              </w:rPr>
              <w:t>(239)</w:t>
            </w:r>
          </w:p>
        </w:tc>
        <w:tc>
          <w:tcPr>
            <w:tcW w:w="1002"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0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4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56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64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153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B050"/>
                <w:sz w:val="20"/>
                <w:szCs w:val="20"/>
              </w:rPr>
            </w:pPr>
            <w:r w:rsidRPr="00B07EE0">
              <w:rPr>
                <w:rFonts w:ascii="Calibri" w:eastAsia="Times New Roman" w:hAnsi="Calibri" w:cs="Times New Roman"/>
                <w:b/>
                <w:bCs/>
                <w:color w:val="00B050"/>
                <w:sz w:val="20"/>
                <w:szCs w:val="20"/>
              </w:rPr>
              <w:t>Waste</w:t>
            </w:r>
          </w:p>
        </w:tc>
      </w:tr>
      <w:tr w:rsidR="00B07EE0" w:rsidRPr="00B07EE0" w:rsidTr="00B07EE0">
        <w:trPr>
          <w:trHeight w:val="255"/>
          <w:jc w:val="center"/>
        </w:trPr>
        <w:tc>
          <w:tcPr>
            <w:tcW w:w="1425"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B050"/>
                <w:sz w:val="20"/>
                <w:szCs w:val="20"/>
              </w:rPr>
            </w:pPr>
            <w:proofErr w:type="spellStart"/>
            <w:r w:rsidRPr="00B07EE0">
              <w:rPr>
                <w:rFonts w:ascii="Calibri" w:eastAsia="Times New Roman" w:hAnsi="Calibri" w:cs="Times New Roman"/>
                <w:b/>
                <w:bCs/>
                <w:color w:val="00B050"/>
                <w:sz w:val="20"/>
                <w:szCs w:val="20"/>
              </w:rPr>
              <w:t>Xss</w:t>
            </w:r>
            <w:proofErr w:type="spellEnd"/>
            <w:r w:rsidRPr="00B07EE0">
              <w:rPr>
                <w:rFonts w:ascii="Calibri" w:eastAsia="Times New Roman" w:hAnsi="Calibri" w:cs="Times New Roman"/>
                <w:b/>
                <w:bCs/>
                <w:color w:val="00B050"/>
                <w:sz w:val="20"/>
                <w:szCs w:val="20"/>
              </w:rPr>
              <w:t>(240)</w:t>
            </w:r>
          </w:p>
        </w:tc>
        <w:tc>
          <w:tcPr>
            <w:tcW w:w="1002"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0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64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56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64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53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B050"/>
                <w:sz w:val="20"/>
                <w:szCs w:val="20"/>
              </w:rPr>
            </w:pPr>
            <w:r w:rsidRPr="00B07EE0">
              <w:rPr>
                <w:rFonts w:ascii="Calibri" w:eastAsia="Times New Roman" w:hAnsi="Calibri" w:cs="Times New Roman"/>
                <w:b/>
                <w:bCs/>
                <w:color w:val="00B050"/>
                <w:sz w:val="20"/>
                <w:szCs w:val="20"/>
              </w:rPr>
              <w:t>Waste</w:t>
            </w:r>
          </w:p>
        </w:tc>
      </w:tr>
      <w:tr w:rsidR="00B07EE0" w:rsidRPr="00B07EE0" w:rsidTr="00B07EE0">
        <w:trPr>
          <w:trHeight w:val="255"/>
          <w:jc w:val="center"/>
        </w:trPr>
        <w:tc>
          <w:tcPr>
            <w:tcW w:w="1425"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proofErr w:type="spellStart"/>
            <w:r w:rsidRPr="00B07EE0">
              <w:rPr>
                <w:rFonts w:ascii="Calibri" w:eastAsia="Times New Roman" w:hAnsi="Calibri" w:cs="Times New Roman"/>
                <w:color w:val="000000"/>
                <w:sz w:val="20"/>
                <w:szCs w:val="20"/>
              </w:rPr>
              <w:t>Xss</w:t>
            </w:r>
            <w:proofErr w:type="spellEnd"/>
            <w:r w:rsidRPr="00B07EE0">
              <w:rPr>
                <w:rFonts w:ascii="Calibri" w:eastAsia="Times New Roman" w:hAnsi="Calibri" w:cs="Times New Roman"/>
                <w:color w:val="000000"/>
                <w:sz w:val="20"/>
                <w:szCs w:val="20"/>
              </w:rPr>
              <w:t>(244)</w:t>
            </w:r>
          </w:p>
        </w:tc>
        <w:tc>
          <w:tcPr>
            <w:tcW w:w="1002"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0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4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56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64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153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r w:rsidRPr="00B07EE0">
              <w:rPr>
                <w:rFonts w:ascii="Calibri" w:eastAsia="Times New Roman" w:hAnsi="Calibri" w:cs="Times New Roman"/>
                <w:color w:val="000000"/>
                <w:sz w:val="20"/>
                <w:szCs w:val="20"/>
              </w:rPr>
              <w:t>Intermediate</w:t>
            </w:r>
          </w:p>
        </w:tc>
      </w:tr>
      <w:tr w:rsidR="00B07EE0" w:rsidRPr="00B07EE0" w:rsidTr="00B07EE0">
        <w:trPr>
          <w:trHeight w:val="255"/>
          <w:jc w:val="center"/>
        </w:trPr>
        <w:tc>
          <w:tcPr>
            <w:tcW w:w="1425"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proofErr w:type="spellStart"/>
            <w:r w:rsidRPr="00B07EE0">
              <w:rPr>
                <w:rFonts w:ascii="Calibri" w:eastAsia="Times New Roman" w:hAnsi="Calibri" w:cs="Times New Roman"/>
                <w:color w:val="000000"/>
                <w:sz w:val="20"/>
                <w:szCs w:val="20"/>
              </w:rPr>
              <w:t>Xss</w:t>
            </w:r>
            <w:proofErr w:type="spellEnd"/>
            <w:r w:rsidRPr="00B07EE0">
              <w:rPr>
                <w:rFonts w:ascii="Calibri" w:eastAsia="Times New Roman" w:hAnsi="Calibri" w:cs="Times New Roman"/>
                <w:color w:val="000000"/>
                <w:sz w:val="20"/>
                <w:szCs w:val="20"/>
              </w:rPr>
              <w:t>(246)</w:t>
            </w:r>
          </w:p>
        </w:tc>
        <w:tc>
          <w:tcPr>
            <w:tcW w:w="1002"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0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4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56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64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153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r w:rsidRPr="00B07EE0">
              <w:rPr>
                <w:rFonts w:ascii="Calibri" w:eastAsia="Times New Roman" w:hAnsi="Calibri" w:cs="Times New Roman"/>
                <w:color w:val="000000"/>
                <w:sz w:val="20"/>
                <w:szCs w:val="20"/>
              </w:rPr>
              <w:t>Intermediate</w:t>
            </w:r>
          </w:p>
        </w:tc>
      </w:tr>
      <w:tr w:rsidR="00B07EE0" w:rsidRPr="00B07EE0" w:rsidTr="00B07EE0">
        <w:trPr>
          <w:trHeight w:val="255"/>
          <w:jc w:val="center"/>
        </w:trPr>
        <w:tc>
          <w:tcPr>
            <w:tcW w:w="1425"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proofErr w:type="spellStart"/>
            <w:r w:rsidRPr="00B07EE0">
              <w:rPr>
                <w:rFonts w:ascii="Calibri" w:eastAsia="Times New Roman" w:hAnsi="Calibri" w:cs="Times New Roman"/>
                <w:color w:val="000000"/>
                <w:sz w:val="20"/>
                <w:szCs w:val="20"/>
              </w:rPr>
              <w:t>Xss</w:t>
            </w:r>
            <w:proofErr w:type="spellEnd"/>
            <w:r w:rsidRPr="00B07EE0">
              <w:rPr>
                <w:rFonts w:ascii="Calibri" w:eastAsia="Times New Roman" w:hAnsi="Calibri" w:cs="Times New Roman"/>
                <w:color w:val="000000"/>
                <w:sz w:val="20"/>
                <w:szCs w:val="20"/>
              </w:rPr>
              <w:t>(249)</w:t>
            </w:r>
          </w:p>
        </w:tc>
        <w:tc>
          <w:tcPr>
            <w:tcW w:w="1002"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0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4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56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64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153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r w:rsidRPr="00B07EE0">
              <w:rPr>
                <w:rFonts w:ascii="Calibri" w:eastAsia="Times New Roman" w:hAnsi="Calibri" w:cs="Times New Roman"/>
                <w:color w:val="000000"/>
                <w:sz w:val="20"/>
                <w:szCs w:val="20"/>
              </w:rPr>
              <w:t>Intermediate</w:t>
            </w:r>
          </w:p>
        </w:tc>
      </w:tr>
      <w:tr w:rsidR="00B07EE0" w:rsidRPr="00B07EE0" w:rsidTr="00B07EE0">
        <w:trPr>
          <w:trHeight w:val="255"/>
          <w:jc w:val="center"/>
        </w:trPr>
        <w:tc>
          <w:tcPr>
            <w:tcW w:w="1425"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proofErr w:type="spellStart"/>
            <w:r w:rsidRPr="00B07EE0">
              <w:rPr>
                <w:rFonts w:ascii="Calibri" w:eastAsia="Times New Roman" w:hAnsi="Calibri" w:cs="Times New Roman"/>
                <w:color w:val="000000"/>
                <w:sz w:val="20"/>
                <w:szCs w:val="20"/>
              </w:rPr>
              <w:t>Xss</w:t>
            </w:r>
            <w:proofErr w:type="spellEnd"/>
            <w:r w:rsidRPr="00B07EE0">
              <w:rPr>
                <w:rFonts w:ascii="Calibri" w:eastAsia="Times New Roman" w:hAnsi="Calibri" w:cs="Times New Roman"/>
                <w:color w:val="000000"/>
                <w:sz w:val="20"/>
                <w:szCs w:val="20"/>
              </w:rPr>
              <w:t>(253)</w:t>
            </w:r>
          </w:p>
        </w:tc>
        <w:tc>
          <w:tcPr>
            <w:tcW w:w="1002"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100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4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56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64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153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r w:rsidRPr="00B07EE0">
              <w:rPr>
                <w:rFonts w:ascii="Calibri" w:eastAsia="Times New Roman" w:hAnsi="Calibri" w:cs="Times New Roman"/>
                <w:color w:val="000000"/>
                <w:sz w:val="20"/>
                <w:szCs w:val="20"/>
              </w:rPr>
              <w:t>Intermediate</w:t>
            </w:r>
          </w:p>
        </w:tc>
      </w:tr>
      <w:tr w:rsidR="00B07EE0" w:rsidRPr="00B07EE0" w:rsidTr="00B07EE0">
        <w:trPr>
          <w:trHeight w:val="255"/>
          <w:jc w:val="center"/>
        </w:trPr>
        <w:tc>
          <w:tcPr>
            <w:tcW w:w="1425"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proofErr w:type="spellStart"/>
            <w:r w:rsidRPr="00B07EE0">
              <w:rPr>
                <w:rFonts w:ascii="Calibri" w:eastAsia="Times New Roman" w:hAnsi="Calibri" w:cs="Times New Roman"/>
                <w:color w:val="000000"/>
                <w:sz w:val="20"/>
                <w:szCs w:val="20"/>
              </w:rPr>
              <w:t>Xss</w:t>
            </w:r>
            <w:proofErr w:type="spellEnd"/>
            <w:r w:rsidRPr="00B07EE0">
              <w:rPr>
                <w:rFonts w:ascii="Calibri" w:eastAsia="Times New Roman" w:hAnsi="Calibri" w:cs="Times New Roman"/>
                <w:color w:val="000000"/>
                <w:sz w:val="20"/>
                <w:szCs w:val="20"/>
              </w:rPr>
              <w:t>(254)</w:t>
            </w:r>
          </w:p>
        </w:tc>
        <w:tc>
          <w:tcPr>
            <w:tcW w:w="1002"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100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4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56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46" w:type="dxa"/>
            <w:tcBorders>
              <w:top w:val="nil"/>
              <w:left w:val="nil"/>
              <w:bottom w:val="nil"/>
              <w:right w:val="nil"/>
            </w:tcBorders>
            <w:shd w:val="clear" w:color="000000" w:fill="00B050"/>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Heavy</w:t>
            </w:r>
          </w:p>
        </w:tc>
        <w:tc>
          <w:tcPr>
            <w:tcW w:w="153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r w:rsidRPr="00B07EE0">
              <w:rPr>
                <w:rFonts w:ascii="Calibri" w:eastAsia="Times New Roman" w:hAnsi="Calibri" w:cs="Times New Roman"/>
                <w:color w:val="000000"/>
                <w:sz w:val="20"/>
                <w:szCs w:val="20"/>
              </w:rPr>
              <w:t>Intermediate</w:t>
            </w:r>
          </w:p>
        </w:tc>
      </w:tr>
      <w:tr w:rsidR="00B07EE0" w:rsidRPr="00B07EE0" w:rsidTr="00B07EE0">
        <w:trPr>
          <w:trHeight w:val="255"/>
          <w:jc w:val="center"/>
        </w:trPr>
        <w:tc>
          <w:tcPr>
            <w:tcW w:w="1425"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proofErr w:type="spellStart"/>
            <w:r w:rsidRPr="00B07EE0">
              <w:rPr>
                <w:rFonts w:ascii="Calibri" w:eastAsia="Times New Roman" w:hAnsi="Calibri" w:cs="Times New Roman"/>
                <w:color w:val="000000"/>
                <w:sz w:val="20"/>
                <w:szCs w:val="20"/>
              </w:rPr>
              <w:t>Xss</w:t>
            </w:r>
            <w:proofErr w:type="spellEnd"/>
            <w:r w:rsidRPr="00B07EE0">
              <w:rPr>
                <w:rFonts w:ascii="Calibri" w:eastAsia="Times New Roman" w:hAnsi="Calibri" w:cs="Times New Roman"/>
                <w:color w:val="000000"/>
                <w:sz w:val="20"/>
                <w:szCs w:val="20"/>
              </w:rPr>
              <w:t>(259)</w:t>
            </w:r>
          </w:p>
        </w:tc>
        <w:tc>
          <w:tcPr>
            <w:tcW w:w="1002"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100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4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56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46" w:type="dxa"/>
            <w:tcBorders>
              <w:top w:val="nil"/>
              <w:left w:val="nil"/>
              <w:bottom w:val="nil"/>
              <w:right w:val="nil"/>
            </w:tcBorders>
            <w:shd w:val="clear" w:color="000000" w:fill="00B050"/>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Heavy</w:t>
            </w:r>
          </w:p>
        </w:tc>
        <w:tc>
          <w:tcPr>
            <w:tcW w:w="153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r w:rsidRPr="00B07EE0">
              <w:rPr>
                <w:rFonts w:ascii="Calibri" w:eastAsia="Times New Roman" w:hAnsi="Calibri" w:cs="Times New Roman"/>
                <w:color w:val="000000"/>
                <w:sz w:val="20"/>
                <w:szCs w:val="20"/>
              </w:rPr>
              <w:t>Intermediate</w:t>
            </w:r>
          </w:p>
        </w:tc>
      </w:tr>
      <w:tr w:rsidR="00B07EE0" w:rsidRPr="00B07EE0" w:rsidTr="00B07EE0">
        <w:trPr>
          <w:trHeight w:val="255"/>
          <w:jc w:val="center"/>
        </w:trPr>
        <w:tc>
          <w:tcPr>
            <w:tcW w:w="1425"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proofErr w:type="spellStart"/>
            <w:r w:rsidRPr="00B07EE0">
              <w:rPr>
                <w:rFonts w:ascii="Calibri" w:eastAsia="Times New Roman" w:hAnsi="Calibri" w:cs="Times New Roman"/>
                <w:color w:val="000000"/>
                <w:sz w:val="20"/>
                <w:szCs w:val="20"/>
              </w:rPr>
              <w:t>Xss</w:t>
            </w:r>
            <w:proofErr w:type="spellEnd"/>
            <w:r w:rsidRPr="00B07EE0">
              <w:rPr>
                <w:rFonts w:ascii="Calibri" w:eastAsia="Times New Roman" w:hAnsi="Calibri" w:cs="Times New Roman"/>
                <w:color w:val="000000"/>
                <w:sz w:val="20"/>
                <w:szCs w:val="20"/>
              </w:rPr>
              <w:t>(265)</w:t>
            </w:r>
          </w:p>
        </w:tc>
        <w:tc>
          <w:tcPr>
            <w:tcW w:w="1002"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100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4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56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46" w:type="dxa"/>
            <w:tcBorders>
              <w:top w:val="nil"/>
              <w:left w:val="nil"/>
              <w:bottom w:val="nil"/>
              <w:right w:val="nil"/>
            </w:tcBorders>
            <w:shd w:val="clear" w:color="000000" w:fill="00B050"/>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Heavy</w:t>
            </w:r>
          </w:p>
        </w:tc>
        <w:tc>
          <w:tcPr>
            <w:tcW w:w="153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r w:rsidRPr="00B07EE0">
              <w:rPr>
                <w:rFonts w:ascii="Calibri" w:eastAsia="Times New Roman" w:hAnsi="Calibri" w:cs="Times New Roman"/>
                <w:color w:val="000000"/>
                <w:sz w:val="20"/>
                <w:szCs w:val="20"/>
              </w:rPr>
              <w:t>Intermediate</w:t>
            </w:r>
          </w:p>
        </w:tc>
      </w:tr>
      <w:tr w:rsidR="00B07EE0" w:rsidRPr="00B07EE0" w:rsidTr="00B07EE0">
        <w:trPr>
          <w:trHeight w:val="255"/>
          <w:jc w:val="center"/>
        </w:trPr>
        <w:tc>
          <w:tcPr>
            <w:tcW w:w="1425"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B050"/>
                <w:sz w:val="20"/>
                <w:szCs w:val="20"/>
              </w:rPr>
            </w:pPr>
            <w:proofErr w:type="spellStart"/>
            <w:r w:rsidRPr="00B07EE0">
              <w:rPr>
                <w:rFonts w:ascii="Calibri" w:eastAsia="Times New Roman" w:hAnsi="Calibri" w:cs="Times New Roman"/>
                <w:b/>
                <w:bCs/>
                <w:color w:val="00B050"/>
                <w:sz w:val="20"/>
                <w:szCs w:val="20"/>
              </w:rPr>
              <w:t>Xss</w:t>
            </w:r>
            <w:proofErr w:type="spellEnd"/>
            <w:r w:rsidRPr="00B07EE0">
              <w:rPr>
                <w:rFonts w:ascii="Calibri" w:eastAsia="Times New Roman" w:hAnsi="Calibri" w:cs="Times New Roman"/>
                <w:b/>
                <w:bCs/>
                <w:color w:val="00B050"/>
                <w:sz w:val="20"/>
                <w:szCs w:val="20"/>
              </w:rPr>
              <w:t>(269)</w:t>
            </w:r>
          </w:p>
        </w:tc>
        <w:tc>
          <w:tcPr>
            <w:tcW w:w="1002"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100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4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56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46" w:type="dxa"/>
            <w:tcBorders>
              <w:top w:val="nil"/>
              <w:left w:val="nil"/>
              <w:bottom w:val="nil"/>
              <w:right w:val="nil"/>
            </w:tcBorders>
            <w:shd w:val="clear" w:color="000000" w:fill="00B050"/>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Heavy</w:t>
            </w:r>
          </w:p>
        </w:tc>
        <w:tc>
          <w:tcPr>
            <w:tcW w:w="153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B050"/>
                <w:sz w:val="20"/>
                <w:szCs w:val="20"/>
              </w:rPr>
            </w:pPr>
            <w:r w:rsidRPr="00B07EE0">
              <w:rPr>
                <w:rFonts w:ascii="Calibri" w:eastAsia="Times New Roman" w:hAnsi="Calibri" w:cs="Times New Roman"/>
                <w:b/>
                <w:bCs/>
                <w:color w:val="00B050"/>
                <w:sz w:val="20"/>
                <w:szCs w:val="20"/>
              </w:rPr>
              <w:t>Waste</w:t>
            </w:r>
          </w:p>
        </w:tc>
      </w:tr>
      <w:tr w:rsidR="00B07EE0" w:rsidRPr="00B07EE0" w:rsidTr="00B07EE0">
        <w:trPr>
          <w:trHeight w:val="255"/>
          <w:jc w:val="center"/>
        </w:trPr>
        <w:tc>
          <w:tcPr>
            <w:tcW w:w="1425"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B050"/>
                <w:sz w:val="20"/>
                <w:szCs w:val="20"/>
              </w:rPr>
            </w:pPr>
            <w:proofErr w:type="spellStart"/>
            <w:r w:rsidRPr="00B07EE0">
              <w:rPr>
                <w:rFonts w:ascii="Calibri" w:eastAsia="Times New Roman" w:hAnsi="Calibri" w:cs="Times New Roman"/>
                <w:b/>
                <w:bCs/>
                <w:color w:val="00B050"/>
                <w:sz w:val="20"/>
                <w:szCs w:val="20"/>
              </w:rPr>
              <w:t>Xss</w:t>
            </w:r>
            <w:proofErr w:type="spellEnd"/>
            <w:r w:rsidRPr="00B07EE0">
              <w:rPr>
                <w:rFonts w:ascii="Calibri" w:eastAsia="Times New Roman" w:hAnsi="Calibri" w:cs="Times New Roman"/>
                <w:b/>
                <w:bCs/>
                <w:color w:val="00B050"/>
                <w:sz w:val="20"/>
                <w:szCs w:val="20"/>
              </w:rPr>
              <w:t>(270)</w:t>
            </w:r>
          </w:p>
        </w:tc>
        <w:tc>
          <w:tcPr>
            <w:tcW w:w="1002"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100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64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56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64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153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00B050"/>
                <w:sz w:val="20"/>
                <w:szCs w:val="20"/>
              </w:rPr>
            </w:pPr>
            <w:r w:rsidRPr="00B07EE0">
              <w:rPr>
                <w:rFonts w:ascii="Calibri" w:eastAsia="Times New Roman" w:hAnsi="Calibri" w:cs="Times New Roman"/>
                <w:b/>
                <w:bCs/>
                <w:color w:val="00B050"/>
                <w:sz w:val="20"/>
                <w:szCs w:val="20"/>
              </w:rPr>
              <w:t>Waste</w:t>
            </w:r>
          </w:p>
        </w:tc>
      </w:tr>
      <w:tr w:rsidR="00B07EE0" w:rsidRPr="00B07EE0" w:rsidTr="00B07EE0">
        <w:trPr>
          <w:trHeight w:val="255"/>
          <w:jc w:val="center"/>
        </w:trPr>
        <w:tc>
          <w:tcPr>
            <w:tcW w:w="1425"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proofErr w:type="spellStart"/>
            <w:r w:rsidRPr="00B07EE0">
              <w:rPr>
                <w:rFonts w:ascii="Calibri" w:eastAsia="Times New Roman" w:hAnsi="Calibri" w:cs="Times New Roman"/>
                <w:color w:val="000000"/>
                <w:sz w:val="20"/>
                <w:szCs w:val="20"/>
              </w:rPr>
              <w:t>Xss</w:t>
            </w:r>
            <w:proofErr w:type="spellEnd"/>
            <w:r w:rsidRPr="00B07EE0">
              <w:rPr>
                <w:rFonts w:ascii="Calibri" w:eastAsia="Times New Roman" w:hAnsi="Calibri" w:cs="Times New Roman"/>
                <w:color w:val="000000"/>
                <w:sz w:val="20"/>
                <w:szCs w:val="20"/>
              </w:rPr>
              <w:t>(272)</w:t>
            </w:r>
          </w:p>
        </w:tc>
        <w:tc>
          <w:tcPr>
            <w:tcW w:w="1002"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100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46"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None</w:t>
            </w:r>
          </w:p>
        </w:tc>
        <w:tc>
          <w:tcPr>
            <w:tcW w:w="569"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46" w:type="dxa"/>
            <w:tcBorders>
              <w:top w:val="nil"/>
              <w:left w:val="nil"/>
              <w:bottom w:val="nil"/>
              <w:right w:val="nil"/>
            </w:tcBorders>
            <w:shd w:val="clear" w:color="000000" w:fill="00B050"/>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Heavy</w:t>
            </w:r>
          </w:p>
        </w:tc>
        <w:tc>
          <w:tcPr>
            <w:tcW w:w="1531" w:type="dxa"/>
            <w:tcBorders>
              <w:top w:val="nil"/>
              <w:left w:val="nil"/>
              <w:bottom w:val="nil"/>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color w:val="000000"/>
                <w:sz w:val="20"/>
                <w:szCs w:val="20"/>
              </w:rPr>
            </w:pPr>
            <w:r w:rsidRPr="00B07EE0">
              <w:rPr>
                <w:rFonts w:ascii="Calibri" w:eastAsia="Times New Roman" w:hAnsi="Calibri" w:cs="Times New Roman"/>
                <w:color w:val="000000"/>
                <w:sz w:val="20"/>
                <w:szCs w:val="20"/>
              </w:rPr>
              <w:t>Intermediate</w:t>
            </w:r>
          </w:p>
        </w:tc>
      </w:tr>
      <w:tr w:rsidR="00B07EE0" w:rsidRPr="00B07EE0" w:rsidTr="00B07EE0">
        <w:trPr>
          <w:trHeight w:val="270"/>
          <w:jc w:val="center"/>
        </w:trPr>
        <w:tc>
          <w:tcPr>
            <w:tcW w:w="1425" w:type="dxa"/>
            <w:tcBorders>
              <w:top w:val="nil"/>
              <w:left w:val="nil"/>
              <w:bottom w:val="single" w:sz="8" w:space="0" w:color="auto"/>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FF0000"/>
                <w:sz w:val="20"/>
                <w:szCs w:val="20"/>
              </w:rPr>
            </w:pPr>
            <w:proofErr w:type="spellStart"/>
            <w:r w:rsidRPr="00B07EE0">
              <w:rPr>
                <w:rFonts w:ascii="Calibri" w:eastAsia="Times New Roman" w:hAnsi="Calibri" w:cs="Times New Roman"/>
                <w:b/>
                <w:bCs/>
                <w:color w:val="FF0000"/>
                <w:sz w:val="20"/>
                <w:szCs w:val="20"/>
              </w:rPr>
              <w:t>Xss</w:t>
            </w:r>
            <w:proofErr w:type="spellEnd"/>
            <w:r w:rsidRPr="00B07EE0">
              <w:rPr>
                <w:rFonts w:ascii="Calibri" w:eastAsia="Times New Roman" w:hAnsi="Calibri" w:cs="Times New Roman"/>
                <w:b/>
                <w:bCs/>
                <w:color w:val="FF0000"/>
                <w:sz w:val="20"/>
                <w:szCs w:val="20"/>
              </w:rPr>
              <w:t>(273)</w:t>
            </w:r>
          </w:p>
        </w:tc>
        <w:tc>
          <w:tcPr>
            <w:tcW w:w="1002" w:type="dxa"/>
            <w:tcBorders>
              <w:top w:val="nil"/>
              <w:left w:val="nil"/>
              <w:bottom w:val="single" w:sz="8" w:space="0" w:color="auto"/>
              <w:right w:val="nil"/>
            </w:tcBorders>
            <w:shd w:val="clear" w:color="000000" w:fill="00B050"/>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Heavy</w:t>
            </w:r>
          </w:p>
        </w:tc>
        <w:tc>
          <w:tcPr>
            <w:tcW w:w="1001" w:type="dxa"/>
            <w:tcBorders>
              <w:top w:val="nil"/>
              <w:left w:val="nil"/>
              <w:bottom w:val="single" w:sz="8" w:space="0" w:color="auto"/>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Moderate</w:t>
            </w:r>
          </w:p>
        </w:tc>
        <w:tc>
          <w:tcPr>
            <w:tcW w:w="646" w:type="dxa"/>
            <w:tcBorders>
              <w:top w:val="nil"/>
              <w:left w:val="nil"/>
              <w:bottom w:val="single" w:sz="8" w:space="0" w:color="auto"/>
              <w:right w:val="nil"/>
            </w:tcBorders>
            <w:shd w:val="clear" w:color="000000" w:fill="00B050"/>
            <w:noWrap/>
            <w:vAlign w:val="center"/>
            <w:hideMark/>
          </w:tcPr>
          <w:p w:rsidR="00B07EE0" w:rsidRPr="00B07EE0" w:rsidRDefault="00B07EE0" w:rsidP="00B07EE0">
            <w:pPr>
              <w:spacing w:after="0" w:line="240" w:lineRule="auto"/>
              <w:jc w:val="center"/>
              <w:rPr>
                <w:rFonts w:ascii="Calibri" w:eastAsia="Times New Roman" w:hAnsi="Calibri" w:cs="Times New Roman"/>
                <w:b/>
                <w:bCs/>
                <w:sz w:val="20"/>
                <w:szCs w:val="20"/>
              </w:rPr>
            </w:pPr>
            <w:r w:rsidRPr="00B07EE0">
              <w:rPr>
                <w:rFonts w:ascii="Calibri" w:eastAsia="Times New Roman" w:hAnsi="Calibri" w:cs="Times New Roman"/>
                <w:b/>
                <w:bCs/>
                <w:sz w:val="20"/>
                <w:szCs w:val="20"/>
              </w:rPr>
              <w:t>Heavy</w:t>
            </w:r>
          </w:p>
        </w:tc>
        <w:tc>
          <w:tcPr>
            <w:tcW w:w="569" w:type="dxa"/>
            <w:tcBorders>
              <w:top w:val="nil"/>
              <w:left w:val="nil"/>
              <w:bottom w:val="single" w:sz="8" w:space="0" w:color="auto"/>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646" w:type="dxa"/>
            <w:tcBorders>
              <w:top w:val="nil"/>
              <w:left w:val="nil"/>
              <w:bottom w:val="single" w:sz="8" w:space="0" w:color="auto"/>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sz w:val="20"/>
                <w:szCs w:val="20"/>
              </w:rPr>
            </w:pPr>
            <w:r w:rsidRPr="00B07EE0">
              <w:rPr>
                <w:rFonts w:ascii="Calibri" w:eastAsia="Times New Roman" w:hAnsi="Calibri" w:cs="Times New Roman"/>
                <w:sz w:val="20"/>
                <w:szCs w:val="20"/>
              </w:rPr>
              <w:t>Slight</w:t>
            </w:r>
          </w:p>
        </w:tc>
        <w:tc>
          <w:tcPr>
            <w:tcW w:w="1531" w:type="dxa"/>
            <w:tcBorders>
              <w:top w:val="nil"/>
              <w:left w:val="nil"/>
              <w:bottom w:val="single" w:sz="8" w:space="0" w:color="auto"/>
              <w:right w:val="nil"/>
            </w:tcBorders>
            <w:shd w:val="clear" w:color="auto" w:fill="auto"/>
            <w:noWrap/>
            <w:vAlign w:val="center"/>
            <w:hideMark/>
          </w:tcPr>
          <w:p w:rsidR="00B07EE0" w:rsidRPr="00B07EE0" w:rsidRDefault="00B07EE0" w:rsidP="00B07EE0">
            <w:pPr>
              <w:spacing w:after="0" w:line="240" w:lineRule="auto"/>
              <w:jc w:val="center"/>
              <w:rPr>
                <w:rFonts w:ascii="Calibri" w:eastAsia="Times New Roman" w:hAnsi="Calibri" w:cs="Times New Roman"/>
                <w:b/>
                <w:bCs/>
                <w:color w:val="FF0000"/>
                <w:sz w:val="20"/>
                <w:szCs w:val="20"/>
              </w:rPr>
            </w:pPr>
            <w:r w:rsidRPr="00B07EE0">
              <w:rPr>
                <w:rFonts w:ascii="Calibri" w:eastAsia="Times New Roman" w:hAnsi="Calibri" w:cs="Times New Roman"/>
                <w:b/>
                <w:bCs/>
                <w:color w:val="FF0000"/>
                <w:sz w:val="20"/>
                <w:szCs w:val="20"/>
              </w:rPr>
              <w:t>Product</w:t>
            </w:r>
          </w:p>
        </w:tc>
      </w:tr>
    </w:tbl>
    <w:p w:rsidR="00B07EE0" w:rsidRDefault="00B07EE0"/>
    <w:p w:rsidR="00B07EE0" w:rsidRDefault="00B07EE0"/>
    <w:p w:rsidR="00B07EE0" w:rsidRDefault="00B07EE0"/>
    <w:tbl>
      <w:tblPr>
        <w:tblW w:w="6580" w:type="dxa"/>
        <w:jc w:val="center"/>
        <w:tblInd w:w="93" w:type="dxa"/>
        <w:tblLook w:val="04A0" w:firstRow="1" w:lastRow="0" w:firstColumn="1" w:lastColumn="0" w:noHBand="0" w:noVBand="1"/>
      </w:tblPr>
      <w:tblGrid>
        <w:gridCol w:w="968"/>
        <w:gridCol w:w="1257"/>
        <w:gridCol w:w="871"/>
        <w:gridCol w:w="871"/>
        <w:gridCol w:w="871"/>
        <w:gridCol w:w="871"/>
        <w:gridCol w:w="871"/>
      </w:tblGrid>
      <w:tr w:rsidR="006F72CC" w:rsidRPr="006F72CC" w:rsidTr="006F72CC">
        <w:trPr>
          <w:trHeight w:val="270"/>
          <w:jc w:val="center"/>
        </w:trPr>
        <w:tc>
          <w:tcPr>
            <w:tcW w:w="6580" w:type="dxa"/>
            <w:gridSpan w:val="7"/>
            <w:tcBorders>
              <w:top w:val="nil"/>
              <w:left w:val="nil"/>
              <w:bottom w:val="single" w:sz="8" w:space="0" w:color="auto"/>
              <w:right w:val="nil"/>
            </w:tcBorders>
            <w:shd w:val="clear" w:color="auto" w:fill="auto"/>
            <w:vAlign w:val="center"/>
            <w:hideMark/>
          </w:tcPr>
          <w:p w:rsidR="006F72CC" w:rsidRPr="006F72CC" w:rsidRDefault="006F72CC" w:rsidP="006F72CC">
            <w:pPr>
              <w:spacing w:after="0" w:line="240" w:lineRule="auto"/>
              <w:jc w:val="center"/>
              <w:rPr>
                <w:rFonts w:ascii="Calibri" w:eastAsia="Times New Roman" w:hAnsi="Calibri" w:cs="Times New Roman"/>
                <w:b/>
                <w:bCs/>
                <w:color w:val="000000"/>
                <w:sz w:val="20"/>
                <w:szCs w:val="20"/>
              </w:rPr>
            </w:pPr>
            <w:r w:rsidRPr="006F72CC">
              <w:rPr>
                <w:rFonts w:ascii="Calibri" w:eastAsia="Times New Roman" w:hAnsi="Calibri" w:cs="Times New Roman"/>
                <w:b/>
                <w:bCs/>
                <w:color w:val="000000"/>
                <w:sz w:val="20"/>
                <w:szCs w:val="20"/>
              </w:rPr>
              <w:t>Table 4.20. The First Five Loadings Vectors for the Input Variables</w:t>
            </w:r>
          </w:p>
        </w:tc>
      </w:tr>
      <w:tr w:rsidR="006F72CC" w:rsidRPr="006F72CC" w:rsidTr="006F72CC">
        <w:trPr>
          <w:trHeight w:val="255"/>
          <w:jc w:val="center"/>
        </w:trPr>
        <w:tc>
          <w:tcPr>
            <w:tcW w:w="968"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b/>
                <w:bCs/>
                <w:color w:val="000000"/>
                <w:sz w:val="20"/>
                <w:szCs w:val="20"/>
              </w:rPr>
            </w:pPr>
            <w:r w:rsidRPr="006F72CC">
              <w:rPr>
                <w:rFonts w:ascii="Calibri" w:eastAsia="Times New Roman" w:hAnsi="Calibri" w:cs="Times New Roman"/>
                <w:b/>
                <w:bCs/>
                <w:color w:val="000000"/>
                <w:sz w:val="20"/>
                <w:szCs w:val="20"/>
              </w:rPr>
              <w:t>State</w:t>
            </w:r>
          </w:p>
        </w:tc>
        <w:tc>
          <w:tcPr>
            <w:tcW w:w="1257" w:type="dxa"/>
            <w:tcBorders>
              <w:top w:val="nil"/>
              <w:left w:val="nil"/>
              <w:bottom w:val="nil"/>
              <w:right w:val="nil"/>
            </w:tcBorders>
            <w:shd w:val="clear" w:color="auto" w:fill="auto"/>
            <w:vAlign w:val="center"/>
            <w:hideMark/>
          </w:tcPr>
          <w:p w:rsidR="006F72CC" w:rsidRPr="006F72CC" w:rsidRDefault="006F72CC" w:rsidP="006F72CC">
            <w:pPr>
              <w:spacing w:after="0" w:line="240" w:lineRule="auto"/>
              <w:jc w:val="center"/>
              <w:rPr>
                <w:rFonts w:ascii="Calibri" w:eastAsia="Times New Roman" w:hAnsi="Calibri" w:cs="Times New Roman"/>
                <w:b/>
                <w:bCs/>
                <w:color w:val="000000"/>
                <w:sz w:val="20"/>
                <w:szCs w:val="20"/>
              </w:rPr>
            </w:pPr>
            <w:r w:rsidRPr="006F72CC">
              <w:rPr>
                <w:rFonts w:ascii="Calibri" w:eastAsia="Times New Roman" w:hAnsi="Calibri" w:cs="Times New Roman"/>
                <w:b/>
                <w:bCs/>
                <w:color w:val="000000"/>
                <w:sz w:val="20"/>
                <w:szCs w:val="20"/>
              </w:rPr>
              <w:t>Input</w:t>
            </w:r>
          </w:p>
        </w:tc>
        <w:tc>
          <w:tcPr>
            <w:tcW w:w="4355" w:type="dxa"/>
            <w:gridSpan w:val="5"/>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b/>
                <w:bCs/>
                <w:color w:val="000000"/>
                <w:sz w:val="20"/>
                <w:szCs w:val="20"/>
              </w:rPr>
            </w:pPr>
            <w:r w:rsidRPr="006F72CC">
              <w:rPr>
                <w:rFonts w:ascii="Calibri" w:eastAsia="Times New Roman" w:hAnsi="Calibri" w:cs="Times New Roman"/>
                <w:b/>
                <w:bCs/>
                <w:color w:val="000000"/>
                <w:sz w:val="20"/>
                <w:szCs w:val="20"/>
              </w:rPr>
              <w:t>Loadings Vectors</w:t>
            </w:r>
          </w:p>
        </w:tc>
      </w:tr>
      <w:tr w:rsidR="006F72CC" w:rsidRPr="006F72CC" w:rsidTr="006F72CC">
        <w:trPr>
          <w:trHeight w:val="285"/>
          <w:jc w:val="center"/>
        </w:trPr>
        <w:tc>
          <w:tcPr>
            <w:tcW w:w="968" w:type="dxa"/>
            <w:tcBorders>
              <w:top w:val="nil"/>
              <w:left w:val="nil"/>
              <w:bottom w:val="single" w:sz="4" w:space="0" w:color="auto"/>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b/>
                <w:bCs/>
                <w:color w:val="000000"/>
                <w:sz w:val="20"/>
                <w:szCs w:val="20"/>
              </w:rPr>
            </w:pPr>
            <w:r w:rsidRPr="006F72CC">
              <w:rPr>
                <w:rFonts w:ascii="Calibri" w:eastAsia="Times New Roman" w:hAnsi="Calibri" w:cs="Times New Roman"/>
                <w:b/>
                <w:bCs/>
                <w:color w:val="000000"/>
                <w:sz w:val="20"/>
                <w:szCs w:val="20"/>
              </w:rPr>
              <w:t>Variable</w:t>
            </w:r>
          </w:p>
        </w:tc>
        <w:tc>
          <w:tcPr>
            <w:tcW w:w="1257" w:type="dxa"/>
            <w:tcBorders>
              <w:top w:val="nil"/>
              <w:left w:val="nil"/>
              <w:bottom w:val="single" w:sz="4" w:space="0" w:color="auto"/>
              <w:right w:val="nil"/>
            </w:tcBorders>
            <w:shd w:val="clear" w:color="auto" w:fill="auto"/>
            <w:vAlign w:val="center"/>
            <w:hideMark/>
          </w:tcPr>
          <w:p w:rsidR="006F72CC" w:rsidRPr="006F72CC" w:rsidRDefault="006F72CC" w:rsidP="006F72CC">
            <w:pPr>
              <w:spacing w:after="0" w:line="240" w:lineRule="auto"/>
              <w:jc w:val="center"/>
              <w:rPr>
                <w:rFonts w:ascii="Calibri" w:eastAsia="Times New Roman" w:hAnsi="Calibri" w:cs="Times New Roman"/>
                <w:b/>
                <w:bCs/>
                <w:color w:val="000000"/>
                <w:sz w:val="20"/>
                <w:szCs w:val="20"/>
              </w:rPr>
            </w:pPr>
            <w:r w:rsidRPr="006F72CC">
              <w:rPr>
                <w:rFonts w:ascii="Calibri" w:eastAsia="Times New Roman" w:hAnsi="Calibri" w:cs="Times New Roman"/>
                <w:b/>
                <w:bCs/>
                <w:color w:val="000000"/>
                <w:sz w:val="20"/>
                <w:szCs w:val="20"/>
              </w:rPr>
              <w:t>Variables</w:t>
            </w:r>
          </w:p>
        </w:tc>
        <w:tc>
          <w:tcPr>
            <w:tcW w:w="871" w:type="dxa"/>
            <w:tcBorders>
              <w:top w:val="nil"/>
              <w:left w:val="nil"/>
              <w:bottom w:val="single" w:sz="4" w:space="0" w:color="auto"/>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b/>
                <w:bCs/>
                <w:color w:val="000000"/>
                <w:sz w:val="20"/>
                <w:szCs w:val="20"/>
              </w:rPr>
            </w:pPr>
            <w:r w:rsidRPr="006F72CC">
              <w:rPr>
                <w:rFonts w:ascii="Calibri" w:eastAsia="Times New Roman" w:hAnsi="Calibri" w:cs="Times New Roman"/>
                <w:b/>
                <w:bCs/>
                <w:color w:val="000000"/>
                <w:sz w:val="20"/>
                <w:szCs w:val="20"/>
              </w:rPr>
              <w:t>V</w:t>
            </w:r>
            <w:r w:rsidRPr="006F72CC">
              <w:rPr>
                <w:rFonts w:ascii="Calibri" w:eastAsia="Times New Roman" w:hAnsi="Calibri" w:cs="Times New Roman"/>
                <w:b/>
                <w:bCs/>
                <w:color w:val="000000"/>
                <w:sz w:val="20"/>
                <w:szCs w:val="20"/>
                <w:vertAlign w:val="subscript"/>
              </w:rPr>
              <w:t>1</w:t>
            </w:r>
          </w:p>
        </w:tc>
        <w:tc>
          <w:tcPr>
            <w:tcW w:w="871" w:type="dxa"/>
            <w:tcBorders>
              <w:top w:val="nil"/>
              <w:left w:val="nil"/>
              <w:bottom w:val="single" w:sz="4" w:space="0" w:color="auto"/>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b/>
                <w:bCs/>
                <w:color w:val="000000"/>
                <w:sz w:val="20"/>
                <w:szCs w:val="20"/>
              </w:rPr>
            </w:pPr>
            <w:r w:rsidRPr="006F72CC">
              <w:rPr>
                <w:rFonts w:ascii="Calibri" w:eastAsia="Times New Roman" w:hAnsi="Calibri" w:cs="Times New Roman"/>
                <w:b/>
                <w:bCs/>
                <w:color w:val="000000"/>
                <w:sz w:val="20"/>
                <w:szCs w:val="20"/>
              </w:rPr>
              <w:t>V</w:t>
            </w:r>
            <w:r w:rsidRPr="006F72CC">
              <w:rPr>
                <w:rFonts w:ascii="Calibri" w:eastAsia="Times New Roman" w:hAnsi="Calibri" w:cs="Times New Roman"/>
                <w:b/>
                <w:bCs/>
                <w:color w:val="000000"/>
                <w:sz w:val="20"/>
                <w:szCs w:val="20"/>
                <w:vertAlign w:val="subscript"/>
              </w:rPr>
              <w:t>2</w:t>
            </w:r>
          </w:p>
        </w:tc>
        <w:tc>
          <w:tcPr>
            <w:tcW w:w="871" w:type="dxa"/>
            <w:tcBorders>
              <w:top w:val="nil"/>
              <w:left w:val="nil"/>
              <w:bottom w:val="single" w:sz="4" w:space="0" w:color="auto"/>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b/>
                <w:bCs/>
                <w:color w:val="000000"/>
                <w:sz w:val="20"/>
                <w:szCs w:val="20"/>
              </w:rPr>
            </w:pPr>
            <w:r w:rsidRPr="006F72CC">
              <w:rPr>
                <w:rFonts w:ascii="Calibri" w:eastAsia="Times New Roman" w:hAnsi="Calibri" w:cs="Times New Roman"/>
                <w:b/>
                <w:bCs/>
                <w:color w:val="000000"/>
                <w:sz w:val="20"/>
                <w:szCs w:val="20"/>
              </w:rPr>
              <w:t>V</w:t>
            </w:r>
            <w:r w:rsidRPr="006F72CC">
              <w:rPr>
                <w:rFonts w:ascii="Calibri" w:eastAsia="Times New Roman" w:hAnsi="Calibri" w:cs="Times New Roman"/>
                <w:b/>
                <w:bCs/>
                <w:color w:val="000000"/>
                <w:sz w:val="20"/>
                <w:szCs w:val="20"/>
                <w:vertAlign w:val="subscript"/>
              </w:rPr>
              <w:t>3</w:t>
            </w:r>
          </w:p>
        </w:tc>
        <w:tc>
          <w:tcPr>
            <w:tcW w:w="871" w:type="dxa"/>
            <w:tcBorders>
              <w:top w:val="nil"/>
              <w:left w:val="nil"/>
              <w:bottom w:val="single" w:sz="4" w:space="0" w:color="auto"/>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b/>
                <w:bCs/>
                <w:color w:val="000000"/>
                <w:sz w:val="20"/>
                <w:szCs w:val="20"/>
              </w:rPr>
            </w:pPr>
            <w:r w:rsidRPr="006F72CC">
              <w:rPr>
                <w:rFonts w:ascii="Calibri" w:eastAsia="Times New Roman" w:hAnsi="Calibri" w:cs="Times New Roman"/>
                <w:b/>
                <w:bCs/>
                <w:color w:val="000000"/>
                <w:sz w:val="20"/>
                <w:szCs w:val="20"/>
              </w:rPr>
              <w:t>V</w:t>
            </w:r>
            <w:r w:rsidRPr="006F72CC">
              <w:rPr>
                <w:rFonts w:ascii="Calibri" w:eastAsia="Times New Roman" w:hAnsi="Calibri" w:cs="Times New Roman"/>
                <w:b/>
                <w:bCs/>
                <w:color w:val="000000"/>
                <w:sz w:val="20"/>
                <w:szCs w:val="20"/>
                <w:vertAlign w:val="subscript"/>
              </w:rPr>
              <w:t>4</w:t>
            </w:r>
          </w:p>
        </w:tc>
        <w:tc>
          <w:tcPr>
            <w:tcW w:w="871" w:type="dxa"/>
            <w:tcBorders>
              <w:top w:val="nil"/>
              <w:left w:val="nil"/>
              <w:bottom w:val="single" w:sz="4" w:space="0" w:color="auto"/>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b/>
                <w:bCs/>
                <w:color w:val="000000"/>
                <w:sz w:val="20"/>
                <w:szCs w:val="20"/>
              </w:rPr>
            </w:pPr>
            <w:r w:rsidRPr="006F72CC">
              <w:rPr>
                <w:rFonts w:ascii="Calibri" w:eastAsia="Times New Roman" w:hAnsi="Calibri" w:cs="Times New Roman"/>
                <w:b/>
                <w:bCs/>
                <w:color w:val="000000"/>
                <w:sz w:val="20"/>
                <w:szCs w:val="20"/>
              </w:rPr>
              <w:t>V</w:t>
            </w:r>
            <w:r w:rsidRPr="006F72CC">
              <w:rPr>
                <w:rFonts w:ascii="Calibri" w:eastAsia="Times New Roman" w:hAnsi="Calibri" w:cs="Times New Roman"/>
                <w:b/>
                <w:bCs/>
                <w:color w:val="000000"/>
                <w:sz w:val="20"/>
                <w:szCs w:val="20"/>
                <w:vertAlign w:val="subscript"/>
              </w:rPr>
              <w:t>5</w:t>
            </w:r>
          </w:p>
        </w:tc>
      </w:tr>
      <w:tr w:rsidR="006F72CC" w:rsidRPr="006F72CC" w:rsidTr="006F72CC">
        <w:trPr>
          <w:trHeight w:val="285"/>
          <w:jc w:val="center"/>
        </w:trPr>
        <w:tc>
          <w:tcPr>
            <w:tcW w:w="968"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sz w:val="20"/>
                <w:szCs w:val="20"/>
              </w:rPr>
            </w:pPr>
            <w:proofErr w:type="spellStart"/>
            <w:r w:rsidRPr="006F72CC">
              <w:rPr>
                <w:rFonts w:ascii="Calibri" w:eastAsia="Times New Roman" w:hAnsi="Calibri" w:cs="Times New Roman"/>
                <w:sz w:val="20"/>
                <w:szCs w:val="20"/>
              </w:rPr>
              <w:t>Xss</w:t>
            </w:r>
            <w:proofErr w:type="spellEnd"/>
            <w:r w:rsidRPr="006F72CC">
              <w:rPr>
                <w:rFonts w:ascii="Calibri" w:eastAsia="Times New Roman" w:hAnsi="Calibri" w:cs="Times New Roman"/>
                <w:sz w:val="20"/>
                <w:szCs w:val="20"/>
              </w:rPr>
              <w:t>(274)</w:t>
            </w:r>
          </w:p>
        </w:tc>
        <w:tc>
          <w:tcPr>
            <w:tcW w:w="1257"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color w:val="000000"/>
                <w:sz w:val="20"/>
                <w:szCs w:val="20"/>
              </w:rPr>
            </w:pPr>
            <w:r w:rsidRPr="006F72CC">
              <w:rPr>
                <w:rFonts w:ascii="Calibri" w:eastAsia="Times New Roman" w:hAnsi="Calibri" w:cs="Times New Roman"/>
                <w:color w:val="000000"/>
                <w:sz w:val="20"/>
                <w:szCs w:val="20"/>
              </w:rPr>
              <w:t>u</w:t>
            </w:r>
            <w:r w:rsidRPr="006F72CC">
              <w:rPr>
                <w:rFonts w:ascii="Calibri" w:eastAsia="Times New Roman" w:hAnsi="Calibri" w:cs="Times New Roman"/>
                <w:color w:val="000000"/>
                <w:sz w:val="20"/>
                <w:szCs w:val="20"/>
                <w:vertAlign w:val="subscript"/>
              </w:rPr>
              <w:t>1</w:t>
            </w:r>
          </w:p>
        </w:tc>
        <w:tc>
          <w:tcPr>
            <w:tcW w:w="871"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b/>
                <w:bCs/>
                <w:color w:val="FF0000"/>
                <w:sz w:val="20"/>
                <w:szCs w:val="20"/>
              </w:rPr>
            </w:pPr>
            <w:r w:rsidRPr="006F72CC">
              <w:rPr>
                <w:rFonts w:ascii="Calibri" w:eastAsia="Times New Roman" w:hAnsi="Calibri" w:cs="Times New Roman"/>
                <w:b/>
                <w:bCs/>
                <w:color w:val="FF0000"/>
                <w:sz w:val="20"/>
                <w:szCs w:val="20"/>
              </w:rPr>
              <w:t>-0.2674</w:t>
            </w:r>
          </w:p>
        </w:tc>
        <w:tc>
          <w:tcPr>
            <w:tcW w:w="871"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sz w:val="20"/>
                <w:szCs w:val="20"/>
              </w:rPr>
            </w:pPr>
            <w:r w:rsidRPr="006F72CC">
              <w:rPr>
                <w:rFonts w:ascii="Calibri" w:eastAsia="Times New Roman" w:hAnsi="Calibri" w:cs="Times New Roman"/>
                <w:sz w:val="20"/>
                <w:szCs w:val="20"/>
              </w:rPr>
              <w:t>0.0698</w:t>
            </w:r>
          </w:p>
        </w:tc>
        <w:tc>
          <w:tcPr>
            <w:tcW w:w="871"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b/>
                <w:bCs/>
                <w:color w:val="FF0000"/>
                <w:sz w:val="20"/>
                <w:szCs w:val="20"/>
              </w:rPr>
            </w:pPr>
            <w:r w:rsidRPr="006F72CC">
              <w:rPr>
                <w:rFonts w:ascii="Calibri" w:eastAsia="Times New Roman" w:hAnsi="Calibri" w:cs="Times New Roman"/>
                <w:b/>
                <w:bCs/>
                <w:color w:val="FF0000"/>
                <w:sz w:val="20"/>
                <w:szCs w:val="20"/>
              </w:rPr>
              <w:t>-0.2220</w:t>
            </w:r>
          </w:p>
        </w:tc>
        <w:tc>
          <w:tcPr>
            <w:tcW w:w="871"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sz w:val="20"/>
                <w:szCs w:val="20"/>
              </w:rPr>
            </w:pPr>
            <w:r w:rsidRPr="006F72CC">
              <w:rPr>
                <w:rFonts w:ascii="Calibri" w:eastAsia="Times New Roman" w:hAnsi="Calibri" w:cs="Times New Roman"/>
                <w:sz w:val="20"/>
                <w:szCs w:val="20"/>
              </w:rPr>
              <w:t>-0.0088</w:t>
            </w:r>
          </w:p>
        </w:tc>
        <w:tc>
          <w:tcPr>
            <w:tcW w:w="871"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sz w:val="20"/>
                <w:szCs w:val="20"/>
              </w:rPr>
            </w:pPr>
            <w:r w:rsidRPr="006F72CC">
              <w:rPr>
                <w:rFonts w:ascii="Calibri" w:eastAsia="Times New Roman" w:hAnsi="Calibri" w:cs="Times New Roman"/>
                <w:sz w:val="20"/>
                <w:szCs w:val="20"/>
              </w:rPr>
              <w:t>0.0123</w:t>
            </w:r>
          </w:p>
        </w:tc>
      </w:tr>
      <w:tr w:rsidR="006F72CC" w:rsidRPr="006F72CC" w:rsidTr="006F72CC">
        <w:trPr>
          <w:trHeight w:val="285"/>
          <w:jc w:val="center"/>
        </w:trPr>
        <w:tc>
          <w:tcPr>
            <w:tcW w:w="968"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sz w:val="20"/>
                <w:szCs w:val="20"/>
              </w:rPr>
            </w:pPr>
            <w:proofErr w:type="spellStart"/>
            <w:r w:rsidRPr="006F72CC">
              <w:rPr>
                <w:rFonts w:ascii="Calibri" w:eastAsia="Times New Roman" w:hAnsi="Calibri" w:cs="Times New Roman"/>
                <w:sz w:val="20"/>
                <w:szCs w:val="20"/>
              </w:rPr>
              <w:t>Xss</w:t>
            </w:r>
            <w:proofErr w:type="spellEnd"/>
            <w:r w:rsidRPr="006F72CC">
              <w:rPr>
                <w:rFonts w:ascii="Calibri" w:eastAsia="Times New Roman" w:hAnsi="Calibri" w:cs="Times New Roman"/>
                <w:sz w:val="20"/>
                <w:szCs w:val="20"/>
              </w:rPr>
              <w:t>(275)</w:t>
            </w:r>
          </w:p>
        </w:tc>
        <w:tc>
          <w:tcPr>
            <w:tcW w:w="1257"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color w:val="000000"/>
                <w:sz w:val="20"/>
                <w:szCs w:val="20"/>
              </w:rPr>
            </w:pPr>
            <w:r w:rsidRPr="006F72CC">
              <w:rPr>
                <w:rFonts w:ascii="Calibri" w:eastAsia="Times New Roman" w:hAnsi="Calibri" w:cs="Times New Roman"/>
                <w:color w:val="000000"/>
                <w:sz w:val="20"/>
                <w:szCs w:val="20"/>
              </w:rPr>
              <w:t>u</w:t>
            </w:r>
            <w:r w:rsidRPr="006F72CC">
              <w:rPr>
                <w:rFonts w:ascii="Calibri" w:eastAsia="Times New Roman" w:hAnsi="Calibri" w:cs="Times New Roman"/>
                <w:color w:val="000000"/>
                <w:sz w:val="20"/>
                <w:szCs w:val="20"/>
                <w:vertAlign w:val="subscript"/>
              </w:rPr>
              <w:t>2</w:t>
            </w:r>
          </w:p>
        </w:tc>
        <w:tc>
          <w:tcPr>
            <w:tcW w:w="871"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sz w:val="20"/>
                <w:szCs w:val="20"/>
              </w:rPr>
            </w:pPr>
            <w:r w:rsidRPr="006F72CC">
              <w:rPr>
                <w:rFonts w:ascii="Calibri" w:eastAsia="Times New Roman" w:hAnsi="Calibri" w:cs="Times New Roman"/>
                <w:sz w:val="20"/>
                <w:szCs w:val="20"/>
              </w:rPr>
              <w:t>-0.0019</w:t>
            </w:r>
          </w:p>
        </w:tc>
        <w:tc>
          <w:tcPr>
            <w:tcW w:w="871"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sz w:val="20"/>
                <w:szCs w:val="20"/>
              </w:rPr>
            </w:pPr>
            <w:r w:rsidRPr="006F72CC">
              <w:rPr>
                <w:rFonts w:ascii="Calibri" w:eastAsia="Times New Roman" w:hAnsi="Calibri" w:cs="Times New Roman"/>
                <w:sz w:val="20"/>
                <w:szCs w:val="20"/>
              </w:rPr>
              <w:t>-0.0011</w:t>
            </w:r>
          </w:p>
        </w:tc>
        <w:tc>
          <w:tcPr>
            <w:tcW w:w="871"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sz w:val="20"/>
                <w:szCs w:val="20"/>
              </w:rPr>
            </w:pPr>
            <w:r w:rsidRPr="006F72CC">
              <w:rPr>
                <w:rFonts w:ascii="Calibri" w:eastAsia="Times New Roman" w:hAnsi="Calibri" w:cs="Times New Roman"/>
                <w:sz w:val="20"/>
                <w:szCs w:val="20"/>
              </w:rPr>
              <w:t>0.0521</w:t>
            </w:r>
          </w:p>
        </w:tc>
        <w:tc>
          <w:tcPr>
            <w:tcW w:w="871"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b/>
                <w:bCs/>
                <w:color w:val="FF0000"/>
                <w:sz w:val="20"/>
                <w:szCs w:val="20"/>
              </w:rPr>
            </w:pPr>
            <w:r w:rsidRPr="006F72CC">
              <w:rPr>
                <w:rFonts w:ascii="Calibri" w:eastAsia="Times New Roman" w:hAnsi="Calibri" w:cs="Times New Roman"/>
                <w:b/>
                <w:bCs/>
                <w:color w:val="FF0000"/>
                <w:sz w:val="20"/>
                <w:szCs w:val="20"/>
              </w:rPr>
              <w:t>-0.3414</w:t>
            </w:r>
          </w:p>
        </w:tc>
        <w:tc>
          <w:tcPr>
            <w:tcW w:w="871"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sz w:val="20"/>
                <w:szCs w:val="20"/>
              </w:rPr>
            </w:pPr>
            <w:r w:rsidRPr="006F72CC">
              <w:rPr>
                <w:rFonts w:ascii="Calibri" w:eastAsia="Times New Roman" w:hAnsi="Calibri" w:cs="Times New Roman"/>
                <w:sz w:val="20"/>
                <w:szCs w:val="20"/>
              </w:rPr>
              <w:t>-0.0408</w:t>
            </w:r>
          </w:p>
        </w:tc>
      </w:tr>
      <w:tr w:rsidR="006F72CC" w:rsidRPr="006F72CC" w:rsidTr="006F72CC">
        <w:trPr>
          <w:trHeight w:val="285"/>
          <w:jc w:val="center"/>
        </w:trPr>
        <w:tc>
          <w:tcPr>
            <w:tcW w:w="968"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sz w:val="20"/>
                <w:szCs w:val="20"/>
              </w:rPr>
            </w:pPr>
            <w:proofErr w:type="spellStart"/>
            <w:r w:rsidRPr="006F72CC">
              <w:rPr>
                <w:rFonts w:ascii="Calibri" w:eastAsia="Times New Roman" w:hAnsi="Calibri" w:cs="Times New Roman"/>
                <w:sz w:val="20"/>
                <w:szCs w:val="20"/>
              </w:rPr>
              <w:t>Xss</w:t>
            </w:r>
            <w:proofErr w:type="spellEnd"/>
            <w:r w:rsidRPr="006F72CC">
              <w:rPr>
                <w:rFonts w:ascii="Calibri" w:eastAsia="Times New Roman" w:hAnsi="Calibri" w:cs="Times New Roman"/>
                <w:sz w:val="20"/>
                <w:szCs w:val="20"/>
              </w:rPr>
              <w:t>(276)</w:t>
            </w:r>
          </w:p>
        </w:tc>
        <w:tc>
          <w:tcPr>
            <w:tcW w:w="1257"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color w:val="000000"/>
                <w:sz w:val="20"/>
                <w:szCs w:val="20"/>
              </w:rPr>
            </w:pPr>
            <w:r w:rsidRPr="006F72CC">
              <w:rPr>
                <w:rFonts w:ascii="Calibri" w:eastAsia="Times New Roman" w:hAnsi="Calibri" w:cs="Times New Roman"/>
                <w:color w:val="000000"/>
                <w:sz w:val="20"/>
                <w:szCs w:val="20"/>
              </w:rPr>
              <w:t>u</w:t>
            </w:r>
            <w:r w:rsidRPr="006F72CC">
              <w:rPr>
                <w:rFonts w:ascii="Calibri" w:eastAsia="Times New Roman" w:hAnsi="Calibri" w:cs="Times New Roman"/>
                <w:color w:val="000000"/>
                <w:sz w:val="20"/>
                <w:szCs w:val="20"/>
                <w:vertAlign w:val="subscript"/>
              </w:rPr>
              <w:t>3</w:t>
            </w:r>
          </w:p>
        </w:tc>
        <w:tc>
          <w:tcPr>
            <w:tcW w:w="871"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sz w:val="20"/>
                <w:szCs w:val="20"/>
              </w:rPr>
            </w:pPr>
            <w:r w:rsidRPr="006F72CC">
              <w:rPr>
                <w:rFonts w:ascii="Calibri" w:eastAsia="Times New Roman" w:hAnsi="Calibri" w:cs="Times New Roman"/>
                <w:sz w:val="20"/>
                <w:szCs w:val="20"/>
              </w:rPr>
              <w:t>-0.0111</w:t>
            </w:r>
          </w:p>
        </w:tc>
        <w:tc>
          <w:tcPr>
            <w:tcW w:w="871"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sz w:val="20"/>
                <w:szCs w:val="20"/>
              </w:rPr>
            </w:pPr>
            <w:r w:rsidRPr="006F72CC">
              <w:rPr>
                <w:rFonts w:ascii="Calibri" w:eastAsia="Times New Roman" w:hAnsi="Calibri" w:cs="Times New Roman"/>
                <w:sz w:val="20"/>
                <w:szCs w:val="20"/>
              </w:rPr>
              <w:t>-0.0094</w:t>
            </w:r>
          </w:p>
        </w:tc>
        <w:tc>
          <w:tcPr>
            <w:tcW w:w="871"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b/>
                <w:bCs/>
                <w:color w:val="FF0000"/>
                <w:sz w:val="20"/>
                <w:szCs w:val="20"/>
              </w:rPr>
            </w:pPr>
            <w:r w:rsidRPr="006F72CC">
              <w:rPr>
                <w:rFonts w:ascii="Calibri" w:eastAsia="Times New Roman" w:hAnsi="Calibri" w:cs="Times New Roman"/>
                <w:b/>
                <w:bCs/>
                <w:color w:val="FF0000"/>
                <w:sz w:val="20"/>
                <w:szCs w:val="20"/>
              </w:rPr>
              <w:t>0.2615</w:t>
            </w:r>
          </w:p>
        </w:tc>
        <w:tc>
          <w:tcPr>
            <w:tcW w:w="871"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sz w:val="20"/>
                <w:szCs w:val="20"/>
              </w:rPr>
            </w:pPr>
            <w:r w:rsidRPr="006F72CC">
              <w:rPr>
                <w:rFonts w:ascii="Calibri" w:eastAsia="Times New Roman" w:hAnsi="Calibri" w:cs="Times New Roman"/>
                <w:sz w:val="20"/>
                <w:szCs w:val="20"/>
              </w:rPr>
              <w:t>0.0691</w:t>
            </w:r>
          </w:p>
        </w:tc>
        <w:tc>
          <w:tcPr>
            <w:tcW w:w="871"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sz w:val="20"/>
                <w:szCs w:val="20"/>
              </w:rPr>
            </w:pPr>
            <w:r w:rsidRPr="006F72CC">
              <w:rPr>
                <w:rFonts w:ascii="Calibri" w:eastAsia="Times New Roman" w:hAnsi="Calibri" w:cs="Times New Roman"/>
                <w:sz w:val="20"/>
                <w:szCs w:val="20"/>
              </w:rPr>
              <w:t>0.0740</w:t>
            </w:r>
          </w:p>
        </w:tc>
      </w:tr>
      <w:tr w:rsidR="006F72CC" w:rsidRPr="006F72CC" w:rsidTr="006F72CC">
        <w:trPr>
          <w:trHeight w:val="285"/>
          <w:jc w:val="center"/>
        </w:trPr>
        <w:tc>
          <w:tcPr>
            <w:tcW w:w="968"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sz w:val="20"/>
                <w:szCs w:val="20"/>
              </w:rPr>
            </w:pPr>
            <w:proofErr w:type="spellStart"/>
            <w:r w:rsidRPr="006F72CC">
              <w:rPr>
                <w:rFonts w:ascii="Calibri" w:eastAsia="Times New Roman" w:hAnsi="Calibri" w:cs="Times New Roman"/>
                <w:sz w:val="20"/>
                <w:szCs w:val="20"/>
              </w:rPr>
              <w:t>Xss</w:t>
            </w:r>
            <w:proofErr w:type="spellEnd"/>
            <w:r w:rsidRPr="006F72CC">
              <w:rPr>
                <w:rFonts w:ascii="Calibri" w:eastAsia="Times New Roman" w:hAnsi="Calibri" w:cs="Times New Roman"/>
                <w:sz w:val="20"/>
                <w:szCs w:val="20"/>
              </w:rPr>
              <w:t>(277)</w:t>
            </w:r>
          </w:p>
        </w:tc>
        <w:tc>
          <w:tcPr>
            <w:tcW w:w="1257"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color w:val="000000"/>
                <w:sz w:val="20"/>
                <w:szCs w:val="20"/>
              </w:rPr>
            </w:pPr>
            <w:r w:rsidRPr="006F72CC">
              <w:rPr>
                <w:rFonts w:ascii="Calibri" w:eastAsia="Times New Roman" w:hAnsi="Calibri" w:cs="Times New Roman"/>
                <w:color w:val="000000"/>
                <w:sz w:val="20"/>
                <w:szCs w:val="20"/>
              </w:rPr>
              <w:t>u</w:t>
            </w:r>
            <w:r w:rsidRPr="006F72CC">
              <w:rPr>
                <w:rFonts w:ascii="Calibri" w:eastAsia="Times New Roman" w:hAnsi="Calibri" w:cs="Times New Roman"/>
                <w:color w:val="000000"/>
                <w:sz w:val="20"/>
                <w:szCs w:val="20"/>
                <w:vertAlign w:val="subscript"/>
              </w:rPr>
              <w:t>4</w:t>
            </w:r>
          </w:p>
        </w:tc>
        <w:tc>
          <w:tcPr>
            <w:tcW w:w="871"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sz w:val="20"/>
                <w:szCs w:val="20"/>
              </w:rPr>
            </w:pPr>
            <w:r w:rsidRPr="006F72CC">
              <w:rPr>
                <w:rFonts w:ascii="Calibri" w:eastAsia="Times New Roman" w:hAnsi="Calibri" w:cs="Times New Roman"/>
                <w:sz w:val="20"/>
                <w:szCs w:val="20"/>
              </w:rPr>
              <w:t>-0.0115</w:t>
            </w:r>
          </w:p>
        </w:tc>
        <w:tc>
          <w:tcPr>
            <w:tcW w:w="871"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sz w:val="20"/>
                <w:szCs w:val="20"/>
              </w:rPr>
            </w:pPr>
            <w:r w:rsidRPr="006F72CC">
              <w:rPr>
                <w:rFonts w:ascii="Calibri" w:eastAsia="Times New Roman" w:hAnsi="Calibri" w:cs="Times New Roman"/>
                <w:sz w:val="20"/>
                <w:szCs w:val="20"/>
              </w:rPr>
              <w:t>-0.0096</w:t>
            </w:r>
          </w:p>
        </w:tc>
        <w:tc>
          <w:tcPr>
            <w:tcW w:w="871"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b/>
                <w:bCs/>
                <w:color w:val="FF0000"/>
                <w:sz w:val="20"/>
                <w:szCs w:val="20"/>
              </w:rPr>
            </w:pPr>
            <w:r w:rsidRPr="006F72CC">
              <w:rPr>
                <w:rFonts w:ascii="Calibri" w:eastAsia="Times New Roman" w:hAnsi="Calibri" w:cs="Times New Roman"/>
                <w:b/>
                <w:bCs/>
                <w:color w:val="FF0000"/>
                <w:sz w:val="20"/>
                <w:szCs w:val="20"/>
              </w:rPr>
              <w:t>0.2613</w:t>
            </w:r>
          </w:p>
        </w:tc>
        <w:tc>
          <w:tcPr>
            <w:tcW w:w="871"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sz w:val="20"/>
                <w:szCs w:val="20"/>
              </w:rPr>
            </w:pPr>
            <w:r w:rsidRPr="006F72CC">
              <w:rPr>
                <w:rFonts w:ascii="Calibri" w:eastAsia="Times New Roman" w:hAnsi="Calibri" w:cs="Times New Roman"/>
                <w:sz w:val="20"/>
                <w:szCs w:val="20"/>
              </w:rPr>
              <w:t>0.0709</w:t>
            </w:r>
          </w:p>
        </w:tc>
        <w:tc>
          <w:tcPr>
            <w:tcW w:w="871"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sz w:val="20"/>
                <w:szCs w:val="20"/>
              </w:rPr>
            </w:pPr>
            <w:r w:rsidRPr="006F72CC">
              <w:rPr>
                <w:rFonts w:ascii="Calibri" w:eastAsia="Times New Roman" w:hAnsi="Calibri" w:cs="Times New Roman"/>
                <w:sz w:val="20"/>
                <w:szCs w:val="20"/>
              </w:rPr>
              <w:t>0.0682</w:t>
            </w:r>
          </w:p>
        </w:tc>
      </w:tr>
      <w:tr w:rsidR="006F72CC" w:rsidRPr="006F72CC" w:rsidTr="006F72CC">
        <w:trPr>
          <w:trHeight w:val="285"/>
          <w:jc w:val="center"/>
        </w:trPr>
        <w:tc>
          <w:tcPr>
            <w:tcW w:w="968"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sz w:val="20"/>
                <w:szCs w:val="20"/>
              </w:rPr>
            </w:pPr>
            <w:proofErr w:type="spellStart"/>
            <w:r w:rsidRPr="006F72CC">
              <w:rPr>
                <w:rFonts w:ascii="Calibri" w:eastAsia="Times New Roman" w:hAnsi="Calibri" w:cs="Times New Roman"/>
                <w:sz w:val="20"/>
                <w:szCs w:val="20"/>
              </w:rPr>
              <w:t>Xss</w:t>
            </w:r>
            <w:proofErr w:type="spellEnd"/>
            <w:r w:rsidRPr="006F72CC">
              <w:rPr>
                <w:rFonts w:ascii="Calibri" w:eastAsia="Times New Roman" w:hAnsi="Calibri" w:cs="Times New Roman"/>
                <w:sz w:val="20"/>
                <w:szCs w:val="20"/>
              </w:rPr>
              <w:t>(278)</w:t>
            </w:r>
          </w:p>
        </w:tc>
        <w:tc>
          <w:tcPr>
            <w:tcW w:w="1257"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color w:val="000000"/>
                <w:sz w:val="20"/>
                <w:szCs w:val="20"/>
              </w:rPr>
            </w:pPr>
            <w:r w:rsidRPr="006F72CC">
              <w:rPr>
                <w:rFonts w:ascii="Calibri" w:eastAsia="Times New Roman" w:hAnsi="Calibri" w:cs="Times New Roman"/>
                <w:color w:val="000000"/>
                <w:sz w:val="20"/>
                <w:szCs w:val="20"/>
              </w:rPr>
              <w:t>u</w:t>
            </w:r>
            <w:r w:rsidRPr="006F72CC">
              <w:rPr>
                <w:rFonts w:ascii="Calibri" w:eastAsia="Times New Roman" w:hAnsi="Calibri" w:cs="Times New Roman"/>
                <w:color w:val="000000"/>
                <w:sz w:val="20"/>
                <w:szCs w:val="20"/>
                <w:vertAlign w:val="subscript"/>
              </w:rPr>
              <w:t>5</w:t>
            </w:r>
          </w:p>
        </w:tc>
        <w:tc>
          <w:tcPr>
            <w:tcW w:w="871"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sz w:val="20"/>
                <w:szCs w:val="20"/>
              </w:rPr>
            </w:pPr>
            <w:r w:rsidRPr="006F72CC">
              <w:rPr>
                <w:rFonts w:ascii="Calibri" w:eastAsia="Times New Roman" w:hAnsi="Calibri" w:cs="Times New Roman"/>
                <w:sz w:val="20"/>
                <w:szCs w:val="20"/>
              </w:rPr>
              <w:t>-0.0082</w:t>
            </w:r>
          </w:p>
        </w:tc>
        <w:tc>
          <w:tcPr>
            <w:tcW w:w="871"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sz w:val="20"/>
                <w:szCs w:val="20"/>
              </w:rPr>
            </w:pPr>
            <w:r w:rsidRPr="006F72CC">
              <w:rPr>
                <w:rFonts w:ascii="Calibri" w:eastAsia="Times New Roman" w:hAnsi="Calibri" w:cs="Times New Roman"/>
                <w:sz w:val="20"/>
                <w:szCs w:val="20"/>
              </w:rPr>
              <w:t>-0.0125</w:t>
            </w:r>
          </w:p>
        </w:tc>
        <w:tc>
          <w:tcPr>
            <w:tcW w:w="871"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b/>
                <w:bCs/>
                <w:color w:val="FF0000"/>
                <w:sz w:val="20"/>
                <w:szCs w:val="20"/>
              </w:rPr>
            </w:pPr>
            <w:r w:rsidRPr="006F72CC">
              <w:rPr>
                <w:rFonts w:ascii="Calibri" w:eastAsia="Times New Roman" w:hAnsi="Calibri" w:cs="Times New Roman"/>
                <w:b/>
                <w:bCs/>
                <w:color w:val="FF0000"/>
                <w:sz w:val="20"/>
                <w:szCs w:val="20"/>
              </w:rPr>
              <w:t>0.2096</w:t>
            </w:r>
          </w:p>
        </w:tc>
        <w:tc>
          <w:tcPr>
            <w:tcW w:w="871"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sz w:val="20"/>
                <w:szCs w:val="20"/>
              </w:rPr>
            </w:pPr>
            <w:r w:rsidRPr="006F72CC">
              <w:rPr>
                <w:rFonts w:ascii="Calibri" w:eastAsia="Times New Roman" w:hAnsi="Calibri" w:cs="Times New Roman"/>
                <w:sz w:val="20"/>
                <w:szCs w:val="20"/>
              </w:rPr>
              <w:t>0.1269</w:t>
            </w:r>
          </w:p>
        </w:tc>
        <w:tc>
          <w:tcPr>
            <w:tcW w:w="871"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sz w:val="20"/>
                <w:szCs w:val="20"/>
              </w:rPr>
            </w:pPr>
            <w:r w:rsidRPr="006F72CC">
              <w:rPr>
                <w:rFonts w:ascii="Calibri" w:eastAsia="Times New Roman" w:hAnsi="Calibri" w:cs="Times New Roman"/>
                <w:sz w:val="20"/>
                <w:szCs w:val="20"/>
              </w:rPr>
              <w:t>-0.0697</w:t>
            </w:r>
          </w:p>
        </w:tc>
      </w:tr>
      <w:tr w:rsidR="006F72CC" w:rsidRPr="006F72CC" w:rsidTr="006F72CC">
        <w:trPr>
          <w:trHeight w:val="285"/>
          <w:jc w:val="center"/>
        </w:trPr>
        <w:tc>
          <w:tcPr>
            <w:tcW w:w="968"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sz w:val="20"/>
                <w:szCs w:val="20"/>
              </w:rPr>
            </w:pPr>
            <w:proofErr w:type="spellStart"/>
            <w:r w:rsidRPr="006F72CC">
              <w:rPr>
                <w:rFonts w:ascii="Calibri" w:eastAsia="Times New Roman" w:hAnsi="Calibri" w:cs="Times New Roman"/>
                <w:sz w:val="20"/>
                <w:szCs w:val="20"/>
              </w:rPr>
              <w:t>Xss</w:t>
            </w:r>
            <w:proofErr w:type="spellEnd"/>
            <w:r w:rsidRPr="006F72CC">
              <w:rPr>
                <w:rFonts w:ascii="Calibri" w:eastAsia="Times New Roman" w:hAnsi="Calibri" w:cs="Times New Roman"/>
                <w:sz w:val="20"/>
                <w:szCs w:val="20"/>
              </w:rPr>
              <w:t>(279)</w:t>
            </w:r>
          </w:p>
        </w:tc>
        <w:tc>
          <w:tcPr>
            <w:tcW w:w="1257"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color w:val="000000"/>
                <w:sz w:val="20"/>
                <w:szCs w:val="20"/>
              </w:rPr>
            </w:pPr>
            <w:r w:rsidRPr="006F72CC">
              <w:rPr>
                <w:rFonts w:ascii="Calibri" w:eastAsia="Times New Roman" w:hAnsi="Calibri" w:cs="Times New Roman"/>
                <w:color w:val="000000"/>
                <w:sz w:val="20"/>
                <w:szCs w:val="20"/>
              </w:rPr>
              <w:t>u</w:t>
            </w:r>
            <w:r w:rsidRPr="006F72CC">
              <w:rPr>
                <w:rFonts w:ascii="Calibri" w:eastAsia="Times New Roman" w:hAnsi="Calibri" w:cs="Times New Roman"/>
                <w:color w:val="000000"/>
                <w:sz w:val="20"/>
                <w:szCs w:val="20"/>
                <w:vertAlign w:val="subscript"/>
              </w:rPr>
              <w:t>6</w:t>
            </w:r>
          </w:p>
        </w:tc>
        <w:tc>
          <w:tcPr>
            <w:tcW w:w="871"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sz w:val="20"/>
                <w:szCs w:val="20"/>
              </w:rPr>
            </w:pPr>
            <w:r w:rsidRPr="006F72CC">
              <w:rPr>
                <w:rFonts w:ascii="Calibri" w:eastAsia="Times New Roman" w:hAnsi="Calibri" w:cs="Times New Roman"/>
                <w:sz w:val="20"/>
                <w:szCs w:val="20"/>
              </w:rPr>
              <w:t>-0.0265</w:t>
            </w:r>
          </w:p>
        </w:tc>
        <w:tc>
          <w:tcPr>
            <w:tcW w:w="871"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b/>
                <w:bCs/>
                <w:color w:val="FF0000"/>
                <w:sz w:val="20"/>
                <w:szCs w:val="20"/>
              </w:rPr>
            </w:pPr>
            <w:r w:rsidRPr="006F72CC">
              <w:rPr>
                <w:rFonts w:ascii="Calibri" w:eastAsia="Times New Roman" w:hAnsi="Calibri" w:cs="Times New Roman"/>
                <w:b/>
                <w:bCs/>
                <w:color w:val="FF0000"/>
                <w:sz w:val="20"/>
                <w:szCs w:val="20"/>
              </w:rPr>
              <w:t>-0.5755</w:t>
            </w:r>
          </w:p>
        </w:tc>
        <w:tc>
          <w:tcPr>
            <w:tcW w:w="871"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b/>
                <w:bCs/>
                <w:color w:val="FF0000"/>
                <w:sz w:val="20"/>
                <w:szCs w:val="20"/>
              </w:rPr>
            </w:pPr>
            <w:r w:rsidRPr="006F72CC">
              <w:rPr>
                <w:rFonts w:ascii="Calibri" w:eastAsia="Times New Roman" w:hAnsi="Calibri" w:cs="Times New Roman"/>
                <w:b/>
                <w:bCs/>
                <w:color w:val="FF0000"/>
                <w:sz w:val="20"/>
                <w:szCs w:val="20"/>
              </w:rPr>
              <w:t>-0.1417</w:t>
            </w:r>
          </w:p>
        </w:tc>
        <w:tc>
          <w:tcPr>
            <w:tcW w:w="871"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sz w:val="20"/>
                <w:szCs w:val="20"/>
              </w:rPr>
            </w:pPr>
            <w:r w:rsidRPr="006F72CC">
              <w:rPr>
                <w:rFonts w:ascii="Calibri" w:eastAsia="Times New Roman" w:hAnsi="Calibri" w:cs="Times New Roman"/>
                <w:sz w:val="20"/>
                <w:szCs w:val="20"/>
              </w:rPr>
              <w:t>-0.0238</w:t>
            </w:r>
          </w:p>
        </w:tc>
        <w:tc>
          <w:tcPr>
            <w:tcW w:w="871" w:type="dxa"/>
            <w:tcBorders>
              <w:top w:val="nil"/>
              <w:left w:val="nil"/>
              <w:bottom w:val="nil"/>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sz w:val="20"/>
                <w:szCs w:val="20"/>
              </w:rPr>
            </w:pPr>
            <w:r w:rsidRPr="006F72CC">
              <w:rPr>
                <w:rFonts w:ascii="Calibri" w:eastAsia="Times New Roman" w:hAnsi="Calibri" w:cs="Times New Roman"/>
                <w:sz w:val="20"/>
                <w:szCs w:val="20"/>
              </w:rPr>
              <w:t>0.0265</w:t>
            </w:r>
          </w:p>
        </w:tc>
      </w:tr>
      <w:tr w:rsidR="006F72CC" w:rsidRPr="006F72CC" w:rsidTr="006F72CC">
        <w:trPr>
          <w:trHeight w:val="300"/>
          <w:jc w:val="center"/>
        </w:trPr>
        <w:tc>
          <w:tcPr>
            <w:tcW w:w="968" w:type="dxa"/>
            <w:tcBorders>
              <w:top w:val="nil"/>
              <w:left w:val="nil"/>
              <w:bottom w:val="single" w:sz="8" w:space="0" w:color="auto"/>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sz w:val="20"/>
                <w:szCs w:val="20"/>
              </w:rPr>
            </w:pPr>
            <w:proofErr w:type="spellStart"/>
            <w:r w:rsidRPr="006F72CC">
              <w:rPr>
                <w:rFonts w:ascii="Calibri" w:eastAsia="Times New Roman" w:hAnsi="Calibri" w:cs="Times New Roman"/>
                <w:sz w:val="20"/>
                <w:szCs w:val="20"/>
              </w:rPr>
              <w:t>Xss</w:t>
            </w:r>
            <w:proofErr w:type="spellEnd"/>
            <w:r w:rsidRPr="006F72CC">
              <w:rPr>
                <w:rFonts w:ascii="Calibri" w:eastAsia="Times New Roman" w:hAnsi="Calibri" w:cs="Times New Roman"/>
                <w:sz w:val="20"/>
                <w:szCs w:val="20"/>
              </w:rPr>
              <w:t>(280)</w:t>
            </w:r>
          </w:p>
        </w:tc>
        <w:tc>
          <w:tcPr>
            <w:tcW w:w="1257" w:type="dxa"/>
            <w:tcBorders>
              <w:top w:val="nil"/>
              <w:left w:val="nil"/>
              <w:bottom w:val="single" w:sz="8" w:space="0" w:color="auto"/>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color w:val="000000"/>
                <w:sz w:val="20"/>
                <w:szCs w:val="20"/>
              </w:rPr>
            </w:pPr>
            <w:r w:rsidRPr="006F72CC">
              <w:rPr>
                <w:rFonts w:ascii="Calibri" w:eastAsia="Times New Roman" w:hAnsi="Calibri" w:cs="Times New Roman"/>
                <w:color w:val="000000"/>
                <w:sz w:val="20"/>
                <w:szCs w:val="20"/>
              </w:rPr>
              <w:t>u</w:t>
            </w:r>
            <w:r w:rsidRPr="006F72CC">
              <w:rPr>
                <w:rFonts w:ascii="Calibri" w:eastAsia="Times New Roman" w:hAnsi="Calibri" w:cs="Times New Roman"/>
                <w:color w:val="000000"/>
                <w:sz w:val="20"/>
                <w:szCs w:val="20"/>
                <w:vertAlign w:val="subscript"/>
              </w:rPr>
              <w:t>7</w:t>
            </w:r>
          </w:p>
        </w:tc>
        <w:tc>
          <w:tcPr>
            <w:tcW w:w="871" w:type="dxa"/>
            <w:tcBorders>
              <w:top w:val="nil"/>
              <w:left w:val="nil"/>
              <w:bottom w:val="single" w:sz="8" w:space="0" w:color="auto"/>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sz w:val="20"/>
                <w:szCs w:val="20"/>
              </w:rPr>
            </w:pPr>
            <w:r w:rsidRPr="006F72CC">
              <w:rPr>
                <w:rFonts w:ascii="Calibri" w:eastAsia="Times New Roman" w:hAnsi="Calibri" w:cs="Times New Roman"/>
                <w:sz w:val="20"/>
                <w:szCs w:val="20"/>
              </w:rPr>
              <w:t>-0.0010</w:t>
            </w:r>
          </w:p>
        </w:tc>
        <w:tc>
          <w:tcPr>
            <w:tcW w:w="871" w:type="dxa"/>
            <w:tcBorders>
              <w:top w:val="nil"/>
              <w:left w:val="nil"/>
              <w:bottom w:val="single" w:sz="8" w:space="0" w:color="auto"/>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sz w:val="20"/>
                <w:szCs w:val="20"/>
              </w:rPr>
            </w:pPr>
            <w:r w:rsidRPr="006F72CC">
              <w:rPr>
                <w:rFonts w:ascii="Calibri" w:eastAsia="Times New Roman" w:hAnsi="Calibri" w:cs="Times New Roman"/>
                <w:sz w:val="20"/>
                <w:szCs w:val="20"/>
              </w:rPr>
              <w:t>-0.0014</w:t>
            </w:r>
          </w:p>
        </w:tc>
        <w:tc>
          <w:tcPr>
            <w:tcW w:w="871" w:type="dxa"/>
            <w:tcBorders>
              <w:top w:val="nil"/>
              <w:left w:val="nil"/>
              <w:bottom w:val="single" w:sz="8" w:space="0" w:color="auto"/>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sz w:val="20"/>
                <w:szCs w:val="20"/>
              </w:rPr>
            </w:pPr>
            <w:r w:rsidRPr="006F72CC">
              <w:rPr>
                <w:rFonts w:ascii="Calibri" w:eastAsia="Times New Roman" w:hAnsi="Calibri" w:cs="Times New Roman"/>
                <w:sz w:val="20"/>
                <w:szCs w:val="20"/>
              </w:rPr>
              <w:t>0.0106</w:t>
            </w:r>
          </w:p>
        </w:tc>
        <w:tc>
          <w:tcPr>
            <w:tcW w:w="871" w:type="dxa"/>
            <w:tcBorders>
              <w:top w:val="nil"/>
              <w:left w:val="nil"/>
              <w:bottom w:val="single" w:sz="8" w:space="0" w:color="auto"/>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sz w:val="20"/>
                <w:szCs w:val="20"/>
              </w:rPr>
            </w:pPr>
            <w:r w:rsidRPr="006F72CC">
              <w:rPr>
                <w:rFonts w:ascii="Calibri" w:eastAsia="Times New Roman" w:hAnsi="Calibri" w:cs="Times New Roman"/>
                <w:sz w:val="20"/>
                <w:szCs w:val="20"/>
              </w:rPr>
              <w:t>0.0390</w:t>
            </w:r>
          </w:p>
        </w:tc>
        <w:tc>
          <w:tcPr>
            <w:tcW w:w="871" w:type="dxa"/>
            <w:tcBorders>
              <w:top w:val="nil"/>
              <w:left w:val="nil"/>
              <w:bottom w:val="single" w:sz="8" w:space="0" w:color="auto"/>
              <w:right w:val="nil"/>
            </w:tcBorders>
            <w:shd w:val="clear" w:color="auto" w:fill="auto"/>
            <w:noWrap/>
            <w:vAlign w:val="center"/>
            <w:hideMark/>
          </w:tcPr>
          <w:p w:rsidR="006F72CC" w:rsidRPr="006F72CC" w:rsidRDefault="006F72CC" w:rsidP="006F72CC">
            <w:pPr>
              <w:spacing w:after="0" w:line="240" w:lineRule="auto"/>
              <w:jc w:val="center"/>
              <w:rPr>
                <w:rFonts w:ascii="Calibri" w:eastAsia="Times New Roman" w:hAnsi="Calibri" w:cs="Times New Roman"/>
                <w:b/>
                <w:bCs/>
                <w:color w:val="FF0000"/>
                <w:sz w:val="20"/>
                <w:szCs w:val="20"/>
              </w:rPr>
            </w:pPr>
            <w:r w:rsidRPr="006F72CC">
              <w:rPr>
                <w:rFonts w:ascii="Calibri" w:eastAsia="Times New Roman" w:hAnsi="Calibri" w:cs="Times New Roman"/>
                <w:b/>
                <w:bCs/>
                <w:color w:val="FF0000"/>
                <w:sz w:val="20"/>
                <w:szCs w:val="20"/>
              </w:rPr>
              <w:t>-0.3602</w:t>
            </w:r>
          </w:p>
        </w:tc>
      </w:tr>
    </w:tbl>
    <w:p w:rsidR="006F72CC" w:rsidRDefault="006F72CC"/>
    <w:p w:rsidR="00761961" w:rsidRDefault="00761961">
      <w:pPr>
        <w:rPr>
          <w:bCs/>
        </w:rPr>
      </w:pPr>
    </w:p>
    <w:p w:rsidR="006F72CC" w:rsidRDefault="006F72CC">
      <w:pPr>
        <w:rPr>
          <w:bCs/>
        </w:rPr>
      </w:pPr>
      <w:r>
        <w:rPr>
          <w:bCs/>
        </w:rPr>
        <w:br w:type="page"/>
      </w:r>
    </w:p>
    <w:p w:rsidR="00DD216A" w:rsidRDefault="00E664E4" w:rsidP="00DD216A">
      <w:pPr>
        <w:rPr>
          <w:bCs/>
        </w:rPr>
      </w:pPr>
      <w:r>
        <w:rPr>
          <w:bCs/>
        </w:rPr>
        <w:lastRenderedPageBreak/>
        <w:t xml:space="preserve">The scores, </w:t>
      </w:r>
      <m:oMath>
        <m:r>
          <w:rPr>
            <w:rFonts w:ascii="Cambria Math" w:hAnsi="Cambria Math"/>
          </w:rPr>
          <m:t>T</m:t>
        </m:r>
      </m:oMath>
      <w:r>
        <w:rPr>
          <w:bCs/>
        </w:rPr>
        <w:t xml:space="preserve">, were calculated using the noisy, mean-centered, scaled base case data matrix, </w:t>
      </w:r>
      <m:oMath>
        <m:sSub>
          <m:sSubPr>
            <m:ctrlPr>
              <w:rPr>
                <w:rFonts w:ascii="Cambria Math" w:hAnsi="Cambria Math"/>
                <w:bCs/>
                <w:i/>
              </w:rPr>
            </m:ctrlPr>
          </m:sSubPr>
          <m:e>
            <m:r>
              <w:rPr>
                <w:rFonts w:ascii="Cambria Math" w:hAnsi="Cambria Math"/>
              </w:rPr>
              <m:t>X</m:t>
            </m:r>
          </m:e>
          <m:sub>
            <m:r>
              <w:rPr>
                <w:rFonts w:ascii="Cambria Math" w:hAnsi="Cambria Math"/>
              </w:rPr>
              <m:t>s</m:t>
            </m:r>
          </m:sub>
        </m:sSub>
      </m:oMath>
      <w:r>
        <w:rPr>
          <w:bCs/>
        </w:rPr>
        <w:t xml:space="preserve">, and the reduced loadings vectors, </w:t>
      </w:r>
      <m:oMath>
        <m:sSub>
          <m:sSubPr>
            <m:ctrlPr>
              <w:rPr>
                <w:rFonts w:ascii="Cambria Math" w:hAnsi="Cambria Math"/>
                <w:bCs/>
                <w:i/>
              </w:rPr>
            </m:ctrlPr>
          </m:sSubPr>
          <m:e>
            <m:r>
              <w:rPr>
                <w:rFonts w:ascii="Cambria Math" w:hAnsi="Cambria Math"/>
              </w:rPr>
              <m:t>V</m:t>
            </m:r>
          </m:e>
          <m:sub>
            <m:r>
              <w:rPr>
                <w:rFonts w:ascii="Cambria Math" w:hAnsi="Cambria Math"/>
              </w:rPr>
              <m:t>a</m:t>
            </m:r>
          </m:sub>
        </m:sSub>
      </m:oMath>
      <w:r>
        <w:rPr>
          <w:bCs/>
        </w:rPr>
        <w:t>, as discussed earlier. Additionally, the residuals, the Mahalanobis distance (</w:t>
      </w:r>
      <m:oMath>
        <m:sSup>
          <m:sSupPr>
            <m:ctrlPr>
              <w:rPr>
                <w:rFonts w:ascii="Cambria Math" w:hAnsi="Cambria Math"/>
                <w:bCs/>
                <w:i/>
              </w:rPr>
            </m:ctrlPr>
          </m:sSupPr>
          <m:e>
            <m:r>
              <w:rPr>
                <w:rFonts w:ascii="Cambria Math" w:hAnsi="Cambria Math"/>
              </w:rPr>
              <m:t>T</m:t>
            </m:r>
          </m:e>
          <m:sup>
            <m:r>
              <w:rPr>
                <w:rFonts w:ascii="Cambria Math" w:hAnsi="Cambria Math"/>
              </w:rPr>
              <m:t>2</m:t>
            </m:r>
          </m:sup>
        </m:sSup>
      </m:oMath>
      <w:r>
        <w:rPr>
          <w:bCs/>
        </w:rPr>
        <w:t xml:space="preserve">), and the </w:t>
      </w:r>
      <m:oMath>
        <m:r>
          <w:rPr>
            <w:rFonts w:ascii="Cambria Math" w:hAnsi="Cambria Math"/>
          </w:rPr>
          <m:t>Q</m:t>
        </m:r>
      </m:oMath>
      <w:r>
        <w:rPr>
          <w:bCs/>
        </w:rPr>
        <w:t xml:space="preserve">-statistic were calculated for the base case. The scores </w:t>
      </w:r>
      <w:r w:rsidR="0080501B">
        <w:rPr>
          <w:bCs/>
        </w:rPr>
        <w:t xml:space="preserve">plot </w:t>
      </w:r>
      <w:r>
        <w:rPr>
          <w:bCs/>
        </w:rPr>
        <w:t xml:space="preserve">can be </w:t>
      </w:r>
      <w:r w:rsidR="0080501B">
        <w:rPr>
          <w:bCs/>
        </w:rPr>
        <w:t xml:space="preserve">used later on </w:t>
      </w:r>
      <w:r>
        <w:rPr>
          <w:bCs/>
        </w:rPr>
        <w:t>to</w:t>
      </w:r>
      <w:r w:rsidR="0080501B">
        <w:rPr>
          <w:bCs/>
        </w:rPr>
        <w:t xml:space="preserve"> monitor</w:t>
      </w:r>
      <w:r>
        <w:rPr>
          <w:bCs/>
        </w:rPr>
        <w:t xml:space="preserve"> </w:t>
      </w:r>
      <w:r w:rsidR="0080501B">
        <w:rPr>
          <w:bCs/>
        </w:rPr>
        <w:t xml:space="preserve">if </w:t>
      </w:r>
      <w:r>
        <w:rPr>
          <w:bCs/>
        </w:rPr>
        <w:t>the input values are outside the accepted normal range</w:t>
      </w:r>
      <w:r w:rsidR="0080501B">
        <w:rPr>
          <w:bCs/>
        </w:rPr>
        <w:t xml:space="preserve"> resulting in a larger than normal responses in the key state variables</w:t>
      </w:r>
      <w:r>
        <w:rPr>
          <w:bCs/>
        </w:rPr>
        <w:t xml:space="preserve">. </w:t>
      </w:r>
      <w:r w:rsidR="0080501B">
        <w:rPr>
          <w:bCs/>
        </w:rPr>
        <w:t>In monitoring future operations, t</w:t>
      </w:r>
      <w:r>
        <w:rPr>
          <w:bCs/>
        </w:rPr>
        <w:t xml:space="preserve">he Mahalanobis distance </w:t>
      </w:r>
      <w:r w:rsidR="0080501B">
        <w:rPr>
          <w:bCs/>
        </w:rPr>
        <w:t xml:space="preserve">would be </w:t>
      </w:r>
      <w:r>
        <w:rPr>
          <w:bCs/>
        </w:rPr>
        <w:t xml:space="preserve">used to measure the variation in the scores space and to determine if the variations fall outside the 95% confidence boundary. The 95% confidence level on </w:t>
      </w:r>
      <m:oMath>
        <m:sSup>
          <m:sSupPr>
            <m:ctrlPr>
              <w:rPr>
                <w:rFonts w:ascii="Cambria Math" w:hAnsi="Cambria Math"/>
                <w:bCs/>
                <w:i/>
              </w:rPr>
            </m:ctrlPr>
          </m:sSupPr>
          <m:e>
            <m:r>
              <w:rPr>
                <w:rFonts w:ascii="Cambria Math" w:hAnsi="Cambria Math"/>
              </w:rPr>
              <m:t>T</m:t>
            </m:r>
          </m:e>
          <m:sup>
            <m:r>
              <w:rPr>
                <w:rFonts w:ascii="Cambria Math" w:hAnsi="Cambria Math"/>
              </w:rPr>
              <m:t>2</m:t>
            </m:r>
          </m:sup>
        </m:sSup>
      </m:oMath>
      <w:r>
        <w:rPr>
          <w:bCs/>
        </w:rPr>
        <w:t xml:space="preserve"> was determined to be </w:t>
      </w:r>
      <w:r w:rsidR="0080501B">
        <w:rPr>
          <w:bCs/>
        </w:rPr>
        <w:t>~</w:t>
      </w:r>
      <w:r w:rsidR="00C94BDC" w:rsidRPr="00C94BDC">
        <w:rPr>
          <w:bCs/>
        </w:rPr>
        <w:t>11</w:t>
      </w:r>
      <w:r>
        <w:rPr>
          <w:bCs/>
        </w:rPr>
        <w:t>. Figures 4.</w:t>
      </w:r>
      <w:r w:rsidR="0080501B">
        <w:rPr>
          <w:bCs/>
        </w:rPr>
        <w:t>7</w:t>
      </w:r>
      <w:r>
        <w:rPr>
          <w:bCs/>
        </w:rPr>
        <w:t>–4.</w:t>
      </w:r>
      <w:r w:rsidR="0080501B">
        <w:rPr>
          <w:bCs/>
        </w:rPr>
        <w:t>9</w:t>
      </w:r>
      <w:r>
        <w:rPr>
          <w:bCs/>
        </w:rPr>
        <w:t xml:space="preserve"> show the scores plots for PC1 versus PC2, PC1 versus PC3, and PC2 versus PC3, respectively. Figures 4.1</w:t>
      </w:r>
      <w:r w:rsidR="0080501B">
        <w:rPr>
          <w:bCs/>
        </w:rPr>
        <w:t>0</w:t>
      </w:r>
      <w:r>
        <w:rPr>
          <w:bCs/>
        </w:rPr>
        <w:t xml:space="preserve"> shows a 3D plot of the scores for PC1, PC2, and PC3 where the 95% boundary is a transparent ellipsoid. For each of these plots, only a few points lie outside the bounding ellipse as expected. Figure 4.1</w:t>
      </w:r>
      <w:r w:rsidR="0080501B">
        <w:rPr>
          <w:bCs/>
        </w:rPr>
        <w:t>1</w:t>
      </w:r>
      <w:r>
        <w:rPr>
          <w:bCs/>
        </w:rPr>
        <w:t xml:space="preserve"> shows the Mahalanobis distance and its 95% confidence level. Again most points are within the 95% confidence level. </w:t>
      </w:r>
      <w:r w:rsidR="0080501B">
        <w:rPr>
          <w:bCs/>
        </w:rPr>
        <w:t>When monitoring future operations, t</w:t>
      </w:r>
      <w:r>
        <w:rPr>
          <w:bCs/>
        </w:rPr>
        <w:t xml:space="preserve">he </w:t>
      </w:r>
      <m:oMath>
        <m:r>
          <w:rPr>
            <w:rFonts w:ascii="Cambria Math" w:hAnsi="Cambria Math"/>
          </w:rPr>
          <m:t>Q</m:t>
        </m:r>
      </m:oMath>
      <w:r>
        <w:rPr>
          <w:bCs/>
        </w:rPr>
        <w:t xml:space="preserve">-statistic </w:t>
      </w:r>
      <w:r w:rsidR="0080501B">
        <w:rPr>
          <w:bCs/>
        </w:rPr>
        <w:t xml:space="preserve">would be </w:t>
      </w:r>
      <w:r>
        <w:rPr>
          <w:bCs/>
        </w:rPr>
        <w:t xml:space="preserve">used to determine if the process is operating normally as defined by the </w:t>
      </w:r>
      <w:r w:rsidR="0080501B">
        <w:rPr>
          <w:bCs/>
        </w:rPr>
        <w:t xml:space="preserve">base case </w:t>
      </w:r>
      <w:r>
        <w:rPr>
          <w:bCs/>
        </w:rPr>
        <w:t xml:space="preserve">PCA model (i.e., does the model still fit). The 95% confidence level on Q was </w:t>
      </w:r>
      <w:r w:rsidR="0080501B">
        <w:rPr>
          <w:bCs/>
        </w:rPr>
        <w:t>~62</w:t>
      </w:r>
      <w:r>
        <w:rPr>
          <w:bCs/>
        </w:rPr>
        <w:t>. Figure 4.1</w:t>
      </w:r>
      <w:r w:rsidR="0080501B">
        <w:rPr>
          <w:bCs/>
        </w:rPr>
        <w:t>2</w:t>
      </w:r>
      <w:r>
        <w:rPr>
          <w:bCs/>
        </w:rPr>
        <w:t xml:space="preserve"> shows the </w:t>
      </w:r>
      <m:oMath>
        <m:r>
          <w:rPr>
            <w:rFonts w:ascii="Cambria Math" w:hAnsi="Cambria Math"/>
          </w:rPr>
          <m:t>Q</m:t>
        </m:r>
      </m:oMath>
      <w:r>
        <w:rPr>
          <w:bCs/>
        </w:rPr>
        <w:t>-statistic and its 95% confidence level. Figure 4.1</w:t>
      </w:r>
      <w:r w:rsidR="0080501B">
        <w:rPr>
          <w:bCs/>
        </w:rPr>
        <w:t>3</w:t>
      </w:r>
      <w:r>
        <w:rPr>
          <w:bCs/>
        </w:rPr>
        <w:t xml:space="preserve"> shows a </w:t>
      </w:r>
      <w:r w:rsidR="00454164" w:rsidRPr="00454164">
        <w:rPr>
          <w:bCs/>
        </w:rPr>
        <w:t xml:space="preserve">3D plot of </w:t>
      </w:r>
      <m:oMath>
        <m:r>
          <w:rPr>
            <w:rFonts w:ascii="Cambria Math" w:hAnsi="Cambria Math"/>
          </w:rPr>
          <m:t>Q</m:t>
        </m:r>
      </m:oMath>
      <w:r w:rsidR="00454164" w:rsidRPr="00454164">
        <w:rPr>
          <w:bCs/>
        </w:rPr>
        <w:t xml:space="preserve"> vs. PC1 and PC2 scores</w:t>
      </w:r>
      <w:r>
        <w:rPr>
          <w:bCs/>
        </w:rPr>
        <w:t>. The patterns in the data were an artifact of how the data was generated and were not significant to the model. The data was generated in a stepwise fashion by systemically changing each input variable and calculating the result.</w:t>
      </w:r>
    </w:p>
    <w:p w:rsidR="00032422" w:rsidRDefault="007647CF" w:rsidP="00DD216A">
      <w:pPr>
        <w:rPr>
          <w:bCs/>
        </w:rPr>
      </w:pPr>
      <w:r>
        <w:rPr>
          <w:noProof/>
        </w:rPr>
        <w:lastRenderedPageBreak/>
        <w:drawing>
          <wp:inline distT="0" distB="0" distL="0" distR="0" wp14:anchorId="08D1E0D8" wp14:editId="76AB6C66">
            <wp:extent cx="5943600" cy="4457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a:stretch>
                      <a:fillRect/>
                    </a:stretch>
                  </pic:blipFill>
                  <pic:spPr>
                    <a:xfrm>
                      <a:off x="0" y="0"/>
                      <a:ext cx="5943600" cy="4457700"/>
                    </a:xfrm>
                    <a:prstGeom prst="rect">
                      <a:avLst/>
                    </a:prstGeom>
                  </pic:spPr>
                </pic:pic>
              </a:graphicData>
            </a:graphic>
          </wp:inline>
        </w:drawing>
      </w:r>
    </w:p>
    <w:p w:rsidR="00E664E4" w:rsidRDefault="00B72F85" w:rsidP="00E664E4">
      <w:pPr>
        <w:jc w:val="center"/>
        <w:rPr>
          <w:b/>
          <w:sz w:val="20"/>
          <w:szCs w:val="20"/>
        </w:rPr>
      </w:pPr>
      <w:r>
        <w:rPr>
          <w:b/>
          <w:sz w:val="20"/>
          <w:szCs w:val="20"/>
        </w:rPr>
        <w:t>Figure 4.</w:t>
      </w:r>
      <w:r w:rsidR="0080501B">
        <w:rPr>
          <w:b/>
          <w:sz w:val="20"/>
          <w:szCs w:val="20"/>
        </w:rPr>
        <w:t>7</w:t>
      </w:r>
      <w:r w:rsidR="00E664E4">
        <w:rPr>
          <w:b/>
          <w:sz w:val="20"/>
          <w:szCs w:val="20"/>
        </w:rPr>
        <w:t>. Base Case Scores Plot for PC1 and PC2.</w:t>
      </w:r>
    </w:p>
    <w:p w:rsidR="00E664E4" w:rsidRDefault="007647CF" w:rsidP="00E664E4">
      <w:pPr>
        <w:jc w:val="center"/>
      </w:pPr>
      <w:r>
        <w:rPr>
          <w:noProof/>
        </w:rPr>
        <w:lastRenderedPageBreak/>
        <w:drawing>
          <wp:inline distT="0" distB="0" distL="0" distR="0" wp14:anchorId="203FCCE1" wp14:editId="4AA38710">
            <wp:extent cx="5943600" cy="44577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6"/>
                    <a:stretch>
                      <a:fillRect/>
                    </a:stretch>
                  </pic:blipFill>
                  <pic:spPr>
                    <a:xfrm>
                      <a:off x="0" y="0"/>
                      <a:ext cx="5943600" cy="4457700"/>
                    </a:xfrm>
                    <a:prstGeom prst="rect">
                      <a:avLst/>
                    </a:prstGeom>
                  </pic:spPr>
                </pic:pic>
              </a:graphicData>
            </a:graphic>
          </wp:inline>
        </w:drawing>
      </w:r>
    </w:p>
    <w:p w:rsidR="00E664E4" w:rsidRDefault="0080501B" w:rsidP="00E664E4">
      <w:pPr>
        <w:jc w:val="center"/>
        <w:rPr>
          <w:b/>
          <w:sz w:val="20"/>
          <w:szCs w:val="20"/>
        </w:rPr>
      </w:pPr>
      <w:r>
        <w:rPr>
          <w:b/>
          <w:sz w:val="20"/>
          <w:szCs w:val="20"/>
        </w:rPr>
        <w:t>Figure 4.8</w:t>
      </w:r>
      <w:r w:rsidR="00E664E4">
        <w:rPr>
          <w:b/>
          <w:sz w:val="20"/>
          <w:szCs w:val="20"/>
        </w:rPr>
        <w:t>. Base Case Scores Plot for PC1 and PC3.</w:t>
      </w:r>
    </w:p>
    <w:p w:rsidR="00B52930" w:rsidRDefault="007647CF" w:rsidP="00E664E4">
      <w:pPr>
        <w:jc w:val="center"/>
        <w:rPr>
          <w:b/>
          <w:sz w:val="20"/>
          <w:szCs w:val="20"/>
        </w:rPr>
      </w:pPr>
      <w:r>
        <w:rPr>
          <w:noProof/>
        </w:rPr>
        <w:lastRenderedPageBreak/>
        <w:drawing>
          <wp:inline distT="0" distB="0" distL="0" distR="0" wp14:anchorId="7E815AE8" wp14:editId="43897E47">
            <wp:extent cx="5943600" cy="44577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a:stretch>
                      <a:fillRect/>
                    </a:stretch>
                  </pic:blipFill>
                  <pic:spPr>
                    <a:xfrm>
                      <a:off x="0" y="0"/>
                      <a:ext cx="5943600" cy="4457700"/>
                    </a:xfrm>
                    <a:prstGeom prst="rect">
                      <a:avLst/>
                    </a:prstGeom>
                  </pic:spPr>
                </pic:pic>
              </a:graphicData>
            </a:graphic>
          </wp:inline>
        </w:drawing>
      </w:r>
    </w:p>
    <w:p w:rsidR="00E664E4" w:rsidRDefault="0080501B" w:rsidP="00E664E4">
      <w:pPr>
        <w:jc w:val="center"/>
        <w:rPr>
          <w:b/>
          <w:sz w:val="20"/>
          <w:szCs w:val="20"/>
        </w:rPr>
      </w:pPr>
      <w:r>
        <w:rPr>
          <w:b/>
          <w:sz w:val="20"/>
          <w:szCs w:val="20"/>
        </w:rPr>
        <w:t>Figure 4.9</w:t>
      </w:r>
      <w:r w:rsidR="00E664E4">
        <w:rPr>
          <w:b/>
          <w:sz w:val="20"/>
          <w:szCs w:val="20"/>
        </w:rPr>
        <w:t>. Base Case Scores Plot for PC2 and PC3.</w:t>
      </w:r>
    </w:p>
    <w:p w:rsidR="00E664E4" w:rsidRDefault="007647CF" w:rsidP="00E664E4">
      <w:pPr>
        <w:jc w:val="center"/>
      </w:pPr>
      <w:r>
        <w:rPr>
          <w:noProof/>
        </w:rPr>
        <w:lastRenderedPageBreak/>
        <w:drawing>
          <wp:inline distT="0" distB="0" distL="0" distR="0" wp14:anchorId="0CBE3759" wp14:editId="785E04BB">
            <wp:extent cx="5943600" cy="44577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a:stretch>
                      <a:fillRect/>
                    </a:stretch>
                  </pic:blipFill>
                  <pic:spPr>
                    <a:xfrm>
                      <a:off x="0" y="0"/>
                      <a:ext cx="5943600" cy="4457700"/>
                    </a:xfrm>
                    <a:prstGeom prst="rect">
                      <a:avLst/>
                    </a:prstGeom>
                  </pic:spPr>
                </pic:pic>
              </a:graphicData>
            </a:graphic>
          </wp:inline>
        </w:drawing>
      </w:r>
    </w:p>
    <w:p w:rsidR="00E664E4" w:rsidRDefault="00B72F85" w:rsidP="00E664E4">
      <w:pPr>
        <w:jc w:val="center"/>
        <w:rPr>
          <w:b/>
          <w:sz w:val="20"/>
          <w:szCs w:val="20"/>
        </w:rPr>
      </w:pPr>
      <w:r>
        <w:rPr>
          <w:b/>
          <w:sz w:val="20"/>
          <w:szCs w:val="20"/>
        </w:rPr>
        <w:t>Figure 4.1</w:t>
      </w:r>
      <w:r w:rsidR="0080501B">
        <w:rPr>
          <w:b/>
          <w:sz w:val="20"/>
          <w:szCs w:val="20"/>
        </w:rPr>
        <w:t>0</w:t>
      </w:r>
      <w:r w:rsidR="00E664E4">
        <w:rPr>
          <w:b/>
          <w:sz w:val="20"/>
          <w:szCs w:val="20"/>
        </w:rPr>
        <w:t>. Base Case 3D Scores Plot for PC1, PC2, and PC3.</w:t>
      </w:r>
    </w:p>
    <w:p w:rsidR="00E664E4" w:rsidRDefault="007647CF" w:rsidP="00E664E4">
      <w:pPr>
        <w:jc w:val="center"/>
      </w:pPr>
      <w:r>
        <w:rPr>
          <w:noProof/>
        </w:rPr>
        <w:lastRenderedPageBreak/>
        <w:drawing>
          <wp:inline distT="0" distB="0" distL="0" distR="0" wp14:anchorId="49E86B00" wp14:editId="745DBC95">
            <wp:extent cx="5943600" cy="44577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9"/>
                    <a:stretch>
                      <a:fillRect/>
                    </a:stretch>
                  </pic:blipFill>
                  <pic:spPr>
                    <a:xfrm>
                      <a:off x="0" y="0"/>
                      <a:ext cx="5943600" cy="4457700"/>
                    </a:xfrm>
                    <a:prstGeom prst="rect">
                      <a:avLst/>
                    </a:prstGeom>
                  </pic:spPr>
                </pic:pic>
              </a:graphicData>
            </a:graphic>
          </wp:inline>
        </w:drawing>
      </w:r>
    </w:p>
    <w:p w:rsidR="00E664E4" w:rsidRDefault="00E664E4" w:rsidP="00E664E4">
      <w:pPr>
        <w:jc w:val="center"/>
        <w:rPr>
          <w:b/>
          <w:sz w:val="20"/>
          <w:szCs w:val="20"/>
        </w:rPr>
      </w:pPr>
      <w:r>
        <w:rPr>
          <w:b/>
          <w:sz w:val="20"/>
          <w:szCs w:val="20"/>
        </w:rPr>
        <w:t>Figure 4.1</w:t>
      </w:r>
      <w:r w:rsidR="0080501B">
        <w:rPr>
          <w:b/>
          <w:sz w:val="20"/>
          <w:szCs w:val="20"/>
        </w:rPr>
        <w:t>1</w:t>
      </w:r>
      <w:r>
        <w:rPr>
          <w:b/>
          <w:sz w:val="20"/>
          <w:szCs w:val="20"/>
        </w:rPr>
        <w:t>. Base Case Mahalanobis Distance and 95% Confidence Boundary.</w:t>
      </w:r>
    </w:p>
    <w:p w:rsidR="00E664E4" w:rsidRDefault="007647CF" w:rsidP="00E664E4">
      <w:pPr>
        <w:jc w:val="center"/>
      </w:pPr>
      <w:r>
        <w:rPr>
          <w:noProof/>
        </w:rPr>
        <w:lastRenderedPageBreak/>
        <w:drawing>
          <wp:inline distT="0" distB="0" distL="0" distR="0" wp14:anchorId="4B189B50" wp14:editId="0A0B1738">
            <wp:extent cx="5943600" cy="44577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a:stretch>
                      <a:fillRect/>
                    </a:stretch>
                  </pic:blipFill>
                  <pic:spPr>
                    <a:xfrm>
                      <a:off x="0" y="0"/>
                      <a:ext cx="5943600" cy="4457700"/>
                    </a:xfrm>
                    <a:prstGeom prst="rect">
                      <a:avLst/>
                    </a:prstGeom>
                  </pic:spPr>
                </pic:pic>
              </a:graphicData>
            </a:graphic>
          </wp:inline>
        </w:drawing>
      </w:r>
    </w:p>
    <w:p w:rsidR="00E664E4" w:rsidRDefault="00B72F85" w:rsidP="00E664E4">
      <w:pPr>
        <w:jc w:val="center"/>
        <w:rPr>
          <w:b/>
          <w:sz w:val="20"/>
          <w:szCs w:val="20"/>
        </w:rPr>
      </w:pPr>
      <w:r>
        <w:rPr>
          <w:b/>
          <w:sz w:val="20"/>
          <w:szCs w:val="20"/>
        </w:rPr>
        <w:t>Figure 4.1</w:t>
      </w:r>
      <w:r w:rsidR="0080501B">
        <w:rPr>
          <w:b/>
          <w:sz w:val="20"/>
          <w:szCs w:val="20"/>
        </w:rPr>
        <w:t>2</w:t>
      </w:r>
      <w:r w:rsidR="00E664E4">
        <w:rPr>
          <w:b/>
          <w:sz w:val="20"/>
          <w:szCs w:val="20"/>
        </w:rPr>
        <w:t xml:space="preserve">. Base Case </w:t>
      </w:r>
      <m:oMath>
        <m:r>
          <m:rPr>
            <m:sty m:val="bi"/>
          </m:rPr>
          <w:rPr>
            <w:rFonts w:ascii="Cambria Math" w:hAnsi="Cambria Math"/>
            <w:sz w:val="20"/>
            <w:szCs w:val="20"/>
          </w:rPr>
          <m:t>Q</m:t>
        </m:r>
      </m:oMath>
      <w:r w:rsidR="00E664E4">
        <w:rPr>
          <w:b/>
          <w:sz w:val="20"/>
          <w:szCs w:val="20"/>
        </w:rPr>
        <w:t>-Statistic and 95% Confidence Boundary.</w:t>
      </w:r>
    </w:p>
    <w:p w:rsidR="00E664E4" w:rsidRDefault="00F3345A" w:rsidP="00E664E4">
      <w:pPr>
        <w:jc w:val="center"/>
      </w:pPr>
      <w:r>
        <w:rPr>
          <w:noProof/>
        </w:rPr>
        <w:lastRenderedPageBreak/>
        <w:drawing>
          <wp:inline distT="0" distB="0" distL="0" distR="0" wp14:anchorId="668679F0" wp14:editId="5000C7AD">
            <wp:extent cx="5943600" cy="44577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a:stretch>
                      <a:fillRect/>
                    </a:stretch>
                  </pic:blipFill>
                  <pic:spPr>
                    <a:xfrm>
                      <a:off x="0" y="0"/>
                      <a:ext cx="5943600" cy="4457700"/>
                    </a:xfrm>
                    <a:prstGeom prst="rect">
                      <a:avLst/>
                    </a:prstGeom>
                  </pic:spPr>
                </pic:pic>
              </a:graphicData>
            </a:graphic>
          </wp:inline>
        </w:drawing>
      </w:r>
    </w:p>
    <w:p w:rsidR="00E664E4" w:rsidRDefault="00B72F85" w:rsidP="00E664E4">
      <w:pPr>
        <w:jc w:val="center"/>
        <w:rPr>
          <w:b/>
          <w:sz w:val="20"/>
          <w:szCs w:val="20"/>
        </w:rPr>
      </w:pPr>
      <w:r>
        <w:rPr>
          <w:b/>
          <w:sz w:val="20"/>
          <w:szCs w:val="20"/>
        </w:rPr>
        <w:t>Figure 4.1</w:t>
      </w:r>
      <w:r w:rsidR="0080501B">
        <w:rPr>
          <w:b/>
          <w:sz w:val="20"/>
          <w:szCs w:val="20"/>
        </w:rPr>
        <w:t>3</w:t>
      </w:r>
      <w:r w:rsidR="00E664E4">
        <w:rPr>
          <w:b/>
          <w:sz w:val="20"/>
          <w:szCs w:val="20"/>
        </w:rPr>
        <w:t xml:space="preserve">. Base Case PC1, PC2, and </w:t>
      </w:r>
      <m:oMath>
        <m:r>
          <m:rPr>
            <m:sty m:val="bi"/>
          </m:rPr>
          <w:rPr>
            <w:rFonts w:ascii="Cambria Math" w:hAnsi="Cambria Math"/>
            <w:sz w:val="20"/>
            <w:szCs w:val="20"/>
          </w:rPr>
          <m:t>Q</m:t>
        </m:r>
      </m:oMath>
      <w:r w:rsidR="00E664E4">
        <w:rPr>
          <w:b/>
          <w:sz w:val="20"/>
          <w:szCs w:val="20"/>
        </w:rPr>
        <w:t>-Statistic with 95% Confidence Boundary.</w:t>
      </w:r>
    </w:p>
    <w:p w:rsidR="00E664E4" w:rsidRDefault="00E664E4" w:rsidP="00E664E4"/>
    <w:p w:rsidR="00424396" w:rsidRDefault="00424396" w:rsidP="00E664E4"/>
    <w:p w:rsidR="00F938ED" w:rsidRDefault="00F938ED">
      <w:pPr>
        <w:rPr>
          <w:rFonts w:asciiTheme="majorHAnsi" w:hAnsiTheme="majorHAnsi"/>
          <w:b/>
        </w:rPr>
      </w:pPr>
      <w:r>
        <w:rPr>
          <w:rFonts w:asciiTheme="majorHAnsi" w:hAnsiTheme="majorHAnsi"/>
          <w:b/>
        </w:rPr>
        <w:br w:type="page"/>
      </w:r>
    </w:p>
    <w:p w:rsidR="00E664E4" w:rsidRPr="00436A8B" w:rsidRDefault="00E664E4" w:rsidP="00E664E4">
      <w:pPr>
        <w:rPr>
          <w:rFonts w:asciiTheme="majorHAnsi" w:hAnsiTheme="majorHAnsi"/>
          <w:b/>
        </w:rPr>
      </w:pPr>
      <w:r w:rsidRPr="00436A8B">
        <w:rPr>
          <w:rFonts w:asciiTheme="majorHAnsi" w:hAnsiTheme="majorHAnsi"/>
          <w:b/>
        </w:rPr>
        <w:lastRenderedPageBreak/>
        <w:t>4.</w:t>
      </w:r>
      <w:r>
        <w:rPr>
          <w:rFonts w:asciiTheme="majorHAnsi" w:hAnsiTheme="majorHAnsi"/>
          <w:b/>
        </w:rPr>
        <w:t>2</w:t>
      </w:r>
      <w:r w:rsidRPr="00436A8B">
        <w:rPr>
          <w:rFonts w:asciiTheme="majorHAnsi" w:hAnsiTheme="majorHAnsi"/>
          <w:b/>
        </w:rPr>
        <w:t>.</w:t>
      </w:r>
      <w:r>
        <w:rPr>
          <w:rFonts w:asciiTheme="majorHAnsi" w:hAnsiTheme="majorHAnsi"/>
          <w:b/>
        </w:rPr>
        <w:t>2</w:t>
      </w:r>
      <w:r w:rsidRPr="00436A8B">
        <w:rPr>
          <w:rFonts w:asciiTheme="majorHAnsi" w:hAnsiTheme="majorHAnsi"/>
          <w:b/>
        </w:rPr>
        <w:t xml:space="preserve"> </w:t>
      </w:r>
      <w:r>
        <w:rPr>
          <w:rFonts w:asciiTheme="majorHAnsi" w:hAnsiTheme="majorHAnsi"/>
          <w:b/>
        </w:rPr>
        <w:t xml:space="preserve">Control Case </w:t>
      </w:r>
    </w:p>
    <w:p w:rsidR="00E664E4" w:rsidRDefault="00E664E4" w:rsidP="00E664E4">
      <w:r>
        <w:rPr>
          <w:bCs/>
        </w:rPr>
        <w:t xml:space="preserve">The control case was used to validate the base case PCA model. </w:t>
      </w:r>
      <w:r>
        <w:t>For the control case, all of the parameters and input variables were set at the base case values. The variations of the input variables were changed such that the variation</w:t>
      </w:r>
      <w:r w:rsidR="00FC45C9">
        <w:t>s</w:t>
      </w:r>
      <w:r>
        <w:t xml:space="preserve"> w</w:t>
      </w:r>
      <w:r w:rsidR="00FC45C9">
        <w:t>ere still</w:t>
      </w:r>
      <w:r>
        <w:t xml:space="preserve"> within the </w:t>
      </w:r>
      <w:r w:rsidR="00FC45C9">
        <w:t xml:space="preserve">ranges of the </w:t>
      </w:r>
      <w:r>
        <w:t>base case variation</w:t>
      </w:r>
      <w:r w:rsidR="00FC45C9">
        <w:t>s</w:t>
      </w:r>
      <w:r w:rsidR="00D32AA2">
        <w:t xml:space="preserve"> (see Table 3.12)</w:t>
      </w:r>
      <w:r>
        <w:t>. Once the control case data was generated, the data was pre-processed in the same manner (Gaussian noise added, mean-centered, and scaled) as the base case data using the base case mean</w:t>
      </w:r>
      <w:r w:rsidR="00FC45C9">
        <w:t>s</w:t>
      </w:r>
      <w:r>
        <w:t xml:space="preserve"> and standard deviation</w:t>
      </w:r>
      <w:r w:rsidR="00FC45C9">
        <w:t>s</w:t>
      </w:r>
      <w:r>
        <w:t xml:space="preserve">. The same number of data points was generated for the control case as the base case. </w:t>
      </w:r>
      <w:r>
        <w:rPr>
          <w:bCs/>
        </w:rPr>
        <w:t>Figures 4.1</w:t>
      </w:r>
      <w:r w:rsidR="005F3213">
        <w:rPr>
          <w:bCs/>
        </w:rPr>
        <w:t>4</w:t>
      </w:r>
      <w:r>
        <w:rPr>
          <w:bCs/>
        </w:rPr>
        <w:t>–4.</w:t>
      </w:r>
      <w:r w:rsidR="005F3213">
        <w:rPr>
          <w:bCs/>
        </w:rPr>
        <w:t>16</w:t>
      </w:r>
      <w:r>
        <w:rPr>
          <w:bCs/>
        </w:rPr>
        <w:t xml:space="preserve"> show the scores plots for PC1 versus PC2, PC1 versus PC3, and PC2 versus PC3, respectively. Figures 4.</w:t>
      </w:r>
      <w:r w:rsidR="005F3213">
        <w:rPr>
          <w:bCs/>
        </w:rPr>
        <w:t>17</w:t>
      </w:r>
      <w:r>
        <w:rPr>
          <w:bCs/>
        </w:rPr>
        <w:t xml:space="preserve"> shows a 3D plot of the scores for PC1, PC2, and PC3 where the 95% boundary is a transparent ellipsoid. Figure 4.</w:t>
      </w:r>
      <w:r w:rsidR="005F3213">
        <w:rPr>
          <w:bCs/>
        </w:rPr>
        <w:t>18</w:t>
      </w:r>
      <w:r>
        <w:rPr>
          <w:bCs/>
        </w:rPr>
        <w:t xml:space="preserve"> shows the Mahalanobis distance and its 95% confidence level. Figure 4.</w:t>
      </w:r>
      <w:r w:rsidR="005F3213">
        <w:rPr>
          <w:bCs/>
        </w:rPr>
        <w:t>19</w:t>
      </w:r>
      <w:r>
        <w:rPr>
          <w:bCs/>
        </w:rPr>
        <w:t xml:space="preserve"> shows the </w:t>
      </w:r>
      <m:oMath>
        <m:r>
          <w:rPr>
            <w:rFonts w:ascii="Cambria Math" w:hAnsi="Cambria Math"/>
          </w:rPr>
          <m:t>Q</m:t>
        </m:r>
      </m:oMath>
      <w:r w:rsidR="00BE36F0">
        <w:rPr>
          <w:bCs/>
        </w:rPr>
        <w:t>-statistic and its 95% confidenc</w:t>
      </w:r>
      <w:r>
        <w:rPr>
          <w:bCs/>
        </w:rPr>
        <w:t>e level. Figure 4.2</w:t>
      </w:r>
      <w:r w:rsidR="005F3213">
        <w:rPr>
          <w:bCs/>
        </w:rPr>
        <w:t>0</w:t>
      </w:r>
      <w:r>
        <w:rPr>
          <w:bCs/>
        </w:rPr>
        <w:t xml:space="preserve"> shows a </w:t>
      </w:r>
      <w:r w:rsidR="00454164">
        <w:rPr>
          <w:bCs/>
        </w:rPr>
        <w:t xml:space="preserve">3D plot of </w:t>
      </w:r>
      <m:oMath>
        <m:r>
          <w:rPr>
            <w:rFonts w:ascii="Cambria Math" w:hAnsi="Cambria Math"/>
          </w:rPr>
          <m:t>Q</m:t>
        </m:r>
      </m:oMath>
      <w:r w:rsidR="00454164" w:rsidRPr="00454164">
        <w:rPr>
          <w:bCs/>
        </w:rPr>
        <w:t xml:space="preserve"> vs. PC1 and PC2 scores</w:t>
      </w:r>
      <w:r>
        <w:rPr>
          <w:bCs/>
        </w:rPr>
        <w:t xml:space="preserve">. </w:t>
      </w:r>
      <w:r>
        <w:t>Since all of the control case variation was contained within the variation of the base case data, all of the control case data points were also within the base case confidence boundaries as expected.</w:t>
      </w:r>
    </w:p>
    <w:p w:rsidR="00DD216A" w:rsidRDefault="00DD216A" w:rsidP="00E664E4"/>
    <w:p w:rsidR="00E664E4" w:rsidRDefault="00FF71E9" w:rsidP="00E664E4">
      <w:pPr>
        <w:tabs>
          <w:tab w:val="num" w:pos="720"/>
        </w:tabs>
        <w:jc w:val="center"/>
        <w:rPr>
          <w:bCs/>
        </w:rPr>
      </w:pPr>
      <w:r>
        <w:rPr>
          <w:noProof/>
        </w:rPr>
        <w:lastRenderedPageBreak/>
        <w:drawing>
          <wp:inline distT="0" distB="0" distL="0" distR="0" wp14:anchorId="48F9095F" wp14:editId="14E94CF8">
            <wp:extent cx="5943600" cy="445770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2"/>
                    <a:stretch>
                      <a:fillRect/>
                    </a:stretch>
                  </pic:blipFill>
                  <pic:spPr>
                    <a:xfrm>
                      <a:off x="0" y="0"/>
                      <a:ext cx="5943600" cy="4457700"/>
                    </a:xfrm>
                    <a:prstGeom prst="rect">
                      <a:avLst/>
                    </a:prstGeom>
                  </pic:spPr>
                </pic:pic>
              </a:graphicData>
            </a:graphic>
          </wp:inline>
        </w:drawing>
      </w:r>
    </w:p>
    <w:p w:rsidR="00E664E4" w:rsidRDefault="00E664E4" w:rsidP="00E664E4">
      <w:pPr>
        <w:jc w:val="center"/>
        <w:rPr>
          <w:b/>
          <w:sz w:val="20"/>
          <w:szCs w:val="20"/>
        </w:rPr>
      </w:pPr>
      <w:r>
        <w:rPr>
          <w:b/>
          <w:sz w:val="20"/>
          <w:szCs w:val="20"/>
        </w:rPr>
        <w:t>Figure 4.1</w:t>
      </w:r>
      <w:r w:rsidR="005F3213">
        <w:rPr>
          <w:b/>
          <w:sz w:val="20"/>
          <w:szCs w:val="20"/>
        </w:rPr>
        <w:t>4</w:t>
      </w:r>
      <w:r>
        <w:rPr>
          <w:b/>
          <w:sz w:val="20"/>
          <w:szCs w:val="20"/>
        </w:rPr>
        <w:t>. Control Case Scores Plot for PC1 and PC2.</w:t>
      </w:r>
    </w:p>
    <w:p w:rsidR="00E664E4" w:rsidRDefault="00FF71E9" w:rsidP="00E664E4">
      <w:pPr>
        <w:jc w:val="center"/>
      </w:pPr>
      <w:r>
        <w:rPr>
          <w:noProof/>
        </w:rPr>
        <w:lastRenderedPageBreak/>
        <w:drawing>
          <wp:inline distT="0" distB="0" distL="0" distR="0" wp14:anchorId="553A7632" wp14:editId="3ED54D88">
            <wp:extent cx="5943600" cy="445770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3"/>
                    <a:stretch>
                      <a:fillRect/>
                    </a:stretch>
                  </pic:blipFill>
                  <pic:spPr>
                    <a:xfrm>
                      <a:off x="0" y="0"/>
                      <a:ext cx="5943600" cy="4457700"/>
                    </a:xfrm>
                    <a:prstGeom prst="rect">
                      <a:avLst/>
                    </a:prstGeom>
                  </pic:spPr>
                </pic:pic>
              </a:graphicData>
            </a:graphic>
          </wp:inline>
        </w:drawing>
      </w:r>
    </w:p>
    <w:p w:rsidR="00E664E4" w:rsidRDefault="005F3213" w:rsidP="00E664E4">
      <w:pPr>
        <w:jc w:val="center"/>
        <w:rPr>
          <w:b/>
          <w:sz w:val="20"/>
          <w:szCs w:val="20"/>
        </w:rPr>
      </w:pPr>
      <w:r>
        <w:rPr>
          <w:b/>
          <w:sz w:val="20"/>
          <w:szCs w:val="20"/>
        </w:rPr>
        <w:t>Figure 4.15</w:t>
      </w:r>
      <w:r w:rsidR="00E664E4">
        <w:rPr>
          <w:b/>
          <w:sz w:val="20"/>
          <w:szCs w:val="20"/>
        </w:rPr>
        <w:t>. Control Case Scores Plot for PC1 and PC3.</w:t>
      </w:r>
    </w:p>
    <w:p w:rsidR="00E664E4" w:rsidRDefault="00FF71E9" w:rsidP="00E664E4">
      <w:pPr>
        <w:jc w:val="center"/>
      </w:pPr>
      <w:r>
        <w:rPr>
          <w:noProof/>
        </w:rPr>
        <w:lastRenderedPageBreak/>
        <w:drawing>
          <wp:inline distT="0" distB="0" distL="0" distR="0" wp14:anchorId="180C2D6E" wp14:editId="26379254">
            <wp:extent cx="5943600" cy="445770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4"/>
                    <a:stretch>
                      <a:fillRect/>
                    </a:stretch>
                  </pic:blipFill>
                  <pic:spPr>
                    <a:xfrm>
                      <a:off x="0" y="0"/>
                      <a:ext cx="5943600" cy="4457700"/>
                    </a:xfrm>
                    <a:prstGeom prst="rect">
                      <a:avLst/>
                    </a:prstGeom>
                  </pic:spPr>
                </pic:pic>
              </a:graphicData>
            </a:graphic>
          </wp:inline>
        </w:drawing>
      </w:r>
    </w:p>
    <w:p w:rsidR="00E664E4" w:rsidRDefault="005F3213" w:rsidP="00E664E4">
      <w:pPr>
        <w:jc w:val="center"/>
        <w:rPr>
          <w:b/>
          <w:sz w:val="20"/>
          <w:szCs w:val="20"/>
        </w:rPr>
      </w:pPr>
      <w:r>
        <w:rPr>
          <w:b/>
          <w:sz w:val="20"/>
          <w:szCs w:val="20"/>
        </w:rPr>
        <w:t>Figure 4.16</w:t>
      </w:r>
      <w:r w:rsidR="00E664E4">
        <w:rPr>
          <w:b/>
          <w:sz w:val="20"/>
          <w:szCs w:val="20"/>
        </w:rPr>
        <w:t>. Control Case Scores Plot for PC2 and PC3.</w:t>
      </w:r>
    </w:p>
    <w:p w:rsidR="00E664E4" w:rsidRDefault="00FF71E9" w:rsidP="00E664E4">
      <w:pPr>
        <w:jc w:val="center"/>
      </w:pPr>
      <w:r>
        <w:rPr>
          <w:noProof/>
        </w:rPr>
        <w:lastRenderedPageBreak/>
        <w:drawing>
          <wp:inline distT="0" distB="0" distL="0" distR="0" wp14:anchorId="3CF5714A" wp14:editId="2F07F661">
            <wp:extent cx="5943600" cy="44577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5"/>
                    <a:stretch>
                      <a:fillRect/>
                    </a:stretch>
                  </pic:blipFill>
                  <pic:spPr>
                    <a:xfrm>
                      <a:off x="0" y="0"/>
                      <a:ext cx="5943600" cy="4457700"/>
                    </a:xfrm>
                    <a:prstGeom prst="rect">
                      <a:avLst/>
                    </a:prstGeom>
                  </pic:spPr>
                </pic:pic>
              </a:graphicData>
            </a:graphic>
          </wp:inline>
        </w:drawing>
      </w:r>
    </w:p>
    <w:p w:rsidR="00E664E4" w:rsidRDefault="005F3213" w:rsidP="00E664E4">
      <w:pPr>
        <w:jc w:val="center"/>
        <w:rPr>
          <w:b/>
          <w:sz w:val="20"/>
          <w:szCs w:val="20"/>
        </w:rPr>
      </w:pPr>
      <w:r>
        <w:rPr>
          <w:b/>
          <w:sz w:val="20"/>
          <w:szCs w:val="20"/>
        </w:rPr>
        <w:t>Figure 4.17</w:t>
      </w:r>
      <w:r w:rsidR="00E664E4">
        <w:rPr>
          <w:b/>
          <w:sz w:val="20"/>
          <w:szCs w:val="20"/>
        </w:rPr>
        <w:t>. Control Case 3D Scores Plot for PC1, PC2, and PC3.</w:t>
      </w:r>
    </w:p>
    <w:p w:rsidR="00E664E4" w:rsidRDefault="00164BD5" w:rsidP="00E664E4">
      <w:pPr>
        <w:jc w:val="center"/>
      </w:pPr>
      <w:r>
        <w:rPr>
          <w:noProof/>
        </w:rPr>
        <w:lastRenderedPageBreak/>
        <w:drawing>
          <wp:inline distT="0" distB="0" distL="0" distR="0" wp14:anchorId="5F83C08D" wp14:editId="5C7ECED7">
            <wp:extent cx="5943600" cy="44577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6"/>
                    <a:stretch>
                      <a:fillRect/>
                    </a:stretch>
                  </pic:blipFill>
                  <pic:spPr>
                    <a:xfrm>
                      <a:off x="0" y="0"/>
                      <a:ext cx="5943600" cy="4457700"/>
                    </a:xfrm>
                    <a:prstGeom prst="rect">
                      <a:avLst/>
                    </a:prstGeom>
                  </pic:spPr>
                </pic:pic>
              </a:graphicData>
            </a:graphic>
          </wp:inline>
        </w:drawing>
      </w:r>
    </w:p>
    <w:p w:rsidR="00E664E4" w:rsidRDefault="005F3213" w:rsidP="00E664E4">
      <w:pPr>
        <w:jc w:val="center"/>
        <w:rPr>
          <w:b/>
          <w:sz w:val="20"/>
          <w:szCs w:val="20"/>
        </w:rPr>
      </w:pPr>
      <w:r>
        <w:rPr>
          <w:b/>
          <w:sz w:val="20"/>
          <w:szCs w:val="20"/>
        </w:rPr>
        <w:t>Figure 4.18</w:t>
      </w:r>
      <w:r w:rsidR="00E664E4">
        <w:rPr>
          <w:b/>
          <w:sz w:val="20"/>
          <w:szCs w:val="20"/>
        </w:rPr>
        <w:t>. Control Case Mahalanobis Distance and 95% Confidence Boundary.</w:t>
      </w:r>
    </w:p>
    <w:p w:rsidR="00E664E4" w:rsidRDefault="00164BD5" w:rsidP="00E664E4">
      <w:pPr>
        <w:jc w:val="center"/>
      </w:pPr>
      <w:r>
        <w:rPr>
          <w:noProof/>
        </w:rPr>
        <w:lastRenderedPageBreak/>
        <w:drawing>
          <wp:inline distT="0" distB="0" distL="0" distR="0" wp14:anchorId="07D20459" wp14:editId="1EFD6F93">
            <wp:extent cx="5943600" cy="44577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7"/>
                    <a:stretch>
                      <a:fillRect/>
                    </a:stretch>
                  </pic:blipFill>
                  <pic:spPr>
                    <a:xfrm>
                      <a:off x="0" y="0"/>
                      <a:ext cx="5943600" cy="4457700"/>
                    </a:xfrm>
                    <a:prstGeom prst="rect">
                      <a:avLst/>
                    </a:prstGeom>
                  </pic:spPr>
                </pic:pic>
              </a:graphicData>
            </a:graphic>
          </wp:inline>
        </w:drawing>
      </w:r>
    </w:p>
    <w:p w:rsidR="00E664E4" w:rsidRDefault="005F3213" w:rsidP="00E664E4">
      <w:pPr>
        <w:jc w:val="center"/>
        <w:rPr>
          <w:b/>
          <w:sz w:val="20"/>
          <w:szCs w:val="20"/>
        </w:rPr>
      </w:pPr>
      <w:r>
        <w:rPr>
          <w:b/>
          <w:sz w:val="20"/>
          <w:szCs w:val="20"/>
        </w:rPr>
        <w:t>Figure 4.19</w:t>
      </w:r>
      <w:r w:rsidR="00E664E4">
        <w:rPr>
          <w:b/>
          <w:sz w:val="20"/>
          <w:szCs w:val="20"/>
        </w:rPr>
        <w:t xml:space="preserve">. Control Case </w:t>
      </w:r>
      <m:oMath>
        <m:r>
          <m:rPr>
            <m:sty m:val="bi"/>
          </m:rPr>
          <w:rPr>
            <w:rFonts w:ascii="Cambria Math" w:hAnsi="Cambria Math"/>
            <w:sz w:val="20"/>
            <w:szCs w:val="20"/>
          </w:rPr>
          <m:t>Q</m:t>
        </m:r>
      </m:oMath>
      <w:r w:rsidR="00E664E4">
        <w:rPr>
          <w:b/>
          <w:sz w:val="20"/>
          <w:szCs w:val="20"/>
        </w:rPr>
        <w:t>-Statistic and 95% Confidence Boundary.</w:t>
      </w:r>
    </w:p>
    <w:p w:rsidR="00E664E4" w:rsidRDefault="00164BD5" w:rsidP="00E664E4">
      <w:pPr>
        <w:jc w:val="center"/>
      </w:pPr>
      <w:r>
        <w:rPr>
          <w:noProof/>
        </w:rPr>
        <w:lastRenderedPageBreak/>
        <w:drawing>
          <wp:inline distT="0" distB="0" distL="0" distR="0" wp14:anchorId="7BAE1871" wp14:editId="60EC902C">
            <wp:extent cx="5943600" cy="44577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8"/>
                    <a:stretch>
                      <a:fillRect/>
                    </a:stretch>
                  </pic:blipFill>
                  <pic:spPr>
                    <a:xfrm>
                      <a:off x="0" y="0"/>
                      <a:ext cx="5943600" cy="4457700"/>
                    </a:xfrm>
                    <a:prstGeom prst="rect">
                      <a:avLst/>
                    </a:prstGeom>
                  </pic:spPr>
                </pic:pic>
              </a:graphicData>
            </a:graphic>
          </wp:inline>
        </w:drawing>
      </w:r>
    </w:p>
    <w:p w:rsidR="00E664E4" w:rsidRDefault="005F3213" w:rsidP="00E664E4">
      <w:pPr>
        <w:jc w:val="center"/>
        <w:rPr>
          <w:b/>
          <w:sz w:val="20"/>
          <w:szCs w:val="20"/>
        </w:rPr>
      </w:pPr>
      <w:r>
        <w:rPr>
          <w:b/>
          <w:sz w:val="20"/>
          <w:szCs w:val="20"/>
        </w:rPr>
        <w:t>Figure 4.20</w:t>
      </w:r>
      <w:r w:rsidR="00E664E4">
        <w:rPr>
          <w:b/>
          <w:sz w:val="20"/>
          <w:szCs w:val="20"/>
        </w:rPr>
        <w:t xml:space="preserve">. Control Case PC1, PC2, and </w:t>
      </w:r>
      <m:oMath>
        <m:r>
          <m:rPr>
            <m:sty m:val="bi"/>
          </m:rPr>
          <w:rPr>
            <w:rFonts w:ascii="Cambria Math" w:hAnsi="Cambria Math"/>
            <w:sz w:val="20"/>
            <w:szCs w:val="20"/>
          </w:rPr>
          <m:t>Q</m:t>
        </m:r>
      </m:oMath>
      <w:r w:rsidR="00E664E4">
        <w:rPr>
          <w:b/>
          <w:sz w:val="20"/>
          <w:szCs w:val="20"/>
        </w:rPr>
        <w:t>-Statistic with 95% Confidence Boundary.</w:t>
      </w:r>
    </w:p>
    <w:p w:rsidR="00E664E4" w:rsidRDefault="00E664E4" w:rsidP="00E664E4"/>
    <w:p w:rsidR="00424396" w:rsidRDefault="00424396" w:rsidP="00E664E4"/>
    <w:p w:rsidR="00F938ED" w:rsidRDefault="00F938ED">
      <w:pPr>
        <w:rPr>
          <w:rFonts w:asciiTheme="majorHAnsi" w:hAnsiTheme="majorHAnsi"/>
          <w:b/>
          <w:caps/>
        </w:rPr>
      </w:pPr>
      <w:r>
        <w:rPr>
          <w:rFonts w:asciiTheme="majorHAnsi" w:hAnsiTheme="majorHAnsi"/>
          <w:b/>
          <w:caps/>
        </w:rPr>
        <w:br w:type="page"/>
      </w:r>
    </w:p>
    <w:p w:rsidR="00E664E4" w:rsidRDefault="00E664E4" w:rsidP="00E664E4">
      <w:pPr>
        <w:rPr>
          <w:rFonts w:asciiTheme="majorHAnsi" w:hAnsiTheme="majorHAnsi"/>
          <w:b/>
          <w:caps/>
        </w:rPr>
      </w:pPr>
      <w:r w:rsidRPr="00436A8B">
        <w:rPr>
          <w:rFonts w:asciiTheme="majorHAnsi" w:hAnsiTheme="majorHAnsi"/>
          <w:b/>
          <w:caps/>
        </w:rPr>
        <w:lastRenderedPageBreak/>
        <w:t>4.3 Faulty “Off-Normal” Cases</w:t>
      </w:r>
    </w:p>
    <w:p w:rsidR="00E664E4" w:rsidRDefault="00E664E4" w:rsidP="00E664E4">
      <w:r>
        <w:t>For each faulty case, both the steady-state solution and the overall material balances were checked to verify that the model did not contain coding errors. As with the base case, the steady-state state variable solution was substituted back into the set of simultaneous equations to verify that the result was the same as that provided by ‘</w:t>
      </w:r>
      <w:proofErr w:type="spellStart"/>
      <w:r>
        <w:t>fsolve</w:t>
      </w:r>
      <w:proofErr w:type="spellEnd"/>
      <w:r>
        <w:t>’ and also that the result was approximately zero. The overall material balances were also checked especially in the cases were additional streams were added. The overall rate of change was approximately zero (at least 1×10</w:t>
      </w:r>
      <w:r w:rsidRPr="00634B25">
        <w:rPr>
          <w:vertAlign w:val="superscript"/>
        </w:rPr>
        <w:t>-10</w:t>
      </w:r>
      <w:r>
        <w:t xml:space="preserve">) </w:t>
      </w:r>
      <w:r w:rsidRPr="00634B25">
        <w:t>in</w:t>
      </w:r>
      <w:r>
        <w:t xml:space="preserve"> all cases. For all of the plots below, only the faulty case data points are displayed with the 95% confidence boundaries from the base case PCA model. In all cases, the same </w:t>
      </w:r>
      <w:r w:rsidR="00D75FB8">
        <w:t>number of data points as the base case was</w:t>
      </w:r>
      <w:r>
        <w:t xml:space="preserve"> generated.</w:t>
      </w:r>
    </w:p>
    <w:p w:rsidR="00D75FB8" w:rsidRDefault="00D75FB8" w:rsidP="00E664E4">
      <w:pPr>
        <w:rPr>
          <w:rFonts w:asciiTheme="majorHAnsi" w:hAnsiTheme="majorHAnsi"/>
          <w:b/>
        </w:rPr>
      </w:pPr>
    </w:p>
    <w:p w:rsidR="00E664E4" w:rsidRPr="00436A8B" w:rsidRDefault="00E664E4" w:rsidP="00E664E4">
      <w:pPr>
        <w:rPr>
          <w:rFonts w:asciiTheme="majorHAnsi" w:hAnsiTheme="majorHAnsi"/>
          <w:b/>
        </w:rPr>
      </w:pPr>
      <w:r w:rsidRPr="00436A8B">
        <w:rPr>
          <w:rFonts w:asciiTheme="majorHAnsi" w:hAnsiTheme="majorHAnsi"/>
          <w:b/>
        </w:rPr>
        <w:t>4.3.1 Case 1</w:t>
      </w:r>
    </w:p>
    <w:p w:rsidR="00E664E4" w:rsidRDefault="00E664E4" w:rsidP="00E664E4">
      <w:r>
        <w:t>For t</w:t>
      </w:r>
      <w:r w:rsidRPr="00E02DC4">
        <w:t>he first faulty case</w:t>
      </w:r>
      <w:r>
        <w:t xml:space="preserve">, </w:t>
      </w:r>
      <w:r w:rsidRPr="00E02DC4">
        <w:t xml:space="preserve">the </w:t>
      </w:r>
      <w:r>
        <w:t xml:space="preserve">total </w:t>
      </w:r>
      <w:r w:rsidRPr="00E02DC4">
        <w:t>throughput of the facility</w:t>
      </w:r>
      <w:r>
        <w:t xml:space="preserve"> was increased</w:t>
      </w:r>
      <w:r w:rsidRPr="00E02DC4">
        <w:t xml:space="preserve">. </w:t>
      </w:r>
      <w:r>
        <w:t xml:space="preserve">Initially, </w:t>
      </w:r>
      <w:r w:rsidRPr="00E02DC4">
        <w:t xml:space="preserve">all incoming flow rates </w:t>
      </w:r>
      <w:r>
        <w:t xml:space="preserve">(Streams 1A, 4A–13A) </w:t>
      </w:r>
      <w:r w:rsidRPr="00E02DC4">
        <w:t>w</w:t>
      </w:r>
      <w:r>
        <w:t xml:space="preserve">ere increased by 50% </w:t>
      </w:r>
      <w:r w:rsidRPr="00E02DC4">
        <w:t>with no other changes in the model.</w:t>
      </w:r>
      <w:r>
        <w:t xml:space="preserve"> </w:t>
      </w:r>
      <w:r w:rsidR="00EC5877">
        <w:t xml:space="preserve">Refer to Table 3.9 for the nominal values of these incoming flow rates. </w:t>
      </w:r>
      <w:r>
        <w:t xml:space="preserve">This initial test was used to determine the model response. The change in the </w:t>
      </w:r>
      <w:r w:rsidR="00D75FB8">
        <w:t xml:space="preserve">PC1 </w:t>
      </w:r>
      <w:r>
        <w:t xml:space="preserve">scores and the Mahalanobis distance was significant as expected. There was also a significant </w:t>
      </w:r>
      <w:r w:rsidR="004E68DC">
        <w:t>increase</w:t>
      </w:r>
      <w:r>
        <w:t xml:space="preserve"> in the </w:t>
      </w:r>
      <m:oMath>
        <m:r>
          <w:rPr>
            <w:rFonts w:ascii="Cambria Math" w:hAnsi="Cambria Math"/>
          </w:rPr>
          <m:t>Q</m:t>
        </m:r>
      </m:oMath>
      <w:r>
        <w:t>-statistic. The flow rate of one of the incoming streams (1A) was also an input variable</w:t>
      </w:r>
      <w:r w:rsidR="00582264">
        <w:t xml:space="preserve"> </w:t>
      </w:r>
      <w:r w:rsidR="00D75FB8">
        <w:t>[</w:t>
      </w:r>
      <w:proofErr w:type="spellStart"/>
      <w:proofErr w:type="gramStart"/>
      <w:r w:rsidR="00D75FB8">
        <w:t>Xss</w:t>
      </w:r>
      <w:proofErr w:type="spellEnd"/>
      <w:r w:rsidR="00D75FB8">
        <w:t>(</w:t>
      </w:r>
      <w:proofErr w:type="gramEnd"/>
      <w:r w:rsidR="00D75FB8">
        <w:t xml:space="preserve">274)] </w:t>
      </w:r>
      <w:r w:rsidR="00582264">
        <w:t>while t</w:t>
      </w:r>
      <w:r>
        <w:t xml:space="preserve">he other incoming flow rates </w:t>
      </w:r>
      <w:r w:rsidR="00E225B3">
        <w:t xml:space="preserve">appear as model </w:t>
      </w:r>
      <w:r>
        <w:t xml:space="preserve">parameters. This result implies that the base case model no longer fits the </w:t>
      </w:r>
      <w:r w:rsidR="00454164">
        <w:t xml:space="preserve">current </w:t>
      </w:r>
      <w:r>
        <w:t>process operation when a change in total flow rate</w:t>
      </w:r>
      <w:r w:rsidR="00454164">
        <w:t>s</w:t>
      </w:r>
      <w:r>
        <w:t xml:space="preserve"> to the plant was introduced which was expected since most of the incoming flow rates were </w:t>
      </w:r>
      <w:r w:rsidR="00454164">
        <w:t xml:space="preserve">model </w:t>
      </w:r>
      <w:r>
        <w:t xml:space="preserve">parameters. It was also expected that a fault would occur in the </w:t>
      </w:r>
      <w:r w:rsidR="00454164">
        <w:t xml:space="preserve">scores on the </w:t>
      </w:r>
      <w:r>
        <w:t xml:space="preserve">first principal component since the incoming uranium flow rate was a </w:t>
      </w:r>
      <w:r w:rsidR="00D75FB8">
        <w:t>heavy</w:t>
      </w:r>
      <w:r>
        <w:t xml:space="preserve"> contributor. Results for both a 50% and 10% increase in all incoming flow rates are presented below. </w:t>
      </w:r>
      <w:r w:rsidR="00454164">
        <w:t xml:space="preserve">In an additional faulty case, </w:t>
      </w:r>
      <w:r>
        <w:t xml:space="preserve">only the incoming uranium </w:t>
      </w:r>
      <w:r w:rsidR="00454164">
        <w:t xml:space="preserve">flow rate </w:t>
      </w:r>
      <w:r>
        <w:t xml:space="preserve">was increased leaving all other parameters and inputs unchanged from the base case. Results for both </w:t>
      </w:r>
      <w:r w:rsidR="00385418">
        <w:t>15</w:t>
      </w:r>
      <w:r>
        <w:t xml:space="preserve">% and </w:t>
      </w:r>
      <w:r w:rsidR="00385418">
        <w:t>25</w:t>
      </w:r>
      <w:r>
        <w:t>% increases in only the incoming uranium flow rate are also presented below.</w:t>
      </w:r>
      <w:r w:rsidR="009862AE">
        <w:t xml:space="preserve"> A summary of the </w:t>
      </w:r>
      <w:r w:rsidR="00454164">
        <w:t xml:space="preserve">Faulty </w:t>
      </w:r>
      <w:r w:rsidR="006217F2">
        <w:t xml:space="preserve">Case 1 </w:t>
      </w:r>
      <w:r w:rsidR="00454164">
        <w:t xml:space="preserve">simulation </w:t>
      </w:r>
      <w:r w:rsidR="009862AE">
        <w:t>is provided in Table 4.21.</w:t>
      </w:r>
    </w:p>
    <w:p w:rsidR="001B675F" w:rsidRDefault="001B675F" w:rsidP="001B675F">
      <w:r>
        <w:t>Based on the sensitivity analysis, only a few state variables were sensitive to changes in the incoming flow rates except the incoming uranium flow rate. None of the primary state variables were sensitive to any changes in the incoming flow rates ex</w:t>
      </w:r>
      <w:r w:rsidR="00454164">
        <w:t>cep</w:t>
      </w:r>
      <w:r>
        <w:t>t</w:t>
      </w:r>
      <w:r w:rsidR="00454164">
        <w:t xml:space="preserve"> for</w:t>
      </w:r>
      <w:r>
        <w:t xml:space="preserve"> the incoming uranium flow rate which all of the primary state variables were sensitive to</w:t>
      </w:r>
      <w:r w:rsidR="00EC5877">
        <w:t xml:space="preserve"> with a sensitivity factor value of one</w:t>
      </w:r>
      <w:r>
        <w:t>.</w:t>
      </w:r>
    </w:p>
    <w:p w:rsidR="001B675F" w:rsidRDefault="001B675F" w:rsidP="00E664E4">
      <w:r>
        <w:t xml:space="preserve">In order to detect these types of faults, it is recommended that the uranium feed to the plant be monitored for both flow rate and uranium content. Additionally, it is recommended that the streams exiting each major process (e.g., dissolution, solvent extraction, </w:t>
      </w:r>
      <w:proofErr w:type="gramStart"/>
      <w:r>
        <w:t>fluorination</w:t>
      </w:r>
      <w:proofErr w:type="gramEnd"/>
      <w:r>
        <w:t>) as product or waste be monitored for flow rate and uranium content.</w:t>
      </w:r>
    </w:p>
    <w:p w:rsidR="001B675F" w:rsidRDefault="001B675F">
      <w:r>
        <w:br w:type="page"/>
      </w:r>
    </w:p>
    <w:tbl>
      <w:tblPr>
        <w:tblW w:w="8640" w:type="dxa"/>
        <w:jc w:val="center"/>
        <w:tblLook w:val="04A0" w:firstRow="1" w:lastRow="0" w:firstColumn="1" w:lastColumn="0" w:noHBand="0" w:noVBand="1"/>
      </w:tblPr>
      <w:tblGrid>
        <w:gridCol w:w="637"/>
        <w:gridCol w:w="1421"/>
        <w:gridCol w:w="973"/>
        <w:gridCol w:w="1322"/>
        <w:gridCol w:w="1286"/>
        <w:gridCol w:w="1240"/>
        <w:gridCol w:w="1761"/>
      </w:tblGrid>
      <w:tr w:rsidR="00454164" w:rsidRPr="00454164" w:rsidTr="00454164">
        <w:trPr>
          <w:trHeight w:val="270"/>
          <w:jc w:val="center"/>
        </w:trPr>
        <w:tc>
          <w:tcPr>
            <w:tcW w:w="8061" w:type="dxa"/>
            <w:gridSpan w:val="7"/>
            <w:tcBorders>
              <w:top w:val="nil"/>
              <w:left w:val="nil"/>
              <w:bottom w:val="single" w:sz="8" w:space="0" w:color="auto"/>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b/>
                <w:bCs/>
                <w:color w:val="000000"/>
                <w:sz w:val="20"/>
                <w:szCs w:val="20"/>
              </w:rPr>
            </w:pPr>
            <w:r w:rsidRPr="00454164">
              <w:rPr>
                <w:rFonts w:ascii="Calibri" w:eastAsia="Times New Roman" w:hAnsi="Calibri" w:cs="Times New Roman"/>
                <w:b/>
                <w:bCs/>
                <w:color w:val="000000"/>
                <w:sz w:val="20"/>
                <w:szCs w:val="20"/>
              </w:rPr>
              <w:lastRenderedPageBreak/>
              <w:t>Table 4.21. Summary of Faulty Case 1</w:t>
            </w:r>
          </w:p>
        </w:tc>
      </w:tr>
      <w:tr w:rsidR="00454164" w:rsidRPr="00454164" w:rsidTr="00454164">
        <w:trPr>
          <w:trHeight w:val="255"/>
          <w:jc w:val="center"/>
        </w:trPr>
        <w:tc>
          <w:tcPr>
            <w:tcW w:w="8061" w:type="dxa"/>
            <w:gridSpan w:val="7"/>
            <w:tcBorders>
              <w:top w:val="nil"/>
              <w:left w:val="nil"/>
              <w:bottom w:val="nil"/>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b/>
                <w:bCs/>
                <w:color w:val="000000"/>
                <w:sz w:val="20"/>
                <w:szCs w:val="20"/>
              </w:rPr>
            </w:pPr>
            <w:r w:rsidRPr="00454164">
              <w:rPr>
                <w:rFonts w:ascii="Calibri" w:eastAsia="Times New Roman" w:hAnsi="Calibri" w:cs="Times New Roman"/>
                <w:b/>
                <w:bCs/>
                <w:color w:val="000000"/>
                <w:sz w:val="20"/>
                <w:szCs w:val="20"/>
              </w:rPr>
              <w:t>Summary of Faulty Case</w:t>
            </w:r>
          </w:p>
        </w:tc>
      </w:tr>
      <w:tr w:rsidR="00454164" w:rsidRPr="00454164" w:rsidTr="00454164">
        <w:trPr>
          <w:trHeight w:val="255"/>
          <w:jc w:val="center"/>
        </w:trPr>
        <w:tc>
          <w:tcPr>
            <w:tcW w:w="508" w:type="dxa"/>
            <w:tcBorders>
              <w:top w:val="nil"/>
              <w:left w:val="nil"/>
              <w:bottom w:val="nil"/>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b/>
                <w:bCs/>
                <w:color w:val="000000"/>
                <w:sz w:val="20"/>
                <w:szCs w:val="20"/>
              </w:rPr>
            </w:pPr>
            <w:r w:rsidRPr="00454164">
              <w:rPr>
                <w:rFonts w:ascii="Calibri" w:eastAsia="Times New Roman" w:hAnsi="Calibri" w:cs="Times New Roman"/>
                <w:b/>
                <w:bCs/>
                <w:color w:val="000000"/>
                <w:sz w:val="20"/>
                <w:szCs w:val="20"/>
              </w:rPr>
              <w:t>Case</w:t>
            </w:r>
          </w:p>
        </w:tc>
        <w:tc>
          <w:tcPr>
            <w:tcW w:w="1341" w:type="dxa"/>
            <w:tcBorders>
              <w:top w:val="nil"/>
              <w:left w:val="nil"/>
              <w:bottom w:val="nil"/>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b/>
                <w:bCs/>
                <w:color w:val="000000"/>
                <w:sz w:val="20"/>
                <w:szCs w:val="20"/>
              </w:rPr>
            </w:pPr>
            <w:r w:rsidRPr="00454164">
              <w:rPr>
                <w:rFonts w:ascii="Calibri" w:eastAsia="Times New Roman" w:hAnsi="Calibri" w:cs="Times New Roman"/>
                <w:b/>
                <w:bCs/>
                <w:color w:val="000000"/>
                <w:sz w:val="20"/>
                <w:szCs w:val="20"/>
              </w:rPr>
              <w:t>Priority</w:t>
            </w:r>
          </w:p>
        </w:tc>
        <w:tc>
          <w:tcPr>
            <w:tcW w:w="918" w:type="dxa"/>
            <w:tcBorders>
              <w:top w:val="nil"/>
              <w:left w:val="nil"/>
              <w:bottom w:val="nil"/>
              <w:right w:val="nil"/>
            </w:tcBorders>
            <w:shd w:val="clear" w:color="auto" w:fill="auto"/>
            <w:vAlign w:val="center"/>
            <w:hideMark/>
          </w:tcPr>
          <w:p w:rsidR="00454164" w:rsidRPr="00454164" w:rsidRDefault="00454164" w:rsidP="00454164">
            <w:pPr>
              <w:spacing w:after="0" w:line="240" w:lineRule="auto"/>
              <w:jc w:val="center"/>
              <w:rPr>
                <w:rFonts w:ascii="Calibri" w:eastAsia="Times New Roman" w:hAnsi="Calibri" w:cs="Times New Roman"/>
                <w:b/>
                <w:bCs/>
                <w:sz w:val="20"/>
                <w:szCs w:val="20"/>
              </w:rPr>
            </w:pPr>
            <w:r w:rsidRPr="00454164">
              <w:rPr>
                <w:rFonts w:ascii="Calibri" w:eastAsia="Times New Roman" w:hAnsi="Calibri" w:cs="Times New Roman"/>
                <w:b/>
                <w:bCs/>
                <w:sz w:val="20"/>
                <w:szCs w:val="20"/>
              </w:rPr>
              <w:t>Module</w:t>
            </w:r>
          </w:p>
        </w:tc>
        <w:tc>
          <w:tcPr>
            <w:tcW w:w="1248" w:type="dxa"/>
            <w:tcBorders>
              <w:top w:val="nil"/>
              <w:left w:val="nil"/>
              <w:bottom w:val="nil"/>
              <w:right w:val="nil"/>
            </w:tcBorders>
            <w:shd w:val="clear" w:color="auto" w:fill="auto"/>
            <w:vAlign w:val="center"/>
            <w:hideMark/>
          </w:tcPr>
          <w:p w:rsidR="00454164" w:rsidRPr="00454164" w:rsidRDefault="00454164" w:rsidP="00454164">
            <w:pPr>
              <w:spacing w:after="0" w:line="240" w:lineRule="auto"/>
              <w:jc w:val="center"/>
              <w:rPr>
                <w:rFonts w:ascii="Calibri" w:eastAsia="Times New Roman" w:hAnsi="Calibri" w:cs="Times New Roman"/>
                <w:b/>
                <w:bCs/>
                <w:sz w:val="20"/>
                <w:szCs w:val="20"/>
              </w:rPr>
            </w:pPr>
            <w:r w:rsidRPr="00454164">
              <w:rPr>
                <w:rFonts w:ascii="Calibri" w:eastAsia="Times New Roman" w:hAnsi="Calibri" w:cs="Times New Roman"/>
                <w:b/>
                <w:bCs/>
                <w:sz w:val="20"/>
                <w:szCs w:val="20"/>
              </w:rPr>
              <w:t>Faulty Variable</w:t>
            </w:r>
          </w:p>
        </w:tc>
        <w:tc>
          <w:tcPr>
            <w:tcW w:w="1214" w:type="dxa"/>
            <w:tcBorders>
              <w:top w:val="nil"/>
              <w:left w:val="nil"/>
              <w:bottom w:val="nil"/>
              <w:right w:val="nil"/>
            </w:tcBorders>
            <w:shd w:val="clear" w:color="auto" w:fill="auto"/>
            <w:vAlign w:val="center"/>
            <w:hideMark/>
          </w:tcPr>
          <w:p w:rsidR="00454164" w:rsidRPr="00454164" w:rsidRDefault="00454164" w:rsidP="00454164">
            <w:pPr>
              <w:spacing w:after="0" w:line="240" w:lineRule="auto"/>
              <w:jc w:val="center"/>
              <w:rPr>
                <w:rFonts w:ascii="Calibri" w:eastAsia="Times New Roman" w:hAnsi="Calibri" w:cs="Times New Roman"/>
                <w:b/>
                <w:bCs/>
                <w:color w:val="000000"/>
                <w:sz w:val="20"/>
                <w:szCs w:val="20"/>
              </w:rPr>
            </w:pPr>
            <w:r w:rsidRPr="00454164">
              <w:rPr>
                <w:rFonts w:ascii="Calibri" w:eastAsia="Times New Roman" w:hAnsi="Calibri" w:cs="Times New Roman"/>
                <w:b/>
                <w:bCs/>
                <w:color w:val="000000"/>
                <w:sz w:val="20"/>
                <w:szCs w:val="20"/>
              </w:rPr>
              <w:t>Base Case Value</w:t>
            </w:r>
          </w:p>
        </w:tc>
        <w:tc>
          <w:tcPr>
            <w:tcW w:w="1170" w:type="dxa"/>
            <w:tcBorders>
              <w:top w:val="nil"/>
              <w:left w:val="nil"/>
              <w:bottom w:val="nil"/>
              <w:right w:val="nil"/>
            </w:tcBorders>
            <w:shd w:val="clear" w:color="auto" w:fill="auto"/>
            <w:vAlign w:val="center"/>
            <w:hideMark/>
          </w:tcPr>
          <w:p w:rsidR="00454164" w:rsidRPr="00454164" w:rsidRDefault="00454164" w:rsidP="00454164">
            <w:pPr>
              <w:spacing w:after="0" w:line="240" w:lineRule="auto"/>
              <w:jc w:val="center"/>
              <w:rPr>
                <w:rFonts w:ascii="Calibri" w:eastAsia="Times New Roman" w:hAnsi="Calibri" w:cs="Times New Roman"/>
                <w:b/>
                <w:bCs/>
                <w:color w:val="000000"/>
                <w:sz w:val="20"/>
                <w:szCs w:val="20"/>
              </w:rPr>
            </w:pPr>
            <w:r w:rsidRPr="00454164">
              <w:rPr>
                <w:rFonts w:ascii="Calibri" w:eastAsia="Times New Roman" w:hAnsi="Calibri" w:cs="Times New Roman"/>
                <w:b/>
                <w:bCs/>
                <w:color w:val="000000"/>
                <w:sz w:val="20"/>
                <w:szCs w:val="20"/>
              </w:rPr>
              <w:t>Faulty Value</w:t>
            </w:r>
          </w:p>
        </w:tc>
        <w:tc>
          <w:tcPr>
            <w:tcW w:w="1662" w:type="dxa"/>
            <w:tcBorders>
              <w:top w:val="nil"/>
              <w:left w:val="nil"/>
              <w:bottom w:val="nil"/>
              <w:right w:val="nil"/>
            </w:tcBorders>
            <w:shd w:val="clear" w:color="auto" w:fill="auto"/>
            <w:vAlign w:val="center"/>
            <w:hideMark/>
          </w:tcPr>
          <w:p w:rsidR="00454164" w:rsidRPr="00454164" w:rsidRDefault="00454164" w:rsidP="00454164">
            <w:pPr>
              <w:spacing w:after="0" w:line="240" w:lineRule="auto"/>
              <w:jc w:val="center"/>
              <w:rPr>
                <w:rFonts w:ascii="Calibri" w:eastAsia="Times New Roman" w:hAnsi="Calibri" w:cs="Times New Roman"/>
                <w:b/>
                <w:bCs/>
                <w:sz w:val="20"/>
                <w:szCs w:val="20"/>
              </w:rPr>
            </w:pPr>
            <w:r w:rsidRPr="00454164">
              <w:rPr>
                <w:rFonts w:ascii="Calibri" w:eastAsia="Times New Roman" w:hAnsi="Calibri" w:cs="Times New Roman"/>
                <w:b/>
                <w:bCs/>
                <w:sz w:val="20"/>
                <w:szCs w:val="20"/>
              </w:rPr>
              <w:t>Physical Description</w:t>
            </w:r>
          </w:p>
        </w:tc>
      </w:tr>
      <w:tr w:rsidR="00454164" w:rsidRPr="00454164" w:rsidTr="00454164">
        <w:trPr>
          <w:trHeight w:val="510"/>
          <w:jc w:val="center"/>
        </w:trPr>
        <w:tc>
          <w:tcPr>
            <w:tcW w:w="508" w:type="dxa"/>
            <w:tcBorders>
              <w:top w:val="single" w:sz="4" w:space="0" w:color="auto"/>
              <w:left w:val="nil"/>
              <w:bottom w:val="single" w:sz="4" w:space="0" w:color="auto"/>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1A</w:t>
            </w:r>
          </w:p>
        </w:tc>
        <w:tc>
          <w:tcPr>
            <w:tcW w:w="1341" w:type="dxa"/>
            <w:tcBorders>
              <w:top w:val="single" w:sz="4" w:space="0" w:color="auto"/>
              <w:left w:val="nil"/>
              <w:bottom w:val="single" w:sz="4" w:space="0" w:color="auto"/>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High</w:t>
            </w:r>
          </w:p>
        </w:tc>
        <w:tc>
          <w:tcPr>
            <w:tcW w:w="918" w:type="dxa"/>
            <w:tcBorders>
              <w:top w:val="single" w:sz="4" w:space="0" w:color="auto"/>
              <w:left w:val="nil"/>
              <w:bottom w:val="single" w:sz="4" w:space="0" w:color="auto"/>
              <w:right w:val="nil"/>
            </w:tcBorders>
            <w:shd w:val="clear" w:color="auto" w:fill="auto"/>
            <w:vAlign w:val="center"/>
            <w:hideMark/>
          </w:tcPr>
          <w:p w:rsidR="00454164" w:rsidRPr="00454164" w:rsidRDefault="00454164" w:rsidP="00454164">
            <w:pPr>
              <w:spacing w:after="0" w:line="240" w:lineRule="auto"/>
              <w:jc w:val="center"/>
              <w:rPr>
                <w:rFonts w:ascii="Calibri" w:eastAsia="Times New Roman" w:hAnsi="Calibri" w:cs="Times New Roman"/>
                <w:sz w:val="20"/>
                <w:szCs w:val="20"/>
              </w:rPr>
            </w:pPr>
            <w:r w:rsidRPr="00454164">
              <w:rPr>
                <w:rFonts w:ascii="Calibri" w:eastAsia="Times New Roman" w:hAnsi="Calibri" w:cs="Times New Roman"/>
                <w:sz w:val="20"/>
                <w:szCs w:val="20"/>
              </w:rPr>
              <w:t>1</w:t>
            </w:r>
          </w:p>
        </w:tc>
        <w:tc>
          <w:tcPr>
            <w:tcW w:w="1248" w:type="dxa"/>
            <w:tcBorders>
              <w:top w:val="single" w:sz="4" w:space="0" w:color="auto"/>
              <w:left w:val="nil"/>
              <w:bottom w:val="single" w:sz="4" w:space="0" w:color="auto"/>
              <w:right w:val="nil"/>
            </w:tcBorders>
            <w:shd w:val="clear" w:color="auto" w:fill="auto"/>
            <w:vAlign w:val="center"/>
            <w:hideMark/>
          </w:tcPr>
          <w:p w:rsidR="00454164" w:rsidRPr="00454164" w:rsidRDefault="00454164" w:rsidP="00454164">
            <w:pPr>
              <w:spacing w:after="0" w:line="240" w:lineRule="auto"/>
              <w:jc w:val="center"/>
              <w:rPr>
                <w:rFonts w:ascii="Calibri" w:eastAsia="Times New Roman" w:hAnsi="Calibri" w:cs="Times New Roman"/>
                <w:sz w:val="20"/>
                <w:szCs w:val="20"/>
              </w:rPr>
            </w:pPr>
            <w:r w:rsidRPr="00454164">
              <w:rPr>
                <w:rFonts w:ascii="Calibri" w:eastAsia="Times New Roman" w:hAnsi="Calibri" w:cs="Times New Roman"/>
                <w:sz w:val="20"/>
                <w:szCs w:val="20"/>
              </w:rPr>
              <w:t>All F values</w:t>
            </w:r>
          </w:p>
        </w:tc>
        <w:tc>
          <w:tcPr>
            <w:tcW w:w="1214" w:type="dxa"/>
            <w:tcBorders>
              <w:top w:val="single" w:sz="4" w:space="0" w:color="auto"/>
              <w:left w:val="nil"/>
              <w:bottom w:val="single" w:sz="4" w:space="0" w:color="auto"/>
              <w:right w:val="nil"/>
            </w:tcBorders>
            <w:shd w:val="clear" w:color="auto" w:fill="auto"/>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Varies</w:t>
            </w:r>
          </w:p>
        </w:tc>
        <w:tc>
          <w:tcPr>
            <w:tcW w:w="1170" w:type="dxa"/>
            <w:tcBorders>
              <w:top w:val="single" w:sz="4" w:space="0" w:color="auto"/>
              <w:left w:val="nil"/>
              <w:bottom w:val="single" w:sz="4" w:space="0" w:color="auto"/>
              <w:right w:val="nil"/>
            </w:tcBorders>
            <w:shd w:val="clear" w:color="auto" w:fill="auto"/>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+50%</w:t>
            </w:r>
          </w:p>
        </w:tc>
        <w:tc>
          <w:tcPr>
            <w:tcW w:w="1662" w:type="dxa"/>
            <w:tcBorders>
              <w:top w:val="single" w:sz="4" w:space="0" w:color="auto"/>
              <w:left w:val="nil"/>
              <w:bottom w:val="single" w:sz="4" w:space="0" w:color="auto"/>
              <w:right w:val="nil"/>
            </w:tcBorders>
            <w:shd w:val="clear" w:color="auto" w:fill="auto"/>
            <w:vAlign w:val="center"/>
            <w:hideMark/>
          </w:tcPr>
          <w:p w:rsidR="00454164" w:rsidRPr="00454164" w:rsidRDefault="00454164" w:rsidP="00454164">
            <w:pPr>
              <w:spacing w:after="0" w:line="240" w:lineRule="auto"/>
              <w:rPr>
                <w:rFonts w:ascii="Calibri" w:eastAsia="Times New Roman" w:hAnsi="Calibri" w:cs="Times New Roman"/>
                <w:sz w:val="20"/>
                <w:szCs w:val="20"/>
              </w:rPr>
            </w:pPr>
            <w:r w:rsidRPr="00454164">
              <w:rPr>
                <w:rFonts w:ascii="Calibri" w:eastAsia="Times New Roman" w:hAnsi="Calibri" w:cs="Times New Roman"/>
                <w:sz w:val="20"/>
                <w:szCs w:val="20"/>
              </w:rPr>
              <w:t>Increase total plant throughput by 50%</w:t>
            </w:r>
          </w:p>
        </w:tc>
      </w:tr>
      <w:tr w:rsidR="00454164" w:rsidRPr="00454164" w:rsidTr="00454164">
        <w:trPr>
          <w:trHeight w:val="510"/>
          <w:jc w:val="center"/>
        </w:trPr>
        <w:tc>
          <w:tcPr>
            <w:tcW w:w="508" w:type="dxa"/>
            <w:tcBorders>
              <w:top w:val="nil"/>
              <w:left w:val="nil"/>
              <w:bottom w:val="single" w:sz="4" w:space="0" w:color="auto"/>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1B</w:t>
            </w:r>
          </w:p>
        </w:tc>
        <w:tc>
          <w:tcPr>
            <w:tcW w:w="1341" w:type="dxa"/>
            <w:tcBorders>
              <w:top w:val="nil"/>
              <w:left w:val="nil"/>
              <w:bottom w:val="single" w:sz="4" w:space="0" w:color="auto"/>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High</w:t>
            </w:r>
          </w:p>
        </w:tc>
        <w:tc>
          <w:tcPr>
            <w:tcW w:w="918" w:type="dxa"/>
            <w:tcBorders>
              <w:top w:val="nil"/>
              <w:left w:val="nil"/>
              <w:bottom w:val="single" w:sz="4" w:space="0" w:color="auto"/>
              <w:right w:val="nil"/>
            </w:tcBorders>
            <w:shd w:val="clear" w:color="auto" w:fill="auto"/>
            <w:vAlign w:val="center"/>
            <w:hideMark/>
          </w:tcPr>
          <w:p w:rsidR="00454164" w:rsidRPr="00454164" w:rsidRDefault="00454164" w:rsidP="00454164">
            <w:pPr>
              <w:spacing w:after="0" w:line="240" w:lineRule="auto"/>
              <w:jc w:val="center"/>
              <w:rPr>
                <w:rFonts w:ascii="Calibri" w:eastAsia="Times New Roman" w:hAnsi="Calibri" w:cs="Times New Roman"/>
                <w:sz w:val="20"/>
                <w:szCs w:val="20"/>
              </w:rPr>
            </w:pPr>
            <w:r w:rsidRPr="00454164">
              <w:rPr>
                <w:rFonts w:ascii="Calibri" w:eastAsia="Times New Roman" w:hAnsi="Calibri" w:cs="Times New Roman"/>
                <w:sz w:val="20"/>
                <w:szCs w:val="20"/>
              </w:rPr>
              <w:t>1</w:t>
            </w:r>
          </w:p>
        </w:tc>
        <w:tc>
          <w:tcPr>
            <w:tcW w:w="1248" w:type="dxa"/>
            <w:tcBorders>
              <w:top w:val="nil"/>
              <w:left w:val="nil"/>
              <w:bottom w:val="single" w:sz="4" w:space="0" w:color="auto"/>
              <w:right w:val="nil"/>
            </w:tcBorders>
            <w:shd w:val="clear" w:color="auto" w:fill="auto"/>
            <w:vAlign w:val="center"/>
            <w:hideMark/>
          </w:tcPr>
          <w:p w:rsidR="00454164" w:rsidRPr="00454164" w:rsidRDefault="00454164" w:rsidP="00454164">
            <w:pPr>
              <w:spacing w:after="0" w:line="240" w:lineRule="auto"/>
              <w:jc w:val="center"/>
              <w:rPr>
                <w:rFonts w:ascii="Calibri" w:eastAsia="Times New Roman" w:hAnsi="Calibri" w:cs="Times New Roman"/>
                <w:sz w:val="20"/>
                <w:szCs w:val="20"/>
              </w:rPr>
            </w:pPr>
            <w:r w:rsidRPr="00454164">
              <w:rPr>
                <w:rFonts w:ascii="Calibri" w:eastAsia="Times New Roman" w:hAnsi="Calibri" w:cs="Times New Roman"/>
                <w:sz w:val="20"/>
                <w:szCs w:val="20"/>
              </w:rPr>
              <w:t>All F values</w:t>
            </w:r>
          </w:p>
        </w:tc>
        <w:tc>
          <w:tcPr>
            <w:tcW w:w="1214" w:type="dxa"/>
            <w:tcBorders>
              <w:top w:val="nil"/>
              <w:left w:val="nil"/>
              <w:bottom w:val="single" w:sz="4" w:space="0" w:color="auto"/>
              <w:right w:val="nil"/>
            </w:tcBorders>
            <w:shd w:val="clear" w:color="auto" w:fill="auto"/>
            <w:vAlign w:val="center"/>
            <w:hideMark/>
          </w:tcPr>
          <w:p w:rsidR="00454164" w:rsidRPr="00454164" w:rsidRDefault="00454164" w:rsidP="00454164">
            <w:pPr>
              <w:spacing w:after="0" w:line="240" w:lineRule="auto"/>
              <w:jc w:val="center"/>
              <w:rPr>
                <w:rFonts w:ascii="Calibri" w:eastAsia="Times New Roman" w:hAnsi="Calibri" w:cs="Times New Roman"/>
                <w:sz w:val="20"/>
                <w:szCs w:val="20"/>
              </w:rPr>
            </w:pPr>
            <w:r w:rsidRPr="00454164">
              <w:rPr>
                <w:rFonts w:ascii="Calibri" w:eastAsia="Times New Roman" w:hAnsi="Calibri" w:cs="Times New Roman"/>
                <w:sz w:val="20"/>
                <w:szCs w:val="20"/>
              </w:rPr>
              <w:t>Varies</w:t>
            </w:r>
          </w:p>
        </w:tc>
        <w:tc>
          <w:tcPr>
            <w:tcW w:w="1170" w:type="dxa"/>
            <w:tcBorders>
              <w:top w:val="nil"/>
              <w:left w:val="nil"/>
              <w:bottom w:val="single" w:sz="4" w:space="0" w:color="auto"/>
              <w:right w:val="nil"/>
            </w:tcBorders>
            <w:shd w:val="clear" w:color="auto" w:fill="auto"/>
            <w:vAlign w:val="center"/>
            <w:hideMark/>
          </w:tcPr>
          <w:p w:rsidR="00454164" w:rsidRPr="00454164" w:rsidRDefault="00454164" w:rsidP="00454164">
            <w:pPr>
              <w:spacing w:after="0" w:line="240" w:lineRule="auto"/>
              <w:jc w:val="center"/>
              <w:rPr>
                <w:rFonts w:ascii="Calibri" w:eastAsia="Times New Roman" w:hAnsi="Calibri" w:cs="Times New Roman"/>
                <w:sz w:val="20"/>
                <w:szCs w:val="20"/>
              </w:rPr>
            </w:pPr>
            <w:r w:rsidRPr="00454164">
              <w:rPr>
                <w:rFonts w:ascii="Calibri" w:eastAsia="Times New Roman" w:hAnsi="Calibri" w:cs="Times New Roman"/>
                <w:sz w:val="20"/>
                <w:szCs w:val="20"/>
              </w:rPr>
              <w:t>+10%</w:t>
            </w:r>
          </w:p>
        </w:tc>
        <w:tc>
          <w:tcPr>
            <w:tcW w:w="1662" w:type="dxa"/>
            <w:tcBorders>
              <w:top w:val="nil"/>
              <w:left w:val="nil"/>
              <w:bottom w:val="single" w:sz="4" w:space="0" w:color="auto"/>
              <w:right w:val="nil"/>
            </w:tcBorders>
            <w:shd w:val="clear" w:color="auto" w:fill="auto"/>
            <w:vAlign w:val="center"/>
            <w:hideMark/>
          </w:tcPr>
          <w:p w:rsidR="00454164" w:rsidRPr="00454164" w:rsidRDefault="00454164" w:rsidP="00454164">
            <w:pPr>
              <w:spacing w:after="0" w:line="240" w:lineRule="auto"/>
              <w:rPr>
                <w:rFonts w:ascii="Calibri" w:eastAsia="Times New Roman" w:hAnsi="Calibri" w:cs="Times New Roman"/>
                <w:sz w:val="20"/>
                <w:szCs w:val="20"/>
              </w:rPr>
            </w:pPr>
            <w:r w:rsidRPr="00454164">
              <w:rPr>
                <w:rFonts w:ascii="Calibri" w:eastAsia="Times New Roman" w:hAnsi="Calibri" w:cs="Times New Roman"/>
                <w:sz w:val="20"/>
                <w:szCs w:val="20"/>
              </w:rPr>
              <w:t>Increase total plant throughput by 10%</w:t>
            </w:r>
          </w:p>
        </w:tc>
      </w:tr>
      <w:tr w:rsidR="00454164" w:rsidRPr="00454164" w:rsidTr="00454164">
        <w:trPr>
          <w:trHeight w:val="510"/>
          <w:jc w:val="center"/>
        </w:trPr>
        <w:tc>
          <w:tcPr>
            <w:tcW w:w="508" w:type="dxa"/>
            <w:tcBorders>
              <w:top w:val="nil"/>
              <w:left w:val="nil"/>
              <w:bottom w:val="single" w:sz="4" w:space="0" w:color="auto"/>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1C</w:t>
            </w:r>
          </w:p>
        </w:tc>
        <w:tc>
          <w:tcPr>
            <w:tcW w:w="1341" w:type="dxa"/>
            <w:tcBorders>
              <w:top w:val="nil"/>
              <w:left w:val="nil"/>
              <w:bottom w:val="single" w:sz="4" w:space="0" w:color="auto"/>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High</w:t>
            </w:r>
          </w:p>
        </w:tc>
        <w:tc>
          <w:tcPr>
            <w:tcW w:w="918" w:type="dxa"/>
            <w:tcBorders>
              <w:top w:val="nil"/>
              <w:left w:val="nil"/>
              <w:bottom w:val="single" w:sz="4" w:space="0" w:color="auto"/>
              <w:right w:val="nil"/>
            </w:tcBorders>
            <w:shd w:val="clear" w:color="auto" w:fill="auto"/>
            <w:vAlign w:val="center"/>
            <w:hideMark/>
          </w:tcPr>
          <w:p w:rsidR="00454164" w:rsidRPr="00454164" w:rsidRDefault="00454164" w:rsidP="00454164">
            <w:pPr>
              <w:spacing w:after="0" w:line="240" w:lineRule="auto"/>
              <w:jc w:val="center"/>
              <w:rPr>
                <w:rFonts w:ascii="Calibri" w:eastAsia="Times New Roman" w:hAnsi="Calibri" w:cs="Times New Roman"/>
                <w:sz w:val="20"/>
                <w:szCs w:val="20"/>
              </w:rPr>
            </w:pPr>
            <w:r w:rsidRPr="00454164">
              <w:rPr>
                <w:rFonts w:ascii="Calibri" w:eastAsia="Times New Roman" w:hAnsi="Calibri" w:cs="Times New Roman"/>
                <w:sz w:val="20"/>
                <w:szCs w:val="20"/>
              </w:rPr>
              <w:t>1</w:t>
            </w:r>
          </w:p>
        </w:tc>
        <w:tc>
          <w:tcPr>
            <w:tcW w:w="1248" w:type="dxa"/>
            <w:tcBorders>
              <w:top w:val="nil"/>
              <w:left w:val="nil"/>
              <w:bottom w:val="single" w:sz="4" w:space="0" w:color="auto"/>
              <w:right w:val="nil"/>
            </w:tcBorders>
            <w:shd w:val="clear" w:color="auto" w:fill="auto"/>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F</w:t>
            </w:r>
            <w:r w:rsidRPr="00454164">
              <w:rPr>
                <w:rFonts w:ascii="Calibri" w:eastAsia="Times New Roman" w:hAnsi="Calibri" w:cs="Times New Roman"/>
                <w:color w:val="000000"/>
                <w:sz w:val="20"/>
                <w:szCs w:val="20"/>
                <w:vertAlign w:val="subscript"/>
              </w:rPr>
              <w:t>1A,U</w:t>
            </w:r>
          </w:p>
        </w:tc>
        <w:tc>
          <w:tcPr>
            <w:tcW w:w="1214" w:type="dxa"/>
            <w:tcBorders>
              <w:top w:val="nil"/>
              <w:left w:val="nil"/>
              <w:bottom w:val="single" w:sz="4" w:space="0" w:color="auto"/>
              <w:right w:val="nil"/>
            </w:tcBorders>
            <w:shd w:val="clear" w:color="auto" w:fill="auto"/>
            <w:vAlign w:val="center"/>
            <w:hideMark/>
          </w:tcPr>
          <w:p w:rsidR="00454164" w:rsidRPr="00454164" w:rsidRDefault="00454164" w:rsidP="00454164">
            <w:pPr>
              <w:spacing w:after="0" w:line="240" w:lineRule="auto"/>
              <w:jc w:val="center"/>
              <w:rPr>
                <w:rFonts w:ascii="Calibri" w:eastAsia="Times New Roman" w:hAnsi="Calibri" w:cs="Times New Roman"/>
                <w:sz w:val="20"/>
                <w:szCs w:val="20"/>
              </w:rPr>
            </w:pPr>
            <w:r w:rsidRPr="00454164">
              <w:rPr>
                <w:rFonts w:ascii="Calibri" w:eastAsia="Times New Roman" w:hAnsi="Calibri" w:cs="Times New Roman"/>
                <w:sz w:val="20"/>
                <w:szCs w:val="20"/>
              </w:rPr>
              <w:t>50 kg/h</w:t>
            </w:r>
          </w:p>
        </w:tc>
        <w:tc>
          <w:tcPr>
            <w:tcW w:w="1170" w:type="dxa"/>
            <w:tcBorders>
              <w:top w:val="nil"/>
              <w:left w:val="nil"/>
              <w:bottom w:val="single" w:sz="4" w:space="0" w:color="auto"/>
              <w:right w:val="nil"/>
            </w:tcBorders>
            <w:shd w:val="clear" w:color="auto" w:fill="auto"/>
            <w:vAlign w:val="center"/>
            <w:hideMark/>
          </w:tcPr>
          <w:p w:rsidR="00454164" w:rsidRPr="00454164" w:rsidRDefault="00454164" w:rsidP="00454164">
            <w:pPr>
              <w:spacing w:after="0" w:line="240" w:lineRule="auto"/>
              <w:jc w:val="center"/>
              <w:rPr>
                <w:rFonts w:ascii="Calibri" w:eastAsia="Times New Roman" w:hAnsi="Calibri" w:cs="Times New Roman"/>
                <w:sz w:val="20"/>
                <w:szCs w:val="20"/>
              </w:rPr>
            </w:pPr>
            <w:r w:rsidRPr="00454164">
              <w:rPr>
                <w:rFonts w:ascii="Calibri" w:eastAsia="Times New Roman" w:hAnsi="Calibri" w:cs="Times New Roman"/>
                <w:sz w:val="20"/>
                <w:szCs w:val="20"/>
              </w:rPr>
              <w:t>57.5 kg/h</w:t>
            </w:r>
          </w:p>
        </w:tc>
        <w:tc>
          <w:tcPr>
            <w:tcW w:w="1662" w:type="dxa"/>
            <w:tcBorders>
              <w:top w:val="nil"/>
              <w:left w:val="nil"/>
              <w:bottom w:val="single" w:sz="4" w:space="0" w:color="auto"/>
              <w:right w:val="nil"/>
            </w:tcBorders>
            <w:shd w:val="clear" w:color="auto" w:fill="auto"/>
            <w:vAlign w:val="center"/>
            <w:hideMark/>
          </w:tcPr>
          <w:p w:rsidR="00454164" w:rsidRPr="00454164" w:rsidRDefault="00454164" w:rsidP="00454164">
            <w:pPr>
              <w:spacing w:after="0" w:line="240" w:lineRule="auto"/>
              <w:rPr>
                <w:rFonts w:ascii="Calibri" w:eastAsia="Times New Roman" w:hAnsi="Calibri" w:cs="Times New Roman"/>
                <w:sz w:val="20"/>
                <w:szCs w:val="20"/>
              </w:rPr>
            </w:pPr>
            <w:r w:rsidRPr="00454164">
              <w:rPr>
                <w:rFonts w:ascii="Calibri" w:eastAsia="Times New Roman" w:hAnsi="Calibri" w:cs="Times New Roman"/>
                <w:sz w:val="20"/>
                <w:szCs w:val="20"/>
              </w:rPr>
              <w:t>Increase uranium throughput by 15%</w:t>
            </w:r>
          </w:p>
        </w:tc>
      </w:tr>
      <w:tr w:rsidR="00454164" w:rsidRPr="00454164" w:rsidTr="00454164">
        <w:trPr>
          <w:trHeight w:val="510"/>
          <w:jc w:val="center"/>
        </w:trPr>
        <w:tc>
          <w:tcPr>
            <w:tcW w:w="508" w:type="dxa"/>
            <w:tcBorders>
              <w:top w:val="nil"/>
              <w:left w:val="nil"/>
              <w:bottom w:val="nil"/>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1D</w:t>
            </w:r>
          </w:p>
        </w:tc>
        <w:tc>
          <w:tcPr>
            <w:tcW w:w="1341" w:type="dxa"/>
            <w:tcBorders>
              <w:top w:val="nil"/>
              <w:left w:val="nil"/>
              <w:bottom w:val="nil"/>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High</w:t>
            </w:r>
          </w:p>
        </w:tc>
        <w:tc>
          <w:tcPr>
            <w:tcW w:w="918" w:type="dxa"/>
            <w:tcBorders>
              <w:top w:val="nil"/>
              <w:left w:val="nil"/>
              <w:bottom w:val="nil"/>
              <w:right w:val="nil"/>
            </w:tcBorders>
            <w:shd w:val="clear" w:color="auto" w:fill="auto"/>
            <w:vAlign w:val="center"/>
            <w:hideMark/>
          </w:tcPr>
          <w:p w:rsidR="00454164" w:rsidRPr="00454164" w:rsidRDefault="00454164" w:rsidP="00454164">
            <w:pPr>
              <w:spacing w:after="0" w:line="240" w:lineRule="auto"/>
              <w:jc w:val="center"/>
              <w:rPr>
                <w:rFonts w:ascii="Calibri" w:eastAsia="Times New Roman" w:hAnsi="Calibri" w:cs="Times New Roman"/>
                <w:sz w:val="20"/>
                <w:szCs w:val="20"/>
              </w:rPr>
            </w:pPr>
            <w:r w:rsidRPr="00454164">
              <w:rPr>
                <w:rFonts w:ascii="Calibri" w:eastAsia="Times New Roman" w:hAnsi="Calibri" w:cs="Times New Roman"/>
                <w:sz w:val="20"/>
                <w:szCs w:val="20"/>
              </w:rPr>
              <w:t>1</w:t>
            </w:r>
          </w:p>
        </w:tc>
        <w:tc>
          <w:tcPr>
            <w:tcW w:w="1248" w:type="dxa"/>
            <w:tcBorders>
              <w:top w:val="nil"/>
              <w:left w:val="nil"/>
              <w:bottom w:val="nil"/>
              <w:right w:val="nil"/>
            </w:tcBorders>
            <w:shd w:val="clear" w:color="auto" w:fill="auto"/>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F</w:t>
            </w:r>
            <w:r w:rsidRPr="00454164">
              <w:rPr>
                <w:rFonts w:ascii="Calibri" w:eastAsia="Times New Roman" w:hAnsi="Calibri" w:cs="Times New Roman"/>
                <w:color w:val="000000"/>
                <w:sz w:val="20"/>
                <w:szCs w:val="20"/>
                <w:vertAlign w:val="subscript"/>
              </w:rPr>
              <w:t>1A,U</w:t>
            </w:r>
          </w:p>
        </w:tc>
        <w:tc>
          <w:tcPr>
            <w:tcW w:w="1214" w:type="dxa"/>
            <w:tcBorders>
              <w:top w:val="nil"/>
              <w:left w:val="nil"/>
              <w:bottom w:val="nil"/>
              <w:right w:val="nil"/>
            </w:tcBorders>
            <w:shd w:val="clear" w:color="auto" w:fill="auto"/>
            <w:vAlign w:val="center"/>
            <w:hideMark/>
          </w:tcPr>
          <w:p w:rsidR="00454164" w:rsidRPr="00454164" w:rsidRDefault="00454164" w:rsidP="00454164">
            <w:pPr>
              <w:spacing w:after="0" w:line="240" w:lineRule="auto"/>
              <w:jc w:val="center"/>
              <w:rPr>
                <w:rFonts w:ascii="Calibri" w:eastAsia="Times New Roman" w:hAnsi="Calibri" w:cs="Times New Roman"/>
                <w:sz w:val="20"/>
                <w:szCs w:val="20"/>
              </w:rPr>
            </w:pPr>
            <w:r w:rsidRPr="00454164">
              <w:rPr>
                <w:rFonts w:ascii="Calibri" w:eastAsia="Times New Roman" w:hAnsi="Calibri" w:cs="Times New Roman"/>
                <w:sz w:val="20"/>
                <w:szCs w:val="20"/>
              </w:rPr>
              <w:t>50 kg/h</w:t>
            </w:r>
          </w:p>
        </w:tc>
        <w:tc>
          <w:tcPr>
            <w:tcW w:w="1170" w:type="dxa"/>
            <w:tcBorders>
              <w:top w:val="nil"/>
              <w:left w:val="nil"/>
              <w:bottom w:val="nil"/>
              <w:right w:val="nil"/>
            </w:tcBorders>
            <w:shd w:val="clear" w:color="auto" w:fill="auto"/>
            <w:vAlign w:val="center"/>
            <w:hideMark/>
          </w:tcPr>
          <w:p w:rsidR="00454164" w:rsidRPr="00454164" w:rsidRDefault="00454164" w:rsidP="00454164">
            <w:pPr>
              <w:spacing w:after="0" w:line="240" w:lineRule="auto"/>
              <w:jc w:val="center"/>
              <w:rPr>
                <w:rFonts w:ascii="Calibri" w:eastAsia="Times New Roman" w:hAnsi="Calibri" w:cs="Times New Roman"/>
                <w:sz w:val="20"/>
                <w:szCs w:val="20"/>
              </w:rPr>
            </w:pPr>
            <w:r w:rsidRPr="00454164">
              <w:rPr>
                <w:rFonts w:ascii="Calibri" w:eastAsia="Times New Roman" w:hAnsi="Calibri" w:cs="Times New Roman"/>
                <w:sz w:val="20"/>
                <w:szCs w:val="20"/>
              </w:rPr>
              <w:t>62.5 kg/h</w:t>
            </w:r>
          </w:p>
        </w:tc>
        <w:tc>
          <w:tcPr>
            <w:tcW w:w="1662" w:type="dxa"/>
            <w:tcBorders>
              <w:top w:val="nil"/>
              <w:left w:val="nil"/>
              <w:bottom w:val="nil"/>
              <w:right w:val="nil"/>
            </w:tcBorders>
            <w:shd w:val="clear" w:color="auto" w:fill="auto"/>
            <w:vAlign w:val="center"/>
            <w:hideMark/>
          </w:tcPr>
          <w:p w:rsidR="00454164" w:rsidRPr="00454164" w:rsidRDefault="00454164" w:rsidP="00454164">
            <w:pPr>
              <w:spacing w:after="0" w:line="240" w:lineRule="auto"/>
              <w:rPr>
                <w:rFonts w:ascii="Calibri" w:eastAsia="Times New Roman" w:hAnsi="Calibri" w:cs="Times New Roman"/>
                <w:sz w:val="20"/>
                <w:szCs w:val="20"/>
              </w:rPr>
            </w:pPr>
            <w:r w:rsidRPr="00454164">
              <w:rPr>
                <w:rFonts w:ascii="Calibri" w:eastAsia="Times New Roman" w:hAnsi="Calibri" w:cs="Times New Roman"/>
                <w:sz w:val="20"/>
                <w:szCs w:val="20"/>
              </w:rPr>
              <w:t>Increase uranium throughput by 25%</w:t>
            </w:r>
          </w:p>
        </w:tc>
      </w:tr>
      <w:tr w:rsidR="00454164" w:rsidRPr="00454164" w:rsidTr="00454164">
        <w:trPr>
          <w:trHeight w:val="255"/>
          <w:jc w:val="center"/>
        </w:trPr>
        <w:tc>
          <w:tcPr>
            <w:tcW w:w="8061" w:type="dxa"/>
            <w:gridSpan w:val="7"/>
            <w:tcBorders>
              <w:top w:val="single" w:sz="4" w:space="0" w:color="auto"/>
              <w:left w:val="nil"/>
              <w:bottom w:val="nil"/>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b/>
                <w:bCs/>
                <w:color w:val="000000"/>
                <w:sz w:val="20"/>
                <w:szCs w:val="20"/>
              </w:rPr>
            </w:pPr>
            <w:r w:rsidRPr="00454164">
              <w:rPr>
                <w:rFonts w:ascii="Calibri" w:eastAsia="Times New Roman" w:hAnsi="Calibri" w:cs="Times New Roman"/>
                <w:b/>
                <w:bCs/>
                <w:color w:val="000000"/>
                <w:sz w:val="20"/>
                <w:szCs w:val="20"/>
              </w:rPr>
              <w:t>Summary of Results</w:t>
            </w:r>
          </w:p>
        </w:tc>
      </w:tr>
      <w:tr w:rsidR="00454164" w:rsidRPr="00454164" w:rsidTr="00454164">
        <w:trPr>
          <w:trHeight w:val="510"/>
          <w:jc w:val="center"/>
        </w:trPr>
        <w:tc>
          <w:tcPr>
            <w:tcW w:w="508" w:type="dxa"/>
            <w:tcBorders>
              <w:top w:val="nil"/>
              <w:left w:val="nil"/>
              <w:bottom w:val="nil"/>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p>
        </w:tc>
        <w:tc>
          <w:tcPr>
            <w:tcW w:w="1341" w:type="dxa"/>
            <w:tcBorders>
              <w:top w:val="nil"/>
              <w:left w:val="nil"/>
              <w:bottom w:val="nil"/>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p>
        </w:tc>
        <w:tc>
          <w:tcPr>
            <w:tcW w:w="918" w:type="dxa"/>
            <w:tcBorders>
              <w:top w:val="nil"/>
              <w:left w:val="nil"/>
              <w:bottom w:val="nil"/>
              <w:right w:val="nil"/>
            </w:tcBorders>
            <w:shd w:val="clear" w:color="auto" w:fill="auto"/>
            <w:vAlign w:val="center"/>
            <w:hideMark/>
          </w:tcPr>
          <w:p w:rsidR="00454164" w:rsidRPr="00454164" w:rsidRDefault="00454164" w:rsidP="00454164">
            <w:pPr>
              <w:spacing w:after="0" w:line="240" w:lineRule="auto"/>
              <w:jc w:val="center"/>
              <w:rPr>
                <w:rFonts w:ascii="Calibri" w:eastAsia="Times New Roman" w:hAnsi="Calibri" w:cs="Times New Roman"/>
                <w:b/>
                <w:bCs/>
                <w:sz w:val="20"/>
                <w:szCs w:val="20"/>
              </w:rPr>
            </w:pPr>
            <w:r w:rsidRPr="00454164">
              <w:rPr>
                <w:rFonts w:ascii="Calibri" w:eastAsia="Times New Roman" w:hAnsi="Calibri" w:cs="Times New Roman"/>
                <w:b/>
                <w:bCs/>
                <w:sz w:val="20"/>
                <w:szCs w:val="20"/>
              </w:rPr>
              <w:t>PC1 Scores</w:t>
            </w:r>
          </w:p>
        </w:tc>
        <w:tc>
          <w:tcPr>
            <w:tcW w:w="1248" w:type="dxa"/>
            <w:tcBorders>
              <w:top w:val="nil"/>
              <w:left w:val="nil"/>
              <w:bottom w:val="nil"/>
              <w:right w:val="nil"/>
            </w:tcBorders>
            <w:shd w:val="clear" w:color="auto" w:fill="auto"/>
            <w:vAlign w:val="center"/>
            <w:hideMark/>
          </w:tcPr>
          <w:p w:rsidR="00454164" w:rsidRDefault="00454164" w:rsidP="00454164">
            <w:pPr>
              <w:spacing w:after="0" w:line="240" w:lineRule="auto"/>
              <w:jc w:val="center"/>
              <w:rPr>
                <w:rFonts w:ascii="Calibri" w:eastAsia="Times New Roman" w:hAnsi="Calibri" w:cs="Times New Roman"/>
                <w:b/>
                <w:bCs/>
                <w:color w:val="000000"/>
                <w:sz w:val="20"/>
                <w:szCs w:val="20"/>
              </w:rPr>
            </w:pPr>
            <w:r w:rsidRPr="00454164">
              <w:rPr>
                <w:rFonts w:ascii="Calibri" w:eastAsia="Times New Roman" w:hAnsi="Calibri" w:cs="Times New Roman"/>
                <w:b/>
                <w:bCs/>
                <w:color w:val="000000"/>
                <w:sz w:val="20"/>
                <w:szCs w:val="20"/>
              </w:rPr>
              <w:t xml:space="preserve">PC2 </w:t>
            </w:r>
          </w:p>
          <w:p w:rsidR="00454164" w:rsidRPr="00454164" w:rsidRDefault="00454164" w:rsidP="00454164">
            <w:pPr>
              <w:spacing w:after="0" w:line="240" w:lineRule="auto"/>
              <w:jc w:val="center"/>
              <w:rPr>
                <w:rFonts w:ascii="Calibri" w:eastAsia="Times New Roman" w:hAnsi="Calibri" w:cs="Times New Roman"/>
                <w:b/>
                <w:bCs/>
                <w:color w:val="000000"/>
                <w:sz w:val="20"/>
                <w:szCs w:val="20"/>
              </w:rPr>
            </w:pPr>
            <w:r w:rsidRPr="00454164">
              <w:rPr>
                <w:rFonts w:ascii="Calibri" w:eastAsia="Times New Roman" w:hAnsi="Calibri" w:cs="Times New Roman"/>
                <w:b/>
                <w:bCs/>
                <w:color w:val="000000"/>
                <w:sz w:val="20"/>
                <w:szCs w:val="20"/>
              </w:rPr>
              <w:t>Scores</w:t>
            </w:r>
          </w:p>
        </w:tc>
        <w:tc>
          <w:tcPr>
            <w:tcW w:w="1214" w:type="dxa"/>
            <w:tcBorders>
              <w:top w:val="nil"/>
              <w:left w:val="nil"/>
              <w:bottom w:val="nil"/>
              <w:right w:val="nil"/>
            </w:tcBorders>
            <w:shd w:val="clear" w:color="auto" w:fill="auto"/>
            <w:vAlign w:val="center"/>
            <w:hideMark/>
          </w:tcPr>
          <w:p w:rsidR="00454164" w:rsidRDefault="00454164" w:rsidP="00454164">
            <w:pPr>
              <w:spacing w:after="0" w:line="240" w:lineRule="auto"/>
              <w:jc w:val="center"/>
              <w:rPr>
                <w:rFonts w:ascii="Calibri" w:eastAsia="Times New Roman" w:hAnsi="Calibri" w:cs="Times New Roman"/>
                <w:b/>
                <w:bCs/>
                <w:color w:val="000000"/>
                <w:sz w:val="20"/>
                <w:szCs w:val="20"/>
              </w:rPr>
            </w:pPr>
            <w:r w:rsidRPr="00454164">
              <w:rPr>
                <w:rFonts w:ascii="Calibri" w:eastAsia="Times New Roman" w:hAnsi="Calibri" w:cs="Times New Roman"/>
                <w:b/>
                <w:bCs/>
                <w:color w:val="000000"/>
                <w:sz w:val="20"/>
                <w:szCs w:val="20"/>
              </w:rPr>
              <w:t xml:space="preserve">PC3 </w:t>
            </w:r>
          </w:p>
          <w:p w:rsidR="00454164" w:rsidRPr="00454164" w:rsidRDefault="00454164" w:rsidP="00454164">
            <w:pPr>
              <w:spacing w:after="0" w:line="240" w:lineRule="auto"/>
              <w:jc w:val="center"/>
              <w:rPr>
                <w:rFonts w:ascii="Calibri" w:eastAsia="Times New Roman" w:hAnsi="Calibri" w:cs="Times New Roman"/>
                <w:b/>
                <w:bCs/>
                <w:color w:val="000000"/>
                <w:sz w:val="20"/>
                <w:szCs w:val="20"/>
              </w:rPr>
            </w:pPr>
            <w:r w:rsidRPr="00454164">
              <w:rPr>
                <w:rFonts w:ascii="Calibri" w:eastAsia="Times New Roman" w:hAnsi="Calibri" w:cs="Times New Roman"/>
                <w:b/>
                <w:bCs/>
                <w:color w:val="000000"/>
                <w:sz w:val="20"/>
                <w:szCs w:val="20"/>
              </w:rPr>
              <w:t>Scores</w:t>
            </w:r>
          </w:p>
        </w:tc>
        <w:tc>
          <w:tcPr>
            <w:tcW w:w="1170" w:type="dxa"/>
            <w:tcBorders>
              <w:top w:val="nil"/>
              <w:left w:val="nil"/>
              <w:bottom w:val="nil"/>
              <w:right w:val="nil"/>
            </w:tcBorders>
            <w:shd w:val="clear" w:color="auto" w:fill="auto"/>
            <w:vAlign w:val="center"/>
            <w:hideMark/>
          </w:tcPr>
          <w:p w:rsidR="00454164" w:rsidRPr="00454164" w:rsidRDefault="00454164" w:rsidP="00454164">
            <w:pPr>
              <w:spacing w:after="0" w:line="240" w:lineRule="auto"/>
              <w:jc w:val="center"/>
              <w:rPr>
                <w:rFonts w:ascii="Calibri" w:eastAsia="Times New Roman" w:hAnsi="Calibri" w:cs="Times New Roman"/>
                <w:b/>
                <w:bCs/>
                <w:color w:val="000000"/>
                <w:sz w:val="20"/>
                <w:szCs w:val="20"/>
              </w:rPr>
            </w:pPr>
            <w:r w:rsidRPr="00454164">
              <w:rPr>
                <w:rFonts w:ascii="Calibri" w:eastAsia="Times New Roman" w:hAnsi="Calibri" w:cs="Times New Roman"/>
                <w:b/>
                <w:bCs/>
                <w:color w:val="000000"/>
                <w:sz w:val="20"/>
                <w:szCs w:val="20"/>
              </w:rPr>
              <w:t>T2</w:t>
            </w:r>
          </w:p>
        </w:tc>
        <w:tc>
          <w:tcPr>
            <w:tcW w:w="1662" w:type="dxa"/>
            <w:tcBorders>
              <w:top w:val="nil"/>
              <w:left w:val="nil"/>
              <w:bottom w:val="nil"/>
              <w:right w:val="nil"/>
            </w:tcBorders>
            <w:shd w:val="clear" w:color="auto" w:fill="auto"/>
            <w:vAlign w:val="center"/>
            <w:hideMark/>
          </w:tcPr>
          <w:p w:rsidR="00454164" w:rsidRPr="00454164" w:rsidRDefault="00454164" w:rsidP="00454164">
            <w:pPr>
              <w:spacing w:after="0" w:line="240" w:lineRule="auto"/>
              <w:jc w:val="center"/>
              <w:rPr>
                <w:rFonts w:ascii="Calibri" w:eastAsia="Times New Roman" w:hAnsi="Calibri" w:cs="Times New Roman"/>
                <w:b/>
                <w:bCs/>
                <w:color w:val="000000"/>
                <w:sz w:val="20"/>
                <w:szCs w:val="20"/>
              </w:rPr>
            </w:pPr>
            <w:r w:rsidRPr="00454164">
              <w:rPr>
                <w:rFonts w:ascii="Calibri" w:eastAsia="Times New Roman" w:hAnsi="Calibri" w:cs="Times New Roman"/>
                <w:b/>
                <w:bCs/>
                <w:color w:val="000000"/>
                <w:sz w:val="20"/>
                <w:szCs w:val="20"/>
              </w:rPr>
              <w:t>Q</w:t>
            </w:r>
          </w:p>
        </w:tc>
      </w:tr>
      <w:tr w:rsidR="00454164" w:rsidRPr="00454164" w:rsidTr="00454164">
        <w:trPr>
          <w:trHeight w:val="255"/>
          <w:jc w:val="center"/>
        </w:trPr>
        <w:tc>
          <w:tcPr>
            <w:tcW w:w="508" w:type="dxa"/>
            <w:vMerge w:val="restart"/>
            <w:tcBorders>
              <w:top w:val="single" w:sz="4" w:space="0" w:color="auto"/>
              <w:left w:val="nil"/>
              <w:bottom w:val="single" w:sz="4" w:space="0" w:color="000000"/>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1A</w:t>
            </w:r>
          </w:p>
        </w:tc>
        <w:tc>
          <w:tcPr>
            <w:tcW w:w="1341" w:type="dxa"/>
            <w:tcBorders>
              <w:top w:val="single" w:sz="4" w:space="0" w:color="auto"/>
              <w:left w:val="nil"/>
              <w:bottom w:val="nil"/>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b/>
                <w:bCs/>
                <w:color w:val="000000"/>
                <w:sz w:val="20"/>
                <w:szCs w:val="20"/>
              </w:rPr>
            </w:pPr>
            <w:r w:rsidRPr="00454164">
              <w:rPr>
                <w:rFonts w:ascii="Calibri" w:eastAsia="Times New Roman" w:hAnsi="Calibri" w:cs="Times New Roman"/>
                <w:b/>
                <w:bCs/>
                <w:color w:val="000000"/>
                <w:sz w:val="20"/>
                <w:szCs w:val="20"/>
              </w:rPr>
              <w:t>Direction</w:t>
            </w:r>
          </w:p>
        </w:tc>
        <w:tc>
          <w:tcPr>
            <w:tcW w:w="918" w:type="dxa"/>
            <w:tcBorders>
              <w:top w:val="single" w:sz="4" w:space="0" w:color="auto"/>
              <w:left w:val="nil"/>
              <w:bottom w:val="nil"/>
              <w:right w:val="nil"/>
            </w:tcBorders>
            <w:shd w:val="clear" w:color="auto" w:fill="auto"/>
            <w:vAlign w:val="center"/>
            <w:hideMark/>
          </w:tcPr>
          <w:p w:rsidR="00454164" w:rsidRPr="00454164" w:rsidRDefault="00454164" w:rsidP="00454164">
            <w:pPr>
              <w:spacing w:after="0" w:line="240" w:lineRule="auto"/>
              <w:jc w:val="center"/>
              <w:rPr>
                <w:rFonts w:ascii="Calibri" w:eastAsia="Times New Roman" w:hAnsi="Calibri" w:cs="Times New Roman"/>
                <w:sz w:val="20"/>
                <w:szCs w:val="20"/>
              </w:rPr>
            </w:pPr>
            <w:r w:rsidRPr="00454164">
              <w:rPr>
                <w:rFonts w:ascii="Calibri" w:eastAsia="Times New Roman" w:hAnsi="Calibri" w:cs="Times New Roman"/>
                <w:sz w:val="20"/>
                <w:szCs w:val="20"/>
              </w:rPr>
              <w:t>-</w:t>
            </w:r>
          </w:p>
        </w:tc>
        <w:tc>
          <w:tcPr>
            <w:tcW w:w="1248" w:type="dxa"/>
            <w:tcBorders>
              <w:top w:val="single" w:sz="4" w:space="0" w:color="auto"/>
              <w:left w:val="nil"/>
              <w:bottom w:val="nil"/>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w:t>
            </w:r>
          </w:p>
        </w:tc>
        <w:tc>
          <w:tcPr>
            <w:tcW w:w="1214" w:type="dxa"/>
            <w:tcBorders>
              <w:top w:val="single" w:sz="4" w:space="0" w:color="auto"/>
              <w:left w:val="nil"/>
              <w:bottom w:val="nil"/>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0</w:t>
            </w:r>
          </w:p>
        </w:tc>
        <w:tc>
          <w:tcPr>
            <w:tcW w:w="1170" w:type="dxa"/>
            <w:tcBorders>
              <w:top w:val="single" w:sz="4" w:space="0" w:color="auto"/>
              <w:left w:val="nil"/>
              <w:bottom w:val="nil"/>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w:t>
            </w:r>
          </w:p>
        </w:tc>
        <w:tc>
          <w:tcPr>
            <w:tcW w:w="1662" w:type="dxa"/>
            <w:tcBorders>
              <w:top w:val="single" w:sz="4" w:space="0" w:color="auto"/>
              <w:left w:val="nil"/>
              <w:bottom w:val="nil"/>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w:t>
            </w:r>
          </w:p>
        </w:tc>
      </w:tr>
      <w:tr w:rsidR="00454164" w:rsidRPr="00454164" w:rsidTr="00454164">
        <w:trPr>
          <w:trHeight w:val="255"/>
          <w:jc w:val="center"/>
        </w:trPr>
        <w:tc>
          <w:tcPr>
            <w:tcW w:w="508" w:type="dxa"/>
            <w:vMerge/>
            <w:tcBorders>
              <w:top w:val="single" w:sz="4" w:space="0" w:color="auto"/>
              <w:left w:val="nil"/>
              <w:bottom w:val="single" w:sz="4" w:space="0" w:color="000000"/>
              <w:right w:val="nil"/>
            </w:tcBorders>
            <w:vAlign w:val="center"/>
            <w:hideMark/>
          </w:tcPr>
          <w:p w:rsidR="00454164" w:rsidRPr="00454164" w:rsidRDefault="00454164" w:rsidP="00454164">
            <w:pPr>
              <w:spacing w:after="0" w:line="240" w:lineRule="auto"/>
              <w:rPr>
                <w:rFonts w:ascii="Calibri" w:eastAsia="Times New Roman" w:hAnsi="Calibri" w:cs="Times New Roman"/>
                <w:color w:val="000000"/>
                <w:sz w:val="20"/>
                <w:szCs w:val="20"/>
              </w:rPr>
            </w:pPr>
          </w:p>
        </w:tc>
        <w:tc>
          <w:tcPr>
            <w:tcW w:w="1341" w:type="dxa"/>
            <w:tcBorders>
              <w:top w:val="nil"/>
              <w:left w:val="nil"/>
              <w:bottom w:val="single" w:sz="4" w:space="0" w:color="auto"/>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b/>
                <w:bCs/>
                <w:color w:val="000000"/>
                <w:sz w:val="20"/>
                <w:szCs w:val="20"/>
              </w:rPr>
            </w:pPr>
            <w:r w:rsidRPr="00454164">
              <w:rPr>
                <w:rFonts w:ascii="Calibri" w:eastAsia="Times New Roman" w:hAnsi="Calibri" w:cs="Times New Roman"/>
                <w:b/>
                <w:bCs/>
                <w:color w:val="000000"/>
                <w:sz w:val="20"/>
                <w:szCs w:val="20"/>
              </w:rPr>
              <w:t>Detectability</w:t>
            </w:r>
          </w:p>
        </w:tc>
        <w:tc>
          <w:tcPr>
            <w:tcW w:w="918" w:type="dxa"/>
            <w:tcBorders>
              <w:top w:val="nil"/>
              <w:left w:val="nil"/>
              <w:bottom w:val="single" w:sz="4" w:space="0" w:color="auto"/>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Yes</w:t>
            </w:r>
          </w:p>
        </w:tc>
        <w:tc>
          <w:tcPr>
            <w:tcW w:w="1248" w:type="dxa"/>
            <w:tcBorders>
              <w:top w:val="nil"/>
              <w:left w:val="nil"/>
              <w:bottom w:val="single" w:sz="4" w:space="0" w:color="auto"/>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No</w:t>
            </w:r>
          </w:p>
        </w:tc>
        <w:tc>
          <w:tcPr>
            <w:tcW w:w="1214" w:type="dxa"/>
            <w:tcBorders>
              <w:top w:val="nil"/>
              <w:left w:val="nil"/>
              <w:bottom w:val="single" w:sz="4" w:space="0" w:color="auto"/>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No</w:t>
            </w:r>
          </w:p>
        </w:tc>
        <w:tc>
          <w:tcPr>
            <w:tcW w:w="1170" w:type="dxa"/>
            <w:tcBorders>
              <w:top w:val="nil"/>
              <w:left w:val="nil"/>
              <w:bottom w:val="single" w:sz="4" w:space="0" w:color="auto"/>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Yes</w:t>
            </w:r>
          </w:p>
        </w:tc>
        <w:tc>
          <w:tcPr>
            <w:tcW w:w="1662" w:type="dxa"/>
            <w:tcBorders>
              <w:top w:val="nil"/>
              <w:left w:val="nil"/>
              <w:bottom w:val="single" w:sz="4" w:space="0" w:color="auto"/>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Yes</w:t>
            </w:r>
          </w:p>
        </w:tc>
      </w:tr>
      <w:tr w:rsidR="00454164" w:rsidRPr="00454164" w:rsidTr="00454164">
        <w:trPr>
          <w:trHeight w:val="255"/>
          <w:jc w:val="center"/>
        </w:trPr>
        <w:tc>
          <w:tcPr>
            <w:tcW w:w="508" w:type="dxa"/>
            <w:vMerge w:val="restart"/>
            <w:tcBorders>
              <w:top w:val="nil"/>
              <w:left w:val="nil"/>
              <w:bottom w:val="single" w:sz="4" w:space="0" w:color="000000"/>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1B</w:t>
            </w:r>
          </w:p>
        </w:tc>
        <w:tc>
          <w:tcPr>
            <w:tcW w:w="1341" w:type="dxa"/>
            <w:tcBorders>
              <w:top w:val="nil"/>
              <w:left w:val="nil"/>
              <w:bottom w:val="nil"/>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b/>
                <w:bCs/>
                <w:color w:val="000000"/>
                <w:sz w:val="20"/>
                <w:szCs w:val="20"/>
              </w:rPr>
            </w:pPr>
            <w:r w:rsidRPr="00454164">
              <w:rPr>
                <w:rFonts w:ascii="Calibri" w:eastAsia="Times New Roman" w:hAnsi="Calibri" w:cs="Times New Roman"/>
                <w:b/>
                <w:bCs/>
                <w:color w:val="000000"/>
                <w:sz w:val="20"/>
                <w:szCs w:val="20"/>
              </w:rPr>
              <w:t>Direction</w:t>
            </w:r>
          </w:p>
        </w:tc>
        <w:tc>
          <w:tcPr>
            <w:tcW w:w="918" w:type="dxa"/>
            <w:tcBorders>
              <w:top w:val="nil"/>
              <w:left w:val="nil"/>
              <w:bottom w:val="nil"/>
              <w:right w:val="nil"/>
            </w:tcBorders>
            <w:shd w:val="clear" w:color="auto" w:fill="auto"/>
            <w:vAlign w:val="center"/>
            <w:hideMark/>
          </w:tcPr>
          <w:p w:rsidR="00454164" w:rsidRPr="00454164" w:rsidRDefault="00454164" w:rsidP="00454164">
            <w:pPr>
              <w:spacing w:after="0" w:line="240" w:lineRule="auto"/>
              <w:jc w:val="center"/>
              <w:rPr>
                <w:rFonts w:ascii="Calibri" w:eastAsia="Times New Roman" w:hAnsi="Calibri" w:cs="Times New Roman"/>
                <w:sz w:val="20"/>
                <w:szCs w:val="20"/>
              </w:rPr>
            </w:pPr>
            <w:r w:rsidRPr="00454164">
              <w:rPr>
                <w:rFonts w:ascii="Calibri" w:eastAsia="Times New Roman" w:hAnsi="Calibri" w:cs="Times New Roman"/>
                <w:sz w:val="20"/>
                <w:szCs w:val="20"/>
              </w:rPr>
              <w:t>0</w:t>
            </w:r>
          </w:p>
        </w:tc>
        <w:tc>
          <w:tcPr>
            <w:tcW w:w="1248" w:type="dxa"/>
            <w:tcBorders>
              <w:top w:val="nil"/>
              <w:left w:val="nil"/>
              <w:bottom w:val="nil"/>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0</w:t>
            </w:r>
          </w:p>
        </w:tc>
        <w:tc>
          <w:tcPr>
            <w:tcW w:w="1214" w:type="dxa"/>
            <w:tcBorders>
              <w:top w:val="nil"/>
              <w:left w:val="nil"/>
              <w:bottom w:val="nil"/>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0</w:t>
            </w:r>
          </w:p>
        </w:tc>
        <w:tc>
          <w:tcPr>
            <w:tcW w:w="1170" w:type="dxa"/>
            <w:tcBorders>
              <w:top w:val="nil"/>
              <w:left w:val="nil"/>
              <w:bottom w:val="nil"/>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w:t>
            </w:r>
          </w:p>
        </w:tc>
        <w:tc>
          <w:tcPr>
            <w:tcW w:w="1662" w:type="dxa"/>
            <w:tcBorders>
              <w:top w:val="nil"/>
              <w:left w:val="nil"/>
              <w:bottom w:val="nil"/>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w:t>
            </w:r>
          </w:p>
        </w:tc>
      </w:tr>
      <w:tr w:rsidR="00454164" w:rsidRPr="00454164" w:rsidTr="00454164">
        <w:trPr>
          <w:trHeight w:val="255"/>
          <w:jc w:val="center"/>
        </w:trPr>
        <w:tc>
          <w:tcPr>
            <w:tcW w:w="508" w:type="dxa"/>
            <w:vMerge/>
            <w:tcBorders>
              <w:top w:val="nil"/>
              <w:left w:val="nil"/>
              <w:bottom w:val="single" w:sz="4" w:space="0" w:color="000000"/>
              <w:right w:val="nil"/>
            </w:tcBorders>
            <w:vAlign w:val="center"/>
            <w:hideMark/>
          </w:tcPr>
          <w:p w:rsidR="00454164" w:rsidRPr="00454164" w:rsidRDefault="00454164" w:rsidP="00454164">
            <w:pPr>
              <w:spacing w:after="0" w:line="240" w:lineRule="auto"/>
              <w:rPr>
                <w:rFonts w:ascii="Calibri" w:eastAsia="Times New Roman" w:hAnsi="Calibri" w:cs="Times New Roman"/>
                <w:color w:val="000000"/>
                <w:sz w:val="20"/>
                <w:szCs w:val="20"/>
              </w:rPr>
            </w:pPr>
          </w:p>
        </w:tc>
        <w:tc>
          <w:tcPr>
            <w:tcW w:w="1341" w:type="dxa"/>
            <w:tcBorders>
              <w:top w:val="nil"/>
              <w:left w:val="nil"/>
              <w:bottom w:val="single" w:sz="4" w:space="0" w:color="auto"/>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b/>
                <w:bCs/>
                <w:color w:val="000000"/>
                <w:sz w:val="20"/>
                <w:szCs w:val="20"/>
              </w:rPr>
            </w:pPr>
            <w:r w:rsidRPr="00454164">
              <w:rPr>
                <w:rFonts w:ascii="Calibri" w:eastAsia="Times New Roman" w:hAnsi="Calibri" w:cs="Times New Roman"/>
                <w:b/>
                <w:bCs/>
                <w:color w:val="000000"/>
                <w:sz w:val="20"/>
                <w:szCs w:val="20"/>
              </w:rPr>
              <w:t>Detectability</w:t>
            </w:r>
          </w:p>
        </w:tc>
        <w:tc>
          <w:tcPr>
            <w:tcW w:w="918" w:type="dxa"/>
            <w:tcBorders>
              <w:top w:val="nil"/>
              <w:left w:val="nil"/>
              <w:bottom w:val="single" w:sz="4" w:space="0" w:color="auto"/>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No</w:t>
            </w:r>
          </w:p>
        </w:tc>
        <w:tc>
          <w:tcPr>
            <w:tcW w:w="1248" w:type="dxa"/>
            <w:tcBorders>
              <w:top w:val="nil"/>
              <w:left w:val="nil"/>
              <w:bottom w:val="single" w:sz="4" w:space="0" w:color="auto"/>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No</w:t>
            </w:r>
          </w:p>
        </w:tc>
        <w:tc>
          <w:tcPr>
            <w:tcW w:w="1214" w:type="dxa"/>
            <w:tcBorders>
              <w:top w:val="nil"/>
              <w:left w:val="nil"/>
              <w:bottom w:val="single" w:sz="4" w:space="0" w:color="auto"/>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No</w:t>
            </w:r>
          </w:p>
        </w:tc>
        <w:tc>
          <w:tcPr>
            <w:tcW w:w="1170" w:type="dxa"/>
            <w:tcBorders>
              <w:top w:val="nil"/>
              <w:left w:val="nil"/>
              <w:bottom w:val="single" w:sz="4" w:space="0" w:color="auto"/>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No</w:t>
            </w:r>
          </w:p>
        </w:tc>
        <w:tc>
          <w:tcPr>
            <w:tcW w:w="1662" w:type="dxa"/>
            <w:tcBorders>
              <w:top w:val="nil"/>
              <w:left w:val="nil"/>
              <w:bottom w:val="single" w:sz="4" w:space="0" w:color="auto"/>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Yes</w:t>
            </w:r>
          </w:p>
        </w:tc>
      </w:tr>
      <w:tr w:rsidR="00454164" w:rsidRPr="00454164" w:rsidTr="00454164">
        <w:trPr>
          <w:trHeight w:val="255"/>
          <w:jc w:val="center"/>
        </w:trPr>
        <w:tc>
          <w:tcPr>
            <w:tcW w:w="508" w:type="dxa"/>
            <w:vMerge w:val="restart"/>
            <w:tcBorders>
              <w:top w:val="nil"/>
              <w:left w:val="nil"/>
              <w:bottom w:val="single" w:sz="4" w:space="0" w:color="000000"/>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1C</w:t>
            </w:r>
          </w:p>
        </w:tc>
        <w:tc>
          <w:tcPr>
            <w:tcW w:w="1341" w:type="dxa"/>
            <w:tcBorders>
              <w:top w:val="nil"/>
              <w:left w:val="nil"/>
              <w:bottom w:val="nil"/>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b/>
                <w:bCs/>
                <w:color w:val="000000"/>
                <w:sz w:val="20"/>
                <w:szCs w:val="20"/>
              </w:rPr>
            </w:pPr>
            <w:r w:rsidRPr="00454164">
              <w:rPr>
                <w:rFonts w:ascii="Calibri" w:eastAsia="Times New Roman" w:hAnsi="Calibri" w:cs="Times New Roman"/>
                <w:b/>
                <w:bCs/>
                <w:color w:val="000000"/>
                <w:sz w:val="20"/>
                <w:szCs w:val="20"/>
              </w:rPr>
              <w:t>Direction</w:t>
            </w:r>
          </w:p>
        </w:tc>
        <w:tc>
          <w:tcPr>
            <w:tcW w:w="918" w:type="dxa"/>
            <w:tcBorders>
              <w:top w:val="nil"/>
              <w:left w:val="nil"/>
              <w:bottom w:val="nil"/>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w:t>
            </w:r>
          </w:p>
        </w:tc>
        <w:tc>
          <w:tcPr>
            <w:tcW w:w="1248" w:type="dxa"/>
            <w:tcBorders>
              <w:top w:val="nil"/>
              <w:left w:val="nil"/>
              <w:bottom w:val="nil"/>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0</w:t>
            </w:r>
          </w:p>
        </w:tc>
        <w:tc>
          <w:tcPr>
            <w:tcW w:w="1214" w:type="dxa"/>
            <w:tcBorders>
              <w:top w:val="nil"/>
              <w:left w:val="nil"/>
              <w:bottom w:val="nil"/>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0</w:t>
            </w:r>
          </w:p>
        </w:tc>
        <w:tc>
          <w:tcPr>
            <w:tcW w:w="1170" w:type="dxa"/>
            <w:tcBorders>
              <w:top w:val="nil"/>
              <w:left w:val="nil"/>
              <w:bottom w:val="nil"/>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w:t>
            </w:r>
          </w:p>
        </w:tc>
        <w:tc>
          <w:tcPr>
            <w:tcW w:w="1662" w:type="dxa"/>
            <w:tcBorders>
              <w:top w:val="nil"/>
              <w:left w:val="nil"/>
              <w:bottom w:val="nil"/>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0</w:t>
            </w:r>
          </w:p>
        </w:tc>
      </w:tr>
      <w:tr w:rsidR="00454164" w:rsidRPr="00454164" w:rsidTr="00454164">
        <w:trPr>
          <w:trHeight w:val="255"/>
          <w:jc w:val="center"/>
        </w:trPr>
        <w:tc>
          <w:tcPr>
            <w:tcW w:w="508" w:type="dxa"/>
            <w:vMerge/>
            <w:tcBorders>
              <w:top w:val="nil"/>
              <w:left w:val="nil"/>
              <w:bottom w:val="single" w:sz="4" w:space="0" w:color="000000"/>
              <w:right w:val="nil"/>
            </w:tcBorders>
            <w:vAlign w:val="center"/>
            <w:hideMark/>
          </w:tcPr>
          <w:p w:rsidR="00454164" w:rsidRPr="00454164" w:rsidRDefault="00454164" w:rsidP="00454164">
            <w:pPr>
              <w:spacing w:after="0" w:line="240" w:lineRule="auto"/>
              <w:rPr>
                <w:rFonts w:ascii="Calibri" w:eastAsia="Times New Roman" w:hAnsi="Calibri" w:cs="Times New Roman"/>
                <w:color w:val="000000"/>
                <w:sz w:val="20"/>
                <w:szCs w:val="20"/>
              </w:rPr>
            </w:pPr>
          </w:p>
        </w:tc>
        <w:tc>
          <w:tcPr>
            <w:tcW w:w="1341" w:type="dxa"/>
            <w:tcBorders>
              <w:top w:val="nil"/>
              <w:left w:val="nil"/>
              <w:bottom w:val="single" w:sz="4" w:space="0" w:color="auto"/>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b/>
                <w:bCs/>
                <w:color w:val="000000"/>
                <w:sz w:val="20"/>
                <w:szCs w:val="20"/>
              </w:rPr>
            </w:pPr>
            <w:r w:rsidRPr="00454164">
              <w:rPr>
                <w:rFonts w:ascii="Calibri" w:eastAsia="Times New Roman" w:hAnsi="Calibri" w:cs="Times New Roman"/>
                <w:b/>
                <w:bCs/>
                <w:color w:val="000000"/>
                <w:sz w:val="20"/>
                <w:szCs w:val="20"/>
              </w:rPr>
              <w:t>Detectability</w:t>
            </w:r>
          </w:p>
        </w:tc>
        <w:tc>
          <w:tcPr>
            <w:tcW w:w="918" w:type="dxa"/>
            <w:tcBorders>
              <w:top w:val="nil"/>
              <w:left w:val="nil"/>
              <w:bottom w:val="single" w:sz="4" w:space="0" w:color="auto"/>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No</w:t>
            </w:r>
          </w:p>
        </w:tc>
        <w:tc>
          <w:tcPr>
            <w:tcW w:w="1248" w:type="dxa"/>
            <w:tcBorders>
              <w:top w:val="nil"/>
              <w:left w:val="nil"/>
              <w:bottom w:val="single" w:sz="4" w:space="0" w:color="auto"/>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No</w:t>
            </w:r>
          </w:p>
        </w:tc>
        <w:tc>
          <w:tcPr>
            <w:tcW w:w="1214" w:type="dxa"/>
            <w:tcBorders>
              <w:top w:val="nil"/>
              <w:left w:val="nil"/>
              <w:bottom w:val="single" w:sz="4" w:space="0" w:color="auto"/>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No</w:t>
            </w:r>
          </w:p>
        </w:tc>
        <w:tc>
          <w:tcPr>
            <w:tcW w:w="1170" w:type="dxa"/>
            <w:tcBorders>
              <w:top w:val="nil"/>
              <w:left w:val="nil"/>
              <w:bottom w:val="single" w:sz="4" w:space="0" w:color="auto"/>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Not likely</w:t>
            </w:r>
          </w:p>
        </w:tc>
        <w:tc>
          <w:tcPr>
            <w:tcW w:w="1662" w:type="dxa"/>
            <w:tcBorders>
              <w:top w:val="nil"/>
              <w:left w:val="nil"/>
              <w:bottom w:val="single" w:sz="4" w:space="0" w:color="auto"/>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No</w:t>
            </w:r>
          </w:p>
        </w:tc>
      </w:tr>
      <w:tr w:rsidR="00454164" w:rsidRPr="00454164" w:rsidTr="00454164">
        <w:trPr>
          <w:trHeight w:val="255"/>
          <w:jc w:val="center"/>
        </w:trPr>
        <w:tc>
          <w:tcPr>
            <w:tcW w:w="508" w:type="dxa"/>
            <w:vMerge w:val="restart"/>
            <w:tcBorders>
              <w:top w:val="nil"/>
              <w:left w:val="nil"/>
              <w:bottom w:val="single" w:sz="8" w:space="0" w:color="000000"/>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1D</w:t>
            </w:r>
          </w:p>
        </w:tc>
        <w:tc>
          <w:tcPr>
            <w:tcW w:w="1341" w:type="dxa"/>
            <w:tcBorders>
              <w:top w:val="nil"/>
              <w:left w:val="nil"/>
              <w:bottom w:val="nil"/>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b/>
                <w:bCs/>
                <w:color w:val="000000"/>
                <w:sz w:val="20"/>
                <w:szCs w:val="20"/>
              </w:rPr>
            </w:pPr>
            <w:r w:rsidRPr="00454164">
              <w:rPr>
                <w:rFonts w:ascii="Calibri" w:eastAsia="Times New Roman" w:hAnsi="Calibri" w:cs="Times New Roman"/>
                <w:b/>
                <w:bCs/>
                <w:color w:val="000000"/>
                <w:sz w:val="20"/>
                <w:szCs w:val="20"/>
              </w:rPr>
              <w:t>Direction</w:t>
            </w:r>
          </w:p>
        </w:tc>
        <w:tc>
          <w:tcPr>
            <w:tcW w:w="918" w:type="dxa"/>
            <w:tcBorders>
              <w:top w:val="nil"/>
              <w:left w:val="nil"/>
              <w:bottom w:val="nil"/>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w:t>
            </w:r>
          </w:p>
        </w:tc>
        <w:tc>
          <w:tcPr>
            <w:tcW w:w="1248" w:type="dxa"/>
            <w:tcBorders>
              <w:top w:val="nil"/>
              <w:left w:val="nil"/>
              <w:bottom w:val="nil"/>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0</w:t>
            </w:r>
          </w:p>
        </w:tc>
        <w:tc>
          <w:tcPr>
            <w:tcW w:w="1214" w:type="dxa"/>
            <w:tcBorders>
              <w:top w:val="nil"/>
              <w:left w:val="nil"/>
              <w:bottom w:val="nil"/>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0</w:t>
            </w:r>
          </w:p>
        </w:tc>
        <w:tc>
          <w:tcPr>
            <w:tcW w:w="1170" w:type="dxa"/>
            <w:tcBorders>
              <w:top w:val="nil"/>
              <w:left w:val="nil"/>
              <w:bottom w:val="nil"/>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w:t>
            </w:r>
          </w:p>
        </w:tc>
        <w:tc>
          <w:tcPr>
            <w:tcW w:w="1662" w:type="dxa"/>
            <w:tcBorders>
              <w:top w:val="nil"/>
              <w:left w:val="nil"/>
              <w:bottom w:val="nil"/>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0</w:t>
            </w:r>
          </w:p>
        </w:tc>
      </w:tr>
      <w:tr w:rsidR="00454164" w:rsidRPr="00454164" w:rsidTr="00454164">
        <w:trPr>
          <w:trHeight w:val="270"/>
          <w:jc w:val="center"/>
        </w:trPr>
        <w:tc>
          <w:tcPr>
            <w:tcW w:w="508" w:type="dxa"/>
            <w:vMerge/>
            <w:tcBorders>
              <w:top w:val="nil"/>
              <w:left w:val="nil"/>
              <w:bottom w:val="single" w:sz="8" w:space="0" w:color="000000"/>
              <w:right w:val="nil"/>
            </w:tcBorders>
            <w:vAlign w:val="center"/>
            <w:hideMark/>
          </w:tcPr>
          <w:p w:rsidR="00454164" w:rsidRPr="00454164" w:rsidRDefault="00454164" w:rsidP="00454164">
            <w:pPr>
              <w:spacing w:after="0" w:line="240" w:lineRule="auto"/>
              <w:rPr>
                <w:rFonts w:ascii="Calibri" w:eastAsia="Times New Roman" w:hAnsi="Calibri" w:cs="Times New Roman"/>
                <w:color w:val="000000"/>
                <w:sz w:val="20"/>
                <w:szCs w:val="20"/>
              </w:rPr>
            </w:pPr>
          </w:p>
        </w:tc>
        <w:tc>
          <w:tcPr>
            <w:tcW w:w="1341" w:type="dxa"/>
            <w:tcBorders>
              <w:top w:val="nil"/>
              <w:left w:val="nil"/>
              <w:bottom w:val="single" w:sz="8" w:space="0" w:color="auto"/>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b/>
                <w:bCs/>
                <w:color w:val="000000"/>
                <w:sz w:val="20"/>
                <w:szCs w:val="20"/>
              </w:rPr>
            </w:pPr>
            <w:r w:rsidRPr="00454164">
              <w:rPr>
                <w:rFonts w:ascii="Calibri" w:eastAsia="Times New Roman" w:hAnsi="Calibri" w:cs="Times New Roman"/>
                <w:b/>
                <w:bCs/>
                <w:color w:val="000000"/>
                <w:sz w:val="20"/>
                <w:szCs w:val="20"/>
              </w:rPr>
              <w:t>Detectability</w:t>
            </w:r>
          </w:p>
        </w:tc>
        <w:tc>
          <w:tcPr>
            <w:tcW w:w="918" w:type="dxa"/>
            <w:tcBorders>
              <w:top w:val="nil"/>
              <w:left w:val="nil"/>
              <w:bottom w:val="single" w:sz="8" w:space="0" w:color="auto"/>
              <w:right w:val="nil"/>
            </w:tcBorders>
            <w:shd w:val="clear" w:color="auto" w:fill="auto"/>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Possibly</w:t>
            </w:r>
          </w:p>
        </w:tc>
        <w:tc>
          <w:tcPr>
            <w:tcW w:w="1248" w:type="dxa"/>
            <w:tcBorders>
              <w:top w:val="nil"/>
              <w:left w:val="nil"/>
              <w:bottom w:val="single" w:sz="8" w:space="0" w:color="auto"/>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No</w:t>
            </w:r>
          </w:p>
        </w:tc>
        <w:tc>
          <w:tcPr>
            <w:tcW w:w="1214" w:type="dxa"/>
            <w:tcBorders>
              <w:top w:val="nil"/>
              <w:left w:val="nil"/>
              <w:bottom w:val="single" w:sz="8" w:space="0" w:color="auto"/>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No</w:t>
            </w:r>
          </w:p>
        </w:tc>
        <w:tc>
          <w:tcPr>
            <w:tcW w:w="1170" w:type="dxa"/>
            <w:tcBorders>
              <w:top w:val="nil"/>
              <w:left w:val="nil"/>
              <w:bottom w:val="single" w:sz="8" w:space="0" w:color="auto"/>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Yes</w:t>
            </w:r>
          </w:p>
        </w:tc>
        <w:tc>
          <w:tcPr>
            <w:tcW w:w="1662" w:type="dxa"/>
            <w:tcBorders>
              <w:top w:val="nil"/>
              <w:left w:val="nil"/>
              <w:bottom w:val="single" w:sz="8" w:space="0" w:color="auto"/>
              <w:right w:val="nil"/>
            </w:tcBorders>
            <w:shd w:val="clear" w:color="auto" w:fill="auto"/>
            <w:noWrap/>
            <w:vAlign w:val="center"/>
            <w:hideMark/>
          </w:tcPr>
          <w:p w:rsidR="00454164" w:rsidRPr="00454164" w:rsidRDefault="00454164" w:rsidP="00454164">
            <w:pPr>
              <w:spacing w:after="0" w:line="240" w:lineRule="auto"/>
              <w:jc w:val="center"/>
              <w:rPr>
                <w:rFonts w:ascii="Calibri" w:eastAsia="Times New Roman" w:hAnsi="Calibri" w:cs="Times New Roman"/>
                <w:color w:val="000000"/>
                <w:sz w:val="20"/>
                <w:szCs w:val="20"/>
              </w:rPr>
            </w:pPr>
            <w:r w:rsidRPr="00454164">
              <w:rPr>
                <w:rFonts w:ascii="Calibri" w:eastAsia="Times New Roman" w:hAnsi="Calibri" w:cs="Times New Roman"/>
                <w:color w:val="000000"/>
                <w:sz w:val="20"/>
                <w:szCs w:val="20"/>
              </w:rPr>
              <w:t>No</w:t>
            </w:r>
          </w:p>
        </w:tc>
      </w:tr>
    </w:tbl>
    <w:p w:rsidR="001B675F" w:rsidRDefault="001B675F">
      <w:pPr>
        <w:rPr>
          <w:rFonts w:asciiTheme="majorHAnsi" w:hAnsiTheme="majorHAnsi"/>
          <w:b/>
          <w:i/>
        </w:rPr>
      </w:pPr>
    </w:p>
    <w:p w:rsidR="00DD216A" w:rsidRDefault="00DD216A">
      <w:pPr>
        <w:rPr>
          <w:rFonts w:asciiTheme="majorHAnsi" w:hAnsiTheme="majorHAnsi"/>
          <w:b/>
          <w:i/>
        </w:rPr>
      </w:pPr>
      <w:r>
        <w:rPr>
          <w:rFonts w:asciiTheme="majorHAnsi" w:hAnsiTheme="majorHAnsi"/>
          <w:b/>
          <w:i/>
        </w:rPr>
        <w:br w:type="page"/>
      </w:r>
    </w:p>
    <w:p w:rsidR="00E664E4" w:rsidRDefault="00E664E4" w:rsidP="00E664E4">
      <w:pPr>
        <w:rPr>
          <w:rFonts w:asciiTheme="majorHAnsi" w:hAnsiTheme="majorHAnsi"/>
          <w:b/>
          <w:i/>
        </w:rPr>
      </w:pPr>
      <w:r>
        <w:rPr>
          <w:rFonts w:asciiTheme="majorHAnsi" w:hAnsiTheme="majorHAnsi"/>
          <w:b/>
          <w:i/>
        </w:rPr>
        <w:lastRenderedPageBreak/>
        <w:t>4.3.1.1 Case 1A – Fifty Percent Increase in Total Flow Rate</w:t>
      </w:r>
    </w:p>
    <w:p w:rsidR="00582264" w:rsidRDefault="00E664E4" w:rsidP="00E664E4">
      <w:r>
        <w:t xml:space="preserve">For this case, the incoming flow rate of uranium </w:t>
      </w:r>
      <w:r w:rsidR="00EC5877">
        <w:t>[</w:t>
      </w:r>
      <m:oMath>
        <m:sSub>
          <m:sSubPr>
            <m:ctrlPr>
              <w:rPr>
                <w:rFonts w:ascii="Cambria Math" w:hAnsi="Cambria Math"/>
                <w:i/>
              </w:rPr>
            </m:ctrlPr>
          </m:sSubPr>
          <m:e>
            <m:r>
              <w:rPr>
                <w:rFonts w:ascii="Cambria Math" w:hAnsi="Cambria Math"/>
              </w:rPr>
              <m:t>F</m:t>
            </m:r>
          </m:e>
          <m:sub>
            <m:r>
              <w:rPr>
                <w:rFonts w:ascii="Cambria Math" w:hAnsi="Cambria Math"/>
              </w:rPr>
              <m:t>1A,U</m:t>
            </m:r>
          </m:sub>
        </m:sSub>
      </m:oMath>
      <w:r w:rsidR="00EC5877">
        <w:rPr>
          <w:rFonts w:eastAsiaTheme="minorEastAsia"/>
        </w:rPr>
        <w:t xml:space="preserve"> also </w:t>
      </w:r>
      <w:proofErr w:type="gramStart"/>
      <w:r w:rsidR="00EC5877">
        <w:rPr>
          <w:rFonts w:eastAsiaTheme="minorEastAsia"/>
        </w:rPr>
        <w:t>Xss(</w:t>
      </w:r>
      <w:proofErr w:type="gramEnd"/>
      <w:r w:rsidR="00EC5877">
        <w:rPr>
          <w:rFonts w:eastAsiaTheme="minorEastAsia"/>
        </w:rPr>
        <w:t>274)]</w:t>
      </w:r>
      <w:r>
        <w:t xml:space="preserve"> was increased by 50% along with the other incoming flow rates (Streams 4A–13A). </w:t>
      </w:r>
      <w:r w:rsidR="00582264">
        <w:t>This fault was easily detected in PC1</w:t>
      </w:r>
      <w:r w:rsidR="00454164">
        <w:t xml:space="preserve"> scores</w:t>
      </w:r>
      <w:r w:rsidR="00582264">
        <w:t xml:space="preserve">, the Mahalanobis distance, and the </w:t>
      </w:r>
      <m:oMath>
        <m:r>
          <w:rPr>
            <w:rFonts w:ascii="Cambria Math" w:hAnsi="Cambria Math"/>
          </w:rPr>
          <m:t>Q</m:t>
        </m:r>
      </m:oMath>
      <w:r w:rsidR="00582264">
        <w:rPr>
          <w:rFonts w:eastAsiaTheme="minorEastAsia"/>
        </w:rPr>
        <w:t>-</w:t>
      </w:r>
      <w:r w:rsidR="00582264">
        <w:t>statistic.</w:t>
      </w:r>
      <w:r w:rsidR="00D75FB8">
        <w:t xml:space="preserve"> </w:t>
      </w:r>
    </w:p>
    <w:p w:rsidR="00582264" w:rsidRDefault="00582264" w:rsidP="00E664E4">
      <w:pPr>
        <w:rPr>
          <w:bCs/>
        </w:rPr>
      </w:pPr>
      <w:r>
        <w:t xml:space="preserve">There was a significant fault in PC1 </w:t>
      </w:r>
      <w:r w:rsidR="00454164">
        <w:t xml:space="preserve">scores </w:t>
      </w:r>
      <w:r>
        <w:t xml:space="preserve">which was expected </w:t>
      </w:r>
      <w:r w:rsidR="00F97808">
        <w:t>since</w:t>
      </w:r>
      <w:r w:rsidR="00EC5877">
        <w:t xml:space="preserve"> </w:t>
      </w:r>
      <w:proofErr w:type="spellStart"/>
      <w:proofErr w:type="gramStart"/>
      <w:r w:rsidR="00EC5877">
        <w:t>Xss</w:t>
      </w:r>
      <w:proofErr w:type="spellEnd"/>
      <w:r w:rsidR="00EC5877">
        <w:t>(</w:t>
      </w:r>
      <w:proofErr w:type="gramEnd"/>
      <w:r w:rsidR="00EC5877">
        <w:t>274)</w:t>
      </w:r>
      <w:r w:rsidR="00F97808">
        <w:rPr>
          <w:rFonts w:eastAsiaTheme="minorEastAsia"/>
        </w:rPr>
        <w:t xml:space="preserve"> </w:t>
      </w:r>
      <w:r w:rsidR="00F97808">
        <w:t xml:space="preserve">was a </w:t>
      </w:r>
      <w:r w:rsidR="00D75FB8">
        <w:t>heavy</w:t>
      </w:r>
      <w:r w:rsidR="00F97808">
        <w:t xml:space="preserve"> contributor to PC1 (Figures 4.2</w:t>
      </w:r>
      <w:r w:rsidR="00D75FB8">
        <w:t>1</w:t>
      </w:r>
      <w:r w:rsidR="00F97808">
        <w:t>–4.2</w:t>
      </w:r>
      <w:r w:rsidR="00D75FB8">
        <w:t>2</w:t>
      </w:r>
      <w:r w:rsidR="00F97808">
        <w:t xml:space="preserve">). There was a </w:t>
      </w:r>
      <w:r w:rsidR="00D75FB8">
        <w:t xml:space="preserve">very </w:t>
      </w:r>
      <w:r w:rsidR="00F97808">
        <w:t>slight shift in PC2</w:t>
      </w:r>
      <w:r w:rsidR="00CE21E4">
        <w:t xml:space="preserve"> scores</w:t>
      </w:r>
      <w:r w:rsidR="00F97808">
        <w:t xml:space="preserve"> (Figure 4.2</w:t>
      </w:r>
      <w:r w:rsidR="00D75FB8">
        <w:t>3). However, the shift in PC2</w:t>
      </w:r>
      <w:r w:rsidR="00CE21E4">
        <w:t xml:space="preserve"> scores</w:t>
      </w:r>
      <w:r w:rsidR="00D75FB8">
        <w:t xml:space="preserve"> wa</w:t>
      </w:r>
      <w:r w:rsidR="00F97808">
        <w:t xml:space="preserve">s not detectable since many of the data points are within the confidence boundary of the base case model. The </w:t>
      </w:r>
      <w:r w:rsidR="00F97808">
        <w:rPr>
          <w:bCs/>
        </w:rPr>
        <w:t>3D plot of the scores for PC1, PC2, and PC3 also shows the fault in PC1</w:t>
      </w:r>
      <w:r w:rsidR="00E62112">
        <w:rPr>
          <w:bCs/>
        </w:rPr>
        <w:t xml:space="preserve"> scores</w:t>
      </w:r>
      <w:r w:rsidR="00F97808">
        <w:rPr>
          <w:bCs/>
        </w:rPr>
        <w:t xml:space="preserve"> (Figure 4.2</w:t>
      </w:r>
      <w:r w:rsidR="00D75FB8">
        <w:rPr>
          <w:bCs/>
        </w:rPr>
        <w:t>4</w:t>
      </w:r>
      <w:r w:rsidR="00F97808">
        <w:rPr>
          <w:bCs/>
        </w:rPr>
        <w:t>). As expected since increas</w:t>
      </w:r>
      <w:r w:rsidR="00D75FB8">
        <w:rPr>
          <w:bCs/>
        </w:rPr>
        <w:t>ing the total flow rate by 50% wa</w:t>
      </w:r>
      <w:r w:rsidR="00F97808">
        <w:rPr>
          <w:bCs/>
        </w:rPr>
        <w:t>s outside of normal operating conditions</w:t>
      </w:r>
      <w:r w:rsidR="00385418">
        <w:rPr>
          <w:bCs/>
        </w:rPr>
        <w:t xml:space="preserve"> and resulted in a fault in the PC1 scores</w:t>
      </w:r>
      <w:r w:rsidR="00F97808">
        <w:rPr>
          <w:bCs/>
        </w:rPr>
        <w:t xml:space="preserve">, there was a significant </w:t>
      </w:r>
      <w:r w:rsidR="00454164">
        <w:rPr>
          <w:bCs/>
        </w:rPr>
        <w:t xml:space="preserve">increase </w:t>
      </w:r>
      <w:r w:rsidR="00F97808">
        <w:rPr>
          <w:bCs/>
        </w:rPr>
        <w:t>in the Mahalanobis distance (Figure 4.2</w:t>
      </w:r>
      <w:r w:rsidR="00D75FB8">
        <w:rPr>
          <w:bCs/>
        </w:rPr>
        <w:t>5</w:t>
      </w:r>
      <w:r w:rsidR="00F97808">
        <w:rPr>
          <w:bCs/>
        </w:rPr>
        <w:t xml:space="preserve">). There was also a significant </w:t>
      </w:r>
      <w:r w:rsidR="00454164">
        <w:rPr>
          <w:bCs/>
        </w:rPr>
        <w:t>increase</w:t>
      </w:r>
      <w:r w:rsidR="00F97808">
        <w:rPr>
          <w:bCs/>
        </w:rPr>
        <w:t xml:space="preserve"> in the </w:t>
      </w:r>
      <m:oMath>
        <m:r>
          <w:rPr>
            <w:rFonts w:ascii="Cambria Math" w:hAnsi="Cambria Math"/>
          </w:rPr>
          <m:t>Q</m:t>
        </m:r>
      </m:oMath>
      <w:r w:rsidR="00D75FB8">
        <w:rPr>
          <w:rFonts w:eastAsiaTheme="minorEastAsia"/>
          <w:bCs/>
        </w:rPr>
        <w:t>-statistic (Figure 4.26</w:t>
      </w:r>
      <w:r w:rsidR="00F97808">
        <w:rPr>
          <w:rFonts w:eastAsiaTheme="minorEastAsia"/>
          <w:bCs/>
        </w:rPr>
        <w:t xml:space="preserve">) as expected since increasing total throughput changed </w:t>
      </w:r>
      <w:r w:rsidR="006F1843">
        <w:t>the relative relationship between the state variables</w:t>
      </w:r>
      <w:r w:rsidR="00454164">
        <w:rPr>
          <w:rFonts w:eastAsiaTheme="minorEastAsia"/>
          <w:bCs/>
        </w:rPr>
        <w:t xml:space="preserve"> </w:t>
      </w:r>
      <w:r w:rsidR="00F97808">
        <w:rPr>
          <w:rFonts w:eastAsiaTheme="minorEastAsia"/>
          <w:bCs/>
        </w:rPr>
        <w:t>since all</w:t>
      </w:r>
      <w:r w:rsidR="00EC5877">
        <w:rPr>
          <w:rFonts w:eastAsiaTheme="minorEastAsia"/>
          <w:bCs/>
        </w:rPr>
        <w:t xml:space="preserve"> of the incoming flow rates except </w:t>
      </w:r>
      <w:r w:rsidR="00F97808">
        <w:rPr>
          <w:rFonts w:eastAsiaTheme="minorEastAsia"/>
          <w:bCs/>
        </w:rPr>
        <w:t xml:space="preserve">the incoming uranium flow rate </w:t>
      </w:r>
      <w:r w:rsidR="00454164">
        <w:rPr>
          <w:rFonts w:eastAsiaTheme="minorEastAsia"/>
          <w:bCs/>
        </w:rPr>
        <w:t xml:space="preserve">appear as model </w:t>
      </w:r>
      <w:r w:rsidR="00F97808">
        <w:rPr>
          <w:rFonts w:eastAsiaTheme="minorEastAsia"/>
          <w:bCs/>
        </w:rPr>
        <w:t>parameters. The faults in both PC1</w:t>
      </w:r>
      <w:r w:rsidR="00454164">
        <w:rPr>
          <w:rFonts w:eastAsiaTheme="minorEastAsia"/>
          <w:bCs/>
        </w:rPr>
        <w:t xml:space="preserve"> scores</w:t>
      </w:r>
      <w:r w:rsidR="00F97808">
        <w:rPr>
          <w:rFonts w:eastAsiaTheme="minorEastAsia"/>
          <w:bCs/>
        </w:rPr>
        <w:t xml:space="preserve"> and the </w:t>
      </w:r>
      <m:oMath>
        <m:r>
          <w:rPr>
            <w:rFonts w:ascii="Cambria Math" w:eastAsiaTheme="minorEastAsia" w:hAnsi="Cambria Math"/>
          </w:rPr>
          <m:t>Q</m:t>
        </m:r>
      </m:oMath>
      <w:r w:rsidR="004E68DC">
        <w:rPr>
          <w:rFonts w:eastAsiaTheme="minorEastAsia"/>
        </w:rPr>
        <w:noBreakHyphen/>
      </w:r>
      <w:r w:rsidR="00F97808">
        <w:rPr>
          <w:rFonts w:eastAsiaTheme="minorEastAsia"/>
          <w:bCs/>
        </w:rPr>
        <w:t>statistic are visible in t</w:t>
      </w:r>
      <w:r w:rsidR="00F97808">
        <w:t xml:space="preserve">he </w:t>
      </w:r>
      <w:r w:rsidR="00F97808">
        <w:rPr>
          <w:bCs/>
        </w:rPr>
        <w:t xml:space="preserve">3D plot of </w:t>
      </w:r>
      <m:oMath>
        <m:r>
          <w:rPr>
            <w:rFonts w:ascii="Cambria Math" w:hAnsi="Cambria Math"/>
          </w:rPr>
          <m:t>Q</m:t>
        </m:r>
      </m:oMath>
      <w:r w:rsidR="00454164">
        <w:rPr>
          <w:rFonts w:eastAsiaTheme="minorEastAsia"/>
          <w:bCs/>
        </w:rPr>
        <w:t xml:space="preserve"> vs. </w:t>
      </w:r>
      <w:r w:rsidR="00F97808">
        <w:rPr>
          <w:bCs/>
        </w:rPr>
        <w:t>PC1</w:t>
      </w:r>
      <w:r w:rsidR="00454164">
        <w:rPr>
          <w:bCs/>
        </w:rPr>
        <w:t xml:space="preserve"> and </w:t>
      </w:r>
      <w:r w:rsidR="00F97808">
        <w:rPr>
          <w:bCs/>
        </w:rPr>
        <w:t>PC2</w:t>
      </w:r>
      <w:r w:rsidR="00454164">
        <w:rPr>
          <w:bCs/>
        </w:rPr>
        <w:t xml:space="preserve"> scores </w:t>
      </w:r>
      <w:r w:rsidR="00F97808">
        <w:rPr>
          <w:rFonts w:eastAsiaTheme="minorEastAsia"/>
        </w:rPr>
        <w:t>(</w:t>
      </w:r>
      <w:r w:rsidR="00D75FB8">
        <w:rPr>
          <w:bCs/>
        </w:rPr>
        <w:t>Figure 4.27</w:t>
      </w:r>
      <w:r w:rsidR="00F97808">
        <w:rPr>
          <w:bCs/>
        </w:rPr>
        <w:t>).</w:t>
      </w:r>
    </w:p>
    <w:p w:rsidR="001B675F" w:rsidRDefault="001B675F" w:rsidP="00E664E4">
      <w:pPr>
        <w:rPr>
          <w:bCs/>
        </w:rPr>
      </w:pPr>
    </w:p>
    <w:p w:rsidR="001B675F" w:rsidRDefault="001B675F" w:rsidP="00E664E4"/>
    <w:p w:rsidR="00E664E4" w:rsidRDefault="00D75FB8" w:rsidP="00E664E4">
      <w:pPr>
        <w:jc w:val="center"/>
      </w:pPr>
      <w:r>
        <w:rPr>
          <w:noProof/>
        </w:rPr>
        <w:lastRenderedPageBreak/>
        <w:drawing>
          <wp:inline distT="0" distB="0" distL="0" distR="0" wp14:anchorId="6E63E231" wp14:editId="08E95576">
            <wp:extent cx="5943600" cy="44577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9"/>
                    <a:stretch>
                      <a:fillRect/>
                    </a:stretch>
                  </pic:blipFill>
                  <pic:spPr>
                    <a:xfrm>
                      <a:off x="0" y="0"/>
                      <a:ext cx="5943600" cy="4457700"/>
                    </a:xfrm>
                    <a:prstGeom prst="rect">
                      <a:avLst/>
                    </a:prstGeom>
                  </pic:spPr>
                </pic:pic>
              </a:graphicData>
            </a:graphic>
          </wp:inline>
        </w:drawing>
      </w:r>
    </w:p>
    <w:p w:rsidR="00E664E4" w:rsidRPr="00EE2556" w:rsidRDefault="00E664E4" w:rsidP="00E664E4">
      <w:pPr>
        <w:rPr>
          <w:i/>
          <w:sz w:val="20"/>
          <w:szCs w:val="20"/>
        </w:rPr>
      </w:pPr>
      <w:r>
        <w:rPr>
          <w:b/>
          <w:sz w:val="20"/>
          <w:szCs w:val="20"/>
        </w:rPr>
        <w:t xml:space="preserve">Figure </w:t>
      </w:r>
      <w:r w:rsidR="00D75FB8">
        <w:rPr>
          <w:b/>
          <w:sz w:val="20"/>
          <w:szCs w:val="20"/>
        </w:rPr>
        <w:t>4.21</w:t>
      </w:r>
      <w:r>
        <w:rPr>
          <w:b/>
          <w:sz w:val="20"/>
          <w:szCs w:val="20"/>
        </w:rPr>
        <w:t xml:space="preserve">. Faulty Case 1A Scores Plot for PC1 and PC2.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base case 95% confidence boundary displayed in red. The</w:t>
      </w:r>
      <w:r>
        <w:rPr>
          <w:i/>
          <w:sz w:val="20"/>
          <w:szCs w:val="20"/>
        </w:rPr>
        <w:t>re</w:t>
      </w:r>
      <w:r w:rsidRPr="00EE2556">
        <w:rPr>
          <w:i/>
          <w:sz w:val="20"/>
          <w:szCs w:val="20"/>
        </w:rPr>
        <w:t xml:space="preserve"> </w:t>
      </w:r>
      <w:r>
        <w:rPr>
          <w:i/>
          <w:sz w:val="20"/>
          <w:szCs w:val="20"/>
        </w:rPr>
        <w:t>wa</w:t>
      </w:r>
      <w:r w:rsidRPr="00EE2556">
        <w:rPr>
          <w:i/>
          <w:sz w:val="20"/>
          <w:szCs w:val="20"/>
        </w:rPr>
        <w:t xml:space="preserve">s a </w:t>
      </w:r>
      <w:r>
        <w:rPr>
          <w:i/>
          <w:sz w:val="20"/>
          <w:szCs w:val="20"/>
        </w:rPr>
        <w:t>fault in PC1</w:t>
      </w:r>
      <w:r w:rsidR="00E62112">
        <w:rPr>
          <w:i/>
          <w:sz w:val="20"/>
          <w:szCs w:val="20"/>
        </w:rPr>
        <w:t xml:space="preserve"> scores</w:t>
      </w:r>
      <w:r w:rsidRPr="00EE2556">
        <w:rPr>
          <w:i/>
          <w:sz w:val="20"/>
          <w:szCs w:val="20"/>
        </w:rPr>
        <w:t>.</w:t>
      </w:r>
    </w:p>
    <w:p w:rsidR="00E664E4" w:rsidRDefault="00E664E4" w:rsidP="00E664E4"/>
    <w:p w:rsidR="00E664E4" w:rsidRDefault="00D75FB8" w:rsidP="00E664E4">
      <w:pPr>
        <w:jc w:val="center"/>
      </w:pPr>
      <w:r>
        <w:rPr>
          <w:noProof/>
        </w:rPr>
        <w:lastRenderedPageBreak/>
        <w:drawing>
          <wp:inline distT="0" distB="0" distL="0" distR="0" wp14:anchorId="7A80334E" wp14:editId="233D3452">
            <wp:extent cx="5943600" cy="44577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0"/>
                    <a:stretch>
                      <a:fillRect/>
                    </a:stretch>
                  </pic:blipFill>
                  <pic:spPr>
                    <a:xfrm>
                      <a:off x="0" y="0"/>
                      <a:ext cx="5943600" cy="4457700"/>
                    </a:xfrm>
                    <a:prstGeom prst="rect">
                      <a:avLst/>
                    </a:prstGeom>
                  </pic:spPr>
                </pic:pic>
              </a:graphicData>
            </a:graphic>
          </wp:inline>
        </w:drawing>
      </w:r>
    </w:p>
    <w:p w:rsidR="00E664E4" w:rsidRDefault="00E664E4" w:rsidP="00E664E4">
      <w:r>
        <w:rPr>
          <w:b/>
          <w:sz w:val="20"/>
          <w:szCs w:val="20"/>
        </w:rPr>
        <w:t xml:space="preserve">Figure </w:t>
      </w:r>
      <w:r w:rsidR="00D75FB8">
        <w:rPr>
          <w:b/>
          <w:sz w:val="20"/>
          <w:szCs w:val="20"/>
        </w:rPr>
        <w:t>4.22</w:t>
      </w:r>
      <w:r>
        <w:rPr>
          <w:b/>
          <w:sz w:val="20"/>
          <w:szCs w:val="20"/>
        </w:rPr>
        <w:t xml:space="preserve">. Faulty Case 1A Scores Plot for PC1 and PC3.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base case 95% confidence boundary displayed in red. The</w:t>
      </w:r>
      <w:r>
        <w:rPr>
          <w:i/>
          <w:sz w:val="20"/>
          <w:szCs w:val="20"/>
        </w:rPr>
        <w:t>re</w:t>
      </w:r>
      <w:r w:rsidRPr="00EE2556">
        <w:rPr>
          <w:i/>
          <w:sz w:val="20"/>
          <w:szCs w:val="20"/>
        </w:rPr>
        <w:t xml:space="preserve"> </w:t>
      </w:r>
      <w:r>
        <w:rPr>
          <w:i/>
          <w:sz w:val="20"/>
          <w:szCs w:val="20"/>
        </w:rPr>
        <w:t>wa</w:t>
      </w:r>
      <w:r w:rsidRPr="00EE2556">
        <w:rPr>
          <w:i/>
          <w:sz w:val="20"/>
          <w:szCs w:val="20"/>
        </w:rPr>
        <w:t xml:space="preserve">s a </w:t>
      </w:r>
      <w:r>
        <w:rPr>
          <w:i/>
          <w:sz w:val="20"/>
          <w:szCs w:val="20"/>
        </w:rPr>
        <w:t>fault in PC1</w:t>
      </w:r>
      <w:r w:rsidR="00E62112">
        <w:rPr>
          <w:i/>
          <w:sz w:val="20"/>
          <w:szCs w:val="20"/>
        </w:rPr>
        <w:t xml:space="preserve"> scores</w:t>
      </w:r>
      <w:r w:rsidRPr="00EE2556">
        <w:rPr>
          <w:i/>
          <w:sz w:val="20"/>
          <w:szCs w:val="20"/>
        </w:rPr>
        <w:t>.</w:t>
      </w:r>
    </w:p>
    <w:p w:rsidR="00E664E4" w:rsidRDefault="00E664E4" w:rsidP="00E664E4">
      <w:pPr>
        <w:jc w:val="center"/>
      </w:pPr>
    </w:p>
    <w:p w:rsidR="00E664E4" w:rsidRDefault="00D75FB8" w:rsidP="00E664E4">
      <w:pPr>
        <w:jc w:val="center"/>
      </w:pPr>
      <w:r>
        <w:rPr>
          <w:noProof/>
        </w:rPr>
        <w:lastRenderedPageBreak/>
        <w:drawing>
          <wp:inline distT="0" distB="0" distL="0" distR="0" wp14:anchorId="7E0CE05D" wp14:editId="4F0840ED">
            <wp:extent cx="5943600" cy="44577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1"/>
                    <a:stretch>
                      <a:fillRect/>
                    </a:stretch>
                  </pic:blipFill>
                  <pic:spPr>
                    <a:xfrm>
                      <a:off x="0" y="0"/>
                      <a:ext cx="5943600" cy="4457700"/>
                    </a:xfrm>
                    <a:prstGeom prst="rect">
                      <a:avLst/>
                    </a:prstGeom>
                  </pic:spPr>
                </pic:pic>
              </a:graphicData>
            </a:graphic>
          </wp:inline>
        </w:drawing>
      </w:r>
    </w:p>
    <w:p w:rsidR="00E664E4" w:rsidRDefault="00E664E4" w:rsidP="00E664E4">
      <w:r>
        <w:rPr>
          <w:b/>
          <w:sz w:val="20"/>
          <w:szCs w:val="20"/>
        </w:rPr>
        <w:t xml:space="preserve">Figure </w:t>
      </w:r>
      <w:r w:rsidR="00D75FB8">
        <w:rPr>
          <w:b/>
          <w:sz w:val="20"/>
          <w:szCs w:val="20"/>
        </w:rPr>
        <w:t>4.23</w:t>
      </w:r>
      <w:r>
        <w:rPr>
          <w:b/>
          <w:sz w:val="20"/>
          <w:szCs w:val="20"/>
        </w:rPr>
        <w:t xml:space="preserve">. Faulty Case 1A Scores Plot for PC2 and PC3.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base case 95% confidence boundary displayed in red. The</w:t>
      </w:r>
      <w:r>
        <w:rPr>
          <w:i/>
          <w:sz w:val="20"/>
          <w:szCs w:val="20"/>
        </w:rPr>
        <w:t>re</w:t>
      </w:r>
      <w:r w:rsidRPr="00EE2556">
        <w:rPr>
          <w:i/>
          <w:sz w:val="20"/>
          <w:szCs w:val="20"/>
        </w:rPr>
        <w:t xml:space="preserve"> </w:t>
      </w:r>
      <w:r>
        <w:rPr>
          <w:i/>
          <w:sz w:val="20"/>
          <w:szCs w:val="20"/>
        </w:rPr>
        <w:t>wa</w:t>
      </w:r>
      <w:r w:rsidRPr="00EE2556">
        <w:rPr>
          <w:i/>
          <w:sz w:val="20"/>
          <w:szCs w:val="20"/>
        </w:rPr>
        <w:t xml:space="preserve">s a </w:t>
      </w:r>
      <w:r>
        <w:rPr>
          <w:i/>
          <w:sz w:val="20"/>
          <w:szCs w:val="20"/>
        </w:rPr>
        <w:t>slight shift in</w:t>
      </w:r>
      <w:r w:rsidR="00917935">
        <w:rPr>
          <w:i/>
          <w:sz w:val="20"/>
          <w:szCs w:val="20"/>
        </w:rPr>
        <w:t xml:space="preserve"> PC2</w:t>
      </w:r>
      <w:r w:rsidR="00CE21E4">
        <w:rPr>
          <w:i/>
          <w:sz w:val="20"/>
          <w:szCs w:val="20"/>
        </w:rPr>
        <w:t xml:space="preserve"> scores</w:t>
      </w:r>
      <w:r>
        <w:rPr>
          <w:i/>
          <w:sz w:val="20"/>
          <w:szCs w:val="20"/>
        </w:rPr>
        <w:t xml:space="preserve"> </w:t>
      </w:r>
      <w:r w:rsidR="00D75FB8">
        <w:rPr>
          <w:i/>
          <w:sz w:val="20"/>
          <w:szCs w:val="20"/>
        </w:rPr>
        <w:t xml:space="preserve">but the fault </w:t>
      </w:r>
      <w:r>
        <w:rPr>
          <w:i/>
          <w:sz w:val="20"/>
          <w:szCs w:val="20"/>
        </w:rPr>
        <w:t xml:space="preserve">was </w:t>
      </w:r>
      <w:r w:rsidR="00D75FB8">
        <w:rPr>
          <w:i/>
          <w:sz w:val="20"/>
          <w:szCs w:val="20"/>
        </w:rPr>
        <w:t>not</w:t>
      </w:r>
      <w:r>
        <w:rPr>
          <w:i/>
          <w:sz w:val="20"/>
          <w:szCs w:val="20"/>
        </w:rPr>
        <w:t xml:space="preserve"> detectable</w:t>
      </w:r>
      <w:r w:rsidRPr="00EE2556">
        <w:rPr>
          <w:i/>
          <w:sz w:val="20"/>
          <w:szCs w:val="20"/>
        </w:rPr>
        <w:t>.</w:t>
      </w:r>
    </w:p>
    <w:p w:rsidR="00E664E4" w:rsidRDefault="00E664E4" w:rsidP="00E664E4">
      <w:pPr>
        <w:jc w:val="center"/>
      </w:pPr>
    </w:p>
    <w:p w:rsidR="00E664E4" w:rsidRDefault="00D75FB8" w:rsidP="00E664E4">
      <w:pPr>
        <w:jc w:val="center"/>
      </w:pPr>
      <w:r>
        <w:rPr>
          <w:noProof/>
        </w:rPr>
        <w:lastRenderedPageBreak/>
        <w:drawing>
          <wp:inline distT="0" distB="0" distL="0" distR="0" wp14:anchorId="0AAFA894" wp14:editId="0FE2FF80">
            <wp:extent cx="5943600" cy="44577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2"/>
                    <a:stretch>
                      <a:fillRect/>
                    </a:stretch>
                  </pic:blipFill>
                  <pic:spPr>
                    <a:xfrm>
                      <a:off x="0" y="0"/>
                      <a:ext cx="5943600" cy="4457700"/>
                    </a:xfrm>
                    <a:prstGeom prst="rect">
                      <a:avLst/>
                    </a:prstGeom>
                  </pic:spPr>
                </pic:pic>
              </a:graphicData>
            </a:graphic>
          </wp:inline>
        </w:drawing>
      </w:r>
    </w:p>
    <w:p w:rsidR="00E664E4" w:rsidRPr="00EE2556" w:rsidRDefault="00E664E4" w:rsidP="00E664E4">
      <w:pPr>
        <w:rPr>
          <w:i/>
          <w:sz w:val="20"/>
          <w:szCs w:val="20"/>
        </w:rPr>
      </w:pPr>
      <w:r>
        <w:rPr>
          <w:b/>
          <w:sz w:val="20"/>
          <w:szCs w:val="20"/>
        </w:rPr>
        <w:t xml:space="preserve">Figure </w:t>
      </w:r>
      <w:r w:rsidR="00D75FB8">
        <w:rPr>
          <w:b/>
          <w:sz w:val="20"/>
          <w:szCs w:val="20"/>
        </w:rPr>
        <w:t>4.24</w:t>
      </w:r>
      <w:r>
        <w:rPr>
          <w:b/>
          <w:sz w:val="20"/>
          <w:szCs w:val="20"/>
        </w:rPr>
        <w:t xml:space="preserve">. Faulty Case 1A 3D Scores Plot for PC1, PC2, and PC3.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as an ellipsoid</w:t>
      </w:r>
      <w:r w:rsidRPr="00EE2556">
        <w:rPr>
          <w:i/>
          <w:sz w:val="20"/>
          <w:szCs w:val="20"/>
        </w:rPr>
        <w:t>.</w:t>
      </w:r>
      <w:r>
        <w:rPr>
          <w:i/>
          <w:sz w:val="20"/>
          <w:szCs w:val="20"/>
        </w:rPr>
        <w:t xml:space="preserve"> </w:t>
      </w:r>
      <w:r w:rsidRPr="00EE2556">
        <w:rPr>
          <w:i/>
          <w:sz w:val="20"/>
          <w:szCs w:val="20"/>
        </w:rPr>
        <w:t>The</w:t>
      </w:r>
      <w:r>
        <w:rPr>
          <w:i/>
          <w:sz w:val="20"/>
          <w:szCs w:val="20"/>
        </w:rPr>
        <w:t>re wa</w:t>
      </w:r>
      <w:r w:rsidRPr="00EE2556">
        <w:rPr>
          <w:i/>
          <w:sz w:val="20"/>
          <w:szCs w:val="20"/>
        </w:rPr>
        <w:t xml:space="preserve">s a </w:t>
      </w:r>
      <w:r>
        <w:rPr>
          <w:i/>
          <w:sz w:val="20"/>
          <w:szCs w:val="20"/>
        </w:rPr>
        <w:t>detectable fault</w:t>
      </w:r>
      <w:r w:rsidR="00917935">
        <w:rPr>
          <w:i/>
          <w:sz w:val="20"/>
          <w:szCs w:val="20"/>
        </w:rPr>
        <w:t xml:space="preserve"> in PC1</w:t>
      </w:r>
      <w:r w:rsidR="00E62112">
        <w:rPr>
          <w:i/>
          <w:sz w:val="20"/>
          <w:szCs w:val="20"/>
        </w:rPr>
        <w:t xml:space="preserve"> scores</w:t>
      </w:r>
      <w:r w:rsidRPr="00EE2556">
        <w:rPr>
          <w:i/>
          <w:sz w:val="20"/>
          <w:szCs w:val="20"/>
        </w:rPr>
        <w:t>.</w:t>
      </w:r>
    </w:p>
    <w:p w:rsidR="00E664E4" w:rsidRDefault="00E664E4" w:rsidP="00E664E4"/>
    <w:p w:rsidR="00E664E4" w:rsidRDefault="00D75FB8" w:rsidP="00E664E4">
      <w:pPr>
        <w:jc w:val="center"/>
      </w:pPr>
      <w:r>
        <w:rPr>
          <w:noProof/>
        </w:rPr>
        <w:lastRenderedPageBreak/>
        <w:drawing>
          <wp:inline distT="0" distB="0" distL="0" distR="0" wp14:anchorId="12707ACA" wp14:editId="00234E16">
            <wp:extent cx="5943600" cy="44577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3"/>
                    <a:stretch>
                      <a:fillRect/>
                    </a:stretch>
                  </pic:blipFill>
                  <pic:spPr>
                    <a:xfrm>
                      <a:off x="0" y="0"/>
                      <a:ext cx="5943600" cy="4457700"/>
                    </a:xfrm>
                    <a:prstGeom prst="rect">
                      <a:avLst/>
                    </a:prstGeom>
                  </pic:spPr>
                </pic:pic>
              </a:graphicData>
            </a:graphic>
          </wp:inline>
        </w:drawing>
      </w:r>
    </w:p>
    <w:p w:rsidR="00E664E4" w:rsidRPr="00EE2556" w:rsidRDefault="00E664E4" w:rsidP="00E664E4">
      <w:pPr>
        <w:rPr>
          <w:i/>
          <w:sz w:val="20"/>
          <w:szCs w:val="20"/>
        </w:rPr>
      </w:pPr>
      <w:r>
        <w:rPr>
          <w:b/>
          <w:sz w:val="20"/>
          <w:szCs w:val="20"/>
        </w:rPr>
        <w:t xml:space="preserve">Figure </w:t>
      </w:r>
      <w:r w:rsidR="00D75FB8">
        <w:rPr>
          <w:b/>
          <w:sz w:val="20"/>
          <w:szCs w:val="20"/>
        </w:rPr>
        <w:t>4.25</w:t>
      </w:r>
      <w:r>
        <w:rPr>
          <w:b/>
          <w:sz w:val="20"/>
          <w:szCs w:val="20"/>
        </w:rPr>
        <w:t xml:space="preserve">. Faulty Case 1A Mahalanobis Distance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base case 95% confidence boundary displayed in red.</w:t>
      </w:r>
      <w:r w:rsidRPr="007D680A">
        <w:rPr>
          <w:i/>
          <w:sz w:val="20"/>
          <w:szCs w:val="20"/>
        </w:rPr>
        <w:t xml:space="preserve"> </w:t>
      </w:r>
      <w:r w:rsidRPr="00EE2556">
        <w:rPr>
          <w:i/>
          <w:sz w:val="20"/>
          <w:szCs w:val="20"/>
        </w:rPr>
        <w:t>The</w:t>
      </w:r>
      <w:r>
        <w:rPr>
          <w:i/>
          <w:sz w:val="20"/>
          <w:szCs w:val="20"/>
        </w:rPr>
        <w:t>re wa</w:t>
      </w:r>
      <w:r w:rsidRPr="00EE2556">
        <w:rPr>
          <w:i/>
          <w:sz w:val="20"/>
          <w:szCs w:val="20"/>
        </w:rPr>
        <w:t xml:space="preserve">s a </w:t>
      </w:r>
      <w:r>
        <w:rPr>
          <w:i/>
          <w:sz w:val="20"/>
          <w:szCs w:val="20"/>
        </w:rPr>
        <w:t>detectable fault</w:t>
      </w:r>
      <w:r w:rsidRPr="00EE2556">
        <w:rPr>
          <w:i/>
          <w:sz w:val="20"/>
          <w:szCs w:val="20"/>
        </w:rPr>
        <w:t>.</w:t>
      </w:r>
    </w:p>
    <w:p w:rsidR="00E664E4" w:rsidRDefault="00E664E4" w:rsidP="00E664E4"/>
    <w:p w:rsidR="00E664E4" w:rsidRDefault="00D75FB8" w:rsidP="00E664E4">
      <w:pPr>
        <w:jc w:val="center"/>
      </w:pPr>
      <w:r>
        <w:rPr>
          <w:noProof/>
        </w:rPr>
        <w:lastRenderedPageBreak/>
        <w:drawing>
          <wp:inline distT="0" distB="0" distL="0" distR="0" wp14:anchorId="65774608" wp14:editId="2BC688E9">
            <wp:extent cx="5943600" cy="44577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4"/>
                    <a:stretch>
                      <a:fillRect/>
                    </a:stretch>
                  </pic:blipFill>
                  <pic:spPr>
                    <a:xfrm>
                      <a:off x="0" y="0"/>
                      <a:ext cx="5943600" cy="4457700"/>
                    </a:xfrm>
                    <a:prstGeom prst="rect">
                      <a:avLst/>
                    </a:prstGeom>
                  </pic:spPr>
                </pic:pic>
              </a:graphicData>
            </a:graphic>
          </wp:inline>
        </w:drawing>
      </w:r>
    </w:p>
    <w:p w:rsidR="00E664E4" w:rsidRPr="00EE2556" w:rsidRDefault="00E664E4" w:rsidP="00E664E4">
      <w:pPr>
        <w:rPr>
          <w:i/>
          <w:sz w:val="20"/>
          <w:szCs w:val="20"/>
        </w:rPr>
      </w:pPr>
      <w:r>
        <w:rPr>
          <w:b/>
          <w:sz w:val="20"/>
          <w:szCs w:val="20"/>
        </w:rPr>
        <w:t xml:space="preserve">Figure </w:t>
      </w:r>
      <w:r w:rsidR="00D75FB8">
        <w:rPr>
          <w:b/>
          <w:sz w:val="20"/>
          <w:szCs w:val="20"/>
        </w:rPr>
        <w:t>4.26</w:t>
      </w:r>
      <w:r>
        <w:rPr>
          <w:b/>
          <w:sz w:val="20"/>
          <w:szCs w:val="20"/>
        </w:rPr>
        <w:t xml:space="preserve">. Faulty Case 1A </w:t>
      </w:r>
      <m:oMath>
        <m:r>
          <m:rPr>
            <m:sty m:val="bi"/>
          </m:rPr>
          <w:rPr>
            <w:rFonts w:ascii="Cambria Math" w:hAnsi="Cambria Math"/>
            <w:sz w:val="20"/>
            <w:szCs w:val="20"/>
          </w:rPr>
          <m:t>Q</m:t>
        </m:r>
      </m:oMath>
      <w:r>
        <w:rPr>
          <w:b/>
          <w:sz w:val="20"/>
          <w:szCs w:val="20"/>
        </w:rPr>
        <w:t xml:space="preserve">-Statistic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base case 95% confidence boundary displayed in red. The</w:t>
      </w:r>
      <w:r>
        <w:rPr>
          <w:i/>
          <w:sz w:val="20"/>
          <w:szCs w:val="20"/>
        </w:rPr>
        <w:t>re wa</w:t>
      </w:r>
      <w:r w:rsidRPr="00EE2556">
        <w:rPr>
          <w:i/>
          <w:sz w:val="20"/>
          <w:szCs w:val="20"/>
        </w:rPr>
        <w:t xml:space="preserve">s a </w:t>
      </w:r>
      <w:r>
        <w:rPr>
          <w:i/>
          <w:sz w:val="20"/>
          <w:szCs w:val="20"/>
        </w:rPr>
        <w:t>detectable fault</w:t>
      </w:r>
      <w:r w:rsidRPr="00EE2556">
        <w:rPr>
          <w:i/>
          <w:sz w:val="20"/>
          <w:szCs w:val="20"/>
        </w:rPr>
        <w:t>.</w:t>
      </w:r>
    </w:p>
    <w:p w:rsidR="00E664E4" w:rsidRDefault="00E664E4" w:rsidP="00E664E4"/>
    <w:p w:rsidR="00E664E4" w:rsidRDefault="00D75FB8" w:rsidP="00E664E4">
      <w:pPr>
        <w:jc w:val="center"/>
      </w:pPr>
      <w:r>
        <w:rPr>
          <w:noProof/>
        </w:rPr>
        <w:lastRenderedPageBreak/>
        <w:drawing>
          <wp:inline distT="0" distB="0" distL="0" distR="0" wp14:anchorId="7A7F1900" wp14:editId="78EF0457">
            <wp:extent cx="5943600" cy="44577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5"/>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D75FB8">
        <w:rPr>
          <w:b/>
          <w:sz w:val="20"/>
          <w:szCs w:val="20"/>
        </w:rPr>
        <w:t>4.27</w:t>
      </w:r>
      <w:r>
        <w:rPr>
          <w:b/>
          <w:sz w:val="20"/>
          <w:szCs w:val="20"/>
        </w:rPr>
        <w:t xml:space="preserve">. Faulty Case 1A PC1, PC2, and </w:t>
      </w:r>
      <m:oMath>
        <m:r>
          <m:rPr>
            <m:sty m:val="bi"/>
          </m:rPr>
          <w:rPr>
            <w:rFonts w:ascii="Cambria Math" w:hAnsi="Cambria Math"/>
            <w:sz w:val="20"/>
            <w:szCs w:val="20"/>
          </w:rPr>
          <m:t>Q</m:t>
        </m:r>
      </m:oMath>
      <w:r>
        <w:rPr>
          <w:b/>
          <w:sz w:val="20"/>
          <w:szCs w:val="20"/>
        </w:rPr>
        <w:t xml:space="preserve">-Statistic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base case 95% confidence boundary displayed in red. The</w:t>
      </w:r>
      <w:r>
        <w:rPr>
          <w:i/>
          <w:sz w:val="20"/>
          <w:szCs w:val="20"/>
        </w:rPr>
        <w:t>re wa</w:t>
      </w:r>
      <w:r w:rsidRPr="00EE2556">
        <w:rPr>
          <w:i/>
          <w:sz w:val="20"/>
          <w:szCs w:val="20"/>
        </w:rPr>
        <w:t xml:space="preserve">s a </w:t>
      </w:r>
      <w:r>
        <w:rPr>
          <w:i/>
          <w:sz w:val="20"/>
          <w:szCs w:val="20"/>
        </w:rPr>
        <w:t>detectable fault</w:t>
      </w:r>
      <w:r w:rsidRPr="00EE2556">
        <w:rPr>
          <w:i/>
          <w:sz w:val="20"/>
          <w:szCs w:val="20"/>
        </w:rPr>
        <w:t>.</w:t>
      </w:r>
    </w:p>
    <w:p w:rsidR="00567A68" w:rsidRDefault="00567A68" w:rsidP="00E664E4"/>
    <w:p w:rsidR="00567A68" w:rsidRDefault="00567A68" w:rsidP="00E664E4"/>
    <w:p w:rsidR="001B675F" w:rsidRDefault="001B675F">
      <w:pPr>
        <w:rPr>
          <w:rFonts w:asciiTheme="majorHAnsi" w:hAnsiTheme="majorHAnsi"/>
          <w:b/>
          <w:i/>
        </w:rPr>
      </w:pPr>
      <w:r>
        <w:rPr>
          <w:rFonts w:asciiTheme="majorHAnsi" w:hAnsiTheme="majorHAnsi"/>
          <w:b/>
          <w:i/>
        </w:rPr>
        <w:br w:type="page"/>
      </w:r>
    </w:p>
    <w:p w:rsidR="00E664E4" w:rsidRDefault="00E664E4" w:rsidP="00E664E4">
      <w:pPr>
        <w:rPr>
          <w:rFonts w:asciiTheme="majorHAnsi" w:hAnsiTheme="majorHAnsi"/>
          <w:b/>
          <w:i/>
        </w:rPr>
      </w:pPr>
      <w:r>
        <w:rPr>
          <w:rFonts w:asciiTheme="majorHAnsi" w:hAnsiTheme="majorHAnsi"/>
          <w:b/>
          <w:i/>
        </w:rPr>
        <w:lastRenderedPageBreak/>
        <w:t>4.3.1.2 Case 1B – Ten Percent Increase in Total Flow Rate</w:t>
      </w:r>
    </w:p>
    <w:p w:rsidR="00FB0AD6" w:rsidRDefault="00E664E4" w:rsidP="00E664E4">
      <w:pPr>
        <w:rPr>
          <w:rFonts w:eastAsiaTheme="minorEastAsia"/>
        </w:rPr>
      </w:pPr>
      <w:r>
        <w:t xml:space="preserve">Since the base case model </w:t>
      </w:r>
      <w:r w:rsidR="009862AE">
        <w:t xml:space="preserve">included </w:t>
      </w:r>
      <w:r>
        <w:t xml:space="preserve">a ±10% </w:t>
      </w:r>
      <w:r w:rsidR="009862AE">
        <w:t xml:space="preserve">variation </w:t>
      </w:r>
      <w:r>
        <w:t xml:space="preserve">in the incoming uranium flow rate, this faulty case provided a new incoming flow rate that was 10% over the nominal base case value </w:t>
      </w:r>
      <w:r w:rsidR="00FB0AD6">
        <w:t xml:space="preserve">with </w:t>
      </w:r>
      <w:r>
        <w:t xml:space="preserve">no variation allowed. Therefore, </w:t>
      </w:r>
      <m:oMath>
        <m:sSub>
          <m:sSubPr>
            <m:ctrlPr>
              <w:rPr>
                <w:rFonts w:ascii="Cambria Math" w:hAnsi="Cambria Math"/>
                <w:i/>
              </w:rPr>
            </m:ctrlPr>
          </m:sSubPr>
          <m:e>
            <m:r>
              <w:rPr>
                <w:rFonts w:ascii="Cambria Math" w:hAnsi="Cambria Math"/>
              </w:rPr>
              <m:t>F</m:t>
            </m:r>
          </m:e>
          <m:sub>
            <m:r>
              <w:rPr>
                <w:rFonts w:ascii="Cambria Math" w:hAnsi="Cambria Math"/>
              </w:rPr>
              <m:t>1A,U</m:t>
            </m:r>
          </m:sub>
        </m:sSub>
      </m:oMath>
      <w:r>
        <w:rPr>
          <w:rFonts w:eastAsiaTheme="minorEastAsia"/>
        </w:rPr>
        <w:t xml:space="preserve"> </w:t>
      </w:r>
      <w:r w:rsidR="00EC5877">
        <w:rPr>
          <w:rFonts w:eastAsiaTheme="minorEastAsia"/>
        </w:rPr>
        <w:t>[</w:t>
      </w:r>
      <w:proofErr w:type="spellStart"/>
      <w:proofErr w:type="gramStart"/>
      <w:r w:rsidR="00EC5877">
        <w:rPr>
          <w:rFonts w:eastAsiaTheme="minorEastAsia"/>
        </w:rPr>
        <w:t>Xss</w:t>
      </w:r>
      <w:proofErr w:type="spellEnd"/>
      <w:r w:rsidR="00EC5877">
        <w:rPr>
          <w:rFonts w:eastAsiaTheme="minorEastAsia"/>
        </w:rPr>
        <w:t>(</w:t>
      </w:r>
      <w:proofErr w:type="gramEnd"/>
      <w:r w:rsidR="00EC5877">
        <w:rPr>
          <w:rFonts w:eastAsiaTheme="minorEastAsia"/>
        </w:rPr>
        <w:t xml:space="preserve">274)] </w:t>
      </w:r>
      <w:r>
        <w:rPr>
          <w:rFonts w:eastAsiaTheme="minorEastAsia"/>
        </w:rPr>
        <w:t>was set at 55 kg/h for this case. The other incoming flow rates were also increased b</w:t>
      </w:r>
      <w:r w:rsidR="009862AE">
        <w:rPr>
          <w:rFonts w:eastAsiaTheme="minorEastAsia"/>
        </w:rPr>
        <w:t>y</w:t>
      </w:r>
      <w:r>
        <w:rPr>
          <w:rFonts w:eastAsiaTheme="minorEastAsia"/>
        </w:rPr>
        <w:t xml:space="preserve"> 10% for this case. </w:t>
      </w:r>
      <w:r w:rsidR="00FB0AD6">
        <w:rPr>
          <w:rFonts w:eastAsiaTheme="minorEastAsia"/>
        </w:rPr>
        <w:t xml:space="preserve">This case was only detectable in the </w:t>
      </w:r>
      <m:oMath>
        <m:r>
          <w:rPr>
            <w:rFonts w:ascii="Cambria Math" w:eastAsiaTheme="minorEastAsia" w:hAnsi="Cambria Math"/>
          </w:rPr>
          <m:t>Q</m:t>
        </m:r>
      </m:oMath>
      <w:r w:rsidR="00FB0AD6">
        <w:rPr>
          <w:rFonts w:eastAsiaTheme="minorEastAsia"/>
        </w:rPr>
        <w:t>-statistic (Figur</w:t>
      </w:r>
      <w:proofErr w:type="spellStart"/>
      <w:r w:rsidR="00FB0AD6">
        <w:rPr>
          <w:rFonts w:eastAsiaTheme="minorEastAsia"/>
        </w:rPr>
        <w:t>e</w:t>
      </w:r>
      <w:r w:rsidR="007C6390">
        <w:rPr>
          <w:rFonts w:eastAsiaTheme="minorEastAsia"/>
        </w:rPr>
        <w:t>s</w:t>
      </w:r>
      <w:proofErr w:type="spellEnd"/>
      <w:r w:rsidR="00FB0AD6">
        <w:rPr>
          <w:rFonts w:eastAsiaTheme="minorEastAsia"/>
        </w:rPr>
        <w:t xml:space="preserve"> 4.</w:t>
      </w:r>
      <w:r w:rsidR="009862AE">
        <w:rPr>
          <w:rFonts w:eastAsiaTheme="minorEastAsia"/>
        </w:rPr>
        <w:t>28</w:t>
      </w:r>
      <w:r w:rsidR="00FB0AD6">
        <w:rPr>
          <w:rFonts w:eastAsiaTheme="minorEastAsia"/>
        </w:rPr>
        <w:t>–4.</w:t>
      </w:r>
      <w:r w:rsidR="009862AE">
        <w:rPr>
          <w:rFonts w:eastAsiaTheme="minorEastAsia"/>
        </w:rPr>
        <w:t>29</w:t>
      </w:r>
      <w:r w:rsidR="00FB0AD6">
        <w:rPr>
          <w:rFonts w:eastAsiaTheme="minorEastAsia"/>
        </w:rPr>
        <w:t>). A</w:t>
      </w:r>
      <w:r w:rsidR="004E68DC">
        <w:rPr>
          <w:rFonts w:eastAsiaTheme="minorEastAsia"/>
        </w:rPr>
        <w:t>n increase</w:t>
      </w:r>
      <w:r w:rsidR="00FB0AD6">
        <w:rPr>
          <w:rFonts w:eastAsiaTheme="minorEastAsia"/>
        </w:rPr>
        <w:t xml:space="preserve"> in the </w:t>
      </w:r>
      <m:oMath>
        <m:r>
          <w:rPr>
            <w:rFonts w:ascii="Cambria Math" w:eastAsiaTheme="minorEastAsia" w:hAnsi="Cambria Math"/>
          </w:rPr>
          <m:t>Q</m:t>
        </m:r>
      </m:oMath>
      <w:r w:rsidR="00FB0AD6">
        <w:rPr>
          <w:rFonts w:eastAsiaTheme="minorEastAsia"/>
        </w:rPr>
        <w:t>-statistic was expected since the flow rates other than</w:t>
      </w:r>
      <w:r w:rsidR="00FB0AD6">
        <w:t xml:space="preserve"> </w:t>
      </w:r>
      <m:oMath>
        <m:sSub>
          <m:sSubPr>
            <m:ctrlPr>
              <w:rPr>
                <w:rFonts w:ascii="Cambria Math" w:hAnsi="Cambria Math"/>
                <w:i/>
              </w:rPr>
            </m:ctrlPr>
          </m:sSubPr>
          <m:e>
            <m:r>
              <w:rPr>
                <w:rFonts w:ascii="Cambria Math" w:hAnsi="Cambria Math"/>
              </w:rPr>
              <m:t>F</m:t>
            </m:r>
          </m:e>
          <m:sub>
            <m:r>
              <w:rPr>
                <w:rFonts w:ascii="Cambria Math" w:hAnsi="Cambria Math"/>
              </w:rPr>
              <m:t>1A,U</m:t>
            </m:r>
          </m:sub>
        </m:sSub>
      </m:oMath>
      <w:r w:rsidR="00FB0AD6">
        <w:rPr>
          <w:rFonts w:eastAsiaTheme="minorEastAsia"/>
        </w:rPr>
        <w:t xml:space="preserve"> </w:t>
      </w:r>
      <w:r w:rsidR="00BF6045">
        <w:rPr>
          <w:rFonts w:eastAsiaTheme="minorEastAsia"/>
        </w:rPr>
        <w:t xml:space="preserve">appear as model </w:t>
      </w:r>
      <w:r w:rsidR="00FB0AD6">
        <w:rPr>
          <w:rFonts w:eastAsiaTheme="minorEastAsia"/>
        </w:rPr>
        <w:t xml:space="preserve">parameters and this change resulted in a change in </w:t>
      </w:r>
      <w:r w:rsidR="006F1843">
        <w:t>the relative relationship between the state variables</w:t>
      </w:r>
      <w:r w:rsidR="00FB0AD6">
        <w:rPr>
          <w:rFonts w:eastAsiaTheme="minorEastAsia"/>
        </w:rPr>
        <w:t xml:space="preserve">. The Mahalanobis distance was not expected to </w:t>
      </w:r>
      <w:r w:rsidR="00BF6045">
        <w:rPr>
          <w:rFonts w:eastAsiaTheme="minorEastAsia"/>
        </w:rPr>
        <w:t xml:space="preserve">exhibit </w:t>
      </w:r>
      <w:r w:rsidR="00FB0AD6">
        <w:rPr>
          <w:rFonts w:eastAsiaTheme="minorEastAsia"/>
        </w:rPr>
        <w:t>a fault since the change in</w:t>
      </w:r>
      <w:r w:rsidR="00FB0AD6">
        <w:t xml:space="preserve"> </w:t>
      </w:r>
      <m:oMath>
        <m:sSub>
          <m:sSubPr>
            <m:ctrlPr>
              <w:rPr>
                <w:rFonts w:ascii="Cambria Math" w:hAnsi="Cambria Math"/>
                <w:i/>
              </w:rPr>
            </m:ctrlPr>
          </m:sSubPr>
          <m:e>
            <m:r>
              <w:rPr>
                <w:rFonts w:ascii="Cambria Math" w:hAnsi="Cambria Math"/>
              </w:rPr>
              <m:t>F</m:t>
            </m:r>
          </m:e>
          <m:sub>
            <m:r>
              <w:rPr>
                <w:rFonts w:ascii="Cambria Math" w:hAnsi="Cambria Math"/>
              </w:rPr>
              <m:t>1A,U</m:t>
            </m:r>
          </m:sub>
        </m:sSub>
      </m:oMath>
      <w:r w:rsidR="00FB0AD6">
        <w:rPr>
          <w:rFonts w:eastAsiaTheme="minorEastAsia"/>
        </w:rPr>
        <w:t xml:space="preserve"> was within the normal range of the base case. There was a slight increase in the number of data points above the 95% </w:t>
      </w:r>
      <w:r w:rsidR="009862AE">
        <w:rPr>
          <w:rFonts w:eastAsiaTheme="minorEastAsia"/>
        </w:rPr>
        <w:t>confidence boundary (Figure 4.30</w:t>
      </w:r>
      <w:r w:rsidR="00FB0AD6">
        <w:rPr>
          <w:rFonts w:eastAsiaTheme="minorEastAsia"/>
        </w:rPr>
        <w:t>), but the fault was not detectable. There were no detectable changes in the scores plots.</w:t>
      </w:r>
    </w:p>
    <w:p w:rsidR="00442471" w:rsidRDefault="00442471">
      <w:pPr>
        <w:rPr>
          <w:rFonts w:eastAsiaTheme="minorEastAsia"/>
        </w:rPr>
      </w:pPr>
      <w:r>
        <w:rPr>
          <w:rFonts w:eastAsiaTheme="minorEastAsia"/>
        </w:rPr>
        <w:br w:type="page"/>
      </w:r>
    </w:p>
    <w:p w:rsidR="00FB0AD6" w:rsidRDefault="006217F2" w:rsidP="00FB0AD6">
      <w:pPr>
        <w:jc w:val="center"/>
        <w:rPr>
          <w:rFonts w:eastAsiaTheme="minorEastAsia"/>
        </w:rPr>
      </w:pPr>
      <w:r>
        <w:rPr>
          <w:noProof/>
        </w:rPr>
        <w:lastRenderedPageBreak/>
        <w:drawing>
          <wp:inline distT="0" distB="0" distL="0" distR="0" wp14:anchorId="04867AAA" wp14:editId="361C8561">
            <wp:extent cx="5943600" cy="44577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6"/>
                    <a:stretch>
                      <a:fillRect/>
                    </a:stretch>
                  </pic:blipFill>
                  <pic:spPr>
                    <a:xfrm>
                      <a:off x="0" y="0"/>
                      <a:ext cx="5943600" cy="4457700"/>
                    </a:xfrm>
                    <a:prstGeom prst="rect">
                      <a:avLst/>
                    </a:prstGeom>
                  </pic:spPr>
                </pic:pic>
              </a:graphicData>
            </a:graphic>
          </wp:inline>
        </w:drawing>
      </w:r>
    </w:p>
    <w:p w:rsidR="00FB0AD6" w:rsidRDefault="009862AE" w:rsidP="00FB0AD6">
      <w:pPr>
        <w:rPr>
          <w:i/>
          <w:sz w:val="20"/>
          <w:szCs w:val="20"/>
        </w:rPr>
      </w:pPr>
      <w:r>
        <w:rPr>
          <w:b/>
          <w:sz w:val="20"/>
          <w:szCs w:val="20"/>
        </w:rPr>
        <w:t>Figure 4.28</w:t>
      </w:r>
      <w:r w:rsidR="00FB0AD6">
        <w:rPr>
          <w:b/>
          <w:sz w:val="20"/>
          <w:szCs w:val="20"/>
        </w:rPr>
        <w:t xml:space="preserve">. Faulty Case 1B </w:t>
      </w:r>
      <m:oMath>
        <m:r>
          <m:rPr>
            <m:sty m:val="bi"/>
          </m:rPr>
          <w:rPr>
            <w:rFonts w:ascii="Cambria Math" w:hAnsi="Cambria Math"/>
            <w:sz w:val="20"/>
            <w:szCs w:val="20"/>
          </w:rPr>
          <m:t>Q</m:t>
        </m:r>
      </m:oMath>
      <w:r w:rsidR="00FB0AD6">
        <w:rPr>
          <w:b/>
          <w:sz w:val="20"/>
          <w:szCs w:val="20"/>
        </w:rPr>
        <w:t xml:space="preserve">-Statistic Plot. </w:t>
      </w:r>
      <w:r w:rsidR="00FB0AD6" w:rsidRPr="00EE2556">
        <w:rPr>
          <w:i/>
          <w:sz w:val="20"/>
          <w:szCs w:val="20"/>
        </w:rPr>
        <w:t xml:space="preserve">Note: </w:t>
      </w:r>
      <w:r w:rsidR="00FB0AD6">
        <w:rPr>
          <w:i/>
          <w:sz w:val="20"/>
          <w:szCs w:val="20"/>
        </w:rPr>
        <w:t xml:space="preserve">Only </w:t>
      </w:r>
      <w:r w:rsidR="00FB0AD6" w:rsidRPr="00EE2556">
        <w:rPr>
          <w:i/>
          <w:sz w:val="20"/>
          <w:szCs w:val="20"/>
        </w:rPr>
        <w:t>the faulty data is shown</w:t>
      </w:r>
      <w:r w:rsidR="00FB0AD6">
        <w:rPr>
          <w:i/>
          <w:sz w:val="20"/>
          <w:szCs w:val="20"/>
        </w:rPr>
        <w:t xml:space="preserve"> with the </w:t>
      </w:r>
      <w:r w:rsidR="00FB0AD6" w:rsidRPr="00EE2556">
        <w:rPr>
          <w:i/>
          <w:sz w:val="20"/>
          <w:szCs w:val="20"/>
        </w:rPr>
        <w:t>base case 95% confidence boundary displayed in red. The</w:t>
      </w:r>
      <w:r w:rsidR="00FB0AD6">
        <w:rPr>
          <w:i/>
          <w:sz w:val="20"/>
          <w:szCs w:val="20"/>
        </w:rPr>
        <w:t>re wa</w:t>
      </w:r>
      <w:r w:rsidR="00FB0AD6" w:rsidRPr="00EE2556">
        <w:rPr>
          <w:i/>
          <w:sz w:val="20"/>
          <w:szCs w:val="20"/>
        </w:rPr>
        <w:t xml:space="preserve">s a </w:t>
      </w:r>
      <w:r w:rsidR="00FB0AD6">
        <w:rPr>
          <w:i/>
          <w:sz w:val="20"/>
          <w:szCs w:val="20"/>
        </w:rPr>
        <w:t>detectable fault</w:t>
      </w:r>
      <w:r w:rsidR="00FB0AD6" w:rsidRPr="00EE2556">
        <w:rPr>
          <w:i/>
          <w:sz w:val="20"/>
          <w:szCs w:val="20"/>
        </w:rPr>
        <w:t>.</w:t>
      </w:r>
    </w:p>
    <w:p w:rsidR="00FB0AD6" w:rsidRDefault="006217F2" w:rsidP="00FB0AD6">
      <w:pPr>
        <w:jc w:val="center"/>
      </w:pPr>
      <w:r>
        <w:rPr>
          <w:noProof/>
        </w:rPr>
        <w:lastRenderedPageBreak/>
        <w:drawing>
          <wp:inline distT="0" distB="0" distL="0" distR="0" wp14:anchorId="7F35A7DC" wp14:editId="4875AA04">
            <wp:extent cx="5943600" cy="4457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7"/>
                    <a:stretch>
                      <a:fillRect/>
                    </a:stretch>
                  </pic:blipFill>
                  <pic:spPr>
                    <a:xfrm>
                      <a:off x="0" y="0"/>
                      <a:ext cx="5943600" cy="4457700"/>
                    </a:xfrm>
                    <a:prstGeom prst="rect">
                      <a:avLst/>
                    </a:prstGeom>
                  </pic:spPr>
                </pic:pic>
              </a:graphicData>
            </a:graphic>
          </wp:inline>
        </w:drawing>
      </w:r>
    </w:p>
    <w:p w:rsidR="00FB0AD6" w:rsidRDefault="009862AE" w:rsidP="00FB0AD6">
      <w:pPr>
        <w:rPr>
          <w:i/>
          <w:sz w:val="20"/>
          <w:szCs w:val="20"/>
        </w:rPr>
      </w:pPr>
      <w:r>
        <w:rPr>
          <w:b/>
          <w:sz w:val="20"/>
          <w:szCs w:val="20"/>
        </w:rPr>
        <w:t>Figure 4.29</w:t>
      </w:r>
      <w:r w:rsidR="00FB0AD6">
        <w:rPr>
          <w:b/>
          <w:sz w:val="20"/>
          <w:szCs w:val="20"/>
        </w:rPr>
        <w:t xml:space="preserve">. Faulty Case 1B PC1, PC2, and </w:t>
      </w:r>
      <m:oMath>
        <m:r>
          <m:rPr>
            <m:sty m:val="bi"/>
          </m:rPr>
          <w:rPr>
            <w:rFonts w:ascii="Cambria Math" w:hAnsi="Cambria Math"/>
            <w:sz w:val="20"/>
            <w:szCs w:val="20"/>
          </w:rPr>
          <m:t>Q</m:t>
        </m:r>
      </m:oMath>
      <w:r w:rsidR="00FB0AD6">
        <w:rPr>
          <w:b/>
          <w:sz w:val="20"/>
          <w:szCs w:val="20"/>
        </w:rPr>
        <w:t xml:space="preserve">-Statistic Plot. </w:t>
      </w:r>
      <w:r w:rsidR="00FB0AD6" w:rsidRPr="00EE2556">
        <w:rPr>
          <w:i/>
          <w:sz w:val="20"/>
          <w:szCs w:val="20"/>
        </w:rPr>
        <w:t xml:space="preserve">Note: </w:t>
      </w:r>
      <w:r w:rsidR="00FB0AD6">
        <w:rPr>
          <w:i/>
          <w:sz w:val="20"/>
          <w:szCs w:val="20"/>
        </w:rPr>
        <w:t xml:space="preserve">Only </w:t>
      </w:r>
      <w:r w:rsidR="00FB0AD6" w:rsidRPr="00EE2556">
        <w:rPr>
          <w:i/>
          <w:sz w:val="20"/>
          <w:szCs w:val="20"/>
        </w:rPr>
        <w:t>the faulty data is shown</w:t>
      </w:r>
      <w:r w:rsidR="00FB0AD6">
        <w:rPr>
          <w:i/>
          <w:sz w:val="20"/>
          <w:szCs w:val="20"/>
        </w:rPr>
        <w:t xml:space="preserve"> with the </w:t>
      </w:r>
      <w:r w:rsidR="00FB0AD6" w:rsidRPr="00EE2556">
        <w:rPr>
          <w:i/>
          <w:sz w:val="20"/>
          <w:szCs w:val="20"/>
        </w:rPr>
        <w:t>base case 95% confidence boundary displayed in red. The</w:t>
      </w:r>
      <w:r w:rsidR="00FB0AD6">
        <w:rPr>
          <w:i/>
          <w:sz w:val="20"/>
          <w:szCs w:val="20"/>
        </w:rPr>
        <w:t>re wa</w:t>
      </w:r>
      <w:r w:rsidR="00FB0AD6" w:rsidRPr="00EE2556">
        <w:rPr>
          <w:i/>
          <w:sz w:val="20"/>
          <w:szCs w:val="20"/>
        </w:rPr>
        <w:t xml:space="preserve">s a </w:t>
      </w:r>
      <w:r w:rsidR="00FB0AD6">
        <w:rPr>
          <w:i/>
          <w:sz w:val="20"/>
          <w:szCs w:val="20"/>
        </w:rPr>
        <w:t xml:space="preserve">detectable fault in the </w:t>
      </w:r>
      <m:oMath>
        <m:r>
          <w:rPr>
            <w:rFonts w:ascii="Cambria Math" w:hAnsi="Cambria Math"/>
            <w:sz w:val="20"/>
            <w:szCs w:val="20"/>
          </w:rPr>
          <m:t>Q</m:t>
        </m:r>
      </m:oMath>
      <w:r w:rsidR="00FB0AD6">
        <w:rPr>
          <w:rFonts w:eastAsiaTheme="minorEastAsia"/>
          <w:i/>
          <w:sz w:val="20"/>
          <w:szCs w:val="20"/>
        </w:rPr>
        <w:t>-statistic</w:t>
      </w:r>
      <w:r w:rsidR="00FB0AD6" w:rsidRPr="00EE2556">
        <w:rPr>
          <w:i/>
          <w:sz w:val="20"/>
          <w:szCs w:val="20"/>
        </w:rPr>
        <w:t>.</w:t>
      </w:r>
    </w:p>
    <w:p w:rsidR="00E664E4" w:rsidRDefault="006217F2" w:rsidP="00E664E4">
      <w:pPr>
        <w:jc w:val="center"/>
      </w:pPr>
      <w:r>
        <w:rPr>
          <w:noProof/>
        </w:rPr>
        <w:lastRenderedPageBreak/>
        <w:drawing>
          <wp:inline distT="0" distB="0" distL="0" distR="0" wp14:anchorId="65084879" wp14:editId="09D12ED0">
            <wp:extent cx="5943600" cy="44577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8"/>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BE36F0">
        <w:rPr>
          <w:b/>
          <w:sz w:val="20"/>
          <w:szCs w:val="20"/>
        </w:rPr>
        <w:t>4.3</w:t>
      </w:r>
      <w:r w:rsidR="009862AE">
        <w:rPr>
          <w:b/>
          <w:sz w:val="20"/>
          <w:szCs w:val="20"/>
        </w:rPr>
        <w:t>0</w:t>
      </w:r>
      <w:r>
        <w:rPr>
          <w:b/>
          <w:sz w:val="20"/>
          <w:szCs w:val="20"/>
        </w:rPr>
        <w:t xml:space="preserve">. Faulty Case 1B Mahalanobis Distance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base case 95% confidence boundary displayed in red. The</w:t>
      </w:r>
      <w:r>
        <w:rPr>
          <w:i/>
          <w:sz w:val="20"/>
          <w:szCs w:val="20"/>
        </w:rPr>
        <w:t xml:space="preserve">re </w:t>
      </w:r>
      <w:r w:rsidR="009862AE">
        <w:rPr>
          <w:i/>
          <w:sz w:val="20"/>
          <w:szCs w:val="20"/>
        </w:rPr>
        <w:t xml:space="preserve">no </w:t>
      </w:r>
      <w:r>
        <w:rPr>
          <w:i/>
          <w:sz w:val="20"/>
          <w:szCs w:val="20"/>
        </w:rPr>
        <w:t>detectable fault</w:t>
      </w:r>
      <w:r w:rsidRPr="00EE2556">
        <w:rPr>
          <w:i/>
          <w:sz w:val="20"/>
          <w:szCs w:val="20"/>
        </w:rPr>
        <w:t>.</w:t>
      </w:r>
    </w:p>
    <w:p w:rsidR="00E664E4" w:rsidRDefault="00E664E4" w:rsidP="00E664E4"/>
    <w:p w:rsidR="00E664E4" w:rsidRPr="00FB0AD6" w:rsidRDefault="00E664E4" w:rsidP="00FB0AD6"/>
    <w:p w:rsidR="001B675F" w:rsidRDefault="001B675F">
      <w:pPr>
        <w:rPr>
          <w:rFonts w:asciiTheme="majorHAnsi" w:hAnsiTheme="majorHAnsi"/>
          <w:b/>
          <w:i/>
        </w:rPr>
      </w:pPr>
      <w:r>
        <w:rPr>
          <w:rFonts w:asciiTheme="majorHAnsi" w:hAnsiTheme="majorHAnsi"/>
          <w:b/>
          <w:i/>
        </w:rPr>
        <w:br w:type="page"/>
      </w:r>
    </w:p>
    <w:p w:rsidR="00E664E4" w:rsidRDefault="00E664E4" w:rsidP="00E664E4">
      <w:pPr>
        <w:rPr>
          <w:rFonts w:asciiTheme="majorHAnsi" w:hAnsiTheme="majorHAnsi"/>
          <w:b/>
          <w:i/>
        </w:rPr>
      </w:pPr>
      <w:r>
        <w:rPr>
          <w:rFonts w:asciiTheme="majorHAnsi" w:hAnsiTheme="majorHAnsi"/>
          <w:b/>
          <w:i/>
        </w:rPr>
        <w:lastRenderedPageBreak/>
        <w:t>4.3.1.3 Case 1C – Fifteen Percent Increase in Uranium Flow Rate</w:t>
      </w:r>
    </w:p>
    <w:p w:rsidR="002321EC" w:rsidRDefault="00E664E4" w:rsidP="00E664E4">
      <w:r>
        <w:t xml:space="preserve">For the case of a 15% increase in the incoming uranium flow rate only, </w:t>
      </w:r>
      <m:oMath>
        <m:sSub>
          <m:sSubPr>
            <m:ctrlPr>
              <w:rPr>
                <w:rFonts w:ascii="Cambria Math" w:hAnsi="Cambria Math"/>
                <w:i/>
              </w:rPr>
            </m:ctrlPr>
          </m:sSubPr>
          <m:e>
            <m:r>
              <w:rPr>
                <w:rFonts w:ascii="Cambria Math" w:hAnsi="Cambria Math"/>
              </w:rPr>
              <m:t>F</m:t>
            </m:r>
          </m:e>
          <m:sub>
            <m:r>
              <w:rPr>
                <w:rFonts w:ascii="Cambria Math" w:hAnsi="Cambria Math"/>
              </w:rPr>
              <m:t>1A,U</m:t>
            </m:r>
          </m:sub>
        </m:sSub>
      </m:oMath>
      <w:r>
        <w:rPr>
          <w:rFonts w:eastAsiaTheme="minorEastAsia"/>
        </w:rPr>
        <w:t xml:space="preserve"> </w:t>
      </w:r>
      <w:r w:rsidR="00EC5877">
        <w:rPr>
          <w:rFonts w:eastAsiaTheme="minorEastAsia"/>
        </w:rPr>
        <w:t>[</w:t>
      </w:r>
      <w:proofErr w:type="spellStart"/>
      <w:proofErr w:type="gramStart"/>
      <w:r w:rsidR="00EC5877">
        <w:rPr>
          <w:rFonts w:eastAsiaTheme="minorEastAsia"/>
        </w:rPr>
        <w:t>Xss</w:t>
      </w:r>
      <w:proofErr w:type="spellEnd"/>
      <w:r w:rsidR="00EC5877">
        <w:rPr>
          <w:rFonts w:eastAsiaTheme="minorEastAsia"/>
        </w:rPr>
        <w:t>(</w:t>
      </w:r>
      <w:proofErr w:type="gramEnd"/>
      <w:r w:rsidR="00EC5877">
        <w:rPr>
          <w:rFonts w:eastAsiaTheme="minorEastAsia"/>
        </w:rPr>
        <w:t xml:space="preserve">274)] </w:t>
      </w:r>
      <w:r>
        <w:rPr>
          <w:rFonts w:eastAsiaTheme="minorEastAsia"/>
        </w:rPr>
        <w:t xml:space="preserve">was set at 57.5 kg/h with no variation in this input variable </w:t>
      </w:r>
      <w:r>
        <w:t>during data generation. The other input variables were allowed to vary as specified in the base case and all parameters were set at the nominal base case values.</w:t>
      </w:r>
      <w:r w:rsidR="009F48D7">
        <w:t xml:space="preserve"> This case would most likely not be detectable since the only change occurred in the Mahalanobis distance and most of the data points were still within the 95% </w:t>
      </w:r>
      <w:r w:rsidR="005F5FB5">
        <w:t>confidence boundary (Figure 4.31</w:t>
      </w:r>
      <w:r w:rsidR="009F48D7">
        <w:t>). This was only 5% over the allowed maximum for the model and the goal for detection was 10% diversion</w:t>
      </w:r>
      <w:r w:rsidR="008E6F8C">
        <w:t xml:space="preserve">. </w:t>
      </w:r>
    </w:p>
    <w:p w:rsidR="009F48D7" w:rsidRDefault="00E664E4" w:rsidP="00E664E4">
      <w:r w:rsidRPr="00E02DC4">
        <w:t xml:space="preserve">In this case, the model </w:t>
      </w:r>
      <w:r>
        <w:t xml:space="preserve">was expected to fit based on the </w:t>
      </w:r>
      <m:oMath>
        <m:r>
          <w:rPr>
            <w:rFonts w:ascii="Cambria Math" w:hAnsi="Cambria Math"/>
          </w:rPr>
          <m:t>Q</m:t>
        </m:r>
      </m:oMath>
      <w:r w:rsidRPr="00E02DC4">
        <w:t>-statistic</w:t>
      </w:r>
      <w:r w:rsidR="005F5FB5">
        <w:t>,</w:t>
      </w:r>
      <w:r w:rsidRPr="00E02DC4">
        <w:t xml:space="preserve"> but </w:t>
      </w:r>
      <w:r w:rsidR="005F5FB5">
        <w:t xml:space="preserve">it was expected that </w:t>
      </w:r>
      <w:r w:rsidRPr="00E02DC4">
        <w:t xml:space="preserve">the Mahalanobis distance </w:t>
      </w:r>
      <w:r>
        <w:t>w</w:t>
      </w:r>
      <w:r w:rsidRPr="00E02DC4">
        <w:t xml:space="preserve">ould show that the values </w:t>
      </w:r>
      <w:r>
        <w:t>we</w:t>
      </w:r>
      <w:r w:rsidRPr="00E02DC4">
        <w:t>re outside of the accepted range</w:t>
      </w:r>
      <w:r>
        <w:t xml:space="preserve"> which was the case</w:t>
      </w:r>
      <w:r w:rsidRPr="00E02DC4">
        <w:t>.</w:t>
      </w:r>
      <w:r>
        <w:t xml:space="preserve"> </w:t>
      </w:r>
      <w:r w:rsidR="002321EC">
        <w:t xml:space="preserve">However, since this was only 5% above the maximum </w:t>
      </w:r>
      <w:r w:rsidR="009F48D7">
        <w:t xml:space="preserve">allowed flow rate of uranium in the base case, there was </w:t>
      </w:r>
      <w:r w:rsidR="00442471">
        <w:t xml:space="preserve">only </w:t>
      </w:r>
      <w:r w:rsidR="009F48D7">
        <w:t xml:space="preserve">a slight </w:t>
      </w:r>
      <w:r w:rsidR="004E68DC">
        <w:t>increase</w:t>
      </w:r>
      <w:r w:rsidR="009F48D7">
        <w:t xml:space="preserve"> in the Mahalanobis distance which may not be detectable depending </w:t>
      </w:r>
      <w:r w:rsidR="00442471">
        <w:t>o</w:t>
      </w:r>
      <w:r w:rsidR="009F48D7">
        <w:t>n operating conditions. There w</w:t>
      </w:r>
      <w:r w:rsidR="0092636B">
        <w:t>ere</w:t>
      </w:r>
      <w:r w:rsidR="009F48D7">
        <w:t xml:space="preserve"> no detectable faults in the scores</w:t>
      </w:r>
      <w:r w:rsidR="0092636B">
        <w:t xml:space="preserve"> </w:t>
      </w:r>
      <w:r w:rsidR="009F48D7">
        <w:t xml:space="preserve">or the </w:t>
      </w:r>
      <m:oMath>
        <m:r>
          <w:rPr>
            <w:rFonts w:ascii="Cambria Math" w:hAnsi="Cambria Math"/>
          </w:rPr>
          <m:t>Q</m:t>
        </m:r>
      </m:oMath>
      <w:r w:rsidR="009F48D7">
        <w:rPr>
          <w:rFonts w:eastAsiaTheme="minorEastAsia"/>
        </w:rPr>
        <w:t xml:space="preserve">-statistic. </w:t>
      </w:r>
      <w:r>
        <w:t xml:space="preserve">These results showed that the model still fits </w:t>
      </w:r>
      <w:r w:rsidR="00442471">
        <w:t xml:space="preserve">well enough </w:t>
      </w:r>
      <w:r>
        <w:t xml:space="preserve">based on the </w:t>
      </w:r>
      <m:oMath>
        <m:r>
          <w:rPr>
            <w:rFonts w:ascii="Cambria Math" w:hAnsi="Cambria Math"/>
          </w:rPr>
          <m:t>Q</m:t>
        </m:r>
      </m:oMath>
      <w:r>
        <w:t xml:space="preserve">-statistic and therefore all of the </w:t>
      </w:r>
      <w:r w:rsidR="00454A92">
        <w:t>relative relationships</w:t>
      </w:r>
      <w:r>
        <w:t xml:space="preserve"> </w:t>
      </w:r>
      <w:r w:rsidR="00442471">
        <w:t xml:space="preserve">between the </w:t>
      </w:r>
      <w:proofErr w:type="gramStart"/>
      <w:r w:rsidR="00442471">
        <w:t>state</w:t>
      </w:r>
      <w:proofErr w:type="gramEnd"/>
      <w:r w:rsidR="00442471">
        <w:t xml:space="preserve"> variables </w:t>
      </w:r>
      <w:r>
        <w:t>were as expected but the range was slightly above what was expected based on the Mahalanobis distance.</w:t>
      </w:r>
      <w:r w:rsidR="00C53E0E">
        <w:t xml:space="preserve"> The </w:t>
      </w:r>
      <w:r w:rsidR="004E68DC">
        <w:t>increase</w:t>
      </w:r>
      <w:r w:rsidR="00C53E0E">
        <w:t xml:space="preserve"> in the Mahalanobis distance with no fault in the scores was surprising since the Mahalanobis distance is based on the scores. However, it was only a slight increase in the Mahalanobis distance which may not be detectable and there was a </w:t>
      </w:r>
      <w:r w:rsidR="00AB3651">
        <w:t xml:space="preserve">slightly negative </w:t>
      </w:r>
      <w:r w:rsidR="00C53E0E">
        <w:t xml:space="preserve">shift in </w:t>
      </w:r>
      <w:r w:rsidR="00442471">
        <w:t xml:space="preserve">the </w:t>
      </w:r>
      <w:r w:rsidR="00C53E0E">
        <w:t xml:space="preserve">PC1 </w:t>
      </w:r>
      <w:r w:rsidR="00442471">
        <w:t xml:space="preserve">scores </w:t>
      </w:r>
      <w:r w:rsidR="004E68DC">
        <w:t>that</w:t>
      </w:r>
      <w:r w:rsidR="00C53E0E">
        <w:t xml:space="preserve"> was</w:t>
      </w:r>
      <w:r w:rsidR="00AB3651">
        <w:t xml:space="preserve"> </w:t>
      </w:r>
      <w:r w:rsidR="004E68DC">
        <w:t>within the confidence boundary</w:t>
      </w:r>
      <w:r w:rsidR="00AB3651">
        <w:t>. This shift in PC1</w:t>
      </w:r>
      <w:r w:rsidR="00E62112">
        <w:t xml:space="preserve"> scores</w:t>
      </w:r>
      <w:r w:rsidR="00AB3651">
        <w:t xml:space="preserve"> was enough to increase the number of points above the 95% confidence boundary in the Mahalanobis distance.</w:t>
      </w:r>
    </w:p>
    <w:p w:rsidR="009F48D7" w:rsidRDefault="005F5FB5" w:rsidP="009F48D7">
      <w:pPr>
        <w:jc w:val="center"/>
      </w:pPr>
      <w:r>
        <w:rPr>
          <w:noProof/>
        </w:rPr>
        <w:lastRenderedPageBreak/>
        <w:drawing>
          <wp:inline distT="0" distB="0" distL="0" distR="0" wp14:anchorId="3780990F" wp14:editId="5B7CB687">
            <wp:extent cx="5943600" cy="44577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9"/>
                    <a:stretch>
                      <a:fillRect/>
                    </a:stretch>
                  </pic:blipFill>
                  <pic:spPr>
                    <a:xfrm>
                      <a:off x="0" y="0"/>
                      <a:ext cx="5943600" cy="4457700"/>
                    </a:xfrm>
                    <a:prstGeom prst="rect">
                      <a:avLst/>
                    </a:prstGeom>
                  </pic:spPr>
                </pic:pic>
              </a:graphicData>
            </a:graphic>
          </wp:inline>
        </w:drawing>
      </w:r>
    </w:p>
    <w:p w:rsidR="00E664E4" w:rsidRPr="00EE2556" w:rsidRDefault="00E664E4" w:rsidP="00E664E4">
      <w:pPr>
        <w:rPr>
          <w:i/>
          <w:sz w:val="20"/>
          <w:szCs w:val="20"/>
        </w:rPr>
      </w:pPr>
      <w:r>
        <w:rPr>
          <w:b/>
          <w:sz w:val="20"/>
          <w:szCs w:val="20"/>
        </w:rPr>
        <w:t xml:space="preserve">Figure </w:t>
      </w:r>
      <w:r w:rsidR="009F48D7">
        <w:rPr>
          <w:b/>
          <w:sz w:val="20"/>
          <w:szCs w:val="20"/>
        </w:rPr>
        <w:t>4.3</w:t>
      </w:r>
      <w:r w:rsidR="005F5FB5">
        <w:rPr>
          <w:b/>
          <w:sz w:val="20"/>
          <w:szCs w:val="20"/>
        </w:rPr>
        <w:t>1</w:t>
      </w:r>
      <w:r>
        <w:rPr>
          <w:b/>
          <w:sz w:val="20"/>
          <w:szCs w:val="20"/>
        </w:rPr>
        <w:t xml:space="preserve">. Faulty Case 1C Mahalanobis Distance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base case 95% confidence boundary displayed in red. The</w:t>
      </w:r>
      <w:r>
        <w:rPr>
          <w:i/>
          <w:sz w:val="20"/>
          <w:szCs w:val="20"/>
        </w:rPr>
        <w:t>re wa</w:t>
      </w:r>
      <w:r w:rsidRPr="00EE2556">
        <w:rPr>
          <w:i/>
          <w:sz w:val="20"/>
          <w:szCs w:val="20"/>
        </w:rPr>
        <w:t xml:space="preserve">s </w:t>
      </w:r>
      <w:r>
        <w:rPr>
          <w:i/>
          <w:sz w:val="20"/>
          <w:szCs w:val="20"/>
        </w:rPr>
        <w:t>a slight increase but it may not be a detectable fault</w:t>
      </w:r>
      <w:r w:rsidRPr="00EE2556">
        <w:rPr>
          <w:i/>
          <w:sz w:val="20"/>
          <w:szCs w:val="20"/>
        </w:rPr>
        <w:t>.</w:t>
      </w:r>
    </w:p>
    <w:p w:rsidR="00E664E4" w:rsidRPr="009F48D7" w:rsidRDefault="00E664E4" w:rsidP="009F48D7"/>
    <w:p w:rsidR="00E664E4" w:rsidRDefault="00E664E4" w:rsidP="009F48D7"/>
    <w:p w:rsidR="009F48D7" w:rsidRPr="009F48D7" w:rsidRDefault="009F48D7" w:rsidP="009F48D7"/>
    <w:p w:rsidR="001B675F" w:rsidRDefault="001B675F">
      <w:pPr>
        <w:rPr>
          <w:rFonts w:asciiTheme="majorHAnsi" w:hAnsiTheme="majorHAnsi"/>
          <w:b/>
          <w:i/>
        </w:rPr>
      </w:pPr>
      <w:r>
        <w:rPr>
          <w:rFonts w:asciiTheme="majorHAnsi" w:hAnsiTheme="majorHAnsi"/>
          <w:b/>
          <w:i/>
        </w:rPr>
        <w:br w:type="page"/>
      </w:r>
    </w:p>
    <w:p w:rsidR="00E664E4" w:rsidRDefault="00E664E4" w:rsidP="00E664E4">
      <w:pPr>
        <w:rPr>
          <w:rFonts w:asciiTheme="majorHAnsi" w:hAnsiTheme="majorHAnsi"/>
          <w:b/>
          <w:i/>
        </w:rPr>
      </w:pPr>
      <w:r>
        <w:rPr>
          <w:rFonts w:asciiTheme="majorHAnsi" w:hAnsiTheme="majorHAnsi"/>
          <w:b/>
          <w:i/>
        </w:rPr>
        <w:lastRenderedPageBreak/>
        <w:t>4.3.1.4 Case 1D – Twenty-Five Percent Increase in Uranium Flow Rate</w:t>
      </w:r>
    </w:p>
    <w:p w:rsidR="007C6390" w:rsidRDefault="00E664E4" w:rsidP="00E664E4">
      <w:r>
        <w:t xml:space="preserve">Since </w:t>
      </w:r>
      <w:r w:rsidR="00442471">
        <w:t xml:space="preserve">the </w:t>
      </w:r>
      <w:r>
        <w:t xml:space="preserve">Case 1C </w:t>
      </w:r>
      <w:r w:rsidR="00442471">
        <w:t xml:space="preserve">fault </w:t>
      </w:r>
      <w:r>
        <w:t xml:space="preserve">was not detectable, higher flow rates of incoming uranium were tested. Twenty percent increase over the base case nominal value was still likely not detectable since many of the data points were still within the 95% confidence boundary. The 20% increase corresponded to 10% over the maximum allowed variation in that input variable and the detection goal stated for this framework. The results of the 25% increase are shown below. </w:t>
      </w:r>
      <w:r w:rsidR="007C6390">
        <w:t xml:space="preserve">This </w:t>
      </w:r>
      <w:r w:rsidR="00442471">
        <w:t xml:space="preserve">faulty </w:t>
      </w:r>
      <w:r w:rsidR="007C6390">
        <w:t>case was detectable in the Mahalanobis distance.</w:t>
      </w:r>
    </w:p>
    <w:p w:rsidR="00E664E4" w:rsidRDefault="007C6390" w:rsidP="00E664E4">
      <w:r>
        <w:t>This case was</w:t>
      </w:r>
      <w:r w:rsidR="00E664E4">
        <w:t xml:space="preserve"> modeled </w:t>
      </w:r>
      <w:r w:rsidR="00442471">
        <w:t xml:space="preserve">in </w:t>
      </w:r>
      <w:r w:rsidR="00E664E4">
        <w:t xml:space="preserve">the same </w:t>
      </w:r>
      <w:r w:rsidR="00442471">
        <w:t xml:space="preserve">manner </w:t>
      </w:r>
      <w:r w:rsidR="00E664E4">
        <w:t xml:space="preserve">as Case 1C with </w:t>
      </w:r>
      <m:oMath>
        <m:sSub>
          <m:sSubPr>
            <m:ctrlPr>
              <w:rPr>
                <w:rFonts w:ascii="Cambria Math" w:hAnsi="Cambria Math"/>
                <w:i/>
              </w:rPr>
            </m:ctrlPr>
          </m:sSubPr>
          <m:e>
            <m:r>
              <w:rPr>
                <w:rFonts w:ascii="Cambria Math" w:hAnsi="Cambria Math"/>
              </w:rPr>
              <m:t>F</m:t>
            </m:r>
          </m:e>
          <m:sub>
            <m:r>
              <w:rPr>
                <w:rFonts w:ascii="Cambria Math" w:hAnsi="Cambria Math"/>
              </w:rPr>
              <m:t>1A,U</m:t>
            </m:r>
          </m:sub>
        </m:sSub>
      </m:oMath>
      <w:r w:rsidR="00E664E4">
        <w:rPr>
          <w:rFonts w:eastAsiaTheme="minorEastAsia"/>
        </w:rPr>
        <w:t xml:space="preserve"> </w:t>
      </w:r>
      <w:r w:rsidR="001D6C23">
        <w:rPr>
          <w:rFonts w:eastAsiaTheme="minorEastAsia"/>
        </w:rPr>
        <w:t>[</w:t>
      </w:r>
      <w:proofErr w:type="spellStart"/>
      <w:proofErr w:type="gramStart"/>
      <w:r w:rsidR="001D6C23">
        <w:rPr>
          <w:rFonts w:eastAsiaTheme="minorEastAsia"/>
        </w:rPr>
        <w:t>Xss</w:t>
      </w:r>
      <w:proofErr w:type="spellEnd"/>
      <w:r w:rsidR="001D6C23">
        <w:rPr>
          <w:rFonts w:eastAsiaTheme="minorEastAsia"/>
        </w:rPr>
        <w:t>(</w:t>
      </w:r>
      <w:proofErr w:type="gramEnd"/>
      <w:r w:rsidR="001D6C23">
        <w:rPr>
          <w:rFonts w:eastAsiaTheme="minorEastAsia"/>
        </w:rPr>
        <w:t xml:space="preserve">274)] </w:t>
      </w:r>
      <w:r w:rsidR="00E664E4">
        <w:rPr>
          <w:rFonts w:eastAsiaTheme="minorEastAsia"/>
        </w:rPr>
        <w:t xml:space="preserve">set to </w:t>
      </w:r>
      <w:r w:rsidR="00442471">
        <w:rPr>
          <w:rFonts w:eastAsiaTheme="minorEastAsia"/>
        </w:rPr>
        <w:t xml:space="preserve">a constant </w:t>
      </w:r>
      <w:r w:rsidR="00E664E4">
        <w:rPr>
          <w:rFonts w:eastAsiaTheme="minorEastAsia"/>
        </w:rPr>
        <w:t xml:space="preserve">62.5 kg/h. </w:t>
      </w:r>
      <w:r>
        <w:rPr>
          <w:rFonts w:eastAsiaTheme="minorEastAsia"/>
        </w:rPr>
        <w:t>There was a fault in PC1</w:t>
      </w:r>
      <w:r w:rsidR="001D6C23">
        <w:rPr>
          <w:rFonts w:eastAsiaTheme="minorEastAsia"/>
        </w:rPr>
        <w:t xml:space="preserve"> </w:t>
      </w:r>
      <w:r w:rsidR="00442471">
        <w:rPr>
          <w:rFonts w:eastAsiaTheme="minorEastAsia"/>
        </w:rPr>
        <w:t xml:space="preserve">scores </w:t>
      </w:r>
      <w:r w:rsidR="001D6C23">
        <w:rPr>
          <w:rFonts w:eastAsiaTheme="minorEastAsia"/>
        </w:rPr>
        <w:t xml:space="preserve">which was expected since </w:t>
      </w:r>
      <w:proofErr w:type="spellStart"/>
      <w:proofErr w:type="gramStart"/>
      <w:r w:rsidR="001D6C23">
        <w:rPr>
          <w:rFonts w:eastAsiaTheme="minorEastAsia"/>
        </w:rPr>
        <w:t>Xss</w:t>
      </w:r>
      <w:proofErr w:type="spellEnd"/>
      <w:r w:rsidR="001D6C23">
        <w:rPr>
          <w:rFonts w:eastAsiaTheme="minorEastAsia"/>
        </w:rPr>
        <w:t>(</w:t>
      </w:r>
      <w:proofErr w:type="gramEnd"/>
      <w:r w:rsidR="001D6C23">
        <w:rPr>
          <w:rFonts w:eastAsiaTheme="minorEastAsia"/>
        </w:rPr>
        <w:t>274) was a heavy contributor to PC1</w:t>
      </w:r>
      <w:r>
        <w:rPr>
          <w:rFonts w:eastAsiaTheme="minorEastAsia"/>
        </w:rPr>
        <w:t xml:space="preserve">. However, some of the data points were still within the 95% confidence boundary meaning that there are some operating conditions </w:t>
      </w:r>
      <w:r w:rsidR="00442471">
        <w:rPr>
          <w:rFonts w:eastAsiaTheme="minorEastAsia"/>
        </w:rPr>
        <w:t>under</w:t>
      </w:r>
      <w:r>
        <w:rPr>
          <w:rFonts w:eastAsiaTheme="minorEastAsia"/>
        </w:rPr>
        <w:t xml:space="preserve"> which that </w:t>
      </w:r>
      <w:r w:rsidR="00442471">
        <w:rPr>
          <w:rFonts w:eastAsiaTheme="minorEastAsia"/>
        </w:rPr>
        <w:t xml:space="preserve">fault </w:t>
      </w:r>
      <w:r>
        <w:rPr>
          <w:rFonts w:eastAsiaTheme="minorEastAsia"/>
        </w:rPr>
        <w:t>would not be detectable using PC1</w:t>
      </w:r>
      <w:r w:rsidR="00442471">
        <w:rPr>
          <w:rFonts w:eastAsiaTheme="minorEastAsia"/>
        </w:rPr>
        <w:t xml:space="preserve"> monitoring</w:t>
      </w:r>
      <w:r>
        <w:rPr>
          <w:rFonts w:eastAsiaTheme="minorEastAsia"/>
        </w:rPr>
        <w:t>. There were no detectable changes in PC2 or PC3</w:t>
      </w:r>
      <w:r w:rsidR="00442471">
        <w:rPr>
          <w:rFonts w:eastAsiaTheme="minorEastAsia"/>
        </w:rPr>
        <w:t xml:space="preserve"> scores</w:t>
      </w:r>
      <w:r>
        <w:rPr>
          <w:rFonts w:eastAsiaTheme="minorEastAsia"/>
        </w:rPr>
        <w:t xml:space="preserve">. </w:t>
      </w:r>
      <w:r>
        <w:t>The scores plots are shown in Figures 4.3</w:t>
      </w:r>
      <w:r w:rsidR="002D2E47">
        <w:t>2</w:t>
      </w:r>
      <w:r>
        <w:t>–4.3</w:t>
      </w:r>
      <w:r w:rsidR="002D2E47">
        <w:t>5</w:t>
      </w:r>
      <w:r>
        <w:t xml:space="preserve">. There was a significant </w:t>
      </w:r>
      <w:r w:rsidR="004E68DC">
        <w:t>increase</w:t>
      </w:r>
      <w:r>
        <w:t xml:space="preserve"> in the Mahalanobis distance (Figure 4.</w:t>
      </w:r>
      <w:r w:rsidR="002D2E47">
        <w:t>36</w:t>
      </w:r>
      <w:r>
        <w:t xml:space="preserve">) which was expected since this case was outside the normal operating conditions. There were no detectable </w:t>
      </w:r>
      <w:r w:rsidR="007063C2">
        <w:t>fault</w:t>
      </w:r>
      <w:r>
        <w:t xml:space="preserve">s in the </w:t>
      </w:r>
      <m:oMath>
        <m:r>
          <w:rPr>
            <w:rFonts w:ascii="Cambria Math" w:hAnsi="Cambria Math"/>
          </w:rPr>
          <m:t>Q</m:t>
        </m:r>
      </m:oMath>
      <w:r>
        <w:rPr>
          <w:rFonts w:eastAsiaTheme="minorEastAsia"/>
        </w:rPr>
        <w:t>-statistic</w:t>
      </w:r>
      <w:r w:rsidR="002D2E47">
        <w:rPr>
          <w:rFonts w:eastAsiaTheme="minorEastAsia"/>
        </w:rPr>
        <w:t xml:space="preserve"> which was also expected since no parameters were changed</w:t>
      </w:r>
      <w:r>
        <w:rPr>
          <w:rFonts w:eastAsiaTheme="minorEastAsia"/>
        </w:rPr>
        <w:t xml:space="preserve"> (Figures 4.</w:t>
      </w:r>
      <w:r w:rsidR="002D2E47">
        <w:rPr>
          <w:rFonts w:eastAsiaTheme="minorEastAsia"/>
        </w:rPr>
        <w:t>37</w:t>
      </w:r>
      <w:r>
        <w:rPr>
          <w:rFonts w:eastAsiaTheme="minorEastAsia"/>
        </w:rPr>
        <w:t>–4.</w:t>
      </w:r>
      <w:r w:rsidR="002D2E47">
        <w:rPr>
          <w:rFonts w:eastAsiaTheme="minorEastAsia"/>
        </w:rPr>
        <w:t>38</w:t>
      </w:r>
      <w:r>
        <w:rPr>
          <w:rFonts w:eastAsiaTheme="minorEastAsia"/>
        </w:rPr>
        <w:t xml:space="preserve">). </w:t>
      </w:r>
      <w:r w:rsidR="00E664E4">
        <w:rPr>
          <w:bCs/>
        </w:rPr>
        <w:t xml:space="preserve">The results for a 25% increase were expected to be the same as </w:t>
      </w:r>
      <w:r w:rsidR="00442471">
        <w:rPr>
          <w:bCs/>
        </w:rPr>
        <w:t xml:space="preserve">for </w:t>
      </w:r>
      <w:r w:rsidR="00E664E4">
        <w:rPr>
          <w:bCs/>
        </w:rPr>
        <w:t xml:space="preserve">the 15% increase </w:t>
      </w:r>
      <w:r w:rsidR="00442471">
        <w:rPr>
          <w:bCs/>
        </w:rPr>
        <w:t xml:space="preserve">but </w:t>
      </w:r>
      <w:r w:rsidR="0092636B">
        <w:rPr>
          <w:bCs/>
        </w:rPr>
        <w:t xml:space="preserve">with </w:t>
      </w:r>
      <w:r w:rsidR="00E664E4">
        <w:rPr>
          <w:bCs/>
        </w:rPr>
        <w:t xml:space="preserve">larger and more easily detectable faults which was the case. </w:t>
      </w:r>
      <w:r w:rsidR="00E664E4">
        <w:t xml:space="preserve">Based on these results, a 25% increase in uranium feed rate is </w:t>
      </w:r>
      <w:r w:rsidR="00442471">
        <w:t xml:space="preserve">deemed </w:t>
      </w:r>
      <w:r w:rsidR="00E664E4">
        <w:t xml:space="preserve">detectable. </w:t>
      </w:r>
    </w:p>
    <w:p w:rsidR="00E664E4" w:rsidRDefault="002D2E47" w:rsidP="002D2E47">
      <w:pPr>
        <w:jc w:val="center"/>
      </w:pPr>
      <w:r>
        <w:rPr>
          <w:noProof/>
        </w:rPr>
        <w:lastRenderedPageBreak/>
        <w:drawing>
          <wp:inline distT="0" distB="0" distL="0" distR="0" wp14:anchorId="5A735054" wp14:editId="14DD86F4">
            <wp:extent cx="5943600" cy="44577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0"/>
                    <a:stretch>
                      <a:fillRect/>
                    </a:stretch>
                  </pic:blipFill>
                  <pic:spPr>
                    <a:xfrm>
                      <a:off x="0" y="0"/>
                      <a:ext cx="5943600" cy="4457700"/>
                    </a:xfrm>
                    <a:prstGeom prst="rect">
                      <a:avLst/>
                    </a:prstGeom>
                  </pic:spPr>
                </pic:pic>
              </a:graphicData>
            </a:graphic>
          </wp:inline>
        </w:drawing>
      </w:r>
    </w:p>
    <w:p w:rsidR="00E664E4" w:rsidRDefault="00E664E4" w:rsidP="00E664E4">
      <w:r>
        <w:rPr>
          <w:b/>
          <w:sz w:val="20"/>
          <w:szCs w:val="20"/>
        </w:rPr>
        <w:t xml:space="preserve">Figure </w:t>
      </w:r>
      <w:r w:rsidR="007C6390">
        <w:rPr>
          <w:b/>
          <w:sz w:val="20"/>
          <w:szCs w:val="20"/>
        </w:rPr>
        <w:t>4.3</w:t>
      </w:r>
      <w:r w:rsidR="002D2E47">
        <w:rPr>
          <w:b/>
          <w:sz w:val="20"/>
          <w:szCs w:val="20"/>
        </w:rPr>
        <w:t>2</w:t>
      </w:r>
      <w:r>
        <w:rPr>
          <w:b/>
          <w:sz w:val="20"/>
          <w:szCs w:val="20"/>
        </w:rPr>
        <w:t xml:space="preserve">. Faulty Case 1D Scores Plot for PC1 and PC2.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base case 95% confidence boundary displayed in red. The</w:t>
      </w:r>
      <w:r>
        <w:rPr>
          <w:i/>
          <w:sz w:val="20"/>
          <w:szCs w:val="20"/>
        </w:rPr>
        <w:t>re was a fault in PC1</w:t>
      </w:r>
      <w:r w:rsidR="00E62112">
        <w:rPr>
          <w:i/>
          <w:sz w:val="20"/>
          <w:szCs w:val="20"/>
        </w:rPr>
        <w:t xml:space="preserve"> scores</w:t>
      </w:r>
      <w:r w:rsidRPr="00EE2556">
        <w:rPr>
          <w:i/>
          <w:sz w:val="20"/>
          <w:szCs w:val="20"/>
        </w:rPr>
        <w:t>.</w:t>
      </w:r>
    </w:p>
    <w:p w:rsidR="00E664E4" w:rsidRDefault="002D2E47" w:rsidP="00E664E4">
      <w:pPr>
        <w:jc w:val="center"/>
      </w:pPr>
      <w:r>
        <w:rPr>
          <w:noProof/>
        </w:rPr>
        <w:lastRenderedPageBreak/>
        <w:drawing>
          <wp:inline distT="0" distB="0" distL="0" distR="0" wp14:anchorId="118EE95A" wp14:editId="329AE9B4">
            <wp:extent cx="5943600" cy="44577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1"/>
                    <a:stretch>
                      <a:fillRect/>
                    </a:stretch>
                  </pic:blipFill>
                  <pic:spPr>
                    <a:xfrm>
                      <a:off x="0" y="0"/>
                      <a:ext cx="5943600" cy="4457700"/>
                    </a:xfrm>
                    <a:prstGeom prst="rect">
                      <a:avLst/>
                    </a:prstGeom>
                  </pic:spPr>
                </pic:pic>
              </a:graphicData>
            </a:graphic>
          </wp:inline>
        </w:drawing>
      </w:r>
    </w:p>
    <w:p w:rsidR="00E664E4" w:rsidRDefault="00E664E4" w:rsidP="00E664E4">
      <w:r>
        <w:rPr>
          <w:b/>
          <w:sz w:val="20"/>
          <w:szCs w:val="20"/>
        </w:rPr>
        <w:t xml:space="preserve">Figure </w:t>
      </w:r>
      <w:r w:rsidR="007C6390">
        <w:rPr>
          <w:b/>
          <w:sz w:val="20"/>
          <w:szCs w:val="20"/>
        </w:rPr>
        <w:t>4.3</w:t>
      </w:r>
      <w:r w:rsidR="002D2E47">
        <w:rPr>
          <w:b/>
          <w:sz w:val="20"/>
          <w:szCs w:val="20"/>
        </w:rPr>
        <w:t>3</w:t>
      </w:r>
      <w:r>
        <w:rPr>
          <w:b/>
          <w:sz w:val="20"/>
          <w:szCs w:val="20"/>
        </w:rPr>
        <w:t xml:space="preserve">. Faulty Case 1D Scores Plot for PC1 and PC3.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base case 95% confidence boundary displayed in red. The</w:t>
      </w:r>
      <w:r>
        <w:rPr>
          <w:i/>
          <w:sz w:val="20"/>
          <w:szCs w:val="20"/>
        </w:rPr>
        <w:t>re was a fault in PC1</w:t>
      </w:r>
      <w:r w:rsidR="00E62112">
        <w:rPr>
          <w:i/>
          <w:sz w:val="20"/>
          <w:szCs w:val="20"/>
        </w:rPr>
        <w:t xml:space="preserve"> scores</w:t>
      </w:r>
      <w:r w:rsidRPr="00EE2556">
        <w:rPr>
          <w:i/>
          <w:sz w:val="20"/>
          <w:szCs w:val="20"/>
        </w:rPr>
        <w:t>.</w:t>
      </w:r>
    </w:p>
    <w:p w:rsidR="00E664E4" w:rsidRDefault="001D6C23" w:rsidP="00E664E4">
      <w:pPr>
        <w:jc w:val="center"/>
      </w:pPr>
      <w:r>
        <w:rPr>
          <w:noProof/>
        </w:rPr>
        <w:lastRenderedPageBreak/>
        <w:drawing>
          <wp:inline distT="0" distB="0" distL="0" distR="0" wp14:anchorId="7C046738" wp14:editId="4FF8BE76">
            <wp:extent cx="5943600" cy="44577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2"/>
                    <a:stretch>
                      <a:fillRect/>
                    </a:stretch>
                  </pic:blipFill>
                  <pic:spPr>
                    <a:xfrm>
                      <a:off x="0" y="0"/>
                      <a:ext cx="5943600" cy="4457700"/>
                    </a:xfrm>
                    <a:prstGeom prst="rect">
                      <a:avLst/>
                    </a:prstGeom>
                  </pic:spPr>
                </pic:pic>
              </a:graphicData>
            </a:graphic>
          </wp:inline>
        </w:drawing>
      </w:r>
    </w:p>
    <w:p w:rsidR="00E664E4" w:rsidRDefault="00E664E4" w:rsidP="00E664E4">
      <w:r>
        <w:rPr>
          <w:b/>
          <w:sz w:val="20"/>
          <w:szCs w:val="20"/>
        </w:rPr>
        <w:t xml:space="preserve">Figure </w:t>
      </w:r>
      <w:r w:rsidR="007C6390">
        <w:rPr>
          <w:b/>
          <w:sz w:val="20"/>
          <w:szCs w:val="20"/>
        </w:rPr>
        <w:t>4.3</w:t>
      </w:r>
      <w:r w:rsidR="002D2E47">
        <w:rPr>
          <w:b/>
          <w:sz w:val="20"/>
          <w:szCs w:val="20"/>
        </w:rPr>
        <w:t>4</w:t>
      </w:r>
      <w:r>
        <w:rPr>
          <w:b/>
          <w:sz w:val="20"/>
          <w:szCs w:val="20"/>
        </w:rPr>
        <w:t xml:space="preserve">. Faulty Case 1D Scores Plot for PC2 and PC3.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base case 95% confidence boundary displayed in red. The</w:t>
      </w:r>
      <w:r>
        <w:rPr>
          <w:i/>
          <w:sz w:val="20"/>
          <w:szCs w:val="20"/>
        </w:rPr>
        <w:t>re wa</w:t>
      </w:r>
      <w:r w:rsidRPr="00EE2556">
        <w:rPr>
          <w:i/>
          <w:sz w:val="20"/>
          <w:szCs w:val="20"/>
        </w:rPr>
        <w:t xml:space="preserve">s </w:t>
      </w:r>
      <w:r>
        <w:rPr>
          <w:i/>
          <w:sz w:val="20"/>
          <w:szCs w:val="20"/>
        </w:rPr>
        <w:t>no</w:t>
      </w:r>
      <w:r w:rsidRPr="00EE2556">
        <w:rPr>
          <w:i/>
          <w:sz w:val="20"/>
          <w:szCs w:val="20"/>
        </w:rPr>
        <w:t xml:space="preserve"> </w:t>
      </w:r>
      <w:r>
        <w:rPr>
          <w:i/>
          <w:sz w:val="20"/>
          <w:szCs w:val="20"/>
        </w:rPr>
        <w:t>detectable fault</w:t>
      </w:r>
      <w:r w:rsidRPr="00EE2556">
        <w:rPr>
          <w:i/>
          <w:sz w:val="20"/>
          <w:szCs w:val="20"/>
        </w:rPr>
        <w:t>.</w:t>
      </w:r>
    </w:p>
    <w:p w:rsidR="00E664E4" w:rsidRDefault="001D6C23" w:rsidP="00E664E4">
      <w:pPr>
        <w:jc w:val="center"/>
      </w:pPr>
      <w:r>
        <w:rPr>
          <w:noProof/>
        </w:rPr>
        <w:lastRenderedPageBreak/>
        <w:drawing>
          <wp:inline distT="0" distB="0" distL="0" distR="0" wp14:anchorId="14AF9D18" wp14:editId="302A6E99">
            <wp:extent cx="5943600" cy="44577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3"/>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7C6390">
        <w:rPr>
          <w:b/>
          <w:sz w:val="20"/>
          <w:szCs w:val="20"/>
        </w:rPr>
        <w:t>4.3</w:t>
      </w:r>
      <w:r w:rsidR="002D2E47">
        <w:rPr>
          <w:b/>
          <w:sz w:val="20"/>
          <w:szCs w:val="20"/>
        </w:rPr>
        <w:t>5</w:t>
      </w:r>
      <w:r>
        <w:rPr>
          <w:b/>
          <w:sz w:val="20"/>
          <w:szCs w:val="20"/>
        </w:rPr>
        <w:t xml:space="preserve">. Faulty Case 1D 3D Scores Plot for PC1, PC2, and PC3.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base case 95% confidence boundary displayed in red. The</w:t>
      </w:r>
      <w:r>
        <w:rPr>
          <w:i/>
          <w:sz w:val="20"/>
          <w:szCs w:val="20"/>
        </w:rPr>
        <w:t>re was a fault in PC1</w:t>
      </w:r>
      <w:r w:rsidR="00E62112">
        <w:rPr>
          <w:i/>
          <w:sz w:val="20"/>
          <w:szCs w:val="20"/>
        </w:rPr>
        <w:t xml:space="preserve"> scores</w:t>
      </w:r>
      <w:r w:rsidRPr="00EE2556">
        <w:rPr>
          <w:i/>
          <w:sz w:val="20"/>
          <w:szCs w:val="20"/>
        </w:rPr>
        <w:t>.</w:t>
      </w:r>
    </w:p>
    <w:p w:rsidR="00E664E4" w:rsidRPr="00782FFC" w:rsidRDefault="001D6C23" w:rsidP="00E664E4">
      <w:pPr>
        <w:jc w:val="center"/>
      </w:pPr>
      <w:r>
        <w:rPr>
          <w:noProof/>
        </w:rPr>
        <w:lastRenderedPageBreak/>
        <w:drawing>
          <wp:inline distT="0" distB="0" distL="0" distR="0" wp14:anchorId="66E1A4FE" wp14:editId="79839410">
            <wp:extent cx="5943600" cy="445770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4"/>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2D2E47">
        <w:rPr>
          <w:b/>
          <w:sz w:val="20"/>
          <w:szCs w:val="20"/>
        </w:rPr>
        <w:t>4.36</w:t>
      </w:r>
      <w:r>
        <w:rPr>
          <w:b/>
          <w:sz w:val="20"/>
          <w:szCs w:val="20"/>
        </w:rPr>
        <w:t xml:space="preserve">. Faulty Case 1D Mahalanobis Distance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base case 95% confidence boundary displayed in red. The</w:t>
      </w:r>
      <w:r>
        <w:rPr>
          <w:i/>
          <w:sz w:val="20"/>
          <w:szCs w:val="20"/>
        </w:rPr>
        <w:t>re wa</w:t>
      </w:r>
      <w:r w:rsidRPr="00EE2556">
        <w:rPr>
          <w:i/>
          <w:sz w:val="20"/>
          <w:szCs w:val="20"/>
        </w:rPr>
        <w:t xml:space="preserve">s </w:t>
      </w:r>
      <w:r>
        <w:rPr>
          <w:i/>
          <w:sz w:val="20"/>
          <w:szCs w:val="20"/>
        </w:rPr>
        <w:t>a</w:t>
      </w:r>
      <w:r w:rsidRPr="00EE2556">
        <w:rPr>
          <w:i/>
          <w:sz w:val="20"/>
          <w:szCs w:val="20"/>
        </w:rPr>
        <w:t xml:space="preserve"> </w:t>
      </w:r>
      <w:r>
        <w:rPr>
          <w:i/>
          <w:sz w:val="20"/>
          <w:szCs w:val="20"/>
        </w:rPr>
        <w:t>detectable fault</w:t>
      </w:r>
      <w:r w:rsidRPr="00EE2556">
        <w:rPr>
          <w:i/>
          <w:sz w:val="20"/>
          <w:szCs w:val="20"/>
        </w:rPr>
        <w:t>.</w:t>
      </w:r>
    </w:p>
    <w:p w:rsidR="00E664E4" w:rsidRPr="00FB56CF" w:rsidRDefault="001D6C23" w:rsidP="00E664E4">
      <w:pPr>
        <w:jc w:val="center"/>
      </w:pPr>
      <w:r>
        <w:rPr>
          <w:noProof/>
        </w:rPr>
        <w:lastRenderedPageBreak/>
        <w:drawing>
          <wp:inline distT="0" distB="0" distL="0" distR="0" wp14:anchorId="47D42A50" wp14:editId="31682CAF">
            <wp:extent cx="5943600" cy="44577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5"/>
                    <a:stretch>
                      <a:fillRect/>
                    </a:stretch>
                  </pic:blipFill>
                  <pic:spPr>
                    <a:xfrm>
                      <a:off x="0" y="0"/>
                      <a:ext cx="5943600" cy="4457700"/>
                    </a:xfrm>
                    <a:prstGeom prst="rect">
                      <a:avLst/>
                    </a:prstGeom>
                  </pic:spPr>
                </pic:pic>
              </a:graphicData>
            </a:graphic>
          </wp:inline>
        </w:drawing>
      </w:r>
    </w:p>
    <w:p w:rsidR="00E664E4" w:rsidRPr="00EE2556" w:rsidRDefault="00E664E4" w:rsidP="00E664E4">
      <w:pPr>
        <w:rPr>
          <w:i/>
          <w:sz w:val="20"/>
          <w:szCs w:val="20"/>
        </w:rPr>
      </w:pPr>
      <w:r>
        <w:rPr>
          <w:b/>
          <w:sz w:val="20"/>
          <w:szCs w:val="20"/>
        </w:rPr>
        <w:t xml:space="preserve">Figure </w:t>
      </w:r>
      <w:r w:rsidR="002D2E47">
        <w:rPr>
          <w:b/>
          <w:sz w:val="20"/>
          <w:szCs w:val="20"/>
        </w:rPr>
        <w:t>4.37</w:t>
      </w:r>
      <w:r>
        <w:rPr>
          <w:b/>
          <w:sz w:val="20"/>
          <w:szCs w:val="20"/>
        </w:rPr>
        <w:t xml:space="preserve">. Faulty Case 1D </w:t>
      </w:r>
      <m:oMath>
        <m:r>
          <m:rPr>
            <m:sty m:val="bi"/>
          </m:rPr>
          <w:rPr>
            <w:rFonts w:ascii="Cambria Math" w:hAnsi="Cambria Math"/>
            <w:sz w:val="20"/>
            <w:szCs w:val="20"/>
          </w:rPr>
          <m:t>Q</m:t>
        </m:r>
      </m:oMath>
      <w:r>
        <w:rPr>
          <w:b/>
          <w:sz w:val="20"/>
          <w:szCs w:val="20"/>
        </w:rPr>
        <w:t xml:space="preserve">-Statistic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base case 95% confidence boundary displayed in red. The</w:t>
      </w:r>
      <w:r>
        <w:rPr>
          <w:i/>
          <w:sz w:val="20"/>
          <w:szCs w:val="20"/>
        </w:rPr>
        <w:t>re wa</w:t>
      </w:r>
      <w:r w:rsidRPr="00EE2556">
        <w:rPr>
          <w:i/>
          <w:sz w:val="20"/>
          <w:szCs w:val="20"/>
        </w:rPr>
        <w:t xml:space="preserve">s </w:t>
      </w:r>
      <w:r>
        <w:rPr>
          <w:i/>
          <w:sz w:val="20"/>
          <w:szCs w:val="20"/>
        </w:rPr>
        <w:t>no</w:t>
      </w:r>
      <w:r w:rsidRPr="00EE2556">
        <w:rPr>
          <w:i/>
          <w:sz w:val="20"/>
          <w:szCs w:val="20"/>
        </w:rPr>
        <w:t xml:space="preserve"> </w:t>
      </w:r>
      <w:r>
        <w:rPr>
          <w:i/>
          <w:sz w:val="20"/>
          <w:szCs w:val="20"/>
        </w:rPr>
        <w:t>detectable fault</w:t>
      </w:r>
      <w:r w:rsidRPr="00EE2556">
        <w:rPr>
          <w:i/>
          <w:sz w:val="20"/>
          <w:szCs w:val="20"/>
        </w:rPr>
        <w:t>.</w:t>
      </w:r>
    </w:p>
    <w:p w:rsidR="00E664E4" w:rsidRDefault="001D6C23" w:rsidP="009F48D7">
      <w:pPr>
        <w:jc w:val="center"/>
      </w:pPr>
      <w:r>
        <w:rPr>
          <w:noProof/>
        </w:rPr>
        <w:lastRenderedPageBreak/>
        <w:drawing>
          <wp:inline distT="0" distB="0" distL="0" distR="0" wp14:anchorId="04870574" wp14:editId="4AE8D861">
            <wp:extent cx="5943600" cy="445770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6"/>
                    <a:stretch>
                      <a:fillRect/>
                    </a:stretch>
                  </pic:blipFill>
                  <pic:spPr>
                    <a:xfrm>
                      <a:off x="0" y="0"/>
                      <a:ext cx="5943600" cy="4457700"/>
                    </a:xfrm>
                    <a:prstGeom prst="rect">
                      <a:avLst/>
                    </a:prstGeom>
                  </pic:spPr>
                </pic:pic>
              </a:graphicData>
            </a:graphic>
          </wp:inline>
        </w:drawing>
      </w:r>
    </w:p>
    <w:p w:rsidR="00E664E4" w:rsidRPr="00EE2556" w:rsidRDefault="00E664E4" w:rsidP="00E664E4">
      <w:pPr>
        <w:rPr>
          <w:i/>
          <w:sz w:val="20"/>
          <w:szCs w:val="20"/>
        </w:rPr>
      </w:pPr>
      <w:r>
        <w:rPr>
          <w:b/>
          <w:sz w:val="20"/>
          <w:szCs w:val="20"/>
        </w:rPr>
        <w:t xml:space="preserve">Figure </w:t>
      </w:r>
      <w:r w:rsidR="002D2E47">
        <w:rPr>
          <w:b/>
          <w:sz w:val="20"/>
          <w:szCs w:val="20"/>
        </w:rPr>
        <w:t>4.38</w:t>
      </w:r>
      <w:r>
        <w:rPr>
          <w:b/>
          <w:sz w:val="20"/>
          <w:szCs w:val="20"/>
        </w:rPr>
        <w:t xml:space="preserve">. Faulty Case 1D PC1, PC2, and </w:t>
      </w:r>
      <m:oMath>
        <m:r>
          <m:rPr>
            <m:sty m:val="bi"/>
          </m:rPr>
          <w:rPr>
            <w:rFonts w:ascii="Cambria Math" w:hAnsi="Cambria Math"/>
            <w:sz w:val="20"/>
            <w:szCs w:val="20"/>
          </w:rPr>
          <m:t>Q</m:t>
        </m:r>
      </m:oMath>
      <w:r>
        <w:rPr>
          <w:b/>
          <w:sz w:val="20"/>
          <w:szCs w:val="20"/>
        </w:rPr>
        <w:t xml:space="preserve">-Statistic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base case 95% confidence boundary displayed in red. The</w:t>
      </w:r>
      <w:r>
        <w:rPr>
          <w:i/>
          <w:sz w:val="20"/>
          <w:szCs w:val="20"/>
        </w:rPr>
        <w:t>re wa</w:t>
      </w:r>
      <w:r w:rsidRPr="00EE2556">
        <w:rPr>
          <w:i/>
          <w:sz w:val="20"/>
          <w:szCs w:val="20"/>
        </w:rPr>
        <w:t xml:space="preserve">s </w:t>
      </w:r>
      <w:r>
        <w:rPr>
          <w:i/>
          <w:sz w:val="20"/>
          <w:szCs w:val="20"/>
        </w:rPr>
        <w:t>a fault in PC1</w:t>
      </w:r>
      <w:r w:rsidR="00E62112">
        <w:rPr>
          <w:i/>
          <w:sz w:val="20"/>
          <w:szCs w:val="20"/>
        </w:rPr>
        <w:t xml:space="preserve"> scores</w:t>
      </w:r>
      <w:r w:rsidRPr="00EE2556">
        <w:rPr>
          <w:i/>
          <w:sz w:val="20"/>
          <w:szCs w:val="20"/>
        </w:rPr>
        <w:t>.</w:t>
      </w:r>
    </w:p>
    <w:p w:rsidR="00E664E4" w:rsidRPr="00E11F9E" w:rsidRDefault="00E664E4" w:rsidP="00E11F9E"/>
    <w:p w:rsidR="00567A68" w:rsidRPr="00E11F9E" w:rsidRDefault="00567A68" w:rsidP="00E11F9E"/>
    <w:p w:rsidR="001B675F" w:rsidRDefault="001B675F">
      <w:pPr>
        <w:rPr>
          <w:rFonts w:asciiTheme="majorHAnsi" w:hAnsiTheme="majorHAnsi"/>
          <w:b/>
        </w:rPr>
      </w:pPr>
      <w:r>
        <w:rPr>
          <w:rFonts w:asciiTheme="majorHAnsi" w:hAnsiTheme="majorHAnsi"/>
          <w:b/>
        </w:rPr>
        <w:br w:type="page"/>
      </w:r>
    </w:p>
    <w:p w:rsidR="00E664E4" w:rsidRPr="00436A8B" w:rsidRDefault="00E664E4" w:rsidP="00E664E4">
      <w:pPr>
        <w:rPr>
          <w:rFonts w:asciiTheme="majorHAnsi" w:hAnsiTheme="majorHAnsi"/>
          <w:b/>
        </w:rPr>
      </w:pPr>
      <w:r>
        <w:rPr>
          <w:rFonts w:asciiTheme="majorHAnsi" w:hAnsiTheme="majorHAnsi"/>
          <w:b/>
        </w:rPr>
        <w:lastRenderedPageBreak/>
        <w:t>4.3.2 Case 2</w:t>
      </w:r>
    </w:p>
    <w:p w:rsidR="00E664E4" w:rsidRDefault="00E664E4" w:rsidP="00E664E4">
      <w:r>
        <w:t xml:space="preserve">For the second faulty case, the purity of the uranium fed to the dissolver was changed by changing the uranium input stream composition from </w:t>
      </w:r>
      <w:r w:rsidRPr="0016631E">
        <w:t>85</w:t>
      </w:r>
      <w:r>
        <w:t xml:space="preserve"> </w:t>
      </w:r>
      <w:proofErr w:type="spellStart"/>
      <w:r>
        <w:t>wt</w:t>
      </w:r>
      <w:proofErr w:type="spellEnd"/>
      <w:r>
        <w:t>-</w:t>
      </w:r>
      <w:r w:rsidRPr="0016631E">
        <w:t>% U</w:t>
      </w:r>
      <w:r w:rsidRPr="0016631E">
        <w:rPr>
          <w:vertAlign w:val="subscript"/>
        </w:rPr>
        <w:t>3</w:t>
      </w:r>
      <w:r w:rsidRPr="0016631E">
        <w:t>O</w:t>
      </w:r>
      <w:r w:rsidRPr="0016631E">
        <w:rPr>
          <w:vertAlign w:val="subscript"/>
        </w:rPr>
        <w:t>8</w:t>
      </w:r>
      <w:r w:rsidRPr="0016631E">
        <w:t xml:space="preserve"> and 15</w:t>
      </w:r>
      <w:r>
        <w:t> </w:t>
      </w:r>
      <w:proofErr w:type="spellStart"/>
      <w:r>
        <w:t>wt</w:t>
      </w:r>
      <w:proofErr w:type="spellEnd"/>
      <w:r>
        <w:t>-</w:t>
      </w:r>
      <w:r w:rsidRPr="0016631E">
        <w:t>% impurities (7.5</w:t>
      </w:r>
      <w:r>
        <w:t xml:space="preserve"> </w:t>
      </w:r>
      <w:proofErr w:type="spellStart"/>
      <w:r>
        <w:t>wt</w:t>
      </w:r>
      <w:proofErr w:type="spellEnd"/>
      <w:r>
        <w:t>-</w:t>
      </w:r>
      <w:r w:rsidRPr="0016631E">
        <w:t>% soluble impurities and 7.5</w:t>
      </w:r>
      <w:r>
        <w:t xml:space="preserve"> </w:t>
      </w:r>
      <w:proofErr w:type="spellStart"/>
      <w:r>
        <w:t>wt</w:t>
      </w:r>
      <w:proofErr w:type="spellEnd"/>
      <w:r>
        <w:t>-</w:t>
      </w:r>
      <w:r w:rsidRPr="0016631E">
        <w:t>% insoluble impurities)</w:t>
      </w:r>
      <w:r>
        <w:t xml:space="preserve"> to 90 </w:t>
      </w:r>
      <w:proofErr w:type="spellStart"/>
      <w:r>
        <w:t>wt</w:t>
      </w:r>
      <w:proofErr w:type="spellEnd"/>
      <w:r>
        <w:t>-</w:t>
      </w:r>
      <w:r w:rsidRPr="0016631E">
        <w:t>% U</w:t>
      </w:r>
      <w:r w:rsidRPr="0016631E">
        <w:rPr>
          <w:vertAlign w:val="subscript"/>
        </w:rPr>
        <w:t>3</w:t>
      </w:r>
      <w:r w:rsidRPr="0016631E">
        <w:t>O</w:t>
      </w:r>
      <w:r w:rsidRPr="0016631E">
        <w:rPr>
          <w:vertAlign w:val="subscript"/>
        </w:rPr>
        <w:t>8</w:t>
      </w:r>
      <w:r w:rsidRPr="0016631E">
        <w:t xml:space="preserve"> and 1</w:t>
      </w:r>
      <w:r>
        <w:t>0 </w:t>
      </w:r>
      <w:proofErr w:type="spellStart"/>
      <w:r>
        <w:t>wt</w:t>
      </w:r>
      <w:proofErr w:type="spellEnd"/>
      <w:r>
        <w:t>-</w:t>
      </w:r>
      <w:r w:rsidRPr="0016631E">
        <w:t>% impurities (5</w:t>
      </w:r>
      <w:r>
        <w:t xml:space="preserve"> </w:t>
      </w:r>
      <w:proofErr w:type="spellStart"/>
      <w:r>
        <w:t>wt</w:t>
      </w:r>
      <w:proofErr w:type="spellEnd"/>
      <w:r>
        <w:t>-</w:t>
      </w:r>
      <w:r w:rsidRPr="0016631E">
        <w:t>% soluble impurities and 5</w:t>
      </w:r>
      <w:r>
        <w:t xml:space="preserve"> </w:t>
      </w:r>
      <w:proofErr w:type="spellStart"/>
      <w:r>
        <w:t>wt</w:t>
      </w:r>
      <w:proofErr w:type="spellEnd"/>
      <w:r>
        <w:t>-</w:t>
      </w:r>
      <w:r w:rsidRPr="0016631E">
        <w:t>% insoluble impurities)</w:t>
      </w:r>
      <w:r>
        <w:t>. No variation in uranium purity was built into the base case PCA model.</w:t>
      </w:r>
      <w:r w:rsidR="00B545CA">
        <w:t xml:space="preserve"> This case was easily detectable in the </w:t>
      </w:r>
      <m:oMath>
        <m:r>
          <w:rPr>
            <w:rFonts w:ascii="Cambria Math" w:hAnsi="Cambria Math"/>
          </w:rPr>
          <m:t>Q</m:t>
        </m:r>
      </m:oMath>
      <w:r w:rsidR="00B545CA">
        <w:rPr>
          <w:rFonts w:eastAsiaTheme="minorEastAsia"/>
        </w:rPr>
        <w:t>-statistic and may also be detectable in PC3</w:t>
      </w:r>
      <w:r w:rsidR="00442471">
        <w:rPr>
          <w:rFonts w:eastAsiaTheme="minorEastAsia"/>
        </w:rPr>
        <w:t xml:space="preserve"> scores </w:t>
      </w:r>
      <w:r w:rsidR="00B545CA">
        <w:rPr>
          <w:rFonts w:eastAsiaTheme="minorEastAsia"/>
        </w:rPr>
        <w:t>and the Mahalanobis distance depending on operating conditions.</w:t>
      </w:r>
    </w:p>
    <w:p w:rsidR="00E664E4" w:rsidRDefault="00E664E4" w:rsidP="00E664E4">
      <w:r>
        <w:t xml:space="preserve">Since this parameter was not tested in the original sensitivity analysis, a quick sensitivity analysis was completed for the uranium purity. The sensitivity of all </w:t>
      </w:r>
      <w:r w:rsidR="00442471">
        <w:t xml:space="preserve">of the </w:t>
      </w:r>
      <w:r>
        <w:t xml:space="preserve">state variables was tested by changing the purity of the incoming uranium by ±10%. </w:t>
      </w:r>
      <w:r w:rsidR="00B86BB6">
        <w:t xml:space="preserve">The uranium purity was changed by changing the mass fractions in Stream 1A. </w:t>
      </w:r>
      <w:r>
        <w:t xml:space="preserve">The </w:t>
      </w:r>
      <w:r w:rsidR="00B86BB6">
        <w:t xml:space="preserve">mass fractions of the </w:t>
      </w:r>
      <w:r>
        <w:t xml:space="preserve">impurities were also changed so that the </w:t>
      </w:r>
      <w:r w:rsidR="00442471">
        <w:t xml:space="preserve">mass </w:t>
      </w:r>
      <w:r>
        <w:t>fractions totaled one. Additionally, the soluble and insoluble impurities were assumed to be equal fractions as in the base case. None of the uranium-bearing streams were sensitive to changes in the purity of the incoming uranium</w:t>
      </w:r>
      <w:r w:rsidR="00B545CA">
        <w:t xml:space="preserve"> because the feed to the plant wa</w:t>
      </w:r>
      <w:r>
        <w:t xml:space="preserve">s specified based on </w:t>
      </w:r>
      <w:r w:rsidR="00B545CA">
        <w:t xml:space="preserve">mass of </w:t>
      </w:r>
      <w:r>
        <w:t>elemental uranium not concentration</w:t>
      </w:r>
      <w:r w:rsidR="00442471">
        <w:t>, therefore changing the purity did not change the incoming amount of uranium</w:t>
      </w:r>
      <w:r>
        <w:t xml:space="preserve">. The </w:t>
      </w:r>
      <w:r w:rsidR="00176089">
        <w:t xml:space="preserve">43 </w:t>
      </w:r>
      <w:r>
        <w:t xml:space="preserve">state variables that were sensitive to changes in </w:t>
      </w:r>
      <w:r w:rsidR="00442471">
        <w:t xml:space="preserve">mass fractions of Stream 1A </w:t>
      </w:r>
      <w:r>
        <w:t xml:space="preserve">were the insoluble and soluble components in Modules 1–3. </w:t>
      </w:r>
      <w:r w:rsidR="00176089">
        <w:t>The sensitivity factor was -6.1 for a +10% change in purity and -7.4 for a -10% change in purity. Therefore, the response to changes in uranium purity was nonlinear.</w:t>
      </w:r>
    </w:p>
    <w:p w:rsidR="00AB3CD9" w:rsidRDefault="00AB3CD9" w:rsidP="00E664E4">
      <w:r>
        <w:t>Based on the fact that the incoming uranium flow rate is specified based on the mass elemental uranium, the total flow rate of Stream 1A (</w:t>
      </w:r>
      <m:oMath>
        <m:sSub>
          <m:sSubPr>
            <m:ctrlPr>
              <w:rPr>
                <w:rFonts w:ascii="Cambria Math" w:hAnsi="Cambria Math"/>
                <w:i/>
              </w:rPr>
            </m:ctrlPr>
          </m:sSubPr>
          <m:e>
            <m:r>
              <w:rPr>
                <w:rFonts w:ascii="Cambria Math" w:hAnsi="Cambria Math"/>
              </w:rPr>
              <m:t>F</m:t>
            </m:r>
          </m:e>
          <m:sub>
            <m:r>
              <w:rPr>
                <w:rFonts w:ascii="Cambria Math" w:hAnsi="Cambria Math"/>
              </w:rPr>
              <m:t>1A</m:t>
            </m:r>
          </m:sub>
        </m:sSub>
      </m:oMath>
      <w:r>
        <w:t xml:space="preserve">) was calculated </w:t>
      </w:r>
      <w:r w:rsidRPr="00AB3CD9">
        <w:t xml:space="preserve">as discussed in Section 3.2.1.1 </w:t>
      </w:r>
      <w:r>
        <w:t xml:space="preserve">and shown in </w:t>
      </w:r>
      <w:r w:rsidRPr="00AB3CD9">
        <w:t>Eq.</w:t>
      </w:r>
      <w:r>
        <w:t xml:space="preserve"> 4.3.2.1 in terms of </w:t>
      </w:r>
      <w:proofErr w:type="spellStart"/>
      <w:r>
        <w:t>Xss</w:t>
      </w:r>
      <w:proofErr w:type="spellEnd"/>
      <w:r>
        <w:t>(274).</w:t>
      </w:r>
      <w:r w:rsidR="006C5629">
        <w:t xml:space="preserve"> Therefore, </w:t>
      </w:r>
      <m:oMath>
        <m:sSub>
          <m:sSubPr>
            <m:ctrlPr>
              <w:rPr>
                <w:rFonts w:ascii="Cambria Math" w:hAnsi="Cambria Math"/>
                <w:i/>
              </w:rPr>
            </m:ctrlPr>
          </m:sSubPr>
          <m:e>
            <m:r>
              <w:rPr>
                <w:rFonts w:ascii="Cambria Math" w:hAnsi="Cambria Math"/>
              </w:rPr>
              <m:t>F</m:t>
            </m:r>
          </m:e>
          <m:sub>
            <m:r>
              <w:rPr>
                <w:rFonts w:ascii="Cambria Math" w:hAnsi="Cambria Math"/>
              </w:rPr>
              <m:t>1A</m:t>
            </m:r>
          </m:sub>
        </m:sSub>
      </m:oMath>
      <w:r w:rsidR="006C5629">
        <w:rPr>
          <w:rFonts w:eastAsiaTheme="minorEastAsia"/>
        </w:rPr>
        <w:t xml:space="preserve"> changes with changes in purity but </w:t>
      </w:r>
      <w:proofErr w:type="spellStart"/>
      <w:proofErr w:type="gramStart"/>
      <w:r w:rsidR="006C5629">
        <w:rPr>
          <w:rFonts w:eastAsiaTheme="minorEastAsia"/>
        </w:rPr>
        <w:t>Xss</w:t>
      </w:r>
      <w:proofErr w:type="spellEnd"/>
      <w:r w:rsidR="006C5629">
        <w:rPr>
          <w:rFonts w:eastAsiaTheme="minorEastAsia"/>
        </w:rPr>
        <w:t>(</w:t>
      </w:r>
      <w:proofErr w:type="gramEnd"/>
      <w:r w:rsidR="006C5629">
        <w:rPr>
          <w:rFonts w:eastAsiaTheme="minorEastAsia"/>
        </w:rPr>
        <w:t>274) does not.</w:t>
      </w:r>
    </w:p>
    <w:p w:rsidR="00AB3CD9" w:rsidRDefault="00AB3CD9" w:rsidP="00AB3CD9">
      <w:pPr>
        <w:jc w:val="right"/>
        <w:rPr>
          <w:rFonts w:eastAsiaTheme="minorEastAsia"/>
        </w:rPr>
      </w:pPr>
      <m:oMath>
        <m:sSub>
          <m:sSubPr>
            <m:ctrlPr>
              <w:rPr>
                <w:rFonts w:ascii="Cambria Math" w:hAnsi="Cambria Math"/>
                <w:i/>
              </w:rPr>
            </m:ctrlPr>
          </m:sSubPr>
          <m:e>
            <m:r>
              <w:rPr>
                <w:rFonts w:ascii="Cambria Math" w:hAnsi="Cambria Math"/>
              </w:rPr>
              <m:t>F</m:t>
            </m:r>
          </m:e>
          <m:sub>
            <m:r>
              <w:rPr>
                <w:rFonts w:ascii="Cambria Math" w:hAnsi="Cambria Math"/>
              </w:rPr>
              <m:t>1A</m:t>
            </m:r>
          </m:sub>
        </m:sSub>
        <m:r>
          <w:rPr>
            <w:rFonts w:ascii="Cambria Math" w:hAnsi="Cambria Math"/>
          </w:rPr>
          <m:t>=</m:t>
        </m:r>
        <m:f>
          <m:fPr>
            <m:ctrlPr>
              <w:rPr>
                <w:rFonts w:ascii="Cambria Math" w:hAnsi="Cambria Math"/>
                <w:i/>
              </w:rPr>
            </m:ctrlPr>
          </m:fPr>
          <m:num>
            <m:r>
              <w:rPr>
                <w:rFonts w:ascii="Cambria Math" w:hAnsi="Cambria Math"/>
              </w:rPr>
              <m:t>Xss</m:t>
            </m:r>
            <m:d>
              <m:dPr>
                <m:ctrlPr>
                  <w:rPr>
                    <w:rFonts w:ascii="Cambria Math" w:hAnsi="Cambria Math"/>
                    <w:i/>
                  </w:rPr>
                </m:ctrlPr>
              </m:dPr>
              <m:e>
                <m:r>
                  <w:rPr>
                    <w:rFonts w:ascii="Cambria Math" w:hAnsi="Cambria Math"/>
                  </w:rPr>
                  <m:t>274</m:t>
                </m:r>
              </m:e>
            </m:d>
          </m:num>
          <m:den>
            <m:r>
              <w:rPr>
                <w:rFonts w:ascii="Cambria Math" w:hAnsi="Cambria Math"/>
              </w:rPr>
              <m:t>3*</m:t>
            </m:r>
            <m:sSub>
              <m:sSubPr>
                <m:ctrlPr>
                  <w:rPr>
                    <w:rFonts w:ascii="Cambria Math" w:hAnsi="Cambria Math"/>
                    <w:i/>
                  </w:rPr>
                </m:ctrlPr>
              </m:sSubPr>
              <m:e>
                <m:r>
                  <w:rPr>
                    <w:rFonts w:ascii="Cambria Math" w:hAnsi="Cambria Math"/>
                  </w:rPr>
                  <m:t>MW</m:t>
                </m:r>
              </m:e>
              <m:sub>
                <m:r>
                  <w:rPr>
                    <w:rFonts w:ascii="Cambria Math" w:hAnsi="Cambria Math"/>
                  </w:rPr>
                  <m:t>U</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MW</m:t>
                </m:r>
              </m:e>
              <m:sub>
                <m:r>
                  <w:rPr>
                    <w:rFonts w:ascii="Cambria Math" w:hAnsi="Cambria Math"/>
                  </w:rPr>
                  <m:t>18</m:t>
                </m:r>
              </m:sub>
            </m:sSub>
          </m:num>
          <m:den>
            <m:sSub>
              <m:sSubPr>
                <m:ctrlPr>
                  <w:rPr>
                    <w:rFonts w:ascii="Cambria Math" w:hAnsi="Cambria Math"/>
                    <w:i/>
                  </w:rPr>
                </m:ctrlPr>
              </m:sSubPr>
              <m:e>
                <m:r>
                  <w:rPr>
                    <w:rFonts w:ascii="Cambria Math" w:hAnsi="Cambria Math"/>
                  </w:rPr>
                  <m:t>x</m:t>
                </m:r>
              </m:e>
              <m:sub>
                <m:r>
                  <w:rPr>
                    <w:rFonts w:ascii="Cambria Math" w:hAnsi="Cambria Math"/>
                  </w:rPr>
                  <m:t>1A,18</m:t>
                </m:r>
              </m:sub>
            </m:sSub>
          </m:den>
        </m:f>
      </m:oMath>
      <w:r>
        <w:rPr>
          <w:rFonts w:eastAsiaTheme="minorEastAsia"/>
        </w:rPr>
        <w:t xml:space="preserve"> </w:t>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Eq. (4.3.2.1)</w:t>
      </w:r>
    </w:p>
    <w:p w:rsidR="006C5629" w:rsidRDefault="006C5629" w:rsidP="006C5629">
      <w:pPr>
        <w:rPr>
          <w:rFonts w:eastAsiaTheme="minorEastAsia"/>
        </w:rPr>
      </w:pPr>
      <w:r>
        <w:rPr>
          <w:rFonts w:eastAsiaTheme="minorEastAsia"/>
        </w:rPr>
        <w:t>Therefore, the equations w</w:t>
      </w:r>
      <w:r w:rsidR="00176089">
        <w:rPr>
          <w:rFonts w:eastAsiaTheme="minorEastAsia"/>
        </w:rPr>
        <w:t>h</w:t>
      </w:r>
      <w:r>
        <w:rPr>
          <w:rFonts w:eastAsiaTheme="minorEastAsia"/>
        </w:rPr>
        <w:t xml:space="preserve">ere the </w:t>
      </w:r>
      <w:r w:rsidR="00ED16EE">
        <w:rPr>
          <w:rFonts w:eastAsiaTheme="minorEastAsia"/>
        </w:rPr>
        <w:t>changes in uranium purity appear</w:t>
      </w:r>
      <w:r>
        <w:rPr>
          <w:rFonts w:eastAsiaTheme="minorEastAsia"/>
        </w:rPr>
        <w:t xml:space="preserve"> in the model </w:t>
      </w:r>
      <w:r w:rsidR="00ED16EE">
        <w:rPr>
          <w:rFonts w:eastAsiaTheme="minorEastAsia"/>
        </w:rPr>
        <w:t>are</w:t>
      </w:r>
      <w:r>
        <w:rPr>
          <w:rFonts w:eastAsiaTheme="minorEastAsia"/>
        </w:rPr>
        <w:t xml:space="preserve"> in Equations 3.2.1.10 and 3.2.1.11 which are restated here in terms of the state variables. These are the material balances for the insoluble and soluble impurities in Stream 1 of Module 1.</w:t>
      </w:r>
    </w:p>
    <w:p w:rsidR="0092636B" w:rsidRPr="00761631" w:rsidRDefault="0092636B" w:rsidP="0092636B">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m:t>
            </m:r>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m:rPr>
                <m:sty m:val="p"/>
              </m:rPr>
              <w:rPr>
                <w:rFonts w:ascii="Cambria Math" w:hAnsi="Cambria Math"/>
              </w:rPr>
              <m:t>1</m:t>
            </m:r>
            <m:r>
              <w:rPr>
                <w:rFonts w:ascii="Cambria Math" w:hAnsi="Cambria Math"/>
              </w:rPr>
              <m:t>A</m:t>
            </m:r>
            <m:r>
              <m:rPr>
                <m:sty m:val="p"/>
              </m:rPr>
              <w:rPr>
                <w:rFonts w:ascii="Cambria Math" w:hAnsi="Cambria Math"/>
              </w:rPr>
              <m:t>,20</m:t>
            </m:r>
          </m:sub>
        </m:sSub>
        <m:r>
          <m:rPr>
            <m:sty m:val="p"/>
          </m:rPr>
          <w:rPr>
            <w:rFonts w:ascii="Cambria Math" w:hAnsi="Cambria Math"/>
          </w:rPr>
          <m:t>*</m:t>
        </m:r>
        <m:f>
          <m:fPr>
            <m:ctrlPr>
              <w:rPr>
                <w:rFonts w:ascii="Cambria Math" w:hAnsi="Cambria Math"/>
              </w:rPr>
            </m:ctrlPr>
          </m:fPr>
          <m:num>
            <m:r>
              <m:rPr>
                <m:sty m:val="p"/>
              </m:rPr>
              <w:rPr>
                <w:rFonts w:ascii="Cambria Math" w:hAnsi="Cambria Math"/>
              </w:rPr>
              <m:t>1000</m:t>
            </m:r>
          </m:num>
          <m:den>
            <m:sSub>
              <m:sSubPr>
                <m:ctrlPr>
                  <w:rPr>
                    <w:rFonts w:ascii="Cambria Math" w:hAnsi="Cambria Math"/>
                  </w:rPr>
                </m:ctrlPr>
              </m:sSubPr>
              <m:e>
                <m:r>
                  <w:rPr>
                    <w:rFonts w:ascii="Cambria Math" w:hAnsi="Cambria Math"/>
                  </w:rPr>
                  <m:t>MW</m:t>
                </m:r>
              </m:e>
              <m:sub>
                <m:r>
                  <m:rPr>
                    <m:sty m:val="p"/>
                  </m:rPr>
                  <w:rPr>
                    <w:rFonts w:ascii="Cambria Math" w:hAnsi="Cambria Math"/>
                  </w:rPr>
                  <m:t>20</m:t>
                </m:r>
              </m:sub>
            </m:sSub>
          </m:den>
        </m:f>
        <m:r>
          <m:rPr>
            <m:sty m:val="p"/>
          </m:rPr>
          <w:rPr>
            <w:rFonts w:ascii="Cambria Math" w:hAnsi="Cambria Math"/>
          </w:rPr>
          <m:t>+</m:t>
        </m:r>
        <m:r>
          <m:rPr>
            <m:sty m:val="p"/>
          </m:rPr>
          <w:rPr>
            <w:rFonts w:ascii="Cambria Math" w:hAnsi="Cambria Math"/>
          </w:rPr>
          <m:t>Xss(60)</m:t>
        </m:r>
        <m:r>
          <m:rPr>
            <m:sty m:val="p"/>
          </m:rPr>
          <w:rPr>
            <w:rFonts w:ascii="Cambria Math" w:hAnsi="Cambria Math"/>
          </w:rPr>
          <m:t>-</m:t>
        </m:r>
        <m:r>
          <m:rPr>
            <m:sty m:val="p"/>
          </m:rPr>
          <w:rPr>
            <w:rFonts w:ascii="Cambria Math" w:hAnsi="Cambria Math"/>
          </w:rPr>
          <m:t>Xss(5)</m:t>
        </m:r>
        <m:r>
          <m:rPr>
            <m:sty m:val="p"/>
          </m:rPr>
          <w:rPr>
            <w:rFonts w:ascii="Cambria Math" w:hAnsi="Cambria Math"/>
          </w:rPr>
          <m:t>=0</m:t>
        </m:r>
      </m:oMath>
      <w:r>
        <w:t xml:space="preserve">   </w:t>
      </w:r>
      <w:r>
        <w:tab/>
      </w:r>
      <w:r>
        <w:tab/>
      </w:r>
      <w:r>
        <w:tab/>
        <w:t>Eq. (3.2.1.10</w:t>
      </w:r>
      <w:r w:rsidRPr="00761631">
        <w:t>)</w:t>
      </w:r>
    </w:p>
    <w:p w:rsidR="0092636B" w:rsidRDefault="0092636B" w:rsidP="0092636B">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m:t>
            </m:r>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m:rPr>
                <m:sty m:val="p"/>
              </m:rPr>
              <w:rPr>
                <w:rFonts w:ascii="Cambria Math" w:hAnsi="Cambria Math"/>
              </w:rPr>
              <m:t>1</m:t>
            </m:r>
            <m:r>
              <w:rPr>
                <w:rFonts w:ascii="Cambria Math" w:hAnsi="Cambria Math"/>
              </w:rPr>
              <m:t>A</m:t>
            </m:r>
            <m:r>
              <m:rPr>
                <m:sty m:val="p"/>
              </m:rPr>
              <w:rPr>
                <w:rFonts w:ascii="Cambria Math" w:hAnsi="Cambria Math"/>
              </w:rPr>
              <m:t>,21</m:t>
            </m:r>
          </m:sub>
        </m:sSub>
        <m:r>
          <m:rPr>
            <m:sty m:val="p"/>
          </m:rPr>
          <w:rPr>
            <w:rFonts w:ascii="Cambria Math" w:hAnsi="Cambria Math"/>
          </w:rPr>
          <m:t>*</m:t>
        </m:r>
        <m:f>
          <m:fPr>
            <m:ctrlPr>
              <w:rPr>
                <w:rFonts w:ascii="Cambria Math" w:hAnsi="Cambria Math"/>
              </w:rPr>
            </m:ctrlPr>
          </m:fPr>
          <m:num>
            <m:r>
              <m:rPr>
                <m:sty m:val="p"/>
              </m:rPr>
              <w:rPr>
                <w:rFonts w:ascii="Cambria Math" w:hAnsi="Cambria Math"/>
              </w:rPr>
              <m:t>1000</m:t>
            </m:r>
          </m:num>
          <m:den>
            <m:sSub>
              <m:sSubPr>
                <m:ctrlPr>
                  <w:rPr>
                    <w:rFonts w:ascii="Cambria Math" w:hAnsi="Cambria Math"/>
                  </w:rPr>
                </m:ctrlPr>
              </m:sSubPr>
              <m:e>
                <m:r>
                  <w:rPr>
                    <w:rFonts w:ascii="Cambria Math" w:hAnsi="Cambria Math"/>
                  </w:rPr>
                  <m:t>MW</m:t>
                </m:r>
              </m:e>
              <m:sub>
                <m:r>
                  <m:rPr>
                    <m:sty m:val="p"/>
                  </m:rPr>
                  <w:rPr>
                    <w:rFonts w:ascii="Cambria Math" w:hAnsi="Cambria Math"/>
                  </w:rPr>
                  <m:t>21</m:t>
                </m:r>
              </m:sub>
            </m:sSub>
          </m:den>
        </m:f>
        <m:r>
          <m:rPr>
            <m:sty m:val="p"/>
          </m:rPr>
          <w:rPr>
            <w:rFonts w:ascii="Cambria Math" w:hAnsi="Cambria Math"/>
          </w:rPr>
          <m:t>+</m:t>
        </m:r>
        <m:r>
          <m:rPr>
            <m:sty m:val="p"/>
          </m:rPr>
          <w:rPr>
            <w:rFonts w:ascii="Cambria Math" w:hAnsi="Cambria Math"/>
          </w:rPr>
          <m:t>Xss(61)</m:t>
        </m:r>
        <m:r>
          <m:rPr>
            <m:sty m:val="p"/>
          </m:rPr>
          <w:rPr>
            <w:rFonts w:ascii="Cambria Math" w:hAnsi="Cambria Math"/>
          </w:rPr>
          <m:t>-</m:t>
        </m:r>
        <m:r>
          <m:rPr>
            <m:sty m:val="p"/>
          </m:rPr>
          <w:rPr>
            <w:rFonts w:ascii="Cambria Math" w:hAnsi="Cambria Math"/>
          </w:rPr>
          <m:t>Xss(6)</m:t>
        </m:r>
        <m:r>
          <m:rPr>
            <m:sty m:val="p"/>
          </m:rPr>
          <w:rPr>
            <w:rFonts w:ascii="Cambria Math" w:hAnsi="Cambria Math"/>
          </w:rPr>
          <m:t>=0</m:t>
        </m:r>
      </m:oMath>
      <w:r>
        <w:t xml:space="preserve">   </w:t>
      </w:r>
      <w:r>
        <w:tab/>
      </w:r>
      <w:r>
        <w:tab/>
      </w:r>
      <w:r>
        <w:tab/>
        <w:t>Eq. (3.2.1.11</w:t>
      </w:r>
      <w:r w:rsidRPr="00761631">
        <w:t>)</w:t>
      </w:r>
    </w:p>
    <w:p w:rsidR="00B86BB6" w:rsidRDefault="00176089" w:rsidP="00E664E4">
      <w:r>
        <w:t xml:space="preserve">The 43 state variables that were sensitive to changes in mass fractions of Stream 1A moderately loaded PC1 and slightly loaded PC3. </w:t>
      </w:r>
      <w:r w:rsidR="00ED16EE">
        <w:t xml:space="preserve">Those same 43 state variables result in a nominal reduction of approximately 37% in comparison with the nominal base case solution. </w:t>
      </w:r>
      <w:r w:rsidR="00B545CA">
        <w:t xml:space="preserve">There was a slight shift in both PC1 and PC2 </w:t>
      </w:r>
      <w:r w:rsidR="00B86BB6">
        <w:t xml:space="preserve">scores </w:t>
      </w:r>
      <w:r w:rsidR="00B545CA">
        <w:t xml:space="preserve">but no detectable fault was observed since all of the data points were within the </w:t>
      </w:r>
      <w:r w:rsidR="00B545CA">
        <w:lastRenderedPageBreak/>
        <w:t>95% confidence boundary f</w:t>
      </w:r>
      <w:r w:rsidR="00BC29EC">
        <w:t>or normal operation (Figure 4.39</w:t>
      </w:r>
      <w:r w:rsidR="00B545CA">
        <w:t xml:space="preserve">). There was </w:t>
      </w:r>
      <w:r w:rsidR="009437AE">
        <w:t xml:space="preserve">also a </w:t>
      </w:r>
      <w:r w:rsidR="00B545CA">
        <w:t>shift in PC3</w:t>
      </w:r>
      <w:r w:rsidR="00CE21E4">
        <w:t xml:space="preserve"> scores</w:t>
      </w:r>
      <w:r w:rsidR="00B545CA">
        <w:t xml:space="preserve"> (Figure</w:t>
      </w:r>
      <w:r w:rsidR="00461FA7">
        <w:t>s</w:t>
      </w:r>
      <w:r w:rsidR="00BC29EC">
        <w:t xml:space="preserve"> 4.40</w:t>
      </w:r>
      <w:r w:rsidR="00461FA7">
        <w:t>–4.4</w:t>
      </w:r>
      <w:r w:rsidR="00BC29EC">
        <w:t>2</w:t>
      </w:r>
      <w:r w:rsidR="00B545CA">
        <w:t>). However, this</w:t>
      </w:r>
      <w:r w:rsidR="00461FA7">
        <w:t xml:space="preserve"> fault would only be detectable in PC3 </w:t>
      </w:r>
      <w:r w:rsidR="00B86BB6">
        <w:t xml:space="preserve">scores </w:t>
      </w:r>
      <w:r w:rsidR="00461FA7">
        <w:t>under certain operating conditions since approximately 50% of the data points were still within the 95% confidence boundary. There was also a</w:t>
      </w:r>
      <w:r w:rsidR="004E68DC">
        <w:t>n increase</w:t>
      </w:r>
      <w:r w:rsidR="00461FA7">
        <w:t xml:space="preserve"> in the M</w:t>
      </w:r>
      <w:r w:rsidR="00BC29EC">
        <w:t>ahalanobis distance (Figure 4.43</w:t>
      </w:r>
      <w:r w:rsidR="00461FA7">
        <w:t>)</w:t>
      </w:r>
      <w:r w:rsidR="00562F25">
        <w:t>, but this shift may not result in a detectable fault because many of the data points were within the 95% confidence boundary</w:t>
      </w:r>
      <w:r w:rsidR="00461FA7">
        <w:t xml:space="preserve">. This </w:t>
      </w:r>
      <w:r w:rsidR="009437AE">
        <w:t>increase</w:t>
      </w:r>
      <w:r w:rsidR="00461FA7">
        <w:t xml:space="preserve"> was not initially expected since </w:t>
      </w:r>
      <w:r w:rsidR="009437AE">
        <w:t>this fault</w:t>
      </w:r>
      <w:r w:rsidR="00461FA7">
        <w:t xml:space="preserve"> did not change the operating ranges. However, increasing the uranium purity decreases the impur</w:t>
      </w:r>
      <w:r w:rsidR="009437AE">
        <w:t xml:space="preserve">ities and therefore changes the flow rates </w:t>
      </w:r>
      <w:r w:rsidR="00461FA7">
        <w:t xml:space="preserve">of the waste streams that contain the impurities. Therefore, this case does change the operating conditions for non-uranium components. </w:t>
      </w:r>
      <w:r w:rsidR="00562F25">
        <w:t xml:space="preserve">There was a significant </w:t>
      </w:r>
      <w:r w:rsidR="007063C2">
        <w:t>increase</w:t>
      </w:r>
      <w:r w:rsidR="00562F25">
        <w:t xml:space="preserve"> in the </w:t>
      </w:r>
      <m:oMath>
        <m:r>
          <w:rPr>
            <w:rFonts w:ascii="Cambria Math" w:hAnsi="Cambria Math"/>
          </w:rPr>
          <m:t>Q</m:t>
        </m:r>
      </m:oMath>
      <w:r w:rsidR="00BC29EC">
        <w:rPr>
          <w:rFonts w:eastAsiaTheme="minorEastAsia"/>
        </w:rPr>
        <w:t>-statistic (Figures 4.44</w:t>
      </w:r>
      <w:r w:rsidR="00562F25">
        <w:rPr>
          <w:rFonts w:eastAsiaTheme="minorEastAsia"/>
        </w:rPr>
        <w:t>–4.4</w:t>
      </w:r>
      <w:r w:rsidR="00BC29EC">
        <w:rPr>
          <w:rFonts w:eastAsiaTheme="minorEastAsia"/>
        </w:rPr>
        <w:t>5</w:t>
      </w:r>
      <w:r w:rsidR="00562F25">
        <w:rPr>
          <w:rFonts w:eastAsiaTheme="minorEastAsia"/>
        </w:rPr>
        <w:t>).</w:t>
      </w:r>
      <w:r w:rsidR="00562F25" w:rsidRPr="00562F25">
        <w:t xml:space="preserve"> </w:t>
      </w:r>
      <w:r w:rsidR="00562F25">
        <w:t>A</w:t>
      </w:r>
      <w:r w:rsidR="007063C2">
        <w:t>n increase</w:t>
      </w:r>
      <w:r w:rsidR="00562F25">
        <w:t xml:space="preserve"> was expected in the </w:t>
      </w:r>
      <m:oMath>
        <m:r>
          <w:rPr>
            <w:rFonts w:ascii="Cambria Math" w:hAnsi="Cambria Math"/>
          </w:rPr>
          <m:t>Q</m:t>
        </m:r>
      </m:oMath>
      <w:r w:rsidR="00562F25">
        <w:t xml:space="preserve">-statistic since changing the purity changes </w:t>
      </w:r>
      <w:r w:rsidR="00B86BB6">
        <w:t xml:space="preserve">some of </w:t>
      </w:r>
      <w:r w:rsidR="00562F25">
        <w:t>the parameter</w:t>
      </w:r>
      <w:r w:rsidR="00B86BB6">
        <w:t xml:space="preserve"> values</w:t>
      </w:r>
      <w:r w:rsidR="00562F25">
        <w:t xml:space="preserve"> and therefore the </w:t>
      </w:r>
      <w:r w:rsidR="006F1843">
        <w:t xml:space="preserve">relative </w:t>
      </w:r>
      <w:r w:rsidR="00562F25">
        <w:t>relationship between the state variables w</w:t>
      </w:r>
      <w:r w:rsidR="00BC29EC">
        <w:t>ould</w:t>
      </w:r>
      <w:r w:rsidR="00562F25">
        <w:t xml:space="preserve"> be different. </w:t>
      </w:r>
      <w:r w:rsidR="00E664E4">
        <w:t xml:space="preserve">A relatively small (~6%) increase in the purity of the uranium feed produced a highly detectable fault in the </w:t>
      </w:r>
      <m:oMath>
        <m:r>
          <w:rPr>
            <w:rFonts w:ascii="Cambria Math" w:hAnsi="Cambria Math"/>
          </w:rPr>
          <m:t>Q</m:t>
        </m:r>
      </m:oMath>
      <w:r w:rsidR="00E664E4">
        <w:rPr>
          <w:rFonts w:eastAsiaTheme="minorEastAsia"/>
        </w:rPr>
        <w:noBreakHyphen/>
      </w:r>
      <w:r w:rsidR="00E664E4">
        <w:t xml:space="preserve">statistic as well as potentially detectable faults in </w:t>
      </w:r>
      <w:r w:rsidR="00562F25">
        <w:t>PC3</w:t>
      </w:r>
      <w:r w:rsidR="00B86BB6">
        <w:t xml:space="preserve"> scores </w:t>
      </w:r>
      <w:r w:rsidR="00E664E4">
        <w:t xml:space="preserve">and </w:t>
      </w:r>
      <w:r w:rsidR="00562F25">
        <w:t xml:space="preserve">the </w:t>
      </w:r>
      <w:r w:rsidR="00E664E4">
        <w:t>Mahalanobis distance.</w:t>
      </w:r>
      <w:r w:rsidR="001F63AB">
        <w:t xml:space="preserve"> </w:t>
      </w:r>
    </w:p>
    <w:p w:rsidR="001F63AB" w:rsidRDefault="001F63AB">
      <w:r>
        <w:t xml:space="preserve">Monitoring the uranium feed for both flow rate and uranium content would be the recommended approach for detecting this type of fault. However, monitoring the streams exiting each major process (e.g., dissolution, solvent extraction, fluorination) as product or waste for flow rate and uranium content would also detect this fault. </w:t>
      </w:r>
      <w:r w:rsidR="00227758">
        <w:t>A summary of Case 2 is provided in Table 4.22.</w:t>
      </w:r>
    </w:p>
    <w:p w:rsidR="00B86BB6" w:rsidRDefault="00B86BB6"/>
    <w:p w:rsidR="00B86BB6" w:rsidRDefault="00B86BB6"/>
    <w:tbl>
      <w:tblPr>
        <w:tblW w:w="7481" w:type="dxa"/>
        <w:jc w:val="center"/>
        <w:tblInd w:w="93" w:type="dxa"/>
        <w:tblLook w:val="04A0" w:firstRow="1" w:lastRow="0" w:firstColumn="1" w:lastColumn="0" w:noHBand="0" w:noVBand="1"/>
      </w:tblPr>
      <w:tblGrid>
        <w:gridCol w:w="1339"/>
        <w:gridCol w:w="864"/>
        <w:gridCol w:w="1247"/>
        <w:gridCol w:w="1283"/>
        <w:gridCol w:w="1100"/>
        <w:gridCol w:w="1648"/>
      </w:tblGrid>
      <w:tr w:rsidR="00227758" w:rsidRPr="00227758" w:rsidTr="00227758">
        <w:trPr>
          <w:trHeight w:val="270"/>
          <w:jc w:val="center"/>
        </w:trPr>
        <w:tc>
          <w:tcPr>
            <w:tcW w:w="7481" w:type="dxa"/>
            <w:gridSpan w:val="6"/>
            <w:tcBorders>
              <w:top w:val="nil"/>
              <w:left w:val="nil"/>
              <w:bottom w:val="single" w:sz="8" w:space="0" w:color="auto"/>
              <w:right w:val="nil"/>
            </w:tcBorders>
            <w:shd w:val="clear" w:color="auto" w:fill="auto"/>
            <w:noWrap/>
            <w:vAlign w:val="center"/>
            <w:hideMark/>
          </w:tcPr>
          <w:p w:rsidR="00227758" w:rsidRPr="00227758" w:rsidRDefault="00227758" w:rsidP="00227758">
            <w:pPr>
              <w:spacing w:after="0" w:line="240" w:lineRule="auto"/>
              <w:jc w:val="center"/>
              <w:rPr>
                <w:rFonts w:ascii="Calibri" w:eastAsia="Times New Roman" w:hAnsi="Calibri" w:cs="Times New Roman"/>
                <w:b/>
                <w:bCs/>
                <w:color w:val="000000"/>
                <w:sz w:val="20"/>
                <w:szCs w:val="20"/>
              </w:rPr>
            </w:pPr>
            <w:r w:rsidRPr="00227758">
              <w:rPr>
                <w:rFonts w:ascii="Calibri" w:eastAsia="Times New Roman" w:hAnsi="Calibri" w:cs="Times New Roman"/>
                <w:b/>
                <w:bCs/>
                <w:color w:val="000000"/>
                <w:sz w:val="20"/>
                <w:szCs w:val="20"/>
              </w:rPr>
              <w:t>Table 4.22. Summary of Faulty Case 2</w:t>
            </w:r>
          </w:p>
        </w:tc>
      </w:tr>
      <w:tr w:rsidR="00227758" w:rsidRPr="00227758" w:rsidTr="00227758">
        <w:trPr>
          <w:trHeight w:val="255"/>
          <w:jc w:val="center"/>
        </w:trPr>
        <w:tc>
          <w:tcPr>
            <w:tcW w:w="7481" w:type="dxa"/>
            <w:gridSpan w:val="6"/>
            <w:tcBorders>
              <w:top w:val="nil"/>
              <w:left w:val="nil"/>
              <w:bottom w:val="nil"/>
              <w:right w:val="nil"/>
            </w:tcBorders>
            <w:shd w:val="clear" w:color="auto" w:fill="auto"/>
            <w:noWrap/>
            <w:vAlign w:val="center"/>
            <w:hideMark/>
          </w:tcPr>
          <w:p w:rsidR="00227758" w:rsidRPr="00227758" w:rsidRDefault="00227758" w:rsidP="00227758">
            <w:pPr>
              <w:spacing w:after="0" w:line="240" w:lineRule="auto"/>
              <w:jc w:val="center"/>
              <w:rPr>
                <w:rFonts w:ascii="Calibri" w:eastAsia="Times New Roman" w:hAnsi="Calibri" w:cs="Times New Roman"/>
                <w:b/>
                <w:bCs/>
                <w:color w:val="000000"/>
                <w:sz w:val="20"/>
                <w:szCs w:val="20"/>
              </w:rPr>
            </w:pPr>
            <w:r w:rsidRPr="00227758">
              <w:rPr>
                <w:rFonts w:ascii="Calibri" w:eastAsia="Times New Roman" w:hAnsi="Calibri" w:cs="Times New Roman"/>
                <w:b/>
                <w:bCs/>
                <w:color w:val="000000"/>
                <w:sz w:val="20"/>
                <w:szCs w:val="20"/>
              </w:rPr>
              <w:t>Summary of Faulty Case</w:t>
            </w:r>
          </w:p>
        </w:tc>
      </w:tr>
      <w:tr w:rsidR="00227758" w:rsidRPr="00227758" w:rsidTr="00227758">
        <w:trPr>
          <w:trHeight w:val="255"/>
          <w:jc w:val="center"/>
        </w:trPr>
        <w:tc>
          <w:tcPr>
            <w:tcW w:w="1339" w:type="dxa"/>
            <w:tcBorders>
              <w:top w:val="nil"/>
              <w:left w:val="nil"/>
              <w:bottom w:val="single" w:sz="4" w:space="0" w:color="auto"/>
              <w:right w:val="nil"/>
            </w:tcBorders>
            <w:shd w:val="clear" w:color="auto" w:fill="auto"/>
            <w:noWrap/>
            <w:vAlign w:val="center"/>
            <w:hideMark/>
          </w:tcPr>
          <w:p w:rsidR="00227758" w:rsidRPr="00227758" w:rsidRDefault="00227758" w:rsidP="00227758">
            <w:pPr>
              <w:spacing w:after="0" w:line="240" w:lineRule="auto"/>
              <w:jc w:val="center"/>
              <w:rPr>
                <w:rFonts w:ascii="Calibri" w:eastAsia="Times New Roman" w:hAnsi="Calibri" w:cs="Times New Roman"/>
                <w:b/>
                <w:bCs/>
                <w:color w:val="000000"/>
                <w:sz w:val="20"/>
                <w:szCs w:val="20"/>
              </w:rPr>
            </w:pPr>
            <w:r w:rsidRPr="00227758">
              <w:rPr>
                <w:rFonts w:ascii="Calibri" w:eastAsia="Times New Roman" w:hAnsi="Calibri" w:cs="Times New Roman"/>
                <w:b/>
                <w:bCs/>
                <w:color w:val="000000"/>
                <w:sz w:val="20"/>
                <w:szCs w:val="20"/>
              </w:rPr>
              <w:t>Priority</w:t>
            </w:r>
          </w:p>
        </w:tc>
        <w:tc>
          <w:tcPr>
            <w:tcW w:w="864" w:type="dxa"/>
            <w:tcBorders>
              <w:top w:val="nil"/>
              <w:left w:val="nil"/>
              <w:bottom w:val="single" w:sz="4" w:space="0" w:color="auto"/>
              <w:right w:val="nil"/>
            </w:tcBorders>
            <w:shd w:val="clear" w:color="auto" w:fill="auto"/>
            <w:vAlign w:val="center"/>
            <w:hideMark/>
          </w:tcPr>
          <w:p w:rsidR="00227758" w:rsidRPr="00227758" w:rsidRDefault="00227758" w:rsidP="00227758">
            <w:pPr>
              <w:spacing w:after="0" w:line="240" w:lineRule="auto"/>
              <w:jc w:val="center"/>
              <w:rPr>
                <w:rFonts w:ascii="Calibri" w:eastAsia="Times New Roman" w:hAnsi="Calibri" w:cs="Times New Roman"/>
                <w:b/>
                <w:bCs/>
                <w:sz w:val="20"/>
                <w:szCs w:val="20"/>
              </w:rPr>
            </w:pPr>
            <w:r w:rsidRPr="00227758">
              <w:rPr>
                <w:rFonts w:ascii="Calibri" w:eastAsia="Times New Roman" w:hAnsi="Calibri" w:cs="Times New Roman"/>
                <w:b/>
                <w:bCs/>
                <w:sz w:val="20"/>
                <w:szCs w:val="20"/>
              </w:rPr>
              <w:t>Module</w:t>
            </w:r>
          </w:p>
        </w:tc>
        <w:tc>
          <w:tcPr>
            <w:tcW w:w="1247" w:type="dxa"/>
            <w:tcBorders>
              <w:top w:val="nil"/>
              <w:left w:val="nil"/>
              <w:bottom w:val="single" w:sz="4" w:space="0" w:color="auto"/>
              <w:right w:val="nil"/>
            </w:tcBorders>
            <w:shd w:val="clear" w:color="auto" w:fill="auto"/>
            <w:vAlign w:val="center"/>
            <w:hideMark/>
          </w:tcPr>
          <w:p w:rsidR="00227758" w:rsidRPr="00227758" w:rsidRDefault="00227758" w:rsidP="00227758">
            <w:pPr>
              <w:spacing w:after="0" w:line="240" w:lineRule="auto"/>
              <w:jc w:val="center"/>
              <w:rPr>
                <w:rFonts w:ascii="Calibri" w:eastAsia="Times New Roman" w:hAnsi="Calibri" w:cs="Times New Roman"/>
                <w:b/>
                <w:bCs/>
                <w:sz w:val="20"/>
                <w:szCs w:val="20"/>
              </w:rPr>
            </w:pPr>
            <w:r w:rsidRPr="00227758">
              <w:rPr>
                <w:rFonts w:ascii="Calibri" w:eastAsia="Times New Roman" w:hAnsi="Calibri" w:cs="Times New Roman"/>
                <w:b/>
                <w:bCs/>
                <w:sz w:val="20"/>
                <w:szCs w:val="20"/>
              </w:rPr>
              <w:t>Faulty Variable</w:t>
            </w:r>
          </w:p>
        </w:tc>
        <w:tc>
          <w:tcPr>
            <w:tcW w:w="1283" w:type="dxa"/>
            <w:tcBorders>
              <w:top w:val="nil"/>
              <w:left w:val="nil"/>
              <w:bottom w:val="single" w:sz="4" w:space="0" w:color="auto"/>
              <w:right w:val="nil"/>
            </w:tcBorders>
            <w:shd w:val="clear" w:color="auto" w:fill="auto"/>
            <w:vAlign w:val="center"/>
            <w:hideMark/>
          </w:tcPr>
          <w:p w:rsidR="00227758" w:rsidRPr="00227758" w:rsidRDefault="00227758" w:rsidP="00227758">
            <w:pPr>
              <w:spacing w:after="0" w:line="240" w:lineRule="auto"/>
              <w:jc w:val="center"/>
              <w:rPr>
                <w:rFonts w:ascii="Calibri" w:eastAsia="Times New Roman" w:hAnsi="Calibri" w:cs="Times New Roman"/>
                <w:b/>
                <w:bCs/>
                <w:color w:val="000000"/>
                <w:sz w:val="20"/>
                <w:szCs w:val="20"/>
              </w:rPr>
            </w:pPr>
            <w:r w:rsidRPr="00227758">
              <w:rPr>
                <w:rFonts w:ascii="Calibri" w:eastAsia="Times New Roman" w:hAnsi="Calibri" w:cs="Times New Roman"/>
                <w:b/>
                <w:bCs/>
                <w:color w:val="000000"/>
                <w:sz w:val="20"/>
                <w:szCs w:val="20"/>
              </w:rPr>
              <w:t>Base Case Value</w:t>
            </w:r>
          </w:p>
        </w:tc>
        <w:tc>
          <w:tcPr>
            <w:tcW w:w="1100" w:type="dxa"/>
            <w:tcBorders>
              <w:top w:val="nil"/>
              <w:left w:val="nil"/>
              <w:bottom w:val="single" w:sz="4" w:space="0" w:color="auto"/>
              <w:right w:val="nil"/>
            </w:tcBorders>
            <w:shd w:val="clear" w:color="auto" w:fill="auto"/>
            <w:vAlign w:val="center"/>
            <w:hideMark/>
          </w:tcPr>
          <w:p w:rsidR="00227758" w:rsidRPr="00227758" w:rsidRDefault="00227758" w:rsidP="00227758">
            <w:pPr>
              <w:spacing w:after="0" w:line="240" w:lineRule="auto"/>
              <w:jc w:val="center"/>
              <w:rPr>
                <w:rFonts w:ascii="Calibri" w:eastAsia="Times New Roman" w:hAnsi="Calibri" w:cs="Times New Roman"/>
                <w:b/>
                <w:bCs/>
                <w:color w:val="000000"/>
                <w:sz w:val="20"/>
                <w:szCs w:val="20"/>
              </w:rPr>
            </w:pPr>
            <w:r w:rsidRPr="00227758">
              <w:rPr>
                <w:rFonts w:ascii="Calibri" w:eastAsia="Times New Roman" w:hAnsi="Calibri" w:cs="Times New Roman"/>
                <w:b/>
                <w:bCs/>
                <w:color w:val="000000"/>
                <w:sz w:val="20"/>
                <w:szCs w:val="20"/>
              </w:rPr>
              <w:t>Faulty Value</w:t>
            </w:r>
          </w:p>
        </w:tc>
        <w:tc>
          <w:tcPr>
            <w:tcW w:w="1648" w:type="dxa"/>
            <w:tcBorders>
              <w:top w:val="nil"/>
              <w:left w:val="nil"/>
              <w:bottom w:val="single" w:sz="4" w:space="0" w:color="auto"/>
              <w:right w:val="nil"/>
            </w:tcBorders>
            <w:shd w:val="clear" w:color="auto" w:fill="auto"/>
            <w:vAlign w:val="center"/>
            <w:hideMark/>
          </w:tcPr>
          <w:p w:rsidR="00227758" w:rsidRPr="00227758" w:rsidRDefault="00227758" w:rsidP="00227758">
            <w:pPr>
              <w:spacing w:after="0" w:line="240" w:lineRule="auto"/>
              <w:jc w:val="center"/>
              <w:rPr>
                <w:rFonts w:ascii="Calibri" w:eastAsia="Times New Roman" w:hAnsi="Calibri" w:cs="Times New Roman"/>
                <w:b/>
                <w:bCs/>
                <w:sz w:val="20"/>
                <w:szCs w:val="20"/>
              </w:rPr>
            </w:pPr>
            <w:r w:rsidRPr="00227758">
              <w:rPr>
                <w:rFonts w:ascii="Calibri" w:eastAsia="Times New Roman" w:hAnsi="Calibri" w:cs="Times New Roman"/>
                <w:b/>
                <w:bCs/>
                <w:sz w:val="20"/>
                <w:szCs w:val="20"/>
              </w:rPr>
              <w:t>Physical Description</w:t>
            </w:r>
          </w:p>
        </w:tc>
      </w:tr>
      <w:tr w:rsidR="00227758" w:rsidRPr="00227758" w:rsidTr="00227758">
        <w:trPr>
          <w:trHeight w:val="1275"/>
          <w:jc w:val="center"/>
        </w:trPr>
        <w:tc>
          <w:tcPr>
            <w:tcW w:w="1339" w:type="dxa"/>
            <w:tcBorders>
              <w:top w:val="nil"/>
              <w:left w:val="nil"/>
              <w:bottom w:val="nil"/>
              <w:right w:val="nil"/>
            </w:tcBorders>
            <w:shd w:val="clear" w:color="auto" w:fill="auto"/>
            <w:noWrap/>
            <w:vAlign w:val="center"/>
            <w:hideMark/>
          </w:tcPr>
          <w:p w:rsidR="00227758" w:rsidRPr="00227758" w:rsidRDefault="00227758" w:rsidP="00227758">
            <w:pPr>
              <w:spacing w:after="0" w:line="240" w:lineRule="auto"/>
              <w:jc w:val="center"/>
              <w:rPr>
                <w:rFonts w:ascii="Calibri" w:eastAsia="Times New Roman" w:hAnsi="Calibri" w:cs="Times New Roman"/>
                <w:color w:val="000000"/>
                <w:sz w:val="20"/>
                <w:szCs w:val="20"/>
              </w:rPr>
            </w:pPr>
            <w:r w:rsidRPr="00227758">
              <w:rPr>
                <w:rFonts w:ascii="Calibri" w:eastAsia="Times New Roman" w:hAnsi="Calibri" w:cs="Times New Roman"/>
                <w:color w:val="000000"/>
                <w:sz w:val="20"/>
                <w:szCs w:val="20"/>
              </w:rPr>
              <w:t>Low</w:t>
            </w:r>
          </w:p>
        </w:tc>
        <w:tc>
          <w:tcPr>
            <w:tcW w:w="864" w:type="dxa"/>
            <w:tcBorders>
              <w:top w:val="nil"/>
              <w:left w:val="nil"/>
              <w:bottom w:val="nil"/>
              <w:right w:val="nil"/>
            </w:tcBorders>
            <w:shd w:val="clear" w:color="auto" w:fill="auto"/>
            <w:vAlign w:val="center"/>
            <w:hideMark/>
          </w:tcPr>
          <w:p w:rsidR="00227758" w:rsidRPr="00227758" w:rsidRDefault="00227758" w:rsidP="00227758">
            <w:pPr>
              <w:spacing w:after="0" w:line="240" w:lineRule="auto"/>
              <w:jc w:val="center"/>
              <w:rPr>
                <w:rFonts w:ascii="Calibri" w:eastAsia="Times New Roman" w:hAnsi="Calibri" w:cs="Times New Roman"/>
                <w:sz w:val="20"/>
                <w:szCs w:val="20"/>
              </w:rPr>
            </w:pPr>
            <w:r w:rsidRPr="00227758">
              <w:rPr>
                <w:rFonts w:ascii="Calibri" w:eastAsia="Times New Roman" w:hAnsi="Calibri" w:cs="Times New Roman"/>
                <w:sz w:val="20"/>
                <w:szCs w:val="20"/>
              </w:rPr>
              <w:t>1</w:t>
            </w:r>
          </w:p>
        </w:tc>
        <w:tc>
          <w:tcPr>
            <w:tcW w:w="1247" w:type="dxa"/>
            <w:tcBorders>
              <w:top w:val="nil"/>
              <w:left w:val="nil"/>
              <w:bottom w:val="nil"/>
              <w:right w:val="nil"/>
            </w:tcBorders>
            <w:shd w:val="clear" w:color="auto" w:fill="auto"/>
            <w:vAlign w:val="center"/>
            <w:hideMark/>
          </w:tcPr>
          <w:p w:rsidR="00227758" w:rsidRPr="00227758" w:rsidRDefault="00227758" w:rsidP="00227758">
            <w:pPr>
              <w:spacing w:after="0" w:line="240" w:lineRule="auto"/>
              <w:jc w:val="center"/>
              <w:rPr>
                <w:rFonts w:ascii="Calibri" w:eastAsia="Times New Roman" w:hAnsi="Calibri" w:cs="Times New Roman"/>
                <w:sz w:val="20"/>
                <w:szCs w:val="20"/>
              </w:rPr>
            </w:pPr>
            <w:r w:rsidRPr="00227758">
              <w:rPr>
                <w:rFonts w:ascii="Calibri" w:eastAsia="Times New Roman" w:hAnsi="Calibri" w:cs="Times New Roman"/>
                <w:sz w:val="20"/>
                <w:szCs w:val="20"/>
              </w:rPr>
              <w:t>x</w:t>
            </w:r>
            <w:r w:rsidRPr="00227758">
              <w:rPr>
                <w:rFonts w:ascii="Calibri" w:eastAsia="Times New Roman" w:hAnsi="Calibri" w:cs="Times New Roman"/>
                <w:sz w:val="20"/>
                <w:szCs w:val="20"/>
                <w:vertAlign w:val="subscript"/>
              </w:rPr>
              <w:t>1A,18</w:t>
            </w:r>
          </w:p>
        </w:tc>
        <w:tc>
          <w:tcPr>
            <w:tcW w:w="1283" w:type="dxa"/>
            <w:tcBorders>
              <w:top w:val="nil"/>
              <w:left w:val="nil"/>
              <w:bottom w:val="nil"/>
              <w:right w:val="nil"/>
            </w:tcBorders>
            <w:shd w:val="clear" w:color="auto" w:fill="auto"/>
            <w:vAlign w:val="center"/>
            <w:hideMark/>
          </w:tcPr>
          <w:p w:rsidR="00227758" w:rsidRPr="00227758" w:rsidRDefault="00227758" w:rsidP="00227758">
            <w:pPr>
              <w:spacing w:after="0" w:line="240" w:lineRule="auto"/>
              <w:jc w:val="center"/>
              <w:rPr>
                <w:rFonts w:ascii="Calibri" w:eastAsia="Times New Roman" w:hAnsi="Calibri" w:cs="Times New Roman"/>
                <w:sz w:val="20"/>
                <w:szCs w:val="20"/>
              </w:rPr>
            </w:pPr>
            <w:r w:rsidRPr="00227758">
              <w:rPr>
                <w:rFonts w:ascii="Calibri" w:eastAsia="Times New Roman" w:hAnsi="Calibri" w:cs="Times New Roman"/>
                <w:sz w:val="20"/>
                <w:szCs w:val="20"/>
              </w:rPr>
              <w:t>0.85</w:t>
            </w:r>
          </w:p>
        </w:tc>
        <w:tc>
          <w:tcPr>
            <w:tcW w:w="1100" w:type="dxa"/>
            <w:tcBorders>
              <w:top w:val="nil"/>
              <w:left w:val="nil"/>
              <w:bottom w:val="nil"/>
              <w:right w:val="nil"/>
            </w:tcBorders>
            <w:shd w:val="clear" w:color="auto" w:fill="auto"/>
            <w:vAlign w:val="center"/>
            <w:hideMark/>
          </w:tcPr>
          <w:p w:rsidR="00227758" w:rsidRPr="00227758" w:rsidRDefault="00227758" w:rsidP="00227758">
            <w:pPr>
              <w:spacing w:after="0" w:line="240" w:lineRule="auto"/>
              <w:jc w:val="center"/>
              <w:rPr>
                <w:rFonts w:ascii="Calibri" w:eastAsia="Times New Roman" w:hAnsi="Calibri" w:cs="Times New Roman"/>
                <w:sz w:val="20"/>
                <w:szCs w:val="20"/>
              </w:rPr>
            </w:pPr>
            <w:r w:rsidRPr="00227758">
              <w:rPr>
                <w:rFonts w:ascii="Calibri" w:eastAsia="Times New Roman" w:hAnsi="Calibri" w:cs="Times New Roman"/>
                <w:sz w:val="20"/>
                <w:szCs w:val="20"/>
              </w:rPr>
              <w:t>0.90</w:t>
            </w:r>
          </w:p>
        </w:tc>
        <w:tc>
          <w:tcPr>
            <w:tcW w:w="1648" w:type="dxa"/>
            <w:tcBorders>
              <w:top w:val="nil"/>
              <w:left w:val="nil"/>
              <w:bottom w:val="nil"/>
              <w:right w:val="nil"/>
            </w:tcBorders>
            <w:shd w:val="clear" w:color="auto" w:fill="auto"/>
            <w:vAlign w:val="center"/>
            <w:hideMark/>
          </w:tcPr>
          <w:p w:rsidR="00227758" w:rsidRPr="00227758" w:rsidRDefault="00227758" w:rsidP="00227758">
            <w:pPr>
              <w:spacing w:after="0" w:line="240" w:lineRule="auto"/>
              <w:rPr>
                <w:rFonts w:ascii="Calibri" w:eastAsia="Times New Roman" w:hAnsi="Calibri" w:cs="Times New Roman"/>
                <w:sz w:val="20"/>
                <w:szCs w:val="20"/>
              </w:rPr>
            </w:pPr>
            <w:r w:rsidRPr="00227758">
              <w:rPr>
                <w:rFonts w:ascii="Calibri" w:eastAsia="Times New Roman" w:hAnsi="Calibri" w:cs="Times New Roman"/>
                <w:sz w:val="20"/>
                <w:szCs w:val="20"/>
              </w:rPr>
              <w:t>Increase the incoming uranium purity by 5.9% and decrease the impurities</w:t>
            </w:r>
          </w:p>
        </w:tc>
      </w:tr>
      <w:tr w:rsidR="00227758" w:rsidRPr="00227758" w:rsidTr="00227758">
        <w:trPr>
          <w:trHeight w:val="255"/>
          <w:jc w:val="center"/>
        </w:trPr>
        <w:tc>
          <w:tcPr>
            <w:tcW w:w="7481" w:type="dxa"/>
            <w:gridSpan w:val="6"/>
            <w:tcBorders>
              <w:top w:val="single" w:sz="4" w:space="0" w:color="auto"/>
              <w:left w:val="nil"/>
              <w:bottom w:val="nil"/>
              <w:right w:val="nil"/>
            </w:tcBorders>
            <w:shd w:val="clear" w:color="auto" w:fill="auto"/>
            <w:noWrap/>
            <w:vAlign w:val="center"/>
            <w:hideMark/>
          </w:tcPr>
          <w:p w:rsidR="00227758" w:rsidRPr="00227758" w:rsidRDefault="00227758" w:rsidP="00227758">
            <w:pPr>
              <w:spacing w:after="0" w:line="240" w:lineRule="auto"/>
              <w:jc w:val="center"/>
              <w:rPr>
                <w:rFonts w:ascii="Calibri" w:eastAsia="Times New Roman" w:hAnsi="Calibri" w:cs="Times New Roman"/>
                <w:b/>
                <w:bCs/>
                <w:color w:val="000000"/>
                <w:sz w:val="20"/>
                <w:szCs w:val="20"/>
              </w:rPr>
            </w:pPr>
            <w:r w:rsidRPr="00227758">
              <w:rPr>
                <w:rFonts w:ascii="Calibri" w:eastAsia="Times New Roman" w:hAnsi="Calibri" w:cs="Times New Roman"/>
                <w:b/>
                <w:bCs/>
                <w:color w:val="000000"/>
                <w:sz w:val="20"/>
                <w:szCs w:val="20"/>
              </w:rPr>
              <w:t>Summary of Results</w:t>
            </w:r>
          </w:p>
        </w:tc>
      </w:tr>
      <w:tr w:rsidR="00227758" w:rsidRPr="00227758" w:rsidTr="00227758">
        <w:trPr>
          <w:trHeight w:val="255"/>
          <w:jc w:val="center"/>
        </w:trPr>
        <w:tc>
          <w:tcPr>
            <w:tcW w:w="1339" w:type="dxa"/>
            <w:tcBorders>
              <w:top w:val="nil"/>
              <w:left w:val="nil"/>
              <w:bottom w:val="single" w:sz="4" w:space="0" w:color="auto"/>
              <w:right w:val="nil"/>
            </w:tcBorders>
            <w:shd w:val="clear" w:color="auto" w:fill="auto"/>
            <w:noWrap/>
            <w:vAlign w:val="center"/>
            <w:hideMark/>
          </w:tcPr>
          <w:p w:rsidR="00227758" w:rsidRPr="00227758" w:rsidRDefault="00227758" w:rsidP="00227758">
            <w:pPr>
              <w:spacing w:after="0" w:line="240" w:lineRule="auto"/>
              <w:jc w:val="center"/>
              <w:rPr>
                <w:rFonts w:ascii="Calibri" w:eastAsia="Times New Roman" w:hAnsi="Calibri" w:cs="Times New Roman"/>
                <w:color w:val="000000"/>
                <w:sz w:val="20"/>
                <w:szCs w:val="20"/>
              </w:rPr>
            </w:pPr>
            <w:r w:rsidRPr="00227758">
              <w:rPr>
                <w:rFonts w:ascii="Calibri" w:eastAsia="Times New Roman" w:hAnsi="Calibri" w:cs="Times New Roman"/>
                <w:color w:val="000000"/>
                <w:sz w:val="20"/>
                <w:szCs w:val="20"/>
              </w:rPr>
              <w:t> </w:t>
            </w:r>
          </w:p>
        </w:tc>
        <w:tc>
          <w:tcPr>
            <w:tcW w:w="864" w:type="dxa"/>
            <w:tcBorders>
              <w:top w:val="nil"/>
              <w:left w:val="nil"/>
              <w:bottom w:val="single" w:sz="4" w:space="0" w:color="auto"/>
              <w:right w:val="nil"/>
            </w:tcBorders>
            <w:shd w:val="clear" w:color="auto" w:fill="auto"/>
            <w:vAlign w:val="center"/>
            <w:hideMark/>
          </w:tcPr>
          <w:p w:rsidR="00227758" w:rsidRPr="00227758" w:rsidRDefault="00227758" w:rsidP="00227758">
            <w:pPr>
              <w:spacing w:after="0" w:line="240" w:lineRule="auto"/>
              <w:jc w:val="center"/>
              <w:rPr>
                <w:rFonts w:ascii="Calibri" w:eastAsia="Times New Roman" w:hAnsi="Calibri" w:cs="Times New Roman"/>
                <w:b/>
                <w:bCs/>
                <w:sz w:val="20"/>
                <w:szCs w:val="20"/>
              </w:rPr>
            </w:pPr>
            <w:r w:rsidRPr="00227758">
              <w:rPr>
                <w:rFonts w:ascii="Calibri" w:eastAsia="Times New Roman" w:hAnsi="Calibri" w:cs="Times New Roman"/>
                <w:b/>
                <w:bCs/>
                <w:sz w:val="20"/>
                <w:szCs w:val="20"/>
              </w:rPr>
              <w:t>PC1</w:t>
            </w:r>
            <w:r w:rsidR="00E4364C">
              <w:rPr>
                <w:rFonts w:ascii="Calibri" w:eastAsia="Times New Roman" w:hAnsi="Calibri" w:cs="Times New Roman"/>
                <w:b/>
                <w:bCs/>
                <w:sz w:val="20"/>
                <w:szCs w:val="20"/>
              </w:rPr>
              <w:t xml:space="preserve"> Scores</w:t>
            </w:r>
          </w:p>
        </w:tc>
        <w:tc>
          <w:tcPr>
            <w:tcW w:w="1247" w:type="dxa"/>
            <w:tcBorders>
              <w:top w:val="nil"/>
              <w:left w:val="nil"/>
              <w:bottom w:val="single" w:sz="4" w:space="0" w:color="auto"/>
              <w:right w:val="nil"/>
            </w:tcBorders>
            <w:shd w:val="clear" w:color="auto" w:fill="auto"/>
            <w:vAlign w:val="center"/>
            <w:hideMark/>
          </w:tcPr>
          <w:p w:rsidR="00E4364C" w:rsidRDefault="00227758" w:rsidP="00227758">
            <w:pPr>
              <w:spacing w:after="0" w:line="240" w:lineRule="auto"/>
              <w:jc w:val="center"/>
              <w:rPr>
                <w:rFonts w:ascii="Calibri" w:eastAsia="Times New Roman" w:hAnsi="Calibri" w:cs="Times New Roman"/>
                <w:b/>
                <w:bCs/>
                <w:color w:val="000000"/>
                <w:sz w:val="20"/>
                <w:szCs w:val="20"/>
              </w:rPr>
            </w:pPr>
            <w:r w:rsidRPr="00227758">
              <w:rPr>
                <w:rFonts w:ascii="Calibri" w:eastAsia="Times New Roman" w:hAnsi="Calibri" w:cs="Times New Roman"/>
                <w:b/>
                <w:bCs/>
                <w:color w:val="000000"/>
                <w:sz w:val="20"/>
                <w:szCs w:val="20"/>
              </w:rPr>
              <w:t>PC2</w:t>
            </w:r>
            <w:r w:rsidR="00E4364C">
              <w:rPr>
                <w:rFonts w:ascii="Calibri" w:eastAsia="Times New Roman" w:hAnsi="Calibri" w:cs="Times New Roman"/>
                <w:b/>
                <w:bCs/>
                <w:color w:val="000000"/>
                <w:sz w:val="20"/>
                <w:szCs w:val="20"/>
              </w:rPr>
              <w:t xml:space="preserve"> </w:t>
            </w:r>
          </w:p>
          <w:p w:rsidR="00227758" w:rsidRPr="00227758" w:rsidRDefault="00E4364C" w:rsidP="00227758">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1283" w:type="dxa"/>
            <w:tcBorders>
              <w:top w:val="nil"/>
              <w:left w:val="nil"/>
              <w:bottom w:val="single" w:sz="4" w:space="0" w:color="auto"/>
              <w:right w:val="nil"/>
            </w:tcBorders>
            <w:shd w:val="clear" w:color="auto" w:fill="auto"/>
            <w:vAlign w:val="center"/>
            <w:hideMark/>
          </w:tcPr>
          <w:p w:rsidR="00E4364C" w:rsidRDefault="00227758" w:rsidP="00227758">
            <w:pPr>
              <w:spacing w:after="0" w:line="240" w:lineRule="auto"/>
              <w:jc w:val="center"/>
              <w:rPr>
                <w:rFonts w:ascii="Calibri" w:eastAsia="Times New Roman" w:hAnsi="Calibri" w:cs="Times New Roman"/>
                <w:b/>
                <w:bCs/>
                <w:color w:val="000000"/>
                <w:sz w:val="20"/>
                <w:szCs w:val="20"/>
              </w:rPr>
            </w:pPr>
            <w:r w:rsidRPr="00227758">
              <w:rPr>
                <w:rFonts w:ascii="Calibri" w:eastAsia="Times New Roman" w:hAnsi="Calibri" w:cs="Times New Roman"/>
                <w:b/>
                <w:bCs/>
                <w:color w:val="000000"/>
                <w:sz w:val="20"/>
                <w:szCs w:val="20"/>
              </w:rPr>
              <w:t>PC3</w:t>
            </w:r>
            <w:r w:rsidR="00E4364C">
              <w:rPr>
                <w:rFonts w:ascii="Calibri" w:eastAsia="Times New Roman" w:hAnsi="Calibri" w:cs="Times New Roman"/>
                <w:b/>
                <w:bCs/>
                <w:color w:val="000000"/>
                <w:sz w:val="20"/>
                <w:szCs w:val="20"/>
              </w:rPr>
              <w:t xml:space="preserve"> </w:t>
            </w:r>
          </w:p>
          <w:p w:rsidR="00227758" w:rsidRPr="00227758" w:rsidRDefault="00E4364C" w:rsidP="00227758">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1100" w:type="dxa"/>
            <w:tcBorders>
              <w:top w:val="nil"/>
              <w:left w:val="nil"/>
              <w:bottom w:val="single" w:sz="4" w:space="0" w:color="auto"/>
              <w:right w:val="nil"/>
            </w:tcBorders>
            <w:shd w:val="clear" w:color="auto" w:fill="auto"/>
            <w:vAlign w:val="center"/>
            <w:hideMark/>
          </w:tcPr>
          <w:p w:rsidR="00227758" w:rsidRPr="00227758" w:rsidRDefault="00227758" w:rsidP="00227758">
            <w:pPr>
              <w:spacing w:after="0" w:line="240" w:lineRule="auto"/>
              <w:jc w:val="center"/>
              <w:rPr>
                <w:rFonts w:ascii="Calibri" w:eastAsia="Times New Roman" w:hAnsi="Calibri" w:cs="Times New Roman"/>
                <w:b/>
                <w:bCs/>
                <w:color w:val="000000"/>
                <w:sz w:val="20"/>
                <w:szCs w:val="20"/>
              </w:rPr>
            </w:pPr>
            <w:r w:rsidRPr="00227758">
              <w:rPr>
                <w:rFonts w:ascii="Calibri" w:eastAsia="Times New Roman" w:hAnsi="Calibri" w:cs="Times New Roman"/>
                <w:b/>
                <w:bCs/>
                <w:color w:val="000000"/>
                <w:sz w:val="20"/>
                <w:szCs w:val="20"/>
              </w:rPr>
              <w:t>T2</w:t>
            </w:r>
          </w:p>
        </w:tc>
        <w:tc>
          <w:tcPr>
            <w:tcW w:w="1648" w:type="dxa"/>
            <w:tcBorders>
              <w:top w:val="nil"/>
              <w:left w:val="nil"/>
              <w:bottom w:val="single" w:sz="4" w:space="0" w:color="auto"/>
              <w:right w:val="nil"/>
            </w:tcBorders>
            <w:shd w:val="clear" w:color="auto" w:fill="auto"/>
            <w:vAlign w:val="center"/>
            <w:hideMark/>
          </w:tcPr>
          <w:p w:rsidR="00227758" w:rsidRPr="00227758" w:rsidRDefault="00227758" w:rsidP="00227758">
            <w:pPr>
              <w:spacing w:after="0" w:line="240" w:lineRule="auto"/>
              <w:jc w:val="center"/>
              <w:rPr>
                <w:rFonts w:ascii="Calibri" w:eastAsia="Times New Roman" w:hAnsi="Calibri" w:cs="Times New Roman"/>
                <w:b/>
                <w:bCs/>
                <w:color w:val="000000"/>
                <w:sz w:val="20"/>
                <w:szCs w:val="20"/>
              </w:rPr>
            </w:pPr>
            <w:r w:rsidRPr="00227758">
              <w:rPr>
                <w:rFonts w:ascii="Calibri" w:eastAsia="Times New Roman" w:hAnsi="Calibri" w:cs="Times New Roman"/>
                <w:b/>
                <w:bCs/>
                <w:color w:val="000000"/>
                <w:sz w:val="20"/>
                <w:szCs w:val="20"/>
              </w:rPr>
              <w:t>Q</w:t>
            </w:r>
          </w:p>
        </w:tc>
      </w:tr>
      <w:tr w:rsidR="00227758" w:rsidRPr="00227758" w:rsidTr="00227758">
        <w:trPr>
          <w:trHeight w:val="255"/>
          <w:jc w:val="center"/>
        </w:trPr>
        <w:tc>
          <w:tcPr>
            <w:tcW w:w="1339" w:type="dxa"/>
            <w:tcBorders>
              <w:top w:val="nil"/>
              <w:left w:val="nil"/>
              <w:bottom w:val="nil"/>
              <w:right w:val="nil"/>
            </w:tcBorders>
            <w:shd w:val="clear" w:color="auto" w:fill="auto"/>
            <w:noWrap/>
            <w:vAlign w:val="center"/>
            <w:hideMark/>
          </w:tcPr>
          <w:p w:rsidR="00227758" w:rsidRPr="00227758" w:rsidRDefault="00227758" w:rsidP="00227758">
            <w:pPr>
              <w:spacing w:after="0" w:line="240" w:lineRule="auto"/>
              <w:jc w:val="center"/>
              <w:rPr>
                <w:rFonts w:ascii="Calibri" w:eastAsia="Times New Roman" w:hAnsi="Calibri" w:cs="Times New Roman"/>
                <w:b/>
                <w:bCs/>
                <w:color w:val="000000"/>
                <w:sz w:val="20"/>
                <w:szCs w:val="20"/>
              </w:rPr>
            </w:pPr>
            <w:r w:rsidRPr="00227758">
              <w:rPr>
                <w:rFonts w:ascii="Calibri" w:eastAsia="Times New Roman" w:hAnsi="Calibri" w:cs="Times New Roman"/>
                <w:b/>
                <w:bCs/>
                <w:color w:val="000000"/>
                <w:sz w:val="20"/>
                <w:szCs w:val="20"/>
              </w:rPr>
              <w:t>Direction</w:t>
            </w:r>
          </w:p>
        </w:tc>
        <w:tc>
          <w:tcPr>
            <w:tcW w:w="864" w:type="dxa"/>
            <w:tcBorders>
              <w:top w:val="nil"/>
              <w:left w:val="nil"/>
              <w:bottom w:val="nil"/>
              <w:right w:val="nil"/>
            </w:tcBorders>
            <w:shd w:val="clear" w:color="auto" w:fill="auto"/>
            <w:noWrap/>
            <w:vAlign w:val="center"/>
            <w:hideMark/>
          </w:tcPr>
          <w:p w:rsidR="00227758" w:rsidRPr="00227758" w:rsidRDefault="00227758" w:rsidP="00227758">
            <w:pPr>
              <w:spacing w:after="0" w:line="240" w:lineRule="auto"/>
              <w:jc w:val="center"/>
              <w:rPr>
                <w:rFonts w:ascii="Calibri" w:eastAsia="Times New Roman" w:hAnsi="Calibri" w:cs="Times New Roman"/>
                <w:color w:val="000000"/>
                <w:sz w:val="20"/>
                <w:szCs w:val="20"/>
              </w:rPr>
            </w:pPr>
            <w:r w:rsidRPr="00227758">
              <w:rPr>
                <w:rFonts w:ascii="Calibri" w:eastAsia="Times New Roman" w:hAnsi="Calibri" w:cs="Times New Roman"/>
                <w:color w:val="000000"/>
                <w:sz w:val="20"/>
                <w:szCs w:val="20"/>
              </w:rPr>
              <w:t>+</w:t>
            </w:r>
          </w:p>
        </w:tc>
        <w:tc>
          <w:tcPr>
            <w:tcW w:w="1247" w:type="dxa"/>
            <w:tcBorders>
              <w:top w:val="nil"/>
              <w:left w:val="nil"/>
              <w:bottom w:val="nil"/>
              <w:right w:val="nil"/>
            </w:tcBorders>
            <w:shd w:val="clear" w:color="auto" w:fill="auto"/>
            <w:noWrap/>
            <w:vAlign w:val="center"/>
            <w:hideMark/>
          </w:tcPr>
          <w:p w:rsidR="00227758" w:rsidRPr="00227758" w:rsidRDefault="00227758" w:rsidP="00227758">
            <w:pPr>
              <w:spacing w:after="0" w:line="240" w:lineRule="auto"/>
              <w:jc w:val="center"/>
              <w:rPr>
                <w:rFonts w:ascii="Calibri" w:eastAsia="Times New Roman" w:hAnsi="Calibri" w:cs="Times New Roman"/>
                <w:color w:val="000000"/>
                <w:sz w:val="20"/>
                <w:szCs w:val="20"/>
              </w:rPr>
            </w:pPr>
            <w:r w:rsidRPr="00227758">
              <w:rPr>
                <w:rFonts w:ascii="Calibri" w:eastAsia="Times New Roman" w:hAnsi="Calibri" w:cs="Times New Roman"/>
                <w:color w:val="000000"/>
                <w:sz w:val="20"/>
                <w:szCs w:val="20"/>
              </w:rPr>
              <w:t>-</w:t>
            </w:r>
          </w:p>
        </w:tc>
        <w:tc>
          <w:tcPr>
            <w:tcW w:w="1283" w:type="dxa"/>
            <w:tcBorders>
              <w:top w:val="nil"/>
              <w:left w:val="nil"/>
              <w:bottom w:val="nil"/>
              <w:right w:val="nil"/>
            </w:tcBorders>
            <w:shd w:val="clear" w:color="auto" w:fill="auto"/>
            <w:noWrap/>
            <w:vAlign w:val="center"/>
            <w:hideMark/>
          </w:tcPr>
          <w:p w:rsidR="00227758" w:rsidRPr="00227758" w:rsidRDefault="00227758" w:rsidP="00227758">
            <w:pPr>
              <w:spacing w:after="0" w:line="240" w:lineRule="auto"/>
              <w:jc w:val="center"/>
              <w:rPr>
                <w:rFonts w:ascii="Calibri" w:eastAsia="Times New Roman" w:hAnsi="Calibri" w:cs="Times New Roman"/>
                <w:color w:val="000000"/>
                <w:sz w:val="20"/>
                <w:szCs w:val="20"/>
              </w:rPr>
            </w:pPr>
            <w:r w:rsidRPr="00227758">
              <w:rPr>
                <w:rFonts w:ascii="Calibri" w:eastAsia="Times New Roman" w:hAnsi="Calibri" w:cs="Times New Roman"/>
                <w:color w:val="000000"/>
                <w:sz w:val="20"/>
                <w:szCs w:val="20"/>
              </w:rPr>
              <w:t>+</w:t>
            </w:r>
          </w:p>
        </w:tc>
        <w:tc>
          <w:tcPr>
            <w:tcW w:w="1100" w:type="dxa"/>
            <w:tcBorders>
              <w:top w:val="nil"/>
              <w:left w:val="nil"/>
              <w:bottom w:val="nil"/>
              <w:right w:val="nil"/>
            </w:tcBorders>
            <w:shd w:val="clear" w:color="auto" w:fill="auto"/>
            <w:noWrap/>
            <w:vAlign w:val="center"/>
            <w:hideMark/>
          </w:tcPr>
          <w:p w:rsidR="00227758" w:rsidRPr="00227758" w:rsidRDefault="00227758" w:rsidP="00227758">
            <w:pPr>
              <w:spacing w:after="0" w:line="240" w:lineRule="auto"/>
              <w:jc w:val="center"/>
              <w:rPr>
                <w:rFonts w:ascii="Calibri" w:eastAsia="Times New Roman" w:hAnsi="Calibri" w:cs="Times New Roman"/>
                <w:color w:val="000000"/>
                <w:sz w:val="20"/>
                <w:szCs w:val="20"/>
              </w:rPr>
            </w:pPr>
            <w:r w:rsidRPr="00227758">
              <w:rPr>
                <w:rFonts w:ascii="Calibri" w:eastAsia="Times New Roman" w:hAnsi="Calibri" w:cs="Times New Roman"/>
                <w:color w:val="000000"/>
                <w:sz w:val="20"/>
                <w:szCs w:val="20"/>
              </w:rPr>
              <w:t>+</w:t>
            </w:r>
          </w:p>
        </w:tc>
        <w:tc>
          <w:tcPr>
            <w:tcW w:w="1648" w:type="dxa"/>
            <w:tcBorders>
              <w:top w:val="nil"/>
              <w:left w:val="nil"/>
              <w:bottom w:val="nil"/>
              <w:right w:val="nil"/>
            </w:tcBorders>
            <w:shd w:val="clear" w:color="auto" w:fill="auto"/>
            <w:noWrap/>
            <w:vAlign w:val="center"/>
            <w:hideMark/>
          </w:tcPr>
          <w:p w:rsidR="00227758" w:rsidRPr="00227758" w:rsidRDefault="00227758" w:rsidP="00227758">
            <w:pPr>
              <w:spacing w:after="0" w:line="240" w:lineRule="auto"/>
              <w:jc w:val="center"/>
              <w:rPr>
                <w:rFonts w:ascii="Calibri" w:eastAsia="Times New Roman" w:hAnsi="Calibri" w:cs="Times New Roman"/>
                <w:color w:val="000000"/>
                <w:sz w:val="20"/>
                <w:szCs w:val="20"/>
              </w:rPr>
            </w:pPr>
            <w:r w:rsidRPr="00227758">
              <w:rPr>
                <w:rFonts w:ascii="Calibri" w:eastAsia="Times New Roman" w:hAnsi="Calibri" w:cs="Times New Roman"/>
                <w:color w:val="000000"/>
                <w:sz w:val="20"/>
                <w:szCs w:val="20"/>
              </w:rPr>
              <w:t>+</w:t>
            </w:r>
          </w:p>
        </w:tc>
      </w:tr>
      <w:tr w:rsidR="00227758" w:rsidRPr="00227758" w:rsidTr="00227758">
        <w:trPr>
          <w:trHeight w:val="270"/>
          <w:jc w:val="center"/>
        </w:trPr>
        <w:tc>
          <w:tcPr>
            <w:tcW w:w="1339" w:type="dxa"/>
            <w:tcBorders>
              <w:top w:val="nil"/>
              <w:left w:val="nil"/>
              <w:bottom w:val="single" w:sz="8" w:space="0" w:color="auto"/>
              <w:right w:val="nil"/>
            </w:tcBorders>
            <w:shd w:val="clear" w:color="auto" w:fill="auto"/>
            <w:noWrap/>
            <w:vAlign w:val="center"/>
            <w:hideMark/>
          </w:tcPr>
          <w:p w:rsidR="00227758" w:rsidRPr="00227758" w:rsidRDefault="00227758" w:rsidP="00227758">
            <w:pPr>
              <w:spacing w:after="0" w:line="240" w:lineRule="auto"/>
              <w:jc w:val="center"/>
              <w:rPr>
                <w:rFonts w:ascii="Calibri" w:eastAsia="Times New Roman" w:hAnsi="Calibri" w:cs="Times New Roman"/>
                <w:b/>
                <w:bCs/>
                <w:color w:val="000000"/>
                <w:sz w:val="20"/>
                <w:szCs w:val="20"/>
              </w:rPr>
            </w:pPr>
            <w:r w:rsidRPr="00227758">
              <w:rPr>
                <w:rFonts w:ascii="Calibri" w:eastAsia="Times New Roman" w:hAnsi="Calibri" w:cs="Times New Roman"/>
                <w:b/>
                <w:bCs/>
                <w:color w:val="000000"/>
                <w:sz w:val="20"/>
                <w:szCs w:val="20"/>
              </w:rPr>
              <w:t>Detectability</w:t>
            </w:r>
          </w:p>
        </w:tc>
        <w:tc>
          <w:tcPr>
            <w:tcW w:w="864" w:type="dxa"/>
            <w:tcBorders>
              <w:top w:val="nil"/>
              <w:left w:val="nil"/>
              <w:bottom w:val="single" w:sz="8" w:space="0" w:color="auto"/>
              <w:right w:val="nil"/>
            </w:tcBorders>
            <w:shd w:val="clear" w:color="auto" w:fill="auto"/>
            <w:vAlign w:val="center"/>
            <w:hideMark/>
          </w:tcPr>
          <w:p w:rsidR="00227758" w:rsidRPr="00227758" w:rsidRDefault="00227758" w:rsidP="00227758">
            <w:pPr>
              <w:spacing w:after="0" w:line="240" w:lineRule="auto"/>
              <w:jc w:val="center"/>
              <w:rPr>
                <w:rFonts w:ascii="Calibri" w:eastAsia="Times New Roman" w:hAnsi="Calibri" w:cs="Times New Roman"/>
                <w:color w:val="000000"/>
                <w:sz w:val="20"/>
                <w:szCs w:val="20"/>
              </w:rPr>
            </w:pPr>
            <w:r w:rsidRPr="00227758">
              <w:rPr>
                <w:rFonts w:ascii="Calibri" w:eastAsia="Times New Roman" w:hAnsi="Calibri" w:cs="Times New Roman"/>
                <w:color w:val="000000"/>
                <w:sz w:val="20"/>
                <w:szCs w:val="20"/>
              </w:rPr>
              <w:t>No</w:t>
            </w:r>
          </w:p>
        </w:tc>
        <w:tc>
          <w:tcPr>
            <w:tcW w:w="1247" w:type="dxa"/>
            <w:tcBorders>
              <w:top w:val="nil"/>
              <w:left w:val="nil"/>
              <w:bottom w:val="single" w:sz="8" w:space="0" w:color="auto"/>
              <w:right w:val="nil"/>
            </w:tcBorders>
            <w:shd w:val="clear" w:color="auto" w:fill="auto"/>
            <w:noWrap/>
            <w:vAlign w:val="center"/>
            <w:hideMark/>
          </w:tcPr>
          <w:p w:rsidR="00227758" w:rsidRPr="00227758" w:rsidRDefault="00227758" w:rsidP="00227758">
            <w:pPr>
              <w:spacing w:after="0" w:line="240" w:lineRule="auto"/>
              <w:jc w:val="center"/>
              <w:rPr>
                <w:rFonts w:ascii="Calibri" w:eastAsia="Times New Roman" w:hAnsi="Calibri" w:cs="Times New Roman"/>
                <w:color w:val="000000"/>
                <w:sz w:val="20"/>
                <w:szCs w:val="20"/>
              </w:rPr>
            </w:pPr>
            <w:r w:rsidRPr="00227758">
              <w:rPr>
                <w:rFonts w:ascii="Calibri" w:eastAsia="Times New Roman" w:hAnsi="Calibri" w:cs="Times New Roman"/>
                <w:color w:val="000000"/>
                <w:sz w:val="20"/>
                <w:szCs w:val="20"/>
              </w:rPr>
              <w:t>No</w:t>
            </w:r>
          </w:p>
        </w:tc>
        <w:tc>
          <w:tcPr>
            <w:tcW w:w="1283" w:type="dxa"/>
            <w:tcBorders>
              <w:top w:val="nil"/>
              <w:left w:val="nil"/>
              <w:bottom w:val="single" w:sz="8" w:space="0" w:color="auto"/>
              <w:right w:val="nil"/>
            </w:tcBorders>
            <w:shd w:val="clear" w:color="auto" w:fill="auto"/>
            <w:noWrap/>
            <w:vAlign w:val="center"/>
            <w:hideMark/>
          </w:tcPr>
          <w:p w:rsidR="00227758" w:rsidRPr="00227758" w:rsidRDefault="00227758" w:rsidP="00227758">
            <w:pPr>
              <w:spacing w:after="0" w:line="240" w:lineRule="auto"/>
              <w:jc w:val="center"/>
              <w:rPr>
                <w:rFonts w:ascii="Calibri" w:eastAsia="Times New Roman" w:hAnsi="Calibri" w:cs="Times New Roman"/>
                <w:color w:val="000000"/>
                <w:sz w:val="20"/>
                <w:szCs w:val="20"/>
              </w:rPr>
            </w:pPr>
            <w:r w:rsidRPr="00227758">
              <w:rPr>
                <w:rFonts w:ascii="Calibri" w:eastAsia="Times New Roman" w:hAnsi="Calibri" w:cs="Times New Roman"/>
                <w:color w:val="000000"/>
                <w:sz w:val="20"/>
                <w:szCs w:val="20"/>
              </w:rPr>
              <w:t>Possibly</w:t>
            </w:r>
          </w:p>
        </w:tc>
        <w:tc>
          <w:tcPr>
            <w:tcW w:w="1100" w:type="dxa"/>
            <w:tcBorders>
              <w:top w:val="nil"/>
              <w:left w:val="nil"/>
              <w:bottom w:val="single" w:sz="8" w:space="0" w:color="auto"/>
              <w:right w:val="nil"/>
            </w:tcBorders>
            <w:shd w:val="clear" w:color="auto" w:fill="auto"/>
            <w:noWrap/>
            <w:vAlign w:val="center"/>
            <w:hideMark/>
          </w:tcPr>
          <w:p w:rsidR="00227758" w:rsidRPr="00227758" w:rsidRDefault="00227758" w:rsidP="00227758">
            <w:pPr>
              <w:spacing w:after="0" w:line="240" w:lineRule="auto"/>
              <w:jc w:val="center"/>
              <w:rPr>
                <w:rFonts w:ascii="Calibri" w:eastAsia="Times New Roman" w:hAnsi="Calibri" w:cs="Times New Roman"/>
                <w:color w:val="000000"/>
                <w:sz w:val="20"/>
                <w:szCs w:val="20"/>
              </w:rPr>
            </w:pPr>
            <w:r w:rsidRPr="00227758">
              <w:rPr>
                <w:rFonts w:ascii="Calibri" w:eastAsia="Times New Roman" w:hAnsi="Calibri" w:cs="Times New Roman"/>
                <w:color w:val="000000"/>
                <w:sz w:val="20"/>
                <w:szCs w:val="20"/>
              </w:rPr>
              <w:t>Possibly</w:t>
            </w:r>
          </w:p>
        </w:tc>
        <w:tc>
          <w:tcPr>
            <w:tcW w:w="1648" w:type="dxa"/>
            <w:tcBorders>
              <w:top w:val="nil"/>
              <w:left w:val="nil"/>
              <w:bottom w:val="single" w:sz="8" w:space="0" w:color="auto"/>
              <w:right w:val="nil"/>
            </w:tcBorders>
            <w:shd w:val="clear" w:color="auto" w:fill="auto"/>
            <w:noWrap/>
            <w:vAlign w:val="center"/>
            <w:hideMark/>
          </w:tcPr>
          <w:p w:rsidR="00227758" w:rsidRPr="00227758" w:rsidRDefault="00227758" w:rsidP="00227758">
            <w:pPr>
              <w:spacing w:after="0" w:line="240" w:lineRule="auto"/>
              <w:jc w:val="center"/>
              <w:rPr>
                <w:rFonts w:ascii="Calibri" w:eastAsia="Times New Roman" w:hAnsi="Calibri" w:cs="Times New Roman"/>
                <w:color w:val="000000"/>
                <w:sz w:val="20"/>
                <w:szCs w:val="20"/>
              </w:rPr>
            </w:pPr>
            <w:r w:rsidRPr="00227758">
              <w:rPr>
                <w:rFonts w:ascii="Calibri" w:eastAsia="Times New Roman" w:hAnsi="Calibri" w:cs="Times New Roman"/>
                <w:color w:val="000000"/>
                <w:sz w:val="20"/>
                <w:szCs w:val="20"/>
              </w:rPr>
              <w:t>Yes</w:t>
            </w:r>
          </w:p>
        </w:tc>
      </w:tr>
    </w:tbl>
    <w:p w:rsidR="00227758" w:rsidRDefault="00227758" w:rsidP="00E664E4"/>
    <w:p w:rsidR="00562F25" w:rsidRDefault="00BC29EC" w:rsidP="00562F25">
      <w:pPr>
        <w:jc w:val="center"/>
      </w:pPr>
      <w:r>
        <w:rPr>
          <w:noProof/>
        </w:rPr>
        <w:lastRenderedPageBreak/>
        <w:drawing>
          <wp:inline distT="0" distB="0" distL="0" distR="0" wp14:anchorId="61C1E5A4" wp14:editId="6693ADB3">
            <wp:extent cx="5943600" cy="445770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7"/>
                    <a:stretch>
                      <a:fillRect/>
                    </a:stretch>
                  </pic:blipFill>
                  <pic:spPr>
                    <a:xfrm>
                      <a:off x="0" y="0"/>
                      <a:ext cx="5943600" cy="4457700"/>
                    </a:xfrm>
                    <a:prstGeom prst="rect">
                      <a:avLst/>
                    </a:prstGeom>
                  </pic:spPr>
                </pic:pic>
              </a:graphicData>
            </a:graphic>
          </wp:inline>
        </w:drawing>
      </w:r>
    </w:p>
    <w:p w:rsidR="00E664E4" w:rsidRDefault="00E664E4" w:rsidP="00E664E4">
      <w:r>
        <w:rPr>
          <w:b/>
          <w:sz w:val="20"/>
          <w:szCs w:val="20"/>
        </w:rPr>
        <w:t xml:space="preserve">Figure </w:t>
      </w:r>
      <w:r w:rsidR="00BC29EC">
        <w:rPr>
          <w:b/>
          <w:sz w:val="20"/>
          <w:szCs w:val="20"/>
        </w:rPr>
        <w:t>4.39</w:t>
      </w:r>
      <w:r>
        <w:rPr>
          <w:b/>
          <w:sz w:val="20"/>
          <w:szCs w:val="20"/>
        </w:rPr>
        <w:t xml:space="preserve">. Faulty Case 2 Scores Plot for PC1 and PC2.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base case 95% confidence boundary displayed in red. The</w:t>
      </w:r>
      <w:r>
        <w:rPr>
          <w:i/>
          <w:sz w:val="20"/>
          <w:szCs w:val="20"/>
        </w:rPr>
        <w:t>re wa</w:t>
      </w:r>
      <w:r w:rsidRPr="00EE2556">
        <w:rPr>
          <w:i/>
          <w:sz w:val="20"/>
          <w:szCs w:val="20"/>
        </w:rPr>
        <w:t xml:space="preserve">s </w:t>
      </w:r>
      <w:r>
        <w:rPr>
          <w:i/>
          <w:sz w:val="20"/>
          <w:szCs w:val="20"/>
        </w:rPr>
        <w:t xml:space="preserve">a </w:t>
      </w:r>
      <w:r w:rsidR="00562F25">
        <w:rPr>
          <w:i/>
          <w:sz w:val="20"/>
          <w:szCs w:val="20"/>
        </w:rPr>
        <w:t xml:space="preserve">slight </w:t>
      </w:r>
      <w:r>
        <w:rPr>
          <w:i/>
          <w:sz w:val="20"/>
          <w:szCs w:val="20"/>
        </w:rPr>
        <w:t>shift in both PC1 and PC2</w:t>
      </w:r>
      <w:r w:rsidR="00E62112">
        <w:rPr>
          <w:i/>
          <w:sz w:val="20"/>
          <w:szCs w:val="20"/>
        </w:rPr>
        <w:t xml:space="preserve"> scores</w:t>
      </w:r>
      <w:r>
        <w:rPr>
          <w:i/>
          <w:sz w:val="20"/>
          <w:szCs w:val="20"/>
        </w:rPr>
        <w:t xml:space="preserve"> but </w:t>
      </w:r>
      <w:r w:rsidR="00562F25">
        <w:rPr>
          <w:i/>
          <w:sz w:val="20"/>
          <w:szCs w:val="20"/>
        </w:rPr>
        <w:t>no fault was detectable</w:t>
      </w:r>
      <w:r w:rsidRPr="00EE2556">
        <w:rPr>
          <w:i/>
          <w:sz w:val="20"/>
          <w:szCs w:val="20"/>
        </w:rPr>
        <w:t>.</w:t>
      </w:r>
    </w:p>
    <w:p w:rsidR="00E664E4" w:rsidRDefault="00BC29EC" w:rsidP="00E664E4">
      <w:pPr>
        <w:jc w:val="center"/>
      </w:pPr>
      <w:r>
        <w:rPr>
          <w:noProof/>
        </w:rPr>
        <w:lastRenderedPageBreak/>
        <w:drawing>
          <wp:inline distT="0" distB="0" distL="0" distR="0" wp14:anchorId="4A7BA629" wp14:editId="04A24F96">
            <wp:extent cx="5943600" cy="445770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8"/>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BC29EC">
        <w:rPr>
          <w:b/>
          <w:sz w:val="20"/>
          <w:szCs w:val="20"/>
        </w:rPr>
        <w:t>4.40</w:t>
      </w:r>
      <w:r>
        <w:rPr>
          <w:b/>
          <w:sz w:val="20"/>
          <w:szCs w:val="20"/>
        </w:rPr>
        <w:t xml:space="preserve">. Faulty Case 2 Scores Plot for PC1 and PC3.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base case 95% confidence boundary displayed in red. The</w:t>
      </w:r>
      <w:r>
        <w:rPr>
          <w:i/>
          <w:sz w:val="20"/>
          <w:szCs w:val="20"/>
        </w:rPr>
        <w:t>re wa</w:t>
      </w:r>
      <w:r w:rsidRPr="00EE2556">
        <w:rPr>
          <w:i/>
          <w:sz w:val="20"/>
          <w:szCs w:val="20"/>
        </w:rPr>
        <w:t xml:space="preserve">s </w:t>
      </w:r>
      <w:r>
        <w:rPr>
          <w:i/>
          <w:sz w:val="20"/>
          <w:szCs w:val="20"/>
        </w:rPr>
        <w:t>a shift i</w:t>
      </w:r>
      <w:r w:rsidR="00E62112">
        <w:rPr>
          <w:i/>
          <w:sz w:val="20"/>
          <w:szCs w:val="20"/>
        </w:rPr>
        <w:t xml:space="preserve">n PC3 scores </w:t>
      </w:r>
      <w:r>
        <w:rPr>
          <w:i/>
          <w:sz w:val="20"/>
          <w:szCs w:val="20"/>
        </w:rPr>
        <w:t>but the fault may not be detectable depending on operating conditions</w:t>
      </w:r>
      <w:r w:rsidRPr="00EE2556">
        <w:rPr>
          <w:i/>
          <w:sz w:val="20"/>
          <w:szCs w:val="20"/>
        </w:rPr>
        <w:t>.</w:t>
      </w:r>
    </w:p>
    <w:p w:rsidR="00E664E4" w:rsidRDefault="00BC29EC" w:rsidP="00E664E4">
      <w:pPr>
        <w:jc w:val="center"/>
      </w:pPr>
      <w:r>
        <w:rPr>
          <w:noProof/>
        </w:rPr>
        <w:lastRenderedPageBreak/>
        <w:drawing>
          <wp:inline distT="0" distB="0" distL="0" distR="0" wp14:anchorId="61D3D50D" wp14:editId="16A15055">
            <wp:extent cx="5943600" cy="445770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9"/>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BC29EC">
        <w:rPr>
          <w:b/>
          <w:sz w:val="20"/>
          <w:szCs w:val="20"/>
        </w:rPr>
        <w:t>4.41</w:t>
      </w:r>
      <w:r>
        <w:rPr>
          <w:b/>
          <w:sz w:val="20"/>
          <w:szCs w:val="20"/>
        </w:rPr>
        <w:t xml:space="preserve">. Faulty Case 2 Scores Plot for PC2 and PC3.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base case 95% confidence boundary displayed in red. The</w:t>
      </w:r>
      <w:r>
        <w:rPr>
          <w:i/>
          <w:sz w:val="20"/>
          <w:szCs w:val="20"/>
        </w:rPr>
        <w:t>re wa</w:t>
      </w:r>
      <w:r w:rsidRPr="00EE2556">
        <w:rPr>
          <w:i/>
          <w:sz w:val="20"/>
          <w:szCs w:val="20"/>
        </w:rPr>
        <w:t xml:space="preserve">s </w:t>
      </w:r>
      <w:r>
        <w:rPr>
          <w:i/>
          <w:sz w:val="20"/>
          <w:szCs w:val="20"/>
        </w:rPr>
        <w:t>a shift in PC3</w:t>
      </w:r>
      <w:r w:rsidR="00CE21E4">
        <w:rPr>
          <w:i/>
          <w:sz w:val="20"/>
          <w:szCs w:val="20"/>
        </w:rPr>
        <w:t xml:space="preserve"> scores</w:t>
      </w:r>
      <w:r>
        <w:rPr>
          <w:i/>
          <w:sz w:val="20"/>
          <w:szCs w:val="20"/>
        </w:rPr>
        <w:t xml:space="preserve"> but the fault may not be detectable depending on operating conditions</w:t>
      </w:r>
      <w:r w:rsidRPr="00EE2556">
        <w:rPr>
          <w:i/>
          <w:sz w:val="20"/>
          <w:szCs w:val="20"/>
        </w:rPr>
        <w:t>.</w:t>
      </w:r>
    </w:p>
    <w:p w:rsidR="00E664E4" w:rsidRDefault="00BC29EC" w:rsidP="00E664E4">
      <w:pPr>
        <w:jc w:val="center"/>
      </w:pPr>
      <w:r>
        <w:rPr>
          <w:noProof/>
        </w:rPr>
        <w:lastRenderedPageBreak/>
        <w:drawing>
          <wp:inline distT="0" distB="0" distL="0" distR="0" wp14:anchorId="459382FA" wp14:editId="47149034">
            <wp:extent cx="5943600" cy="445770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0"/>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BC29EC">
        <w:rPr>
          <w:b/>
          <w:sz w:val="20"/>
          <w:szCs w:val="20"/>
        </w:rPr>
        <w:t>4.42</w:t>
      </w:r>
      <w:r>
        <w:rPr>
          <w:b/>
          <w:sz w:val="20"/>
          <w:szCs w:val="20"/>
        </w:rPr>
        <w:t xml:space="preserve">. Faulty Case 2 3D Scores Plot for PC1, PC2, and PC3.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base case 95% conf</w:t>
      </w:r>
      <w:r>
        <w:rPr>
          <w:i/>
          <w:sz w:val="20"/>
          <w:szCs w:val="20"/>
        </w:rPr>
        <w:t>idence boundary displayed as an ellipsoid</w:t>
      </w:r>
      <w:r w:rsidRPr="00EE2556">
        <w:rPr>
          <w:i/>
          <w:sz w:val="20"/>
          <w:szCs w:val="20"/>
        </w:rPr>
        <w:t>. The</w:t>
      </w:r>
      <w:r>
        <w:rPr>
          <w:i/>
          <w:sz w:val="20"/>
          <w:szCs w:val="20"/>
        </w:rPr>
        <w:t>re wa</w:t>
      </w:r>
      <w:r w:rsidRPr="00EE2556">
        <w:rPr>
          <w:i/>
          <w:sz w:val="20"/>
          <w:szCs w:val="20"/>
        </w:rPr>
        <w:t xml:space="preserve">s </w:t>
      </w:r>
      <w:r>
        <w:rPr>
          <w:i/>
          <w:sz w:val="20"/>
          <w:szCs w:val="20"/>
        </w:rPr>
        <w:t>a shift in all PC</w:t>
      </w:r>
      <w:r w:rsidR="00E62112">
        <w:rPr>
          <w:i/>
          <w:sz w:val="20"/>
          <w:szCs w:val="20"/>
        </w:rPr>
        <w:t xml:space="preserve"> scores</w:t>
      </w:r>
      <w:r>
        <w:rPr>
          <w:i/>
          <w:sz w:val="20"/>
          <w:szCs w:val="20"/>
        </w:rPr>
        <w:t xml:space="preserve"> </w:t>
      </w:r>
      <w:r w:rsidR="00562F25">
        <w:rPr>
          <w:i/>
          <w:sz w:val="20"/>
          <w:szCs w:val="20"/>
        </w:rPr>
        <w:t>with the most noticeable shift being in PC3</w:t>
      </w:r>
      <w:r w:rsidR="00E62112">
        <w:rPr>
          <w:i/>
          <w:sz w:val="20"/>
          <w:szCs w:val="20"/>
        </w:rPr>
        <w:t xml:space="preserve"> scores</w:t>
      </w:r>
      <w:r w:rsidR="00562F25">
        <w:rPr>
          <w:i/>
          <w:sz w:val="20"/>
          <w:szCs w:val="20"/>
        </w:rPr>
        <w:t xml:space="preserve"> </w:t>
      </w:r>
      <w:r>
        <w:rPr>
          <w:i/>
          <w:sz w:val="20"/>
          <w:szCs w:val="20"/>
        </w:rPr>
        <w:t>but the fault may not be detectable depending on operating conditions</w:t>
      </w:r>
      <w:r w:rsidRPr="00EE2556">
        <w:rPr>
          <w:i/>
          <w:sz w:val="20"/>
          <w:szCs w:val="20"/>
        </w:rPr>
        <w:t>.</w:t>
      </w:r>
    </w:p>
    <w:p w:rsidR="00E664E4" w:rsidRDefault="00E664E4" w:rsidP="00E664E4"/>
    <w:p w:rsidR="00E664E4" w:rsidRDefault="00BC29EC" w:rsidP="00E664E4">
      <w:pPr>
        <w:jc w:val="center"/>
      </w:pPr>
      <w:r>
        <w:rPr>
          <w:noProof/>
        </w:rPr>
        <w:lastRenderedPageBreak/>
        <w:drawing>
          <wp:inline distT="0" distB="0" distL="0" distR="0" wp14:anchorId="7AECFD7E" wp14:editId="70C5CC79">
            <wp:extent cx="5943600" cy="44577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1"/>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562F25">
        <w:rPr>
          <w:b/>
          <w:sz w:val="20"/>
          <w:szCs w:val="20"/>
        </w:rPr>
        <w:t>4.4</w:t>
      </w:r>
      <w:r w:rsidR="00BC29EC">
        <w:rPr>
          <w:b/>
          <w:sz w:val="20"/>
          <w:szCs w:val="20"/>
        </w:rPr>
        <w:t>3</w:t>
      </w:r>
      <w:r>
        <w:rPr>
          <w:b/>
          <w:sz w:val="20"/>
          <w:szCs w:val="20"/>
        </w:rPr>
        <w:t xml:space="preserve">. Faulty Case 2 Mahalanobis Distance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base case 95% confidence boundary displayed in red. The</w:t>
      </w:r>
      <w:r>
        <w:rPr>
          <w:i/>
          <w:sz w:val="20"/>
          <w:szCs w:val="20"/>
        </w:rPr>
        <w:t>re wa</w:t>
      </w:r>
      <w:r w:rsidRPr="00EE2556">
        <w:rPr>
          <w:i/>
          <w:sz w:val="20"/>
          <w:szCs w:val="20"/>
        </w:rPr>
        <w:t xml:space="preserve">s </w:t>
      </w:r>
      <w:r>
        <w:rPr>
          <w:i/>
          <w:sz w:val="20"/>
          <w:szCs w:val="20"/>
        </w:rPr>
        <w:t>a shift but the fault may not be detectable depending on operating conditions</w:t>
      </w:r>
      <w:r w:rsidRPr="00EE2556">
        <w:rPr>
          <w:i/>
          <w:sz w:val="20"/>
          <w:szCs w:val="20"/>
        </w:rPr>
        <w:t>.</w:t>
      </w:r>
    </w:p>
    <w:p w:rsidR="00E664E4" w:rsidRDefault="00BC29EC" w:rsidP="00E664E4">
      <w:pPr>
        <w:jc w:val="center"/>
      </w:pPr>
      <w:r>
        <w:rPr>
          <w:noProof/>
        </w:rPr>
        <w:lastRenderedPageBreak/>
        <w:drawing>
          <wp:inline distT="0" distB="0" distL="0" distR="0" wp14:anchorId="6F4227FA" wp14:editId="5804A2EC">
            <wp:extent cx="5943600" cy="44577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2"/>
                    <a:stretch>
                      <a:fillRect/>
                    </a:stretch>
                  </pic:blipFill>
                  <pic:spPr>
                    <a:xfrm>
                      <a:off x="0" y="0"/>
                      <a:ext cx="5943600" cy="4457700"/>
                    </a:xfrm>
                    <a:prstGeom prst="rect">
                      <a:avLst/>
                    </a:prstGeom>
                  </pic:spPr>
                </pic:pic>
              </a:graphicData>
            </a:graphic>
          </wp:inline>
        </w:drawing>
      </w:r>
    </w:p>
    <w:p w:rsidR="00E664E4" w:rsidRDefault="00E664E4" w:rsidP="00E664E4">
      <w:r>
        <w:rPr>
          <w:b/>
          <w:sz w:val="20"/>
          <w:szCs w:val="20"/>
        </w:rPr>
        <w:t xml:space="preserve">Figure </w:t>
      </w:r>
      <w:r w:rsidR="00562F25">
        <w:rPr>
          <w:b/>
          <w:sz w:val="20"/>
          <w:szCs w:val="20"/>
        </w:rPr>
        <w:t>4.4</w:t>
      </w:r>
      <w:r w:rsidR="00BC29EC">
        <w:rPr>
          <w:b/>
          <w:sz w:val="20"/>
          <w:szCs w:val="20"/>
        </w:rPr>
        <w:t>4</w:t>
      </w:r>
      <w:r>
        <w:rPr>
          <w:b/>
          <w:sz w:val="20"/>
          <w:szCs w:val="20"/>
        </w:rPr>
        <w:t xml:space="preserve">. Faulty Case 2 </w:t>
      </w:r>
      <m:oMath>
        <m:r>
          <m:rPr>
            <m:sty m:val="bi"/>
          </m:rPr>
          <w:rPr>
            <w:rFonts w:ascii="Cambria Math" w:hAnsi="Cambria Math"/>
            <w:sz w:val="20"/>
            <w:szCs w:val="20"/>
          </w:rPr>
          <m:t>Q</m:t>
        </m:r>
      </m:oMath>
      <w:r>
        <w:rPr>
          <w:b/>
          <w:sz w:val="20"/>
          <w:szCs w:val="20"/>
        </w:rPr>
        <w:t xml:space="preserve">-Statistic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base case 95% confidence boundary displayed in red. The</w:t>
      </w:r>
      <w:r>
        <w:rPr>
          <w:i/>
          <w:sz w:val="20"/>
          <w:szCs w:val="20"/>
        </w:rPr>
        <w:t>re wa</w:t>
      </w:r>
      <w:r w:rsidRPr="00EE2556">
        <w:rPr>
          <w:i/>
          <w:sz w:val="20"/>
          <w:szCs w:val="20"/>
        </w:rPr>
        <w:t xml:space="preserve">s </w:t>
      </w:r>
      <w:r>
        <w:rPr>
          <w:i/>
          <w:sz w:val="20"/>
          <w:szCs w:val="20"/>
        </w:rPr>
        <w:t>a detectable fault</w:t>
      </w:r>
      <w:r w:rsidRPr="00EE2556">
        <w:rPr>
          <w:i/>
          <w:sz w:val="20"/>
          <w:szCs w:val="20"/>
        </w:rPr>
        <w:t>.</w:t>
      </w:r>
    </w:p>
    <w:p w:rsidR="00E664E4" w:rsidRDefault="00BC29EC" w:rsidP="00E664E4">
      <w:pPr>
        <w:jc w:val="center"/>
      </w:pPr>
      <w:r>
        <w:rPr>
          <w:noProof/>
        </w:rPr>
        <w:lastRenderedPageBreak/>
        <w:drawing>
          <wp:inline distT="0" distB="0" distL="0" distR="0" wp14:anchorId="44EB1060" wp14:editId="08E00826">
            <wp:extent cx="5943600" cy="44577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3"/>
                    <a:stretch>
                      <a:fillRect/>
                    </a:stretch>
                  </pic:blipFill>
                  <pic:spPr>
                    <a:xfrm>
                      <a:off x="0" y="0"/>
                      <a:ext cx="5943600" cy="4457700"/>
                    </a:xfrm>
                    <a:prstGeom prst="rect">
                      <a:avLst/>
                    </a:prstGeom>
                  </pic:spPr>
                </pic:pic>
              </a:graphicData>
            </a:graphic>
          </wp:inline>
        </w:drawing>
      </w:r>
    </w:p>
    <w:p w:rsidR="00E664E4" w:rsidRPr="00137476" w:rsidRDefault="00E664E4" w:rsidP="00E664E4">
      <w:pPr>
        <w:rPr>
          <w:rFonts w:eastAsiaTheme="minorEastAsia"/>
          <w:b/>
          <w:sz w:val="20"/>
          <w:szCs w:val="20"/>
        </w:rPr>
      </w:pPr>
      <w:r>
        <w:rPr>
          <w:b/>
          <w:sz w:val="20"/>
          <w:szCs w:val="20"/>
        </w:rPr>
        <w:t xml:space="preserve">Figure </w:t>
      </w:r>
      <w:r w:rsidR="00562F25">
        <w:rPr>
          <w:b/>
          <w:sz w:val="20"/>
          <w:szCs w:val="20"/>
        </w:rPr>
        <w:t>4.4</w:t>
      </w:r>
      <w:r w:rsidR="00BC29EC">
        <w:rPr>
          <w:b/>
          <w:sz w:val="20"/>
          <w:szCs w:val="20"/>
        </w:rPr>
        <w:t>5</w:t>
      </w:r>
      <w:r>
        <w:rPr>
          <w:b/>
          <w:sz w:val="20"/>
          <w:szCs w:val="20"/>
        </w:rPr>
        <w:t xml:space="preserve">. Faulty Case 2 PC1, PC2, and </w:t>
      </w:r>
      <m:oMath>
        <m:r>
          <m:rPr>
            <m:sty m:val="bi"/>
          </m:rPr>
          <w:rPr>
            <w:rFonts w:ascii="Cambria Math" w:hAnsi="Cambria Math"/>
            <w:sz w:val="20"/>
            <w:szCs w:val="20"/>
          </w:rPr>
          <m:t>Q</m:t>
        </m:r>
      </m:oMath>
      <w:r>
        <w:rPr>
          <w:b/>
          <w:sz w:val="20"/>
          <w:szCs w:val="20"/>
        </w:rPr>
        <w:t xml:space="preserve">-Statistic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base case 95% confidence boundary displayed in red. The</w:t>
      </w:r>
      <w:r>
        <w:rPr>
          <w:i/>
          <w:sz w:val="20"/>
          <w:szCs w:val="20"/>
        </w:rPr>
        <w:t>re wa</w:t>
      </w:r>
      <w:r w:rsidRPr="00EE2556">
        <w:rPr>
          <w:i/>
          <w:sz w:val="20"/>
          <w:szCs w:val="20"/>
        </w:rPr>
        <w:t xml:space="preserve">s </w:t>
      </w:r>
      <w:r>
        <w:rPr>
          <w:i/>
          <w:sz w:val="20"/>
          <w:szCs w:val="20"/>
        </w:rPr>
        <w:t xml:space="preserve">a detectable fault in the </w:t>
      </w:r>
      <m:oMath>
        <m:r>
          <w:rPr>
            <w:rFonts w:ascii="Cambria Math" w:hAnsi="Cambria Math"/>
            <w:sz w:val="20"/>
            <w:szCs w:val="20"/>
          </w:rPr>
          <m:t>Q</m:t>
        </m:r>
      </m:oMath>
      <w:r>
        <w:rPr>
          <w:rFonts w:eastAsiaTheme="minorEastAsia"/>
          <w:i/>
          <w:sz w:val="20"/>
          <w:szCs w:val="20"/>
        </w:rPr>
        <w:t>-statistic</w:t>
      </w:r>
      <w:r w:rsidRPr="00EE2556">
        <w:rPr>
          <w:i/>
          <w:sz w:val="20"/>
          <w:szCs w:val="20"/>
        </w:rPr>
        <w:t>.</w:t>
      </w:r>
    </w:p>
    <w:p w:rsidR="00E664E4" w:rsidRDefault="00E664E4" w:rsidP="00E664E4"/>
    <w:p w:rsidR="00567A68" w:rsidRDefault="00567A68" w:rsidP="00E664E4"/>
    <w:p w:rsidR="001B675F" w:rsidRDefault="001B675F">
      <w:pPr>
        <w:rPr>
          <w:rFonts w:asciiTheme="majorHAnsi" w:hAnsiTheme="majorHAnsi"/>
          <w:b/>
        </w:rPr>
      </w:pPr>
      <w:r>
        <w:rPr>
          <w:rFonts w:asciiTheme="majorHAnsi" w:hAnsiTheme="majorHAnsi"/>
          <w:b/>
        </w:rPr>
        <w:br w:type="page"/>
      </w:r>
    </w:p>
    <w:p w:rsidR="00E664E4" w:rsidRPr="00436A8B" w:rsidRDefault="00E664E4" w:rsidP="00E664E4">
      <w:pPr>
        <w:rPr>
          <w:rFonts w:asciiTheme="majorHAnsi" w:hAnsiTheme="majorHAnsi"/>
          <w:b/>
        </w:rPr>
      </w:pPr>
      <w:r>
        <w:rPr>
          <w:rFonts w:asciiTheme="majorHAnsi" w:hAnsiTheme="majorHAnsi"/>
          <w:b/>
        </w:rPr>
        <w:lastRenderedPageBreak/>
        <w:t>4.3.3 Case 3</w:t>
      </w:r>
    </w:p>
    <w:p w:rsidR="00E664E4" w:rsidRDefault="00E664E4" w:rsidP="00E664E4">
      <w:pPr>
        <w:rPr>
          <w:rFonts w:eastAsiaTheme="minorEastAsia"/>
        </w:rPr>
      </w:pPr>
      <w:r>
        <w:t xml:space="preserve">For the third faulty case, the </w:t>
      </w:r>
      <w:r w:rsidR="00E047D9">
        <w:t xml:space="preserve">effect </w:t>
      </w:r>
      <w:r>
        <w:t xml:space="preserve">of inefficient dissolver operations in Module 1 was investigated. Inefficient operations would result in the uranium not being completely dissolved and therefore additional uranium would leave the process as waste. This case was modeled by changing the extent of reaction for the dissolution reaction, </w:t>
      </w:r>
      <m:oMath>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1A</m:t>
            </m:r>
          </m:sub>
        </m:sSub>
      </m:oMath>
      <w:r>
        <w:rPr>
          <w:rFonts w:eastAsiaTheme="minorEastAsia"/>
        </w:rPr>
        <w:t>, from 0.9799 to 0.95. Based on the sensitivity analysis, all of the primary state variables were quite sensitive (</w:t>
      </w:r>
      <m:oMath>
        <m:r>
          <w:rPr>
            <w:rFonts w:ascii="Cambria Math" w:eastAsiaTheme="minorEastAsia" w:hAnsi="Cambria Math"/>
          </w:rPr>
          <m:t>γ=0.61</m:t>
        </m:r>
      </m:oMath>
      <w:r>
        <w:rPr>
          <w:rFonts w:eastAsiaTheme="minorEastAsia"/>
        </w:rPr>
        <w:t xml:space="preserve">) to a decrease in </w:t>
      </w:r>
      <m:oMath>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1A</m:t>
            </m:r>
          </m:sub>
        </m:sSub>
      </m:oMath>
      <w:r>
        <w:rPr>
          <w:rFonts w:eastAsiaTheme="minorEastAsia"/>
        </w:rPr>
        <w:t>. Two of the primary state variables [Xss(41) and Xss(92)], which were the U</w:t>
      </w:r>
      <w:r w:rsidRPr="00FF2F8C">
        <w:rPr>
          <w:rFonts w:eastAsiaTheme="minorEastAsia"/>
          <w:vertAlign w:val="subscript"/>
        </w:rPr>
        <w:t>3</w:t>
      </w:r>
      <w:r>
        <w:rPr>
          <w:rFonts w:eastAsiaTheme="minorEastAsia"/>
        </w:rPr>
        <w:t>O</w:t>
      </w:r>
      <w:r w:rsidRPr="00FF2F8C">
        <w:rPr>
          <w:rFonts w:eastAsiaTheme="minorEastAsia"/>
          <w:vertAlign w:val="subscript"/>
        </w:rPr>
        <w:t>8</w:t>
      </w:r>
      <w:r>
        <w:rPr>
          <w:rFonts w:eastAsiaTheme="minorEastAsia"/>
        </w:rPr>
        <w:t xml:space="preserve"> in waste Streams 8 and 16, were extremely sensitive to </w:t>
      </w:r>
      <w:r w:rsidR="00BA003B">
        <w:rPr>
          <w:rFonts w:eastAsiaTheme="minorEastAsia"/>
        </w:rPr>
        <w:t xml:space="preserve">a </w:t>
      </w:r>
      <w:r>
        <w:rPr>
          <w:rFonts w:eastAsiaTheme="minorEastAsia"/>
        </w:rPr>
        <w:t xml:space="preserve">decrease in </w:t>
      </w:r>
      <m:oMath>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1A</m:t>
            </m:r>
          </m:sub>
        </m:sSub>
      </m:oMath>
      <w:r>
        <w:rPr>
          <w:rFonts w:eastAsiaTheme="minorEastAsia"/>
        </w:rPr>
        <w:t xml:space="preserve"> and resulted in a sensitivity factor of -51.3.</w:t>
      </w:r>
      <w:r w:rsidR="00FF2F8C">
        <w:rPr>
          <w:rFonts w:eastAsiaTheme="minorEastAsia"/>
        </w:rPr>
        <w:t xml:space="preserve"> </w:t>
      </w:r>
      <w:r w:rsidR="001079DC">
        <w:rPr>
          <w:rFonts w:eastAsiaTheme="minorEastAsia"/>
        </w:rPr>
        <w:t xml:space="preserve">An additional 39 non-primary state variables also had a sensitivity factor of -51.3. </w:t>
      </w:r>
      <w:r w:rsidR="00985971">
        <w:t>These state variables were the U</w:t>
      </w:r>
      <w:r w:rsidR="00985971" w:rsidRPr="00985971">
        <w:rPr>
          <w:vertAlign w:val="subscript"/>
        </w:rPr>
        <w:t>3</w:t>
      </w:r>
      <w:r w:rsidR="00985971">
        <w:t>O</w:t>
      </w:r>
      <w:r w:rsidR="00985971" w:rsidRPr="00985971">
        <w:rPr>
          <w:vertAlign w:val="subscript"/>
        </w:rPr>
        <w:t>8</w:t>
      </w:r>
      <w:r w:rsidR="00985971">
        <w:t xml:space="preserve"> throughout the process; these were not considered primary because the molar flow rate value was very small. </w:t>
      </w:r>
      <w:r w:rsidR="00FF2F8C">
        <w:rPr>
          <w:rFonts w:eastAsiaTheme="minorEastAsia"/>
        </w:rPr>
        <w:t>This fault was easily detectable in PC3</w:t>
      </w:r>
      <w:r w:rsidR="00CE21E4">
        <w:rPr>
          <w:rFonts w:eastAsiaTheme="minorEastAsia"/>
        </w:rPr>
        <w:t xml:space="preserve"> scores</w:t>
      </w:r>
      <w:r w:rsidR="00FF2F8C">
        <w:rPr>
          <w:rFonts w:eastAsiaTheme="minorEastAsia"/>
        </w:rPr>
        <w:t xml:space="preserve">, the Mahalanobis distance, and the </w:t>
      </w:r>
      <m:oMath>
        <m:r>
          <w:rPr>
            <w:rFonts w:ascii="Cambria Math" w:eastAsiaTheme="minorEastAsia" w:hAnsi="Cambria Math"/>
          </w:rPr>
          <m:t>Q</m:t>
        </m:r>
      </m:oMath>
      <w:r w:rsidR="00FF2F8C">
        <w:rPr>
          <w:rFonts w:eastAsiaTheme="minorEastAsia"/>
        </w:rPr>
        <w:t>-statistic.</w:t>
      </w:r>
    </w:p>
    <w:p w:rsidR="001079DC" w:rsidRDefault="001079DC" w:rsidP="00E664E4">
      <w:pPr>
        <w:rPr>
          <w:rFonts w:eastAsiaTheme="minorEastAsia"/>
        </w:rPr>
      </w:pPr>
      <w:r>
        <w:rPr>
          <w:rFonts w:eastAsiaTheme="minorEastAsia"/>
        </w:rPr>
        <w:t>This parameter appears in the Module 1A component mole balances (Equations 3.2.1.6–3.2.1.9) which are restated here in terms of state variable numbers.</w:t>
      </w:r>
    </w:p>
    <w:p w:rsidR="001079DC" w:rsidRPr="0037660E" w:rsidRDefault="001079DC" w:rsidP="001079DC">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m:t>
            </m:r>
            <m:r>
              <w:rPr>
                <w:rFonts w:ascii="Cambria Math" w:hAnsi="Cambria Math"/>
              </w:rPr>
              <m:t>A,1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3</m:t>
            </m:r>
            <m:r>
              <w:rPr>
                <w:rFonts w:ascii="Cambria Math" w:hAnsi="Cambria Math"/>
              </w:rPr>
              <m:t>A,1</m:t>
            </m:r>
          </m:sub>
        </m:sSub>
        <m:r>
          <m:rPr>
            <m:sty m:val="p"/>
          </m:rPr>
          <w:rPr>
            <w:rFonts w:ascii="Cambria Math" w:hAnsi="Cambria Math"/>
          </w:rPr>
          <m:t>+Xss(56)-Xss(1)+</m:t>
        </m:r>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1,1</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1A</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F</m:t>
                </m:r>
              </m:e>
              <m:sub>
                <m:r>
                  <m:rPr>
                    <m:sty m:val="p"/>
                  </m:rPr>
                  <w:rPr>
                    <w:rFonts w:ascii="Cambria Math" w:hAnsi="Cambria Math"/>
                  </w:rPr>
                  <m:t>1</m:t>
                </m:r>
                <m:r>
                  <w:rPr>
                    <w:rFonts w:ascii="Cambria Math" w:hAnsi="Cambria Math"/>
                  </w:rPr>
                  <m:t>A,18</m:t>
                </m:r>
              </m:sub>
            </m:sSub>
            <m:r>
              <m:rPr>
                <m:sty m:val="p"/>
              </m:rPr>
              <w:rPr>
                <w:rFonts w:ascii="Cambria Math" w:hAnsi="Cambria Math"/>
              </w:rPr>
              <m:t>+Xss(59)</m:t>
            </m:r>
          </m:e>
        </m:d>
        <m:r>
          <m:rPr>
            <m:sty m:val="p"/>
          </m:rPr>
          <w:rPr>
            <w:rFonts w:ascii="Cambria Math" w:hAnsi="Cambria Math"/>
          </w:rPr>
          <m:t>=0</m:t>
        </m:r>
      </m:oMath>
      <w:r w:rsidRPr="0037660E">
        <w:t xml:space="preserve">  </w:t>
      </w:r>
      <w:r>
        <w:tab/>
        <w:t>Eq. (4.3.3.1</w:t>
      </w:r>
      <w:r w:rsidRPr="0037660E">
        <w:t>)</w:t>
      </w:r>
    </w:p>
    <w:p w:rsidR="001079DC" w:rsidRPr="00761631" w:rsidRDefault="001079DC" w:rsidP="001079DC">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2</m:t>
            </m:r>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m:rPr>
                <m:sty m:val="p"/>
              </m:rPr>
              <w:rPr>
                <w:rFonts w:ascii="Cambria Math" w:hAnsi="Cambria Math"/>
              </w:rPr>
              <m:t>2</m:t>
            </m:r>
            <m:r>
              <w:rPr>
                <w:rFonts w:ascii="Cambria Math" w:hAnsi="Cambria Math"/>
              </w:rPr>
              <m:t>A</m:t>
            </m:r>
            <m:r>
              <m:rPr>
                <m:sty m:val="p"/>
              </m:rPr>
              <w:rPr>
                <w:rFonts w:ascii="Cambria Math" w:hAnsi="Cambria Math"/>
              </w:rPr>
              <m:t>,9</m:t>
            </m:r>
          </m:sub>
        </m:sSub>
        <m:r>
          <m:rPr>
            <m:sty m:val="p"/>
          </m:rPr>
          <w:rPr>
            <w:rFonts w:ascii="Cambria Math" w:hAnsi="Cambria Math"/>
          </w:rPr>
          <m:t>*</m:t>
        </m:r>
        <m:f>
          <m:fPr>
            <m:ctrlPr>
              <w:rPr>
                <w:rFonts w:ascii="Cambria Math" w:hAnsi="Cambria Math"/>
              </w:rPr>
            </m:ctrlPr>
          </m:fPr>
          <m:num>
            <m:r>
              <m:rPr>
                <m:sty m:val="p"/>
              </m:rPr>
              <w:rPr>
                <w:rFonts w:ascii="Cambria Math" w:hAnsi="Cambria Math"/>
              </w:rPr>
              <m:t>1000</m:t>
            </m:r>
          </m:num>
          <m:den>
            <m:sSub>
              <m:sSubPr>
                <m:ctrlPr>
                  <w:rPr>
                    <w:rFonts w:ascii="Cambria Math" w:hAnsi="Cambria Math"/>
                  </w:rPr>
                </m:ctrlPr>
              </m:sSubPr>
              <m:e>
                <m:r>
                  <w:rPr>
                    <w:rFonts w:ascii="Cambria Math" w:hAnsi="Cambria Math"/>
                  </w:rPr>
                  <m:t>MW</m:t>
                </m:r>
              </m:e>
              <m:sub>
                <m:r>
                  <m:rPr>
                    <m:sty m:val="p"/>
                  </m:rPr>
                  <w:rPr>
                    <w:rFonts w:ascii="Cambria Math" w:hAnsi="Cambria Math"/>
                  </w:rPr>
                  <m:t>9</m:t>
                </m:r>
              </m:sub>
            </m:sSub>
          </m:den>
        </m:f>
        <m:r>
          <m:rPr>
            <m:sty m:val="p"/>
          </m:rPr>
          <w:rPr>
            <w:rFonts w:ascii="Cambria Math" w:hAnsi="Cambria Math"/>
          </w:rPr>
          <m:t>+Xss(57)-Xss(2)+</m:t>
        </m:r>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1,9</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1A</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F</m:t>
                </m:r>
              </m:e>
              <m:sub>
                <m:r>
                  <m:rPr>
                    <m:sty m:val="p"/>
                  </m:rPr>
                  <w:rPr>
                    <w:rFonts w:ascii="Cambria Math" w:hAnsi="Cambria Math"/>
                  </w:rPr>
                  <m:t>1</m:t>
                </m:r>
                <m:r>
                  <w:rPr>
                    <w:rFonts w:ascii="Cambria Math" w:hAnsi="Cambria Math"/>
                  </w:rPr>
                  <m:t>A,18</m:t>
                </m:r>
              </m:sub>
            </m:sSub>
            <m:r>
              <m:rPr>
                <m:sty m:val="p"/>
              </m:rPr>
              <w:rPr>
                <w:rFonts w:ascii="Cambria Math" w:hAnsi="Cambria Math"/>
              </w:rPr>
              <m:t>+Xss(59)</m:t>
            </m:r>
          </m:e>
        </m:d>
        <m:r>
          <m:rPr>
            <m:sty m:val="p"/>
          </m:rPr>
          <w:rPr>
            <w:rFonts w:ascii="Cambria Math" w:hAnsi="Cambria Math"/>
          </w:rPr>
          <m:t>=0</m:t>
        </m:r>
      </m:oMath>
      <w:r w:rsidRPr="00761631">
        <w:t xml:space="preserve">   </w:t>
      </w:r>
      <w:r>
        <w:tab/>
        <w:t>Eq. (4.3.3.2</w:t>
      </w:r>
      <w:r w:rsidRPr="00761631">
        <w:t>)</w:t>
      </w:r>
    </w:p>
    <w:p w:rsidR="001079DC" w:rsidRDefault="001079DC" w:rsidP="001079DC">
      <w:pPr>
        <w:jc w:val="right"/>
      </w:pPr>
      <m:oMath>
        <m:r>
          <w:rPr>
            <w:rFonts w:ascii="Cambria Math" w:hAnsi="Cambria Math"/>
          </w:rPr>
          <m:t>Xss(58)</m:t>
        </m:r>
        <m:r>
          <m:rPr>
            <m:sty m:val="p"/>
          </m:rPr>
          <w:rPr>
            <w:rFonts w:ascii="Cambria Math" w:hAnsi="Cambria Math"/>
          </w:rPr>
          <m:t>-Xss(3)+</m:t>
        </m:r>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1,14</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1A</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F</m:t>
                </m:r>
              </m:e>
              <m:sub>
                <m:r>
                  <m:rPr>
                    <m:sty m:val="p"/>
                  </m:rPr>
                  <w:rPr>
                    <w:rFonts w:ascii="Cambria Math" w:hAnsi="Cambria Math"/>
                  </w:rPr>
                  <m:t>1</m:t>
                </m:r>
                <m:r>
                  <w:rPr>
                    <w:rFonts w:ascii="Cambria Math" w:hAnsi="Cambria Math"/>
                  </w:rPr>
                  <m:t>A,18</m:t>
                </m:r>
              </m:sub>
            </m:sSub>
            <m:r>
              <m:rPr>
                <m:sty m:val="p"/>
              </m:rPr>
              <w:rPr>
                <w:rFonts w:ascii="Cambria Math" w:hAnsi="Cambria Math"/>
              </w:rPr>
              <m:t>+Xss(59)</m:t>
            </m:r>
          </m:e>
        </m:d>
        <m:r>
          <m:rPr>
            <m:sty m:val="p"/>
          </m:rPr>
          <w:rPr>
            <w:rFonts w:ascii="Cambria Math" w:hAnsi="Cambria Math"/>
          </w:rPr>
          <m:t>=0</m:t>
        </m:r>
      </m:oMath>
      <w:r w:rsidRPr="00761631">
        <w:t xml:space="preserve">   </w:t>
      </w:r>
      <w:r>
        <w:tab/>
      </w:r>
      <w:r w:rsidRPr="00761631">
        <w:tab/>
      </w:r>
      <w:r>
        <w:t>Eq. (4.3.3.3</w:t>
      </w:r>
      <w:r w:rsidRPr="00761631">
        <w:t>)</w:t>
      </w:r>
    </w:p>
    <w:p w:rsidR="001079DC" w:rsidRDefault="001079DC" w:rsidP="001079DC">
      <w:pPr>
        <w:jc w:val="right"/>
      </w:pPr>
      <m:oMath>
        <m:sSub>
          <m:sSubPr>
            <m:ctrlPr>
              <w:rPr>
                <w:rFonts w:ascii="Cambria Math" w:hAnsi="Cambria Math"/>
              </w:rPr>
            </m:ctrlPr>
          </m:sSubPr>
          <m:e>
            <m:r>
              <w:rPr>
                <w:rFonts w:ascii="Cambria Math" w:hAnsi="Cambria Math"/>
              </w:rPr>
              <m:t>F</m:t>
            </m:r>
          </m:e>
          <m:sub>
            <m:r>
              <m:rPr>
                <m:sty m:val="p"/>
              </m:rPr>
              <w:rPr>
                <w:rFonts w:ascii="Cambria Math" w:hAnsi="Cambria Math"/>
              </w:rPr>
              <m:t>1A,18</m:t>
            </m:r>
          </m:sub>
        </m:sSub>
        <m:r>
          <m:rPr>
            <m:sty m:val="p"/>
          </m:rPr>
          <w:rPr>
            <w:rFonts w:ascii="Cambria Math" w:hAnsi="Cambria Math"/>
          </w:rPr>
          <m:t>+Xss(59)-Xss(4)+</m:t>
        </m:r>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1,18</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1A</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F</m:t>
                </m:r>
              </m:e>
              <m:sub>
                <m:r>
                  <m:rPr>
                    <m:sty m:val="p"/>
                  </m:rPr>
                  <w:rPr>
                    <w:rFonts w:ascii="Cambria Math" w:hAnsi="Cambria Math"/>
                  </w:rPr>
                  <m:t>1</m:t>
                </m:r>
                <m:r>
                  <w:rPr>
                    <w:rFonts w:ascii="Cambria Math" w:hAnsi="Cambria Math"/>
                  </w:rPr>
                  <m:t>A,18</m:t>
                </m:r>
              </m:sub>
            </m:sSub>
            <m:r>
              <m:rPr>
                <m:sty m:val="p"/>
              </m:rPr>
              <w:rPr>
                <w:rFonts w:ascii="Cambria Math" w:hAnsi="Cambria Math"/>
              </w:rPr>
              <m:t>+Xss(59)</m:t>
            </m:r>
          </m:e>
        </m:d>
        <m:r>
          <m:rPr>
            <m:sty m:val="p"/>
          </m:rPr>
          <w:rPr>
            <w:rFonts w:ascii="Cambria Math" w:hAnsi="Cambria Math"/>
          </w:rPr>
          <m:t>=0</m:t>
        </m:r>
      </m:oMath>
      <w:r w:rsidRPr="00761631">
        <w:t xml:space="preserve">   </w:t>
      </w:r>
      <w:r w:rsidRPr="00761631">
        <w:tab/>
      </w:r>
      <w:r>
        <w:tab/>
        <w:t>Eq. (4.3.3.4</w:t>
      </w:r>
      <w:r w:rsidRPr="00761631">
        <w:t>)</w:t>
      </w:r>
    </w:p>
    <w:p w:rsidR="001B675F" w:rsidRDefault="00985971" w:rsidP="00E664E4">
      <w:r>
        <w:t xml:space="preserve">The 41 state variables that were most sensitive to changes in this parameter increased 152% due to this fault. </w:t>
      </w:r>
      <w:r w:rsidR="00267A26">
        <w:t xml:space="preserve">These state variables were mostly moderate contributors to PC1 and slight contributors to PC3. </w:t>
      </w:r>
      <w:r w:rsidR="00FF2F8C">
        <w:t>There was a slight shift in both PC1 and PC2</w:t>
      </w:r>
      <w:r w:rsidR="00E62112">
        <w:t xml:space="preserve"> scores</w:t>
      </w:r>
      <w:r w:rsidR="00FF2F8C">
        <w:t xml:space="preserve"> which would result in a detectable fault only under certain operating conditions since many of the data points were still within the 95% confidence boundary f</w:t>
      </w:r>
      <w:r w:rsidR="00BA003B">
        <w:t>or normal operation (Figure 4.46</w:t>
      </w:r>
      <w:r w:rsidR="00FF2F8C">
        <w:t xml:space="preserve">). </w:t>
      </w:r>
      <w:r w:rsidR="0076434E">
        <w:t xml:space="preserve">The two sensitive state variables </w:t>
      </w:r>
      <w:r w:rsidR="0076434E">
        <w:rPr>
          <w:rFonts w:eastAsiaTheme="minorEastAsia"/>
        </w:rPr>
        <w:t>[</w:t>
      </w:r>
      <w:proofErr w:type="spellStart"/>
      <w:proofErr w:type="gramStart"/>
      <w:r w:rsidR="0076434E">
        <w:rPr>
          <w:rFonts w:eastAsiaTheme="minorEastAsia"/>
        </w:rPr>
        <w:t>Xss</w:t>
      </w:r>
      <w:proofErr w:type="spellEnd"/>
      <w:r w:rsidR="0076434E">
        <w:rPr>
          <w:rFonts w:eastAsiaTheme="minorEastAsia"/>
        </w:rPr>
        <w:t>(</w:t>
      </w:r>
      <w:proofErr w:type="gramEnd"/>
      <w:r w:rsidR="0076434E">
        <w:rPr>
          <w:rFonts w:eastAsiaTheme="minorEastAsia"/>
        </w:rPr>
        <w:t xml:space="preserve">41) and </w:t>
      </w:r>
      <w:proofErr w:type="spellStart"/>
      <w:r w:rsidR="0076434E">
        <w:rPr>
          <w:rFonts w:eastAsiaTheme="minorEastAsia"/>
        </w:rPr>
        <w:t>Xss</w:t>
      </w:r>
      <w:proofErr w:type="spellEnd"/>
      <w:r w:rsidR="0076434E">
        <w:rPr>
          <w:rFonts w:eastAsiaTheme="minorEastAsia"/>
        </w:rPr>
        <w:t>(92)] were moderate contributors to PC1.</w:t>
      </w:r>
      <w:r w:rsidR="0076434E">
        <w:t xml:space="preserve"> </w:t>
      </w:r>
      <w:r w:rsidR="00FF2F8C">
        <w:t>There was a</w:t>
      </w:r>
      <w:r w:rsidR="00267A26">
        <w:t>lso a</w:t>
      </w:r>
      <w:r w:rsidR="00FF2F8C">
        <w:t xml:space="preserve"> shift in PC3 </w:t>
      </w:r>
      <w:r w:rsidR="00CE21E4">
        <w:t>scores</w:t>
      </w:r>
      <w:r w:rsidR="00FF2F8C">
        <w:t>(Figures 4.</w:t>
      </w:r>
      <w:r w:rsidR="00BA003B">
        <w:t>47–4.49</w:t>
      </w:r>
      <w:r w:rsidR="00FF2F8C">
        <w:t>) which would result in a detectable fault under all operating conditions since all of the data points were outside the 95% confidence boundaries. The fault in PC3</w:t>
      </w:r>
      <w:r w:rsidR="00CE21E4">
        <w:t xml:space="preserve"> scores</w:t>
      </w:r>
      <w:r w:rsidR="00FF2F8C">
        <w:t xml:space="preserve"> was expected because PC3 was heavily loaded by state variables that represented the uranium components in both the product and waste streams of Modules 1–3 and the product streams in Modules 4–5. These state variables </w:t>
      </w:r>
      <w:r w:rsidR="00267A26">
        <w:t xml:space="preserve">would also be directly </w:t>
      </w:r>
      <w:r w:rsidR="00FF2F8C">
        <w:t xml:space="preserve">affected by this change. </w:t>
      </w:r>
      <w:r w:rsidR="0076434E">
        <w:t xml:space="preserve">This resulted in a </w:t>
      </w:r>
      <w:r w:rsidR="006444A8">
        <w:t xml:space="preserve">significant </w:t>
      </w:r>
      <w:r w:rsidR="004E68DC">
        <w:t>increase</w:t>
      </w:r>
      <w:r w:rsidR="006444A8">
        <w:t xml:space="preserve"> </w:t>
      </w:r>
      <w:r w:rsidR="00FF2F8C">
        <w:t>in the M</w:t>
      </w:r>
      <w:r w:rsidR="00BA003B">
        <w:t>ahalanobis distance (Figure 4.50</w:t>
      </w:r>
      <w:r w:rsidR="00FF2F8C">
        <w:t xml:space="preserve">). </w:t>
      </w:r>
      <w:r w:rsidR="006444A8">
        <w:t xml:space="preserve">This fault was expected since a change in the extent of reaction would affect the amount of material in the streams downstream of that parameter. </w:t>
      </w:r>
      <w:r w:rsidR="00FF2F8C">
        <w:t xml:space="preserve">There was a significant </w:t>
      </w:r>
      <w:r w:rsidR="007063C2">
        <w:t>increase</w:t>
      </w:r>
      <w:r w:rsidR="00FF2F8C">
        <w:t xml:space="preserve"> in the </w:t>
      </w:r>
      <m:oMath>
        <m:r>
          <w:rPr>
            <w:rFonts w:ascii="Cambria Math" w:hAnsi="Cambria Math"/>
          </w:rPr>
          <m:t>Q</m:t>
        </m:r>
      </m:oMath>
      <w:r w:rsidR="007063C2">
        <w:rPr>
          <w:rFonts w:eastAsiaTheme="minorEastAsia"/>
        </w:rPr>
        <w:noBreakHyphen/>
      </w:r>
      <w:r w:rsidR="00FF2F8C">
        <w:rPr>
          <w:rFonts w:eastAsiaTheme="minorEastAsia"/>
        </w:rPr>
        <w:t>statistic (Figures 4.</w:t>
      </w:r>
      <w:r w:rsidR="006444A8">
        <w:rPr>
          <w:rFonts w:eastAsiaTheme="minorEastAsia"/>
        </w:rPr>
        <w:t>5</w:t>
      </w:r>
      <w:r w:rsidR="00BA003B">
        <w:rPr>
          <w:rFonts w:eastAsiaTheme="minorEastAsia"/>
        </w:rPr>
        <w:t>1</w:t>
      </w:r>
      <w:r w:rsidR="00FF2F8C">
        <w:rPr>
          <w:rFonts w:eastAsiaTheme="minorEastAsia"/>
        </w:rPr>
        <w:t>–4.</w:t>
      </w:r>
      <w:r w:rsidR="006444A8">
        <w:rPr>
          <w:rFonts w:eastAsiaTheme="minorEastAsia"/>
        </w:rPr>
        <w:t>5</w:t>
      </w:r>
      <w:r w:rsidR="00BA003B">
        <w:rPr>
          <w:rFonts w:eastAsiaTheme="minorEastAsia"/>
        </w:rPr>
        <w:t>2</w:t>
      </w:r>
      <w:r w:rsidR="00FF2F8C">
        <w:rPr>
          <w:rFonts w:eastAsiaTheme="minorEastAsia"/>
        </w:rPr>
        <w:t>).</w:t>
      </w:r>
      <w:r w:rsidR="00FF2F8C" w:rsidRPr="00562F25">
        <w:t xml:space="preserve"> </w:t>
      </w:r>
      <w:r w:rsidR="006444A8">
        <w:t xml:space="preserve">Additionally, a fault was expected in the </w:t>
      </w:r>
      <m:oMath>
        <m:r>
          <w:rPr>
            <w:rFonts w:ascii="Cambria Math" w:hAnsi="Cambria Math"/>
          </w:rPr>
          <m:t>Q</m:t>
        </m:r>
      </m:oMath>
      <w:r w:rsidR="006444A8">
        <w:t xml:space="preserve">-statistic since changing the extent of reaction constitutes a change in the parameters and therefore the </w:t>
      </w:r>
      <w:r w:rsidR="006F1843">
        <w:t xml:space="preserve">relative </w:t>
      </w:r>
      <w:r w:rsidR="006444A8">
        <w:t xml:space="preserve">relationship between the state variables would be different. </w:t>
      </w:r>
      <w:r w:rsidR="00E664E4">
        <w:t xml:space="preserve">A relatively small (~3%) reduction in the extent of reaction produced a </w:t>
      </w:r>
      <w:r w:rsidR="006444A8">
        <w:t xml:space="preserve">significant </w:t>
      </w:r>
      <w:r w:rsidR="00E664E4">
        <w:t>and easily detectable fault</w:t>
      </w:r>
      <w:r w:rsidR="004E68DC">
        <w:t>s</w:t>
      </w:r>
      <w:r w:rsidR="00E664E4">
        <w:t xml:space="preserve"> in </w:t>
      </w:r>
      <w:r w:rsidR="006444A8">
        <w:t>PC3</w:t>
      </w:r>
      <w:r w:rsidR="00CE21E4">
        <w:t xml:space="preserve"> scores</w:t>
      </w:r>
      <w:r w:rsidR="006444A8">
        <w:t xml:space="preserve">, the Mahalanobis distance, and the </w:t>
      </w:r>
      <m:oMath>
        <m:r>
          <w:rPr>
            <w:rFonts w:ascii="Cambria Math" w:hAnsi="Cambria Math"/>
          </w:rPr>
          <m:t>Q</m:t>
        </m:r>
      </m:oMath>
      <w:r w:rsidR="006444A8">
        <w:rPr>
          <w:rFonts w:eastAsiaTheme="minorEastAsia"/>
        </w:rPr>
        <w:t xml:space="preserve">-statistic </w:t>
      </w:r>
      <w:r w:rsidR="00E664E4">
        <w:lastRenderedPageBreak/>
        <w:t>diagnostic plots. Such drastic deviations from that of the base case profile reflect the higher sensitivity of the process operation to the incomplete dissolution of U</w:t>
      </w:r>
      <w:r w:rsidR="00E664E4" w:rsidRPr="009F67BD">
        <w:rPr>
          <w:vertAlign w:val="subscript"/>
        </w:rPr>
        <w:t>3</w:t>
      </w:r>
      <w:r w:rsidR="00E664E4">
        <w:t>O</w:t>
      </w:r>
      <w:r w:rsidR="00E664E4" w:rsidRPr="009F67BD">
        <w:rPr>
          <w:vertAlign w:val="subscript"/>
        </w:rPr>
        <w:t>8</w:t>
      </w:r>
      <w:r w:rsidR="00E664E4">
        <w:t>.</w:t>
      </w:r>
      <w:r w:rsidR="00BA003B">
        <w:t xml:space="preserve"> </w:t>
      </w:r>
      <w:r w:rsidR="00AE1892">
        <w:rPr>
          <w:rFonts w:eastAsiaTheme="minorEastAsia"/>
        </w:rPr>
        <w:t>Due to this, i</w:t>
      </w:r>
      <w:r w:rsidR="00902119">
        <w:rPr>
          <w:rFonts w:eastAsiaTheme="minorEastAsia"/>
        </w:rPr>
        <w:t xml:space="preserve">t is recommended that the waste streams from both the dissolution and solvent extraction processes be monitored for both flow rate and uranium content. </w:t>
      </w:r>
      <w:r w:rsidR="00BA003B">
        <w:t>Table 4.23 summarizes this faulty case.</w:t>
      </w:r>
    </w:p>
    <w:p w:rsidR="00267A26" w:rsidRDefault="00267A26"/>
    <w:p w:rsidR="00267A26" w:rsidRDefault="00267A26"/>
    <w:p w:rsidR="00267A26" w:rsidRDefault="00267A26"/>
    <w:tbl>
      <w:tblPr>
        <w:tblW w:w="7560" w:type="dxa"/>
        <w:jc w:val="center"/>
        <w:tblInd w:w="93" w:type="dxa"/>
        <w:tblLook w:val="04A0" w:firstRow="1" w:lastRow="0" w:firstColumn="1" w:lastColumn="0" w:noHBand="0" w:noVBand="1"/>
      </w:tblPr>
      <w:tblGrid>
        <w:gridCol w:w="1371"/>
        <w:gridCol w:w="938"/>
        <w:gridCol w:w="1275"/>
        <w:gridCol w:w="1253"/>
        <w:gridCol w:w="1037"/>
        <w:gridCol w:w="1686"/>
      </w:tblGrid>
      <w:tr w:rsidR="00BA003B" w:rsidRPr="00BA003B" w:rsidTr="00BA003B">
        <w:trPr>
          <w:trHeight w:val="270"/>
          <w:jc w:val="center"/>
        </w:trPr>
        <w:tc>
          <w:tcPr>
            <w:tcW w:w="7560" w:type="dxa"/>
            <w:gridSpan w:val="6"/>
            <w:tcBorders>
              <w:top w:val="nil"/>
              <w:left w:val="nil"/>
              <w:bottom w:val="single" w:sz="8" w:space="0" w:color="auto"/>
              <w:right w:val="nil"/>
            </w:tcBorders>
            <w:shd w:val="clear" w:color="auto" w:fill="auto"/>
            <w:noWrap/>
            <w:vAlign w:val="center"/>
            <w:hideMark/>
          </w:tcPr>
          <w:p w:rsidR="00BA003B" w:rsidRPr="00BA003B" w:rsidRDefault="00BA003B" w:rsidP="00BA003B">
            <w:pPr>
              <w:spacing w:after="0" w:line="240" w:lineRule="auto"/>
              <w:jc w:val="center"/>
              <w:rPr>
                <w:rFonts w:ascii="Calibri" w:eastAsia="Times New Roman" w:hAnsi="Calibri" w:cs="Times New Roman"/>
                <w:b/>
                <w:bCs/>
                <w:color w:val="000000"/>
                <w:sz w:val="20"/>
                <w:szCs w:val="20"/>
              </w:rPr>
            </w:pPr>
            <w:r w:rsidRPr="00BA003B">
              <w:rPr>
                <w:rFonts w:ascii="Calibri" w:eastAsia="Times New Roman" w:hAnsi="Calibri" w:cs="Times New Roman"/>
                <w:b/>
                <w:bCs/>
                <w:color w:val="000000"/>
                <w:sz w:val="20"/>
                <w:szCs w:val="20"/>
              </w:rPr>
              <w:t>Table 4.23. Summary of Faulty Case 3</w:t>
            </w:r>
          </w:p>
        </w:tc>
      </w:tr>
      <w:tr w:rsidR="00BA003B" w:rsidRPr="00BA003B" w:rsidTr="00BA003B">
        <w:trPr>
          <w:trHeight w:val="255"/>
          <w:jc w:val="center"/>
        </w:trPr>
        <w:tc>
          <w:tcPr>
            <w:tcW w:w="7560" w:type="dxa"/>
            <w:gridSpan w:val="6"/>
            <w:tcBorders>
              <w:top w:val="nil"/>
              <w:left w:val="nil"/>
              <w:bottom w:val="nil"/>
              <w:right w:val="nil"/>
            </w:tcBorders>
            <w:shd w:val="clear" w:color="auto" w:fill="auto"/>
            <w:noWrap/>
            <w:vAlign w:val="center"/>
            <w:hideMark/>
          </w:tcPr>
          <w:p w:rsidR="00BA003B" w:rsidRPr="00BA003B" w:rsidRDefault="00BA003B" w:rsidP="00BA003B">
            <w:pPr>
              <w:spacing w:after="0" w:line="240" w:lineRule="auto"/>
              <w:jc w:val="center"/>
              <w:rPr>
                <w:rFonts w:ascii="Calibri" w:eastAsia="Times New Roman" w:hAnsi="Calibri" w:cs="Times New Roman"/>
                <w:b/>
                <w:bCs/>
                <w:color w:val="000000"/>
                <w:sz w:val="20"/>
                <w:szCs w:val="20"/>
              </w:rPr>
            </w:pPr>
            <w:r w:rsidRPr="00BA003B">
              <w:rPr>
                <w:rFonts w:ascii="Calibri" w:eastAsia="Times New Roman" w:hAnsi="Calibri" w:cs="Times New Roman"/>
                <w:b/>
                <w:bCs/>
                <w:color w:val="000000"/>
                <w:sz w:val="20"/>
                <w:szCs w:val="20"/>
              </w:rPr>
              <w:t>Summary of Faulty Case</w:t>
            </w:r>
          </w:p>
        </w:tc>
      </w:tr>
      <w:tr w:rsidR="00BA003B" w:rsidRPr="00BA003B" w:rsidTr="00BA003B">
        <w:trPr>
          <w:trHeight w:val="255"/>
          <w:jc w:val="center"/>
        </w:trPr>
        <w:tc>
          <w:tcPr>
            <w:tcW w:w="1371" w:type="dxa"/>
            <w:tcBorders>
              <w:top w:val="nil"/>
              <w:left w:val="nil"/>
              <w:bottom w:val="single" w:sz="4" w:space="0" w:color="auto"/>
              <w:right w:val="nil"/>
            </w:tcBorders>
            <w:shd w:val="clear" w:color="auto" w:fill="auto"/>
            <w:noWrap/>
            <w:vAlign w:val="center"/>
            <w:hideMark/>
          </w:tcPr>
          <w:p w:rsidR="00BA003B" w:rsidRPr="00BA003B" w:rsidRDefault="00BA003B" w:rsidP="00BA003B">
            <w:pPr>
              <w:spacing w:after="0" w:line="240" w:lineRule="auto"/>
              <w:jc w:val="center"/>
              <w:rPr>
                <w:rFonts w:ascii="Calibri" w:eastAsia="Times New Roman" w:hAnsi="Calibri" w:cs="Times New Roman"/>
                <w:b/>
                <w:bCs/>
                <w:color w:val="000000"/>
                <w:sz w:val="20"/>
                <w:szCs w:val="20"/>
              </w:rPr>
            </w:pPr>
            <w:r w:rsidRPr="00BA003B">
              <w:rPr>
                <w:rFonts w:ascii="Calibri" w:eastAsia="Times New Roman" w:hAnsi="Calibri" w:cs="Times New Roman"/>
                <w:b/>
                <w:bCs/>
                <w:color w:val="000000"/>
                <w:sz w:val="20"/>
                <w:szCs w:val="20"/>
              </w:rPr>
              <w:t>Priority</w:t>
            </w:r>
          </w:p>
        </w:tc>
        <w:tc>
          <w:tcPr>
            <w:tcW w:w="938" w:type="dxa"/>
            <w:tcBorders>
              <w:top w:val="nil"/>
              <w:left w:val="nil"/>
              <w:bottom w:val="single" w:sz="4" w:space="0" w:color="auto"/>
              <w:right w:val="nil"/>
            </w:tcBorders>
            <w:shd w:val="clear" w:color="auto" w:fill="auto"/>
            <w:vAlign w:val="center"/>
            <w:hideMark/>
          </w:tcPr>
          <w:p w:rsidR="00BA003B" w:rsidRPr="00BA003B" w:rsidRDefault="00BA003B" w:rsidP="00BA003B">
            <w:pPr>
              <w:spacing w:after="0" w:line="240" w:lineRule="auto"/>
              <w:jc w:val="center"/>
              <w:rPr>
                <w:rFonts w:ascii="Calibri" w:eastAsia="Times New Roman" w:hAnsi="Calibri" w:cs="Times New Roman"/>
                <w:b/>
                <w:bCs/>
                <w:sz w:val="20"/>
                <w:szCs w:val="20"/>
              </w:rPr>
            </w:pPr>
            <w:r w:rsidRPr="00BA003B">
              <w:rPr>
                <w:rFonts w:ascii="Calibri" w:eastAsia="Times New Roman" w:hAnsi="Calibri" w:cs="Times New Roman"/>
                <w:b/>
                <w:bCs/>
                <w:sz w:val="20"/>
                <w:szCs w:val="20"/>
              </w:rPr>
              <w:t>Module</w:t>
            </w:r>
          </w:p>
        </w:tc>
        <w:tc>
          <w:tcPr>
            <w:tcW w:w="1275" w:type="dxa"/>
            <w:tcBorders>
              <w:top w:val="nil"/>
              <w:left w:val="nil"/>
              <w:bottom w:val="single" w:sz="4" w:space="0" w:color="auto"/>
              <w:right w:val="nil"/>
            </w:tcBorders>
            <w:shd w:val="clear" w:color="auto" w:fill="auto"/>
            <w:vAlign w:val="center"/>
            <w:hideMark/>
          </w:tcPr>
          <w:p w:rsidR="00BA003B" w:rsidRPr="00BA003B" w:rsidRDefault="00BA003B" w:rsidP="00BA003B">
            <w:pPr>
              <w:spacing w:after="0" w:line="240" w:lineRule="auto"/>
              <w:jc w:val="center"/>
              <w:rPr>
                <w:rFonts w:ascii="Calibri" w:eastAsia="Times New Roman" w:hAnsi="Calibri" w:cs="Times New Roman"/>
                <w:b/>
                <w:bCs/>
                <w:sz w:val="20"/>
                <w:szCs w:val="20"/>
              </w:rPr>
            </w:pPr>
            <w:r w:rsidRPr="00BA003B">
              <w:rPr>
                <w:rFonts w:ascii="Calibri" w:eastAsia="Times New Roman" w:hAnsi="Calibri" w:cs="Times New Roman"/>
                <w:b/>
                <w:bCs/>
                <w:sz w:val="20"/>
                <w:szCs w:val="20"/>
              </w:rPr>
              <w:t>Faulty Variable</w:t>
            </w:r>
          </w:p>
        </w:tc>
        <w:tc>
          <w:tcPr>
            <w:tcW w:w="1253" w:type="dxa"/>
            <w:tcBorders>
              <w:top w:val="nil"/>
              <w:left w:val="nil"/>
              <w:bottom w:val="single" w:sz="4" w:space="0" w:color="auto"/>
              <w:right w:val="nil"/>
            </w:tcBorders>
            <w:shd w:val="clear" w:color="auto" w:fill="auto"/>
            <w:vAlign w:val="center"/>
            <w:hideMark/>
          </w:tcPr>
          <w:p w:rsidR="00BA003B" w:rsidRPr="00BA003B" w:rsidRDefault="00BA003B" w:rsidP="00BA003B">
            <w:pPr>
              <w:spacing w:after="0" w:line="240" w:lineRule="auto"/>
              <w:jc w:val="center"/>
              <w:rPr>
                <w:rFonts w:ascii="Calibri" w:eastAsia="Times New Roman" w:hAnsi="Calibri" w:cs="Times New Roman"/>
                <w:b/>
                <w:bCs/>
                <w:color w:val="000000"/>
                <w:sz w:val="20"/>
                <w:szCs w:val="20"/>
              </w:rPr>
            </w:pPr>
            <w:r w:rsidRPr="00BA003B">
              <w:rPr>
                <w:rFonts w:ascii="Calibri" w:eastAsia="Times New Roman" w:hAnsi="Calibri" w:cs="Times New Roman"/>
                <w:b/>
                <w:bCs/>
                <w:color w:val="000000"/>
                <w:sz w:val="20"/>
                <w:szCs w:val="20"/>
              </w:rPr>
              <w:t>Base Case Value</w:t>
            </w:r>
          </w:p>
        </w:tc>
        <w:tc>
          <w:tcPr>
            <w:tcW w:w="1037" w:type="dxa"/>
            <w:tcBorders>
              <w:top w:val="nil"/>
              <w:left w:val="nil"/>
              <w:bottom w:val="single" w:sz="4" w:space="0" w:color="auto"/>
              <w:right w:val="nil"/>
            </w:tcBorders>
            <w:shd w:val="clear" w:color="auto" w:fill="auto"/>
            <w:vAlign w:val="center"/>
            <w:hideMark/>
          </w:tcPr>
          <w:p w:rsidR="00BA003B" w:rsidRPr="00BA003B" w:rsidRDefault="00BA003B" w:rsidP="00BA003B">
            <w:pPr>
              <w:spacing w:after="0" w:line="240" w:lineRule="auto"/>
              <w:jc w:val="center"/>
              <w:rPr>
                <w:rFonts w:ascii="Calibri" w:eastAsia="Times New Roman" w:hAnsi="Calibri" w:cs="Times New Roman"/>
                <w:b/>
                <w:bCs/>
                <w:color w:val="000000"/>
                <w:sz w:val="20"/>
                <w:szCs w:val="20"/>
              </w:rPr>
            </w:pPr>
            <w:r w:rsidRPr="00BA003B">
              <w:rPr>
                <w:rFonts w:ascii="Calibri" w:eastAsia="Times New Roman" w:hAnsi="Calibri" w:cs="Times New Roman"/>
                <w:b/>
                <w:bCs/>
                <w:color w:val="000000"/>
                <w:sz w:val="20"/>
                <w:szCs w:val="20"/>
              </w:rPr>
              <w:t>Faulty Value</w:t>
            </w:r>
          </w:p>
        </w:tc>
        <w:tc>
          <w:tcPr>
            <w:tcW w:w="1686" w:type="dxa"/>
            <w:tcBorders>
              <w:top w:val="nil"/>
              <w:left w:val="nil"/>
              <w:bottom w:val="single" w:sz="4" w:space="0" w:color="auto"/>
              <w:right w:val="nil"/>
            </w:tcBorders>
            <w:shd w:val="clear" w:color="auto" w:fill="auto"/>
            <w:vAlign w:val="center"/>
            <w:hideMark/>
          </w:tcPr>
          <w:p w:rsidR="00BA003B" w:rsidRPr="00BA003B" w:rsidRDefault="00BA003B" w:rsidP="00BA003B">
            <w:pPr>
              <w:spacing w:after="0" w:line="240" w:lineRule="auto"/>
              <w:jc w:val="center"/>
              <w:rPr>
                <w:rFonts w:ascii="Calibri" w:eastAsia="Times New Roman" w:hAnsi="Calibri" w:cs="Times New Roman"/>
                <w:b/>
                <w:bCs/>
                <w:sz w:val="20"/>
                <w:szCs w:val="20"/>
              </w:rPr>
            </w:pPr>
            <w:r w:rsidRPr="00BA003B">
              <w:rPr>
                <w:rFonts w:ascii="Calibri" w:eastAsia="Times New Roman" w:hAnsi="Calibri" w:cs="Times New Roman"/>
                <w:b/>
                <w:bCs/>
                <w:sz w:val="20"/>
                <w:szCs w:val="20"/>
              </w:rPr>
              <w:t>Physical Description</w:t>
            </w:r>
          </w:p>
        </w:tc>
      </w:tr>
      <w:tr w:rsidR="00BA003B" w:rsidRPr="00BA003B" w:rsidTr="00BA003B">
        <w:trPr>
          <w:trHeight w:val="1815"/>
          <w:jc w:val="center"/>
        </w:trPr>
        <w:tc>
          <w:tcPr>
            <w:tcW w:w="1371" w:type="dxa"/>
            <w:tcBorders>
              <w:top w:val="nil"/>
              <w:left w:val="nil"/>
              <w:bottom w:val="nil"/>
              <w:right w:val="nil"/>
            </w:tcBorders>
            <w:shd w:val="clear" w:color="auto" w:fill="auto"/>
            <w:noWrap/>
            <w:vAlign w:val="center"/>
            <w:hideMark/>
          </w:tcPr>
          <w:p w:rsidR="00BA003B" w:rsidRPr="00BA003B" w:rsidRDefault="00BA003B" w:rsidP="00BA003B">
            <w:pPr>
              <w:spacing w:after="0" w:line="240" w:lineRule="auto"/>
              <w:jc w:val="center"/>
              <w:rPr>
                <w:rFonts w:ascii="Calibri" w:eastAsia="Times New Roman" w:hAnsi="Calibri" w:cs="Times New Roman"/>
                <w:color w:val="000000"/>
                <w:sz w:val="20"/>
                <w:szCs w:val="20"/>
              </w:rPr>
            </w:pPr>
            <w:r w:rsidRPr="00BA003B">
              <w:rPr>
                <w:rFonts w:ascii="Calibri" w:eastAsia="Times New Roman" w:hAnsi="Calibri" w:cs="Times New Roman"/>
                <w:color w:val="000000"/>
                <w:sz w:val="20"/>
                <w:szCs w:val="20"/>
              </w:rPr>
              <w:t>Medium</w:t>
            </w:r>
          </w:p>
        </w:tc>
        <w:tc>
          <w:tcPr>
            <w:tcW w:w="938" w:type="dxa"/>
            <w:tcBorders>
              <w:top w:val="nil"/>
              <w:left w:val="nil"/>
              <w:bottom w:val="nil"/>
              <w:right w:val="nil"/>
            </w:tcBorders>
            <w:shd w:val="clear" w:color="auto" w:fill="auto"/>
            <w:vAlign w:val="center"/>
            <w:hideMark/>
          </w:tcPr>
          <w:p w:rsidR="00BA003B" w:rsidRPr="00BA003B" w:rsidRDefault="00BA003B" w:rsidP="00BA003B">
            <w:pPr>
              <w:spacing w:after="0" w:line="240" w:lineRule="auto"/>
              <w:jc w:val="center"/>
              <w:rPr>
                <w:rFonts w:ascii="Calibri" w:eastAsia="Times New Roman" w:hAnsi="Calibri" w:cs="Times New Roman"/>
                <w:sz w:val="20"/>
                <w:szCs w:val="20"/>
              </w:rPr>
            </w:pPr>
            <w:r w:rsidRPr="00BA003B">
              <w:rPr>
                <w:rFonts w:ascii="Calibri" w:eastAsia="Times New Roman" w:hAnsi="Calibri" w:cs="Times New Roman"/>
                <w:sz w:val="20"/>
                <w:szCs w:val="20"/>
              </w:rPr>
              <w:t>1</w:t>
            </w:r>
          </w:p>
        </w:tc>
        <w:tc>
          <w:tcPr>
            <w:tcW w:w="1275" w:type="dxa"/>
            <w:tcBorders>
              <w:top w:val="nil"/>
              <w:left w:val="nil"/>
              <w:bottom w:val="nil"/>
              <w:right w:val="nil"/>
            </w:tcBorders>
            <w:shd w:val="clear" w:color="auto" w:fill="auto"/>
            <w:vAlign w:val="center"/>
            <w:hideMark/>
          </w:tcPr>
          <w:p w:rsidR="00BA003B" w:rsidRPr="00BA003B" w:rsidRDefault="00BA003B" w:rsidP="00BA003B">
            <w:pPr>
              <w:spacing w:after="0" w:line="240" w:lineRule="auto"/>
              <w:jc w:val="center"/>
              <w:rPr>
                <w:rFonts w:ascii="Calibri" w:eastAsia="Times New Roman" w:hAnsi="Calibri" w:cs="Times New Roman"/>
                <w:color w:val="000000"/>
                <w:sz w:val="20"/>
                <w:szCs w:val="20"/>
              </w:rPr>
            </w:pPr>
            <w:r w:rsidRPr="00BA003B">
              <w:rPr>
                <w:rFonts w:ascii="Calibri" w:eastAsia="Times New Roman" w:hAnsi="Calibri" w:cs="Times New Roman"/>
                <w:color w:val="000000"/>
                <w:sz w:val="20"/>
                <w:szCs w:val="20"/>
              </w:rPr>
              <w:t>X</w:t>
            </w:r>
            <w:r w:rsidRPr="00BA003B">
              <w:rPr>
                <w:rFonts w:ascii="Calibri" w:eastAsia="Times New Roman" w:hAnsi="Calibri" w:cs="Times New Roman"/>
                <w:color w:val="000000"/>
                <w:sz w:val="20"/>
                <w:szCs w:val="20"/>
                <w:vertAlign w:val="subscript"/>
              </w:rPr>
              <w:t>Mod1A</w:t>
            </w:r>
          </w:p>
        </w:tc>
        <w:tc>
          <w:tcPr>
            <w:tcW w:w="1253" w:type="dxa"/>
            <w:tcBorders>
              <w:top w:val="nil"/>
              <w:left w:val="nil"/>
              <w:bottom w:val="nil"/>
              <w:right w:val="nil"/>
            </w:tcBorders>
            <w:shd w:val="clear" w:color="auto" w:fill="auto"/>
            <w:vAlign w:val="center"/>
            <w:hideMark/>
          </w:tcPr>
          <w:p w:rsidR="00BA003B" w:rsidRPr="00BA003B" w:rsidRDefault="00BA003B" w:rsidP="00BA003B">
            <w:pPr>
              <w:spacing w:after="0" w:line="240" w:lineRule="auto"/>
              <w:jc w:val="center"/>
              <w:rPr>
                <w:rFonts w:ascii="Calibri" w:eastAsia="Times New Roman" w:hAnsi="Calibri" w:cs="Times New Roman"/>
                <w:color w:val="000000"/>
                <w:sz w:val="20"/>
                <w:szCs w:val="20"/>
              </w:rPr>
            </w:pPr>
            <w:r w:rsidRPr="00BA003B">
              <w:rPr>
                <w:rFonts w:ascii="Calibri" w:eastAsia="Times New Roman" w:hAnsi="Calibri" w:cs="Times New Roman"/>
                <w:color w:val="000000"/>
                <w:sz w:val="20"/>
                <w:szCs w:val="20"/>
              </w:rPr>
              <w:t>0.9799</w:t>
            </w:r>
          </w:p>
        </w:tc>
        <w:tc>
          <w:tcPr>
            <w:tcW w:w="1037" w:type="dxa"/>
            <w:tcBorders>
              <w:top w:val="nil"/>
              <w:left w:val="nil"/>
              <w:bottom w:val="nil"/>
              <w:right w:val="nil"/>
            </w:tcBorders>
            <w:shd w:val="clear" w:color="auto" w:fill="auto"/>
            <w:vAlign w:val="center"/>
            <w:hideMark/>
          </w:tcPr>
          <w:p w:rsidR="00BA003B" w:rsidRPr="00BA003B" w:rsidRDefault="00BA003B" w:rsidP="00BA003B">
            <w:pPr>
              <w:spacing w:after="0" w:line="240" w:lineRule="auto"/>
              <w:jc w:val="center"/>
              <w:rPr>
                <w:rFonts w:ascii="Calibri" w:eastAsia="Times New Roman" w:hAnsi="Calibri" w:cs="Times New Roman"/>
                <w:color w:val="000000"/>
                <w:sz w:val="20"/>
                <w:szCs w:val="20"/>
              </w:rPr>
            </w:pPr>
            <w:r w:rsidRPr="00BA003B">
              <w:rPr>
                <w:rFonts w:ascii="Calibri" w:eastAsia="Times New Roman" w:hAnsi="Calibri" w:cs="Times New Roman"/>
                <w:color w:val="000000"/>
                <w:sz w:val="20"/>
                <w:szCs w:val="20"/>
              </w:rPr>
              <w:t>0.95</w:t>
            </w:r>
          </w:p>
        </w:tc>
        <w:tc>
          <w:tcPr>
            <w:tcW w:w="1686" w:type="dxa"/>
            <w:tcBorders>
              <w:top w:val="nil"/>
              <w:left w:val="nil"/>
              <w:bottom w:val="nil"/>
              <w:right w:val="nil"/>
            </w:tcBorders>
            <w:shd w:val="clear" w:color="auto" w:fill="auto"/>
            <w:vAlign w:val="center"/>
            <w:hideMark/>
          </w:tcPr>
          <w:p w:rsidR="00BA003B" w:rsidRPr="00BA003B" w:rsidRDefault="00BA003B" w:rsidP="00BA003B">
            <w:pPr>
              <w:spacing w:after="0" w:line="240" w:lineRule="auto"/>
              <w:rPr>
                <w:rFonts w:ascii="Calibri" w:eastAsia="Times New Roman" w:hAnsi="Calibri" w:cs="Times New Roman"/>
                <w:sz w:val="20"/>
                <w:szCs w:val="20"/>
              </w:rPr>
            </w:pPr>
            <w:r w:rsidRPr="00BA003B">
              <w:rPr>
                <w:rFonts w:ascii="Calibri" w:eastAsia="Times New Roman" w:hAnsi="Calibri" w:cs="Times New Roman"/>
                <w:sz w:val="20"/>
                <w:szCs w:val="20"/>
              </w:rPr>
              <w:t>Inefficient dissolver operations resulted in less U</w:t>
            </w:r>
            <w:r w:rsidRPr="00BA003B">
              <w:rPr>
                <w:rFonts w:ascii="Calibri" w:eastAsia="Times New Roman" w:hAnsi="Calibri" w:cs="Times New Roman"/>
                <w:sz w:val="20"/>
                <w:szCs w:val="20"/>
                <w:vertAlign w:val="subscript"/>
              </w:rPr>
              <w:t>3</w:t>
            </w:r>
            <w:r w:rsidRPr="00BA003B">
              <w:rPr>
                <w:rFonts w:ascii="Calibri" w:eastAsia="Times New Roman" w:hAnsi="Calibri" w:cs="Times New Roman"/>
                <w:sz w:val="20"/>
                <w:szCs w:val="20"/>
              </w:rPr>
              <w:t>O</w:t>
            </w:r>
            <w:r w:rsidRPr="00BA003B">
              <w:rPr>
                <w:rFonts w:ascii="Calibri" w:eastAsia="Times New Roman" w:hAnsi="Calibri" w:cs="Times New Roman"/>
                <w:sz w:val="20"/>
                <w:szCs w:val="20"/>
                <w:vertAlign w:val="subscript"/>
              </w:rPr>
              <w:t>8</w:t>
            </w:r>
            <w:r w:rsidRPr="00BA003B">
              <w:rPr>
                <w:rFonts w:ascii="Calibri" w:eastAsia="Times New Roman" w:hAnsi="Calibri" w:cs="Times New Roman"/>
                <w:sz w:val="20"/>
                <w:szCs w:val="20"/>
              </w:rPr>
              <w:t xml:space="preserve"> converted to UN and more U in waste streams</w:t>
            </w:r>
          </w:p>
        </w:tc>
      </w:tr>
      <w:tr w:rsidR="00BA003B" w:rsidRPr="00BA003B" w:rsidTr="00BA003B">
        <w:trPr>
          <w:trHeight w:val="255"/>
          <w:jc w:val="center"/>
        </w:trPr>
        <w:tc>
          <w:tcPr>
            <w:tcW w:w="7560" w:type="dxa"/>
            <w:gridSpan w:val="6"/>
            <w:tcBorders>
              <w:top w:val="single" w:sz="4" w:space="0" w:color="auto"/>
              <w:left w:val="nil"/>
              <w:bottom w:val="nil"/>
              <w:right w:val="nil"/>
            </w:tcBorders>
            <w:shd w:val="clear" w:color="auto" w:fill="auto"/>
            <w:noWrap/>
            <w:vAlign w:val="center"/>
            <w:hideMark/>
          </w:tcPr>
          <w:p w:rsidR="00BA003B" w:rsidRPr="00BA003B" w:rsidRDefault="00BA003B" w:rsidP="00BA003B">
            <w:pPr>
              <w:spacing w:after="0" w:line="240" w:lineRule="auto"/>
              <w:jc w:val="center"/>
              <w:rPr>
                <w:rFonts w:ascii="Calibri" w:eastAsia="Times New Roman" w:hAnsi="Calibri" w:cs="Times New Roman"/>
                <w:b/>
                <w:bCs/>
                <w:color w:val="000000"/>
                <w:sz w:val="20"/>
                <w:szCs w:val="20"/>
              </w:rPr>
            </w:pPr>
            <w:r w:rsidRPr="00BA003B">
              <w:rPr>
                <w:rFonts w:ascii="Calibri" w:eastAsia="Times New Roman" w:hAnsi="Calibri" w:cs="Times New Roman"/>
                <w:b/>
                <w:bCs/>
                <w:color w:val="000000"/>
                <w:sz w:val="20"/>
                <w:szCs w:val="20"/>
              </w:rPr>
              <w:t>Summary of Results</w:t>
            </w:r>
          </w:p>
        </w:tc>
      </w:tr>
      <w:tr w:rsidR="00BA003B" w:rsidRPr="00BA003B" w:rsidTr="00BA003B">
        <w:trPr>
          <w:trHeight w:val="255"/>
          <w:jc w:val="center"/>
        </w:trPr>
        <w:tc>
          <w:tcPr>
            <w:tcW w:w="1371" w:type="dxa"/>
            <w:tcBorders>
              <w:top w:val="nil"/>
              <w:left w:val="nil"/>
              <w:bottom w:val="single" w:sz="4" w:space="0" w:color="auto"/>
              <w:right w:val="nil"/>
            </w:tcBorders>
            <w:shd w:val="clear" w:color="auto" w:fill="auto"/>
            <w:noWrap/>
            <w:vAlign w:val="center"/>
            <w:hideMark/>
          </w:tcPr>
          <w:p w:rsidR="00BA003B" w:rsidRPr="00BA003B" w:rsidRDefault="00BA003B" w:rsidP="00BA003B">
            <w:pPr>
              <w:spacing w:after="0" w:line="240" w:lineRule="auto"/>
              <w:jc w:val="center"/>
              <w:rPr>
                <w:rFonts w:ascii="Calibri" w:eastAsia="Times New Roman" w:hAnsi="Calibri" w:cs="Times New Roman"/>
                <w:color w:val="000000"/>
                <w:sz w:val="20"/>
                <w:szCs w:val="20"/>
              </w:rPr>
            </w:pPr>
            <w:r w:rsidRPr="00BA003B">
              <w:rPr>
                <w:rFonts w:ascii="Calibri" w:eastAsia="Times New Roman" w:hAnsi="Calibri" w:cs="Times New Roman"/>
                <w:color w:val="000000"/>
                <w:sz w:val="20"/>
                <w:szCs w:val="20"/>
              </w:rPr>
              <w:t> </w:t>
            </w:r>
          </w:p>
        </w:tc>
        <w:tc>
          <w:tcPr>
            <w:tcW w:w="938" w:type="dxa"/>
            <w:tcBorders>
              <w:top w:val="nil"/>
              <w:left w:val="nil"/>
              <w:bottom w:val="single" w:sz="4" w:space="0" w:color="auto"/>
              <w:right w:val="nil"/>
            </w:tcBorders>
            <w:shd w:val="clear" w:color="auto" w:fill="auto"/>
            <w:vAlign w:val="center"/>
            <w:hideMark/>
          </w:tcPr>
          <w:p w:rsidR="00BA003B" w:rsidRPr="00BA003B" w:rsidRDefault="00BA003B" w:rsidP="00BA003B">
            <w:pPr>
              <w:spacing w:after="0" w:line="240" w:lineRule="auto"/>
              <w:jc w:val="center"/>
              <w:rPr>
                <w:rFonts w:ascii="Calibri" w:eastAsia="Times New Roman" w:hAnsi="Calibri" w:cs="Times New Roman"/>
                <w:b/>
                <w:bCs/>
                <w:sz w:val="20"/>
                <w:szCs w:val="20"/>
              </w:rPr>
            </w:pPr>
            <w:r w:rsidRPr="00BA003B">
              <w:rPr>
                <w:rFonts w:ascii="Calibri" w:eastAsia="Times New Roman" w:hAnsi="Calibri" w:cs="Times New Roman"/>
                <w:b/>
                <w:bCs/>
                <w:sz w:val="20"/>
                <w:szCs w:val="20"/>
              </w:rPr>
              <w:t>PC1</w:t>
            </w:r>
            <w:r w:rsidR="00E4364C">
              <w:rPr>
                <w:rFonts w:ascii="Calibri" w:eastAsia="Times New Roman" w:hAnsi="Calibri" w:cs="Times New Roman"/>
                <w:b/>
                <w:bCs/>
                <w:sz w:val="20"/>
                <w:szCs w:val="20"/>
              </w:rPr>
              <w:t xml:space="preserve"> Scores</w:t>
            </w:r>
          </w:p>
        </w:tc>
        <w:tc>
          <w:tcPr>
            <w:tcW w:w="1275" w:type="dxa"/>
            <w:tcBorders>
              <w:top w:val="nil"/>
              <w:left w:val="nil"/>
              <w:bottom w:val="single" w:sz="4" w:space="0" w:color="auto"/>
              <w:right w:val="nil"/>
            </w:tcBorders>
            <w:shd w:val="clear" w:color="auto" w:fill="auto"/>
            <w:vAlign w:val="center"/>
            <w:hideMark/>
          </w:tcPr>
          <w:p w:rsidR="00E4364C" w:rsidRDefault="00BA003B" w:rsidP="00BA003B">
            <w:pPr>
              <w:spacing w:after="0" w:line="240" w:lineRule="auto"/>
              <w:jc w:val="center"/>
              <w:rPr>
                <w:rFonts w:ascii="Calibri" w:eastAsia="Times New Roman" w:hAnsi="Calibri" w:cs="Times New Roman"/>
                <w:b/>
                <w:bCs/>
                <w:color w:val="000000"/>
                <w:sz w:val="20"/>
                <w:szCs w:val="20"/>
              </w:rPr>
            </w:pPr>
            <w:r w:rsidRPr="00BA003B">
              <w:rPr>
                <w:rFonts w:ascii="Calibri" w:eastAsia="Times New Roman" w:hAnsi="Calibri" w:cs="Times New Roman"/>
                <w:b/>
                <w:bCs/>
                <w:color w:val="000000"/>
                <w:sz w:val="20"/>
                <w:szCs w:val="20"/>
              </w:rPr>
              <w:t>PC2</w:t>
            </w:r>
            <w:r w:rsidR="00E4364C">
              <w:rPr>
                <w:rFonts w:ascii="Calibri" w:eastAsia="Times New Roman" w:hAnsi="Calibri" w:cs="Times New Roman"/>
                <w:b/>
                <w:bCs/>
                <w:color w:val="000000"/>
                <w:sz w:val="20"/>
                <w:szCs w:val="20"/>
              </w:rPr>
              <w:t xml:space="preserve"> </w:t>
            </w:r>
          </w:p>
          <w:p w:rsidR="00BA003B" w:rsidRPr="00BA003B" w:rsidRDefault="00E4364C" w:rsidP="00BA003B">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1253" w:type="dxa"/>
            <w:tcBorders>
              <w:top w:val="nil"/>
              <w:left w:val="nil"/>
              <w:bottom w:val="single" w:sz="4" w:space="0" w:color="auto"/>
              <w:right w:val="nil"/>
            </w:tcBorders>
            <w:shd w:val="clear" w:color="auto" w:fill="auto"/>
            <w:vAlign w:val="center"/>
            <w:hideMark/>
          </w:tcPr>
          <w:p w:rsidR="00E4364C" w:rsidRDefault="00BA003B" w:rsidP="00BA003B">
            <w:pPr>
              <w:spacing w:after="0" w:line="240" w:lineRule="auto"/>
              <w:jc w:val="center"/>
              <w:rPr>
                <w:rFonts w:ascii="Calibri" w:eastAsia="Times New Roman" w:hAnsi="Calibri" w:cs="Times New Roman"/>
                <w:b/>
                <w:bCs/>
                <w:color w:val="000000"/>
                <w:sz w:val="20"/>
                <w:szCs w:val="20"/>
              </w:rPr>
            </w:pPr>
            <w:r w:rsidRPr="00BA003B">
              <w:rPr>
                <w:rFonts w:ascii="Calibri" w:eastAsia="Times New Roman" w:hAnsi="Calibri" w:cs="Times New Roman"/>
                <w:b/>
                <w:bCs/>
                <w:color w:val="000000"/>
                <w:sz w:val="20"/>
                <w:szCs w:val="20"/>
              </w:rPr>
              <w:t>PC3</w:t>
            </w:r>
            <w:r w:rsidR="00E4364C">
              <w:rPr>
                <w:rFonts w:ascii="Calibri" w:eastAsia="Times New Roman" w:hAnsi="Calibri" w:cs="Times New Roman"/>
                <w:b/>
                <w:bCs/>
                <w:color w:val="000000"/>
                <w:sz w:val="20"/>
                <w:szCs w:val="20"/>
              </w:rPr>
              <w:t xml:space="preserve"> </w:t>
            </w:r>
          </w:p>
          <w:p w:rsidR="00BA003B" w:rsidRPr="00BA003B" w:rsidRDefault="00E4364C" w:rsidP="00BA003B">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1037" w:type="dxa"/>
            <w:tcBorders>
              <w:top w:val="nil"/>
              <w:left w:val="nil"/>
              <w:bottom w:val="single" w:sz="4" w:space="0" w:color="auto"/>
              <w:right w:val="nil"/>
            </w:tcBorders>
            <w:shd w:val="clear" w:color="auto" w:fill="auto"/>
            <w:vAlign w:val="center"/>
            <w:hideMark/>
          </w:tcPr>
          <w:p w:rsidR="00BA003B" w:rsidRPr="00BA003B" w:rsidRDefault="00BA003B" w:rsidP="00BA003B">
            <w:pPr>
              <w:spacing w:after="0" w:line="240" w:lineRule="auto"/>
              <w:jc w:val="center"/>
              <w:rPr>
                <w:rFonts w:ascii="Calibri" w:eastAsia="Times New Roman" w:hAnsi="Calibri" w:cs="Times New Roman"/>
                <w:b/>
                <w:bCs/>
                <w:color w:val="000000"/>
                <w:sz w:val="20"/>
                <w:szCs w:val="20"/>
              </w:rPr>
            </w:pPr>
            <w:r w:rsidRPr="00BA003B">
              <w:rPr>
                <w:rFonts w:ascii="Calibri" w:eastAsia="Times New Roman" w:hAnsi="Calibri" w:cs="Times New Roman"/>
                <w:b/>
                <w:bCs/>
                <w:color w:val="000000"/>
                <w:sz w:val="20"/>
                <w:szCs w:val="20"/>
              </w:rPr>
              <w:t>T2</w:t>
            </w:r>
          </w:p>
        </w:tc>
        <w:tc>
          <w:tcPr>
            <w:tcW w:w="1686" w:type="dxa"/>
            <w:tcBorders>
              <w:top w:val="nil"/>
              <w:left w:val="nil"/>
              <w:bottom w:val="single" w:sz="4" w:space="0" w:color="auto"/>
              <w:right w:val="nil"/>
            </w:tcBorders>
            <w:shd w:val="clear" w:color="auto" w:fill="auto"/>
            <w:vAlign w:val="center"/>
            <w:hideMark/>
          </w:tcPr>
          <w:p w:rsidR="00BA003B" w:rsidRPr="00BA003B" w:rsidRDefault="00BA003B" w:rsidP="00BA003B">
            <w:pPr>
              <w:spacing w:after="0" w:line="240" w:lineRule="auto"/>
              <w:jc w:val="center"/>
              <w:rPr>
                <w:rFonts w:ascii="Calibri" w:eastAsia="Times New Roman" w:hAnsi="Calibri" w:cs="Times New Roman"/>
                <w:b/>
                <w:bCs/>
                <w:color w:val="000000"/>
                <w:sz w:val="20"/>
                <w:szCs w:val="20"/>
              </w:rPr>
            </w:pPr>
            <w:r w:rsidRPr="00BA003B">
              <w:rPr>
                <w:rFonts w:ascii="Calibri" w:eastAsia="Times New Roman" w:hAnsi="Calibri" w:cs="Times New Roman"/>
                <w:b/>
                <w:bCs/>
                <w:color w:val="000000"/>
                <w:sz w:val="20"/>
                <w:szCs w:val="20"/>
              </w:rPr>
              <w:t>Q</w:t>
            </w:r>
          </w:p>
        </w:tc>
      </w:tr>
      <w:tr w:rsidR="00BA003B" w:rsidRPr="00BA003B" w:rsidTr="00BA003B">
        <w:trPr>
          <w:trHeight w:val="255"/>
          <w:jc w:val="center"/>
        </w:trPr>
        <w:tc>
          <w:tcPr>
            <w:tcW w:w="1371" w:type="dxa"/>
            <w:tcBorders>
              <w:top w:val="nil"/>
              <w:left w:val="nil"/>
              <w:bottom w:val="nil"/>
              <w:right w:val="nil"/>
            </w:tcBorders>
            <w:shd w:val="clear" w:color="auto" w:fill="auto"/>
            <w:noWrap/>
            <w:vAlign w:val="center"/>
            <w:hideMark/>
          </w:tcPr>
          <w:p w:rsidR="00BA003B" w:rsidRPr="00BA003B" w:rsidRDefault="00BA003B" w:rsidP="00BA003B">
            <w:pPr>
              <w:spacing w:after="0" w:line="240" w:lineRule="auto"/>
              <w:jc w:val="center"/>
              <w:rPr>
                <w:rFonts w:ascii="Calibri" w:eastAsia="Times New Roman" w:hAnsi="Calibri" w:cs="Times New Roman"/>
                <w:b/>
                <w:bCs/>
                <w:color w:val="000000"/>
                <w:sz w:val="20"/>
                <w:szCs w:val="20"/>
              </w:rPr>
            </w:pPr>
            <w:r w:rsidRPr="00BA003B">
              <w:rPr>
                <w:rFonts w:ascii="Calibri" w:eastAsia="Times New Roman" w:hAnsi="Calibri" w:cs="Times New Roman"/>
                <w:b/>
                <w:bCs/>
                <w:color w:val="000000"/>
                <w:sz w:val="20"/>
                <w:szCs w:val="20"/>
              </w:rPr>
              <w:t>Direction</w:t>
            </w:r>
          </w:p>
        </w:tc>
        <w:tc>
          <w:tcPr>
            <w:tcW w:w="938" w:type="dxa"/>
            <w:tcBorders>
              <w:top w:val="nil"/>
              <w:left w:val="nil"/>
              <w:bottom w:val="nil"/>
              <w:right w:val="nil"/>
            </w:tcBorders>
            <w:shd w:val="clear" w:color="auto" w:fill="auto"/>
            <w:noWrap/>
            <w:vAlign w:val="center"/>
            <w:hideMark/>
          </w:tcPr>
          <w:p w:rsidR="00BA003B" w:rsidRPr="00BA003B" w:rsidRDefault="00BA003B" w:rsidP="00BA003B">
            <w:pPr>
              <w:spacing w:after="0" w:line="240" w:lineRule="auto"/>
              <w:jc w:val="center"/>
              <w:rPr>
                <w:rFonts w:ascii="Calibri" w:eastAsia="Times New Roman" w:hAnsi="Calibri" w:cs="Times New Roman"/>
                <w:color w:val="000000"/>
                <w:sz w:val="20"/>
                <w:szCs w:val="20"/>
              </w:rPr>
            </w:pPr>
            <w:r w:rsidRPr="00BA003B">
              <w:rPr>
                <w:rFonts w:ascii="Calibri" w:eastAsia="Times New Roman" w:hAnsi="Calibri" w:cs="Times New Roman"/>
                <w:color w:val="000000"/>
                <w:sz w:val="20"/>
                <w:szCs w:val="20"/>
              </w:rPr>
              <w:t>-</w:t>
            </w:r>
          </w:p>
        </w:tc>
        <w:tc>
          <w:tcPr>
            <w:tcW w:w="1275" w:type="dxa"/>
            <w:tcBorders>
              <w:top w:val="nil"/>
              <w:left w:val="nil"/>
              <w:bottom w:val="nil"/>
              <w:right w:val="nil"/>
            </w:tcBorders>
            <w:shd w:val="clear" w:color="auto" w:fill="auto"/>
            <w:noWrap/>
            <w:vAlign w:val="center"/>
            <w:hideMark/>
          </w:tcPr>
          <w:p w:rsidR="00BA003B" w:rsidRPr="00BA003B" w:rsidRDefault="00BA003B" w:rsidP="00BA003B">
            <w:pPr>
              <w:spacing w:after="0" w:line="240" w:lineRule="auto"/>
              <w:jc w:val="center"/>
              <w:rPr>
                <w:rFonts w:ascii="Calibri" w:eastAsia="Times New Roman" w:hAnsi="Calibri" w:cs="Times New Roman"/>
                <w:color w:val="000000"/>
                <w:sz w:val="20"/>
                <w:szCs w:val="20"/>
              </w:rPr>
            </w:pPr>
            <w:r w:rsidRPr="00BA003B">
              <w:rPr>
                <w:rFonts w:ascii="Calibri" w:eastAsia="Times New Roman" w:hAnsi="Calibri" w:cs="Times New Roman"/>
                <w:color w:val="000000"/>
                <w:sz w:val="20"/>
                <w:szCs w:val="20"/>
              </w:rPr>
              <w:t>+</w:t>
            </w:r>
          </w:p>
        </w:tc>
        <w:tc>
          <w:tcPr>
            <w:tcW w:w="1253" w:type="dxa"/>
            <w:tcBorders>
              <w:top w:val="nil"/>
              <w:left w:val="nil"/>
              <w:bottom w:val="nil"/>
              <w:right w:val="nil"/>
            </w:tcBorders>
            <w:shd w:val="clear" w:color="auto" w:fill="auto"/>
            <w:noWrap/>
            <w:vAlign w:val="center"/>
            <w:hideMark/>
          </w:tcPr>
          <w:p w:rsidR="00BA003B" w:rsidRPr="00BA003B" w:rsidRDefault="00BA003B" w:rsidP="00BA003B">
            <w:pPr>
              <w:spacing w:after="0" w:line="240" w:lineRule="auto"/>
              <w:jc w:val="center"/>
              <w:rPr>
                <w:rFonts w:ascii="Calibri" w:eastAsia="Times New Roman" w:hAnsi="Calibri" w:cs="Times New Roman"/>
                <w:color w:val="000000"/>
                <w:sz w:val="20"/>
                <w:szCs w:val="20"/>
              </w:rPr>
            </w:pPr>
            <w:r w:rsidRPr="00BA003B">
              <w:rPr>
                <w:rFonts w:ascii="Calibri" w:eastAsia="Times New Roman" w:hAnsi="Calibri" w:cs="Times New Roman"/>
                <w:color w:val="000000"/>
                <w:sz w:val="20"/>
                <w:szCs w:val="20"/>
              </w:rPr>
              <w:t>-</w:t>
            </w:r>
          </w:p>
        </w:tc>
        <w:tc>
          <w:tcPr>
            <w:tcW w:w="1037" w:type="dxa"/>
            <w:tcBorders>
              <w:top w:val="nil"/>
              <w:left w:val="nil"/>
              <w:bottom w:val="nil"/>
              <w:right w:val="nil"/>
            </w:tcBorders>
            <w:shd w:val="clear" w:color="auto" w:fill="auto"/>
            <w:noWrap/>
            <w:vAlign w:val="center"/>
            <w:hideMark/>
          </w:tcPr>
          <w:p w:rsidR="00BA003B" w:rsidRPr="00BA003B" w:rsidRDefault="00BA003B" w:rsidP="00BA003B">
            <w:pPr>
              <w:spacing w:after="0" w:line="240" w:lineRule="auto"/>
              <w:jc w:val="center"/>
              <w:rPr>
                <w:rFonts w:ascii="Calibri" w:eastAsia="Times New Roman" w:hAnsi="Calibri" w:cs="Times New Roman"/>
                <w:color w:val="000000"/>
                <w:sz w:val="20"/>
                <w:szCs w:val="20"/>
              </w:rPr>
            </w:pPr>
            <w:r w:rsidRPr="00BA003B">
              <w:rPr>
                <w:rFonts w:ascii="Calibri" w:eastAsia="Times New Roman" w:hAnsi="Calibri" w:cs="Times New Roman"/>
                <w:color w:val="000000"/>
                <w:sz w:val="20"/>
                <w:szCs w:val="20"/>
              </w:rPr>
              <w:t>+</w:t>
            </w:r>
          </w:p>
        </w:tc>
        <w:tc>
          <w:tcPr>
            <w:tcW w:w="1686" w:type="dxa"/>
            <w:tcBorders>
              <w:top w:val="nil"/>
              <w:left w:val="nil"/>
              <w:bottom w:val="nil"/>
              <w:right w:val="nil"/>
            </w:tcBorders>
            <w:shd w:val="clear" w:color="auto" w:fill="auto"/>
            <w:noWrap/>
            <w:vAlign w:val="center"/>
            <w:hideMark/>
          </w:tcPr>
          <w:p w:rsidR="00BA003B" w:rsidRPr="00BA003B" w:rsidRDefault="00BA003B" w:rsidP="00BA003B">
            <w:pPr>
              <w:spacing w:after="0" w:line="240" w:lineRule="auto"/>
              <w:jc w:val="center"/>
              <w:rPr>
                <w:rFonts w:ascii="Calibri" w:eastAsia="Times New Roman" w:hAnsi="Calibri" w:cs="Times New Roman"/>
                <w:color w:val="000000"/>
                <w:sz w:val="20"/>
                <w:szCs w:val="20"/>
              </w:rPr>
            </w:pPr>
            <w:r w:rsidRPr="00BA003B">
              <w:rPr>
                <w:rFonts w:ascii="Calibri" w:eastAsia="Times New Roman" w:hAnsi="Calibri" w:cs="Times New Roman"/>
                <w:color w:val="000000"/>
                <w:sz w:val="20"/>
                <w:szCs w:val="20"/>
              </w:rPr>
              <w:t>+</w:t>
            </w:r>
          </w:p>
        </w:tc>
      </w:tr>
      <w:tr w:rsidR="00BA003B" w:rsidRPr="00BA003B" w:rsidTr="00BA003B">
        <w:trPr>
          <w:trHeight w:val="270"/>
          <w:jc w:val="center"/>
        </w:trPr>
        <w:tc>
          <w:tcPr>
            <w:tcW w:w="1371" w:type="dxa"/>
            <w:tcBorders>
              <w:top w:val="nil"/>
              <w:left w:val="nil"/>
              <w:bottom w:val="single" w:sz="8" w:space="0" w:color="auto"/>
              <w:right w:val="nil"/>
            </w:tcBorders>
            <w:shd w:val="clear" w:color="auto" w:fill="auto"/>
            <w:noWrap/>
            <w:vAlign w:val="center"/>
            <w:hideMark/>
          </w:tcPr>
          <w:p w:rsidR="00BA003B" w:rsidRPr="00BA003B" w:rsidRDefault="00BA003B" w:rsidP="00BA003B">
            <w:pPr>
              <w:spacing w:after="0" w:line="240" w:lineRule="auto"/>
              <w:jc w:val="center"/>
              <w:rPr>
                <w:rFonts w:ascii="Calibri" w:eastAsia="Times New Roman" w:hAnsi="Calibri" w:cs="Times New Roman"/>
                <w:b/>
                <w:bCs/>
                <w:color w:val="000000"/>
                <w:sz w:val="20"/>
                <w:szCs w:val="20"/>
              </w:rPr>
            </w:pPr>
            <w:r w:rsidRPr="00BA003B">
              <w:rPr>
                <w:rFonts w:ascii="Calibri" w:eastAsia="Times New Roman" w:hAnsi="Calibri" w:cs="Times New Roman"/>
                <w:b/>
                <w:bCs/>
                <w:color w:val="000000"/>
                <w:sz w:val="20"/>
                <w:szCs w:val="20"/>
              </w:rPr>
              <w:t>Detectability</w:t>
            </w:r>
          </w:p>
        </w:tc>
        <w:tc>
          <w:tcPr>
            <w:tcW w:w="938" w:type="dxa"/>
            <w:tcBorders>
              <w:top w:val="nil"/>
              <w:left w:val="nil"/>
              <w:bottom w:val="single" w:sz="8" w:space="0" w:color="auto"/>
              <w:right w:val="nil"/>
            </w:tcBorders>
            <w:shd w:val="clear" w:color="auto" w:fill="auto"/>
            <w:vAlign w:val="center"/>
            <w:hideMark/>
          </w:tcPr>
          <w:p w:rsidR="00BA003B" w:rsidRPr="00BA003B" w:rsidRDefault="00BA003B" w:rsidP="00BA003B">
            <w:pPr>
              <w:spacing w:after="0" w:line="240" w:lineRule="auto"/>
              <w:jc w:val="center"/>
              <w:rPr>
                <w:rFonts w:ascii="Calibri" w:eastAsia="Times New Roman" w:hAnsi="Calibri" w:cs="Times New Roman"/>
                <w:color w:val="000000"/>
                <w:sz w:val="20"/>
                <w:szCs w:val="20"/>
              </w:rPr>
            </w:pPr>
            <w:r w:rsidRPr="00BA003B">
              <w:rPr>
                <w:rFonts w:ascii="Calibri" w:eastAsia="Times New Roman" w:hAnsi="Calibri" w:cs="Times New Roman"/>
                <w:color w:val="000000"/>
                <w:sz w:val="20"/>
                <w:szCs w:val="20"/>
              </w:rPr>
              <w:t xml:space="preserve">Possibly </w:t>
            </w:r>
          </w:p>
        </w:tc>
        <w:tc>
          <w:tcPr>
            <w:tcW w:w="1275" w:type="dxa"/>
            <w:tcBorders>
              <w:top w:val="nil"/>
              <w:left w:val="nil"/>
              <w:bottom w:val="single" w:sz="8" w:space="0" w:color="auto"/>
              <w:right w:val="nil"/>
            </w:tcBorders>
            <w:shd w:val="clear" w:color="auto" w:fill="auto"/>
            <w:noWrap/>
            <w:vAlign w:val="center"/>
            <w:hideMark/>
          </w:tcPr>
          <w:p w:rsidR="00BA003B" w:rsidRPr="00BA003B" w:rsidRDefault="00BA003B" w:rsidP="00BA003B">
            <w:pPr>
              <w:spacing w:after="0" w:line="240" w:lineRule="auto"/>
              <w:jc w:val="center"/>
              <w:rPr>
                <w:rFonts w:ascii="Calibri" w:eastAsia="Times New Roman" w:hAnsi="Calibri" w:cs="Times New Roman"/>
                <w:color w:val="000000"/>
                <w:sz w:val="20"/>
                <w:szCs w:val="20"/>
              </w:rPr>
            </w:pPr>
            <w:r w:rsidRPr="00BA003B">
              <w:rPr>
                <w:rFonts w:ascii="Calibri" w:eastAsia="Times New Roman" w:hAnsi="Calibri" w:cs="Times New Roman"/>
                <w:color w:val="000000"/>
                <w:sz w:val="20"/>
                <w:szCs w:val="20"/>
              </w:rPr>
              <w:t>Possibly</w:t>
            </w:r>
          </w:p>
        </w:tc>
        <w:tc>
          <w:tcPr>
            <w:tcW w:w="1253" w:type="dxa"/>
            <w:tcBorders>
              <w:top w:val="nil"/>
              <w:left w:val="nil"/>
              <w:bottom w:val="single" w:sz="8" w:space="0" w:color="auto"/>
              <w:right w:val="nil"/>
            </w:tcBorders>
            <w:shd w:val="clear" w:color="auto" w:fill="auto"/>
            <w:noWrap/>
            <w:vAlign w:val="center"/>
            <w:hideMark/>
          </w:tcPr>
          <w:p w:rsidR="00BA003B" w:rsidRPr="00BA003B" w:rsidRDefault="00BA003B" w:rsidP="00BA003B">
            <w:pPr>
              <w:spacing w:after="0" w:line="240" w:lineRule="auto"/>
              <w:jc w:val="center"/>
              <w:rPr>
                <w:rFonts w:ascii="Calibri" w:eastAsia="Times New Roman" w:hAnsi="Calibri" w:cs="Times New Roman"/>
                <w:color w:val="000000"/>
                <w:sz w:val="20"/>
                <w:szCs w:val="20"/>
              </w:rPr>
            </w:pPr>
            <w:r w:rsidRPr="00BA003B">
              <w:rPr>
                <w:rFonts w:ascii="Calibri" w:eastAsia="Times New Roman" w:hAnsi="Calibri" w:cs="Times New Roman"/>
                <w:color w:val="000000"/>
                <w:sz w:val="20"/>
                <w:szCs w:val="20"/>
              </w:rPr>
              <w:t>Yes</w:t>
            </w:r>
          </w:p>
        </w:tc>
        <w:tc>
          <w:tcPr>
            <w:tcW w:w="1037" w:type="dxa"/>
            <w:tcBorders>
              <w:top w:val="nil"/>
              <w:left w:val="nil"/>
              <w:bottom w:val="single" w:sz="8" w:space="0" w:color="auto"/>
              <w:right w:val="nil"/>
            </w:tcBorders>
            <w:shd w:val="clear" w:color="auto" w:fill="auto"/>
            <w:noWrap/>
            <w:vAlign w:val="center"/>
            <w:hideMark/>
          </w:tcPr>
          <w:p w:rsidR="00BA003B" w:rsidRPr="00BA003B" w:rsidRDefault="00BA003B" w:rsidP="00BA003B">
            <w:pPr>
              <w:spacing w:after="0" w:line="240" w:lineRule="auto"/>
              <w:jc w:val="center"/>
              <w:rPr>
                <w:rFonts w:ascii="Calibri" w:eastAsia="Times New Roman" w:hAnsi="Calibri" w:cs="Times New Roman"/>
                <w:color w:val="000000"/>
                <w:sz w:val="20"/>
                <w:szCs w:val="20"/>
              </w:rPr>
            </w:pPr>
            <w:r w:rsidRPr="00BA003B">
              <w:rPr>
                <w:rFonts w:ascii="Calibri" w:eastAsia="Times New Roman" w:hAnsi="Calibri" w:cs="Times New Roman"/>
                <w:color w:val="000000"/>
                <w:sz w:val="20"/>
                <w:szCs w:val="20"/>
              </w:rPr>
              <w:t>Yes</w:t>
            </w:r>
          </w:p>
        </w:tc>
        <w:tc>
          <w:tcPr>
            <w:tcW w:w="1686" w:type="dxa"/>
            <w:tcBorders>
              <w:top w:val="nil"/>
              <w:left w:val="nil"/>
              <w:bottom w:val="single" w:sz="8" w:space="0" w:color="auto"/>
              <w:right w:val="nil"/>
            </w:tcBorders>
            <w:shd w:val="clear" w:color="auto" w:fill="auto"/>
            <w:noWrap/>
            <w:vAlign w:val="center"/>
            <w:hideMark/>
          </w:tcPr>
          <w:p w:rsidR="00BA003B" w:rsidRPr="00BA003B" w:rsidRDefault="00BA003B" w:rsidP="00BA003B">
            <w:pPr>
              <w:spacing w:after="0" w:line="240" w:lineRule="auto"/>
              <w:jc w:val="center"/>
              <w:rPr>
                <w:rFonts w:ascii="Calibri" w:eastAsia="Times New Roman" w:hAnsi="Calibri" w:cs="Times New Roman"/>
                <w:color w:val="000000"/>
                <w:sz w:val="20"/>
                <w:szCs w:val="20"/>
              </w:rPr>
            </w:pPr>
            <w:r w:rsidRPr="00BA003B">
              <w:rPr>
                <w:rFonts w:ascii="Calibri" w:eastAsia="Times New Roman" w:hAnsi="Calibri" w:cs="Times New Roman"/>
                <w:color w:val="000000"/>
                <w:sz w:val="20"/>
                <w:szCs w:val="20"/>
              </w:rPr>
              <w:t>Yes</w:t>
            </w:r>
          </w:p>
        </w:tc>
      </w:tr>
    </w:tbl>
    <w:p w:rsidR="007E61E6" w:rsidRDefault="007E61E6" w:rsidP="00E664E4">
      <w:pPr>
        <w:jc w:val="center"/>
        <w:rPr>
          <w:noProof/>
        </w:rPr>
      </w:pPr>
    </w:p>
    <w:p w:rsidR="007E61E6" w:rsidRDefault="007E61E6" w:rsidP="00E664E4">
      <w:pPr>
        <w:jc w:val="center"/>
        <w:rPr>
          <w:noProof/>
        </w:rPr>
      </w:pPr>
    </w:p>
    <w:p w:rsidR="00E664E4" w:rsidRDefault="00BA003B" w:rsidP="00E664E4">
      <w:pPr>
        <w:jc w:val="center"/>
      </w:pPr>
      <w:r>
        <w:rPr>
          <w:noProof/>
        </w:rPr>
        <w:lastRenderedPageBreak/>
        <w:drawing>
          <wp:inline distT="0" distB="0" distL="0" distR="0" wp14:anchorId="15A5420B" wp14:editId="7FE36839">
            <wp:extent cx="5943600" cy="44577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4"/>
                    <a:stretch>
                      <a:fillRect/>
                    </a:stretch>
                  </pic:blipFill>
                  <pic:spPr>
                    <a:xfrm>
                      <a:off x="0" y="0"/>
                      <a:ext cx="5943600" cy="4457700"/>
                    </a:xfrm>
                    <a:prstGeom prst="rect">
                      <a:avLst/>
                    </a:prstGeom>
                  </pic:spPr>
                </pic:pic>
              </a:graphicData>
            </a:graphic>
          </wp:inline>
        </w:drawing>
      </w:r>
    </w:p>
    <w:p w:rsidR="00E664E4" w:rsidRDefault="00E664E4" w:rsidP="00E664E4">
      <w:r>
        <w:rPr>
          <w:b/>
          <w:sz w:val="20"/>
          <w:szCs w:val="20"/>
        </w:rPr>
        <w:t xml:space="preserve">Figure </w:t>
      </w:r>
      <w:r w:rsidR="00BA003B">
        <w:rPr>
          <w:b/>
          <w:sz w:val="20"/>
          <w:szCs w:val="20"/>
        </w:rPr>
        <w:t>4.46</w:t>
      </w:r>
      <w:r>
        <w:rPr>
          <w:b/>
          <w:sz w:val="20"/>
          <w:szCs w:val="20"/>
        </w:rPr>
        <w:t xml:space="preserve">. Faulty Case 3 Scores Plot for PC1 and PC2.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base case 95% confidence boundary displayed in red. The</w:t>
      </w:r>
      <w:r>
        <w:rPr>
          <w:i/>
          <w:sz w:val="20"/>
          <w:szCs w:val="20"/>
        </w:rPr>
        <w:t>re wa</w:t>
      </w:r>
      <w:r w:rsidRPr="00EE2556">
        <w:rPr>
          <w:i/>
          <w:sz w:val="20"/>
          <w:szCs w:val="20"/>
        </w:rPr>
        <w:t xml:space="preserve">s </w:t>
      </w:r>
      <w:r>
        <w:rPr>
          <w:i/>
          <w:sz w:val="20"/>
          <w:szCs w:val="20"/>
        </w:rPr>
        <w:t xml:space="preserve">a </w:t>
      </w:r>
      <w:r w:rsidR="00BA003B">
        <w:rPr>
          <w:i/>
          <w:sz w:val="20"/>
          <w:szCs w:val="20"/>
        </w:rPr>
        <w:t>shift</w:t>
      </w:r>
      <w:r>
        <w:rPr>
          <w:i/>
          <w:sz w:val="20"/>
          <w:szCs w:val="20"/>
        </w:rPr>
        <w:t xml:space="preserve"> in both PC1 and PC2</w:t>
      </w:r>
      <w:r w:rsidR="00E62112">
        <w:rPr>
          <w:i/>
          <w:sz w:val="20"/>
          <w:szCs w:val="20"/>
        </w:rPr>
        <w:t xml:space="preserve"> scores</w:t>
      </w:r>
      <w:r w:rsidR="00BA003B">
        <w:rPr>
          <w:i/>
          <w:sz w:val="20"/>
          <w:szCs w:val="20"/>
        </w:rPr>
        <w:t xml:space="preserve"> but the fault may not be detectable</w:t>
      </w:r>
      <w:r>
        <w:rPr>
          <w:i/>
          <w:sz w:val="20"/>
          <w:szCs w:val="20"/>
        </w:rPr>
        <w:t>.</w:t>
      </w:r>
    </w:p>
    <w:p w:rsidR="00E664E4" w:rsidRDefault="00BA003B" w:rsidP="00E664E4">
      <w:pPr>
        <w:jc w:val="center"/>
      </w:pPr>
      <w:r>
        <w:rPr>
          <w:noProof/>
        </w:rPr>
        <w:lastRenderedPageBreak/>
        <w:drawing>
          <wp:inline distT="0" distB="0" distL="0" distR="0" wp14:anchorId="522256CE" wp14:editId="0A68FFAC">
            <wp:extent cx="5943600" cy="44577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5"/>
                    <a:stretch>
                      <a:fillRect/>
                    </a:stretch>
                  </pic:blipFill>
                  <pic:spPr>
                    <a:xfrm>
                      <a:off x="0" y="0"/>
                      <a:ext cx="5943600" cy="4457700"/>
                    </a:xfrm>
                    <a:prstGeom prst="rect">
                      <a:avLst/>
                    </a:prstGeom>
                  </pic:spPr>
                </pic:pic>
              </a:graphicData>
            </a:graphic>
          </wp:inline>
        </w:drawing>
      </w:r>
    </w:p>
    <w:p w:rsidR="00E664E4" w:rsidRDefault="00E664E4" w:rsidP="00E664E4">
      <w:r>
        <w:rPr>
          <w:b/>
          <w:sz w:val="20"/>
          <w:szCs w:val="20"/>
        </w:rPr>
        <w:t xml:space="preserve">Figure </w:t>
      </w:r>
      <w:r w:rsidR="00BA003B">
        <w:rPr>
          <w:b/>
          <w:sz w:val="20"/>
          <w:szCs w:val="20"/>
        </w:rPr>
        <w:t>4.47</w:t>
      </w:r>
      <w:r>
        <w:rPr>
          <w:b/>
          <w:sz w:val="20"/>
          <w:szCs w:val="20"/>
        </w:rPr>
        <w:t xml:space="preserve">. Faulty Case 3 Scores Plot for PC1 and PC3.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base case 95% confidence boundary displayed in red. The</w:t>
      </w:r>
      <w:r>
        <w:rPr>
          <w:i/>
          <w:sz w:val="20"/>
          <w:szCs w:val="20"/>
        </w:rPr>
        <w:t>re wa</w:t>
      </w:r>
      <w:r w:rsidRPr="00EE2556">
        <w:rPr>
          <w:i/>
          <w:sz w:val="20"/>
          <w:szCs w:val="20"/>
        </w:rPr>
        <w:t xml:space="preserve">s </w:t>
      </w:r>
      <w:r>
        <w:rPr>
          <w:i/>
          <w:sz w:val="20"/>
          <w:szCs w:val="20"/>
        </w:rPr>
        <w:t>a fault in both PC1 and PC3</w:t>
      </w:r>
      <w:r w:rsidR="00E62112">
        <w:rPr>
          <w:i/>
          <w:sz w:val="20"/>
          <w:szCs w:val="20"/>
        </w:rPr>
        <w:t xml:space="preserve"> scores</w:t>
      </w:r>
      <w:r>
        <w:rPr>
          <w:i/>
          <w:sz w:val="20"/>
          <w:szCs w:val="20"/>
        </w:rPr>
        <w:t>.</w:t>
      </w:r>
    </w:p>
    <w:p w:rsidR="00E664E4" w:rsidRDefault="00BA003B" w:rsidP="00E664E4">
      <w:pPr>
        <w:jc w:val="center"/>
      </w:pPr>
      <w:r>
        <w:rPr>
          <w:noProof/>
        </w:rPr>
        <w:lastRenderedPageBreak/>
        <w:drawing>
          <wp:inline distT="0" distB="0" distL="0" distR="0" wp14:anchorId="79250CFF" wp14:editId="1D709696">
            <wp:extent cx="5943600" cy="44577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6"/>
                    <a:stretch>
                      <a:fillRect/>
                    </a:stretch>
                  </pic:blipFill>
                  <pic:spPr>
                    <a:xfrm>
                      <a:off x="0" y="0"/>
                      <a:ext cx="5943600" cy="4457700"/>
                    </a:xfrm>
                    <a:prstGeom prst="rect">
                      <a:avLst/>
                    </a:prstGeom>
                  </pic:spPr>
                </pic:pic>
              </a:graphicData>
            </a:graphic>
          </wp:inline>
        </w:drawing>
      </w:r>
    </w:p>
    <w:p w:rsidR="00E664E4" w:rsidRDefault="00E664E4" w:rsidP="00E664E4">
      <w:r>
        <w:rPr>
          <w:b/>
          <w:sz w:val="20"/>
          <w:szCs w:val="20"/>
        </w:rPr>
        <w:t xml:space="preserve">Figure </w:t>
      </w:r>
      <w:r w:rsidR="00BA003B">
        <w:rPr>
          <w:b/>
          <w:sz w:val="20"/>
          <w:szCs w:val="20"/>
        </w:rPr>
        <w:t>4.48</w:t>
      </w:r>
      <w:r>
        <w:rPr>
          <w:b/>
          <w:sz w:val="20"/>
          <w:szCs w:val="20"/>
        </w:rPr>
        <w:t xml:space="preserve">. Faulty Case 3 Scores Plot for PC2 and PC3.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base case 95% confidenc</w:t>
      </w:r>
      <w:r>
        <w:rPr>
          <w:i/>
          <w:sz w:val="20"/>
          <w:szCs w:val="20"/>
        </w:rPr>
        <w:t xml:space="preserve">e boundary displayed in red. </w:t>
      </w:r>
      <w:r w:rsidRPr="00EE2556">
        <w:rPr>
          <w:i/>
          <w:sz w:val="20"/>
          <w:szCs w:val="20"/>
        </w:rPr>
        <w:t>The</w:t>
      </w:r>
      <w:r>
        <w:rPr>
          <w:i/>
          <w:sz w:val="20"/>
          <w:szCs w:val="20"/>
        </w:rPr>
        <w:t>re wa</w:t>
      </w:r>
      <w:r w:rsidRPr="00EE2556">
        <w:rPr>
          <w:i/>
          <w:sz w:val="20"/>
          <w:szCs w:val="20"/>
        </w:rPr>
        <w:t xml:space="preserve">s </w:t>
      </w:r>
      <w:r>
        <w:rPr>
          <w:i/>
          <w:sz w:val="20"/>
          <w:szCs w:val="20"/>
        </w:rPr>
        <w:t>a fault in both PC2 and PC3</w:t>
      </w:r>
      <w:r w:rsidR="00CE21E4">
        <w:rPr>
          <w:i/>
          <w:sz w:val="20"/>
          <w:szCs w:val="20"/>
        </w:rPr>
        <w:t xml:space="preserve"> scores</w:t>
      </w:r>
      <w:r>
        <w:rPr>
          <w:i/>
          <w:sz w:val="20"/>
          <w:szCs w:val="20"/>
        </w:rPr>
        <w:t>.</w:t>
      </w:r>
    </w:p>
    <w:p w:rsidR="00E664E4" w:rsidRDefault="00BA003B" w:rsidP="00E664E4">
      <w:pPr>
        <w:jc w:val="center"/>
      </w:pPr>
      <w:r>
        <w:rPr>
          <w:noProof/>
        </w:rPr>
        <w:lastRenderedPageBreak/>
        <w:drawing>
          <wp:inline distT="0" distB="0" distL="0" distR="0" wp14:anchorId="034DCD64" wp14:editId="5ACD2116">
            <wp:extent cx="5943600" cy="44577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7"/>
                    <a:stretch>
                      <a:fillRect/>
                    </a:stretch>
                  </pic:blipFill>
                  <pic:spPr>
                    <a:xfrm>
                      <a:off x="0" y="0"/>
                      <a:ext cx="5943600" cy="4457700"/>
                    </a:xfrm>
                    <a:prstGeom prst="rect">
                      <a:avLst/>
                    </a:prstGeom>
                  </pic:spPr>
                </pic:pic>
              </a:graphicData>
            </a:graphic>
          </wp:inline>
        </w:drawing>
      </w:r>
    </w:p>
    <w:p w:rsidR="00E664E4" w:rsidRDefault="00E664E4" w:rsidP="00E664E4">
      <w:pPr>
        <w:rPr>
          <w:b/>
          <w:sz w:val="20"/>
          <w:szCs w:val="20"/>
        </w:rPr>
      </w:pPr>
      <w:r>
        <w:rPr>
          <w:b/>
          <w:sz w:val="20"/>
          <w:szCs w:val="20"/>
        </w:rPr>
        <w:t xml:space="preserve">Figure </w:t>
      </w:r>
      <w:r w:rsidR="00BA003B">
        <w:rPr>
          <w:b/>
          <w:sz w:val="20"/>
          <w:szCs w:val="20"/>
        </w:rPr>
        <w:t>4.49</w:t>
      </w:r>
      <w:r>
        <w:rPr>
          <w:b/>
          <w:sz w:val="20"/>
          <w:szCs w:val="20"/>
        </w:rPr>
        <w:t xml:space="preserve">. Faulty Case 3 3D Scores Plot for PC1, PC2, and PC3.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as an ellipsoid</w:t>
      </w:r>
      <w:r w:rsidRPr="00EE2556">
        <w:rPr>
          <w:i/>
          <w:sz w:val="20"/>
          <w:szCs w:val="20"/>
        </w:rPr>
        <w:t>. The</w:t>
      </w:r>
      <w:r>
        <w:rPr>
          <w:i/>
          <w:sz w:val="20"/>
          <w:szCs w:val="20"/>
        </w:rPr>
        <w:t>re wa</w:t>
      </w:r>
      <w:r w:rsidRPr="00EE2556">
        <w:rPr>
          <w:i/>
          <w:sz w:val="20"/>
          <w:szCs w:val="20"/>
        </w:rPr>
        <w:t xml:space="preserve">s </w:t>
      </w:r>
      <w:r>
        <w:rPr>
          <w:i/>
          <w:sz w:val="20"/>
          <w:szCs w:val="20"/>
        </w:rPr>
        <w:t>a detectable fault in all three scores.</w:t>
      </w:r>
    </w:p>
    <w:p w:rsidR="00E664E4" w:rsidRDefault="00BA003B" w:rsidP="00E664E4">
      <w:pPr>
        <w:jc w:val="center"/>
      </w:pPr>
      <w:r>
        <w:rPr>
          <w:noProof/>
        </w:rPr>
        <w:lastRenderedPageBreak/>
        <w:drawing>
          <wp:inline distT="0" distB="0" distL="0" distR="0" wp14:anchorId="0A7B25D6" wp14:editId="316728E2">
            <wp:extent cx="5943600" cy="44577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8"/>
                    <a:stretch>
                      <a:fillRect/>
                    </a:stretch>
                  </pic:blipFill>
                  <pic:spPr>
                    <a:xfrm>
                      <a:off x="0" y="0"/>
                      <a:ext cx="5943600" cy="4457700"/>
                    </a:xfrm>
                    <a:prstGeom prst="rect">
                      <a:avLst/>
                    </a:prstGeom>
                  </pic:spPr>
                </pic:pic>
              </a:graphicData>
            </a:graphic>
          </wp:inline>
        </w:drawing>
      </w:r>
    </w:p>
    <w:p w:rsidR="00E664E4" w:rsidRDefault="00E664E4" w:rsidP="00E664E4">
      <w:pPr>
        <w:rPr>
          <w:b/>
          <w:sz w:val="20"/>
          <w:szCs w:val="20"/>
        </w:rPr>
      </w:pPr>
      <w:r>
        <w:rPr>
          <w:b/>
          <w:sz w:val="20"/>
          <w:szCs w:val="20"/>
        </w:rPr>
        <w:t xml:space="preserve">Figure </w:t>
      </w:r>
      <w:r w:rsidR="006444A8">
        <w:rPr>
          <w:b/>
          <w:sz w:val="20"/>
          <w:szCs w:val="20"/>
        </w:rPr>
        <w:t>4.5</w:t>
      </w:r>
      <w:r w:rsidR="00BA003B">
        <w:rPr>
          <w:b/>
          <w:sz w:val="20"/>
          <w:szCs w:val="20"/>
        </w:rPr>
        <w:t>0</w:t>
      </w:r>
      <w:r>
        <w:rPr>
          <w:b/>
          <w:sz w:val="20"/>
          <w:szCs w:val="20"/>
        </w:rPr>
        <w:t xml:space="preserve">. Faulty Case 3 Mahalanobis Distance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a detectable fault.</w:t>
      </w:r>
    </w:p>
    <w:p w:rsidR="00E664E4" w:rsidRDefault="00E664E4" w:rsidP="00E664E4"/>
    <w:p w:rsidR="00E664E4" w:rsidRDefault="00BA003B" w:rsidP="00E664E4">
      <w:pPr>
        <w:jc w:val="center"/>
      </w:pPr>
      <w:r>
        <w:rPr>
          <w:noProof/>
        </w:rPr>
        <w:lastRenderedPageBreak/>
        <w:drawing>
          <wp:inline distT="0" distB="0" distL="0" distR="0" wp14:anchorId="5D982B09" wp14:editId="31B7D64E">
            <wp:extent cx="5943600" cy="44577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9"/>
                    <a:stretch>
                      <a:fillRect/>
                    </a:stretch>
                  </pic:blipFill>
                  <pic:spPr>
                    <a:xfrm>
                      <a:off x="0" y="0"/>
                      <a:ext cx="5943600" cy="4457700"/>
                    </a:xfrm>
                    <a:prstGeom prst="rect">
                      <a:avLst/>
                    </a:prstGeom>
                  </pic:spPr>
                </pic:pic>
              </a:graphicData>
            </a:graphic>
          </wp:inline>
        </w:drawing>
      </w:r>
    </w:p>
    <w:p w:rsidR="00E664E4" w:rsidRDefault="00E664E4" w:rsidP="00E664E4">
      <w:pPr>
        <w:rPr>
          <w:b/>
          <w:sz w:val="20"/>
          <w:szCs w:val="20"/>
        </w:rPr>
      </w:pPr>
      <w:r>
        <w:rPr>
          <w:b/>
          <w:sz w:val="20"/>
          <w:szCs w:val="20"/>
        </w:rPr>
        <w:t xml:space="preserve">Figure </w:t>
      </w:r>
      <w:r w:rsidR="006444A8">
        <w:rPr>
          <w:b/>
          <w:sz w:val="20"/>
          <w:szCs w:val="20"/>
        </w:rPr>
        <w:t>4.5</w:t>
      </w:r>
      <w:r w:rsidR="00BA003B">
        <w:rPr>
          <w:b/>
          <w:sz w:val="20"/>
          <w:szCs w:val="20"/>
        </w:rPr>
        <w:t>1</w:t>
      </w:r>
      <w:r>
        <w:rPr>
          <w:b/>
          <w:sz w:val="20"/>
          <w:szCs w:val="20"/>
        </w:rPr>
        <w:t xml:space="preserve">. Faulty Case 3 </w:t>
      </w:r>
      <m:oMath>
        <m:r>
          <m:rPr>
            <m:sty m:val="bi"/>
          </m:rPr>
          <w:rPr>
            <w:rFonts w:ascii="Cambria Math" w:hAnsi="Cambria Math"/>
            <w:sz w:val="20"/>
            <w:szCs w:val="20"/>
          </w:rPr>
          <m:t>Q</m:t>
        </m:r>
      </m:oMath>
      <w:r>
        <w:rPr>
          <w:b/>
          <w:sz w:val="20"/>
          <w:szCs w:val="20"/>
        </w:rPr>
        <w:t xml:space="preserve">-Statistic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a detectable fault.</w:t>
      </w:r>
    </w:p>
    <w:p w:rsidR="00E664E4" w:rsidRDefault="00E664E4" w:rsidP="00E664E4"/>
    <w:p w:rsidR="00E664E4" w:rsidRDefault="00BA003B" w:rsidP="00E664E4">
      <w:pPr>
        <w:jc w:val="center"/>
      </w:pPr>
      <w:r>
        <w:rPr>
          <w:noProof/>
        </w:rPr>
        <w:lastRenderedPageBreak/>
        <w:drawing>
          <wp:inline distT="0" distB="0" distL="0" distR="0" wp14:anchorId="74A54699" wp14:editId="03925ABD">
            <wp:extent cx="5943600" cy="44577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0"/>
                    <a:stretch>
                      <a:fillRect/>
                    </a:stretch>
                  </pic:blipFill>
                  <pic:spPr>
                    <a:xfrm>
                      <a:off x="0" y="0"/>
                      <a:ext cx="5943600" cy="4457700"/>
                    </a:xfrm>
                    <a:prstGeom prst="rect">
                      <a:avLst/>
                    </a:prstGeom>
                  </pic:spPr>
                </pic:pic>
              </a:graphicData>
            </a:graphic>
          </wp:inline>
        </w:drawing>
      </w:r>
    </w:p>
    <w:p w:rsidR="00E664E4" w:rsidRDefault="00E664E4" w:rsidP="00E664E4">
      <w:pPr>
        <w:rPr>
          <w:b/>
          <w:sz w:val="20"/>
          <w:szCs w:val="20"/>
        </w:rPr>
      </w:pPr>
      <w:r>
        <w:rPr>
          <w:b/>
          <w:sz w:val="20"/>
          <w:szCs w:val="20"/>
        </w:rPr>
        <w:t xml:space="preserve">Figure </w:t>
      </w:r>
      <w:r w:rsidR="006444A8">
        <w:rPr>
          <w:b/>
          <w:sz w:val="20"/>
          <w:szCs w:val="20"/>
        </w:rPr>
        <w:t>4.5</w:t>
      </w:r>
      <w:r w:rsidR="00BA003B">
        <w:rPr>
          <w:b/>
          <w:sz w:val="20"/>
          <w:szCs w:val="20"/>
        </w:rPr>
        <w:t>2</w:t>
      </w:r>
      <w:r>
        <w:rPr>
          <w:b/>
          <w:sz w:val="20"/>
          <w:szCs w:val="20"/>
        </w:rPr>
        <w:t xml:space="preserve">. Faulty Case 3 PC1, PC2, and </w:t>
      </w:r>
      <m:oMath>
        <m:r>
          <m:rPr>
            <m:sty m:val="bi"/>
          </m:rPr>
          <w:rPr>
            <w:rFonts w:ascii="Cambria Math" w:hAnsi="Cambria Math"/>
            <w:sz w:val="20"/>
            <w:szCs w:val="20"/>
          </w:rPr>
          <m:t>Q</m:t>
        </m:r>
      </m:oMath>
      <w:r>
        <w:rPr>
          <w:b/>
          <w:sz w:val="20"/>
          <w:szCs w:val="20"/>
        </w:rPr>
        <w:t xml:space="preserve">-Statistic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a detectable fault.</w:t>
      </w:r>
    </w:p>
    <w:p w:rsidR="00E664E4" w:rsidRDefault="00E664E4" w:rsidP="00E664E4"/>
    <w:p w:rsidR="00567A68" w:rsidRDefault="00567A68" w:rsidP="00E664E4"/>
    <w:p w:rsidR="001B675F" w:rsidRDefault="001B675F">
      <w:pPr>
        <w:rPr>
          <w:rFonts w:asciiTheme="majorHAnsi" w:hAnsiTheme="majorHAnsi"/>
          <w:b/>
        </w:rPr>
      </w:pPr>
      <w:r>
        <w:rPr>
          <w:rFonts w:asciiTheme="majorHAnsi" w:hAnsiTheme="majorHAnsi"/>
          <w:b/>
        </w:rPr>
        <w:br w:type="page"/>
      </w:r>
    </w:p>
    <w:p w:rsidR="00E664E4" w:rsidRPr="00436A8B" w:rsidRDefault="00E664E4" w:rsidP="00E664E4">
      <w:pPr>
        <w:rPr>
          <w:rFonts w:asciiTheme="majorHAnsi" w:hAnsiTheme="majorHAnsi"/>
          <w:b/>
        </w:rPr>
      </w:pPr>
      <w:r>
        <w:rPr>
          <w:rFonts w:asciiTheme="majorHAnsi" w:hAnsiTheme="majorHAnsi"/>
          <w:b/>
        </w:rPr>
        <w:lastRenderedPageBreak/>
        <w:t>4.3.4 Case 4</w:t>
      </w:r>
    </w:p>
    <w:p w:rsidR="00E664E4" w:rsidRDefault="00E664E4" w:rsidP="00E664E4">
      <w:r>
        <w:t xml:space="preserve">For the fourth faulty case, inefficient operations of the re-extraction of uranium from the organic phase in Module 2 were investigated. Inefficient re-extraction would result in additional uranium being diverted to the organic waste stream. This case was modeled by changing the initial value of the column fractionation parameter for the uranyl nitrate in Module 2D, </w:t>
      </w: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2</m:t>
            </m:r>
            <m:r>
              <w:rPr>
                <w:rFonts w:ascii="Cambria Math" w:hAnsi="Cambria Math"/>
              </w:rPr>
              <m:t>D</m:t>
            </m:r>
            <m:r>
              <m:rPr>
                <m:sty m:val="p"/>
              </m:rPr>
              <w:rPr>
                <w:rFonts w:ascii="Cambria Math" w:hAnsi="Cambria Math"/>
              </w:rPr>
              <m:t>,14</m:t>
            </m:r>
          </m:sub>
        </m:sSub>
      </m:oMath>
      <w:r>
        <w:rPr>
          <w:rFonts w:eastAsiaTheme="minorEastAsia"/>
        </w:rPr>
        <w:t>, from 0.999 to 0.9. This was the fourth input variable</w:t>
      </w:r>
      <w:r w:rsidR="00A30EA0">
        <w:rPr>
          <w:rFonts w:eastAsiaTheme="minorEastAsia"/>
        </w:rPr>
        <w:t xml:space="preserve"> [</w:t>
      </w:r>
      <w:proofErr w:type="spellStart"/>
      <w:r w:rsidR="00A30EA0">
        <w:rPr>
          <w:rFonts w:eastAsiaTheme="minorEastAsia"/>
        </w:rPr>
        <w:t>Xss</w:t>
      </w:r>
      <w:proofErr w:type="spellEnd"/>
      <w:r w:rsidR="00A30EA0">
        <w:rPr>
          <w:rFonts w:eastAsiaTheme="minorEastAsia"/>
        </w:rPr>
        <w:t>(277)]</w:t>
      </w:r>
      <w:r>
        <w:rPr>
          <w:rFonts w:eastAsiaTheme="minorEastAsia"/>
        </w:rPr>
        <w:t>.</w:t>
      </w:r>
      <w:r w:rsidR="00A30EA0">
        <w:rPr>
          <w:rFonts w:eastAsiaTheme="minorEastAsia"/>
        </w:rPr>
        <w:t xml:space="preserve"> This </w:t>
      </w:r>
      <w:r w:rsidR="00A30EA0">
        <w:t xml:space="preserve">reasonably sized (~10%) reduction in the filter fractionation </w:t>
      </w:r>
      <w:r w:rsidR="00E85FDF">
        <w:t xml:space="preserve">may be detectable in the PC3 scores, the Mahalanobis distance, and the </w:t>
      </w:r>
      <m:oMath>
        <m:r>
          <w:rPr>
            <w:rFonts w:ascii="Cambria Math" w:hAnsi="Cambria Math"/>
          </w:rPr>
          <m:t>Q</m:t>
        </m:r>
      </m:oMath>
      <w:r w:rsidR="00E85FDF">
        <w:rPr>
          <w:rFonts w:eastAsiaTheme="minorEastAsia"/>
        </w:rPr>
        <w:t xml:space="preserve">-statistic but it </w:t>
      </w:r>
      <w:r w:rsidR="00A30EA0">
        <w:t>would only be detectable under certain operating conditions.</w:t>
      </w:r>
    </w:p>
    <w:p w:rsidR="00ED53C6" w:rsidRDefault="004846CD" w:rsidP="00E664E4">
      <w:pPr>
        <w:rPr>
          <w:rFonts w:eastAsiaTheme="minorEastAsia"/>
        </w:rPr>
      </w:pPr>
      <w:r>
        <w:rPr>
          <w:rFonts w:eastAsiaTheme="minorEastAsia"/>
        </w:rPr>
        <w:t xml:space="preserve">This parameter appears in only one place in the model as shown in Eq. 3.2.2.39 and restated here in terms of state variable numbers. </w:t>
      </w:r>
      <w:r w:rsidR="005853A9">
        <w:rPr>
          <w:rFonts w:eastAsiaTheme="minorEastAsia"/>
        </w:rPr>
        <w:t>The state variables in Eq. 4.3.4.1 also appear in Eq. 3.2.2.45 which is also</w:t>
      </w:r>
      <w:r w:rsidR="005853A9" w:rsidRPr="005853A9">
        <w:rPr>
          <w:rFonts w:eastAsiaTheme="minorEastAsia"/>
        </w:rPr>
        <w:t xml:space="preserve"> </w:t>
      </w:r>
      <w:r w:rsidR="005853A9">
        <w:rPr>
          <w:rFonts w:eastAsiaTheme="minorEastAsia"/>
        </w:rPr>
        <w:t>restated here in terms of state variable numbers.</w:t>
      </w:r>
    </w:p>
    <w:p w:rsidR="004846CD" w:rsidRDefault="004846CD" w:rsidP="004846CD">
      <w:pPr>
        <w:jc w:val="right"/>
      </w:pPr>
      <m:oMath>
        <m:r>
          <w:rPr>
            <w:rFonts w:ascii="Cambria Math" w:hAnsi="Cambria Math"/>
          </w:rPr>
          <m:t>Xss(277)</m:t>
        </m:r>
        <m:r>
          <m:rPr>
            <m:sty m:val="p"/>
          </m:rPr>
          <w:rPr>
            <w:rFonts w:ascii="Cambria Math" w:hAnsi="Cambria Math"/>
          </w:rPr>
          <m:t>*Xss(98)-Xss(111)=0</m:t>
        </m:r>
      </m:oMath>
      <w:r w:rsidRPr="00CE1EDF">
        <w:t xml:space="preserve">   </w:t>
      </w:r>
      <w:r w:rsidRPr="00CE1EDF">
        <w:tab/>
      </w:r>
      <w:r w:rsidRPr="00CE1EDF">
        <w:tab/>
      </w:r>
      <w:r w:rsidR="005853A9">
        <w:tab/>
      </w:r>
      <w:r w:rsidRPr="00CE1EDF">
        <w:tab/>
      </w:r>
      <w:r>
        <w:t>Eq. (4.3.4.1</w:t>
      </w:r>
      <w:r w:rsidRPr="00CE1EDF">
        <w:t>)</w:t>
      </w:r>
    </w:p>
    <w:p w:rsidR="004846CD" w:rsidRDefault="005853A9" w:rsidP="005853A9">
      <w:pPr>
        <w:jc w:val="right"/>
        <w:rPr>
          <w:rFonts w:eastAsiaTheme="minorEastAsia"/>
        </w:rPr>
      </w:pPr>
      <m:oMath>
        <m:r>
          <w:rPr>
            <w:rFonts w:ascii="Cambria Math" w:hAnsi="Cambria Math"/>
          </w:rPr>
          <m:t>Xss(98)</m:t>
        </m:r>
        <m:r>
          <m:rPr>
            <m:sty m:val="p"/>
          </m:rPr>
          <w:rPr>
            <w:rFonts w:ascii="Cambria Math" w:hAnsi="Cambria Math"/>
          </w:rPr>
          <m:t>-Xss(111)- Xss(117)=0</m:t>
        </m:r>
      </m:oMath>
      <w:r w:rsidRPr="00CE1EDF">
        <w:t xml:space="preserve">   </w:t>
      </w:r>
      <w:r w:rsidRPr="00CE1EDF">
        <w:tab/>
      </w:r>
      <w:r w:rsidRPr="00CE1EDF">
        <w:tab/>
      </w:r>
      <w:r w:rsidRPr="00CE1EDF">
        <w:tab/>
      </w:r>
      <w:r>
        <w:t>Eq. (4.3.4.2</w:t>
      </w:r>
      <w:r w:rsidRPr="00CE1EDF">
        <w:t>)</w:t>
      </w:r>
    </w:p>
    <w:p w:rsidR="001B675F" w:rsidRDefault="005853A9">
      <w:r>
        <w:t xml:space="preserve">State variable </w:t>
      </w:r>
      <w:proofErr w:type="spellStart"/>
      <w:proofErr w:type="gramStart"/>
      <w:r>
        <w:t>Xss</w:t>
      </w:r>
      <w:proofErr w:type="spellEnd"/>
      <w:r>
        <w:t>(</w:t>
      </w:r>
      <w:proofErr w:type="gramEnd"/>
      <w:r>
        <w:t xml:space="preserve">117) was artificially sensitive to a change in this parameter resulting in a sensitivity factor of -999. </w:t>
      </w:r>
      <w:r w:rsidR="00800C02">
        <w:t xml:space="preserve">Since this was a change at the end of Module 2, only variables downstream of the change should be affected. The first three principal components had heavy contributors downstream of the point this parameter controls. Therefore, it was expected that there would be shifts in all three scores. </w:t>
      </w:r>
      <w:r w:rsidR="00A30EA0">
        <w:t>There was a slight shift in both PC1 and PC2</w:t>
      </w:r>
      <w:r w:rsidR="00E62112">
        <w:t xml:space="preserve"> scores</w:t>
      </w:r>
      <w:r w:rsidR="00A30EA0">
        <w:t xml:space="preserve"> in the positive direction, but the fault would not be detectable since all of the data points were still within the 95% confidence boundary for normal operation (Figure 4.5</w:t>
      </w:r>
      <w:r w:rsidR="00E85FDF">
        <w:t>3</w:t>
      </w:r>
      <w:r w:rsidR="00A30EA0">
        <w:t>). There was a slightly negative shift in PC3</w:t>
      </w:r>
      <w:r w:rsidR="00CE21E4">
        <w:t xml:space="preserve"> scores</w:t>
      </w:r>
      <w:r w:rsidR="00A30EA0">
        <w:t xml:space="preserve"> (Figures 4.5</w:t>
      </w:r>
      <w:r w:rsidR="00E85FDF">
        <w:t>4</w:t>
      </w:r>
      <w:r w:rsidR="00A30EA0">
        <w:t>–4.</w:t>
      </w:r>
      <w:r w:rsidR="00E85FDF">
        <w:t>56</w:t>
      </w:r>
      <w:r w:rsidR="00A30EA0">
        <w:t xml:space="preserve">), but the fault may not be detectable depending on operating conditions since many of the data points were </w:t>
      </w:r>
      <w:r w:rsidR="00E64AA5">
        <w:t>in</w:t>
      </w:r>
      <w:r w:rsidR="00A30EA0">
        <w:t xml:space="preserve">side the 95% confidence boundaries. </w:t>
      </w:r>
      <w:r w:rsidR="00E64AA5">
        <w:t xml:space="preserve">The fault in PC3 </w:t>
      </w:r>
      <w:r w:rsidR="00CE21E4">
        <w:t xml:space="preserve">scores </w:t>
      </w:r>
      <w:r w:rsidR="00E64AA5">
        <w:t>was expected becau</w:t>
      </w:r>
      <w:r>
        <w:t xml:space="preserve">se </w:t>
      </w:r>
      <w:proofErr w:type="spellStart"/>
      <w:proofErr w:type="gramStart"/>
      <w:r>
        <w:t>Xss</w:t>
      </w:r>
      <w:proofErr w:type="spellEnd"/>
      <w:r>
        <w:t>(</w:t>
      </w:r>
      <w:proofErr w:type="gramEnd"/>
      <w:r>
        <w:t xml:space="preserve">277) heavily loaded PC3 along with </w:t>
      </w:r>
      <w:proofErr w:type="spellStart"/>
      <w:r>
        <w:t>Xss</w:t>
      </w:r>
      <w:proofErr w:type="spellEnd"/>
      <w:r>
        <w:t xml:space="preserve">(117). </w:t>
      </w:r>
      <w:r w:rsidR="00800C02">
        <w:t>This resulted in</w:t>
      </w:r>
      <w:r w:rsidR="00E64AA5">
        <w:t xml:space="preserve"> a</w:t>
      </w:r>
      <w:r w:rsidR="004E68DC">
        <w:t>n increase</w:t>
      </w:r>
      <w:r w:rsidR="00E64AA5">
        <w:t xml:space="preserve"> in the Mahalanobis distance (Figure 4.</w:t>
      </w:r>
      <w:r w:rsidR="00E85FDF">
        <w:t>57</w:t>
      </w:r>
      <w:r w:rsidR="00E64AA5">
        <w:t>), but the fault may not be detectable depending on operating conditions since many of the data points were inside the 95% confidence boundary. A</w:t>
      </w:r>
      <w:r w:rsidR="004E68DC">
        <w:t>n increase</w:t>
      </w:r>
      <w:r w:rsidR="00E64AA5">
        <w:t xml:space="preserve"> in the Mahalanobis distance was expected since </w:t>
      </w:r>
      <w:r w:rsidR="00E85FDF">
        <w:t>this was one of the input variable</w:t>
      </w:r>
      <w:r w:rsidR="00800C02">
        <w:t>s</w:t>
      </w:r>
      <w:r w:rsidR="00E85FDF">
        <w:t xml:space="preserve"> and the change was greater than the allowed variation of the base case. </w:t>
      </w:r>
      <w:r w:rsidR="00E64AA5">
        <w:t xml:space="preserve">There was a shift in the </w:t>
      </w:r>
      <m:oMath>
        <m:r>
          <w:rPr>
            <w:rFonts w:ascii="Cambria Math" w:hAnsi="Cambria Math"/>
          </w:rPr>
          <m:t>Q</m:t>
        </m:r>
      </m:oMath>
      <w:r w:rsidR="00E64AA5">
        <w:rPr>
          <w:rFonts w:eastAsiaTheme="minorEastAsia"/>
        </w:rPr>
        <w:t>-statistic (Figures 4.</w:t>
      </w:r>
      <w:r w:rsidR="00E85FDF">
        <w:rPr>
          <w:rFonts w:eastAsiaTheme="minorEastAsia"/>
        </w:rPr>
        <w:t>58</w:t>
      </w:r>
      <w:r w:rsidR="00E64AA5">
        <w:rPr>
          <w:rFonts w:eastAsiaTheme="minorEastAsia"/>
        </w:rPr>
        <w:t>–4.</w:t>
      </w:r>
      <w:r w:rsidR="00E85FDF">
        <w:rPr>
          <w:rFonts w:eastAsiaTheme="minorEastAsia"/>
        </w:rPr>
        <w:t>59</w:t>
      </w:r>
      <w:r w:rsidR="00E64AA5">
        <w:rPr>
          <w:rFonts w:eastAsiaTheme="minorEastAsia"/>
        </w:rPr>
        <w:t>).</w:t>
      </w:r>
      <w:r w:rsidR="00E64AA5" w:rsidRPr="00562F25">
        <w:t xml:space="preserve"> </w:t>
      </w:r>
      <w:r w:rsidR="00E64AA5">
        <w:t>However, this fault may also not be detectable depending on operating conditions since some of the data points were within the 95% confidence boundary.</w:t>
      </w:r>
      <w:r w:rsidR="00E64AA5" w:rsidRPr="00E64AA5">
        <w:t xml:space="preserve"> </w:t>
      </w:r>
      <w:r w:rsidR="00E64AA5">
        <w:t xml:space="preserve">A fault was expected in the </w:t>
      </w:r>
      <m:oMath>
        <m:r>
          <w:rPr>
            <w:rFonts w:ascii="Cambria Math" w:hAnsi="Cambria Math"/>
          </w:rPr>
          <m:t>Q</m:t>
        </m:r>
      </m:oMath>
      <w:r w:rsidR="00E64AA5">
        <w:t xml:space="preserve">-statistic since changing the filter fractionation changes the parameters and therefore the </w:t>
      </w:r>
      <w:r w:rsidR="006F1843">
        <w:t xml:space="preserve">relative </w:t>
      </w:r>
      <w:r w:rsidR="00E64AA5">
        <w:t>relationship between the state variables w</w:t>
      </w:r>
      <w:r w:rsidR="00E85FDF">
        <w:t>ould</w:t>
      </w:r>
      <w:r w:rsidR="00E64AA5">
        <w:t xml:space="preserve"> be different. </w:t>
      </w:r>
      <w:r w:rsidR="00E64AA5">
        <w:rPr>
          <w:rFonts w:eastAsiaTheme="minorEastAsia"/>
        </w:rPr>
        <w:t xml:space="preserve">This fault, though </w:t>
      </w:r>
      <w:r w:rsidR="00E664E4">
        <w:t xml:space="preserve">reasonably sized </w:t>
      </w:r>
      <w:r w:rsidR="00E64AA5">
        <w:t xml:space="preserve">at approximately </w:t>
      </w:r>
      <w:r w:rsidR="00E664E4">
        <w:t>10%</w:t>
      </w:r>
      <w:r w:rsidR="00E64AA5">
        <w:t>, was not significant enough to be detectable by any of the diagnostic plots except at certain operating conditions.</w:t>
      </w:r>
      <w:r w:rsidR="005A2411">
        <w:t xml:space="preserve"> </w:t>
      </w:r>
      <w:r w:rsidR="00B20B49">
        <w:rPr>
          <w:rFonts w:eastAsiaTheme="minorEastAsia"/>
        </w:rPr>
        <w:t>Due to this and since this is a high priority for safeguards, it is very strongly recommended that the product and waste streams from the solvent extraction process be monitored for both flow rate and uranium content.</w:t>
      </w:r>
      <w:r w:rsidR="005A2411">
        <w:rPr>
          <w:rFonts w:eastAsiaTheme="minorEastAsia"/>
        </w:rPr>
        <w:t xml:space="preserve"> </w:t>
      </w:r>
      <w:r w:rsidR="00E85FDF">
        <w:t>A summary of this case is shown in Table 4.24.</w:t>
      </w:r>
      <w:r w:rsidR="001B675F">
        <w:br w:type="page"/>
      </w:r>
    </w:p>
    <w:tbl>
      <w:tblPr>
        <w:tblW w:w="8061" w:type="dxa"/>
        <w:jc w:val="center"/>
        <w:tblInd w:w="93" w:type="dxa"/>
        <w:tblLook w:val="04A0" w:firstRow="1" w:lastRow="0" w:firstColumn="1" w:lastColumn="0" w:noHBand="0" w:noVBand="1"/>
      </w:tblPr>
      <w:tblGrid>
        <w:gridCol w:w="1376"/>
        <w:gridCol w:w="888"/>
        <w:gridCol w:w="1292"/>
        <w:gridCol w:w="1318"/>
        <w:gridCol w:w="1130"/>
        <w:gridCol w:w="2057"/>
      </w:tblGrid>
      <w:tr w:rsidR="00E85FDF" w:rsidRPr="00E85FDF" w:rsidTr="00E85FDF">
        <w:trPr>
          <w:trHeight w:val="270"/>
          <w:jc w:val="center"/>
        </w:trPr>
        <w:tc>
          <w:tcPr>
            <w:tcW w:w="8061" w:type="dxa"/>
            <w:gridSpan w:val="6"/>
            <w:tcBorders>
              <w:top w:val="nil"/>
              <w:left w:val="nil"/>
              <w:bottom w:val="single" w:sz="8" w:space="0" w:color="auto"/>
              <w:right w:val="nil"/>
            </w:tcBorders>
            <w:shd w:val="clear" w:color="auto" w:fill="auto"/>
            <w:noWrap/>
            <w:vAlign w:val="center"/>
            <w:hideMark/>
          </w:tcPr>
          <w:p w:rsidR="00E85FDF" w:rsidRPr="00E85FDF" w:rsidRDefault="00E85FDF" w:rsidP="00E85FDF">
            <w:pPr>
              <w:spacing w:after="0" w:line="240" w:lineRule="auto"/>
              <w:jc w:val="center"/>
              <w:rPr>
                <w:rFonts w:ascii="Calibri" w:eastAsia="Times New Roman" w:hAnsi="Calibri" w:cs="Times New Roman"/>
                <w:b/>
                <w:bCs/>
                <w:color w:val="000000"/>
                <w:sz w:val="20"/>
                <w:szCs w:val="20"/>
              </w:rPr>
            </w:pPr>
            <w:r w:rsidRPr="00E85FDF">
              <w:rPr>
                <w:rFonts w:ascii="Calibri" w:eastAsia="Times New Roman" w:hAnsi="Calibri" w:cs="Times New Roman"/>
                <w:b/>
                <w:bCs/>
                <w:color w:val="000000"/>
                <w:sz w:val="20"/>
                <w:szCs w:val="20"/>
              </w:rPr>
              <w:lastRenderedPageBreak/>
              <w:t>Table 4.24. Summary of Faulty Case 4</w:t>
            </w:r>
          </w:p>
        </w:tc>
      </w:tr>
      <w:tr w:rsidR="00E85FDF" w:rsidRPr="00E85FDF" w:rsidTr="00E85FDF">
        <w:trPr>
          <w:trHeight w:val="255"/>
          <w:jc w:val="center"/>
        </w:trPr>
        <w:tc>
          <w:tcPr>
            <w:tcW w:w="8061" w:type="dxa"/>
            <w:gridSpan w:val="6"/>
            <w:tcBorders>
              <w:top w:val="nil"/>
              <w:left w:val="nil"/>
              <w:bottom w:val="nil"/>
              <w:right w:val="nil"/>
            </w:tcBorders>
            <w:shd w:val="clear" w:color="auto" w:fill="auto"/>
            <w:noWrap/>
            <w:vAlign w:val="center"/>
            <w:hideMark/>
          </w:tcPr>
          <w:p w:rsidR="00E85FDF" w:rsidRPr="00E85FDF" w:rsidRDefault="00E85FDF" w:rsidP="00E85FDF">
            <w:pPr>
              <w:spacing w:after="0" w:line="240" w:lineRule="auto"/>
              <w:jc w:val="center"/>
              <w:rPr>
                <w:rFonts w:ascii="Calibri" w:eastAsia="Times New Roman" w:hAnsi="Calibri" w:cs="Times New Roman"/>
                <w:b/>
                <w:bCs/>
                <w:color w:val="000000"/>
                <w:sz w:val="20"/>
                <w:szCs w:val="20"/>
              </w:rPr>
            </w:pPr>
            <w:r w:rsidRPr="00E85FDF">
              <w:rPr>
                <w:rFonts w:ascii="Calibri" w:eastAsia="Times New Roman" w:hAnsi="Calibri" w:cs="Times New Roman"/>
                <w:b/>
                <w:bCs/>
                <w:color w:val="000000"/>
                <w:sz w:val="20"/>
                <w:szCs w:val="20"/>
              </w:rPr>
              <w:t>Summary of Faulty Case</w:t>
            </w:r>
          </w:p>
        </w:tc>
      </w:tr>
      <w:tr w:rsidR="00E85FDF" w:rsidRPr="00E85FDF" w:rsidTr="00E85FDF">
        <w:trPr>
          <w:trHeight w:val="255"/>
          <w:jc w:val="center"/>
        </w:trPr>
        <w:tc>
          <w:tcPr>
            <w:tcW w:w="1376" w:type="dxa"/>
            <w:tcBorders>
              <w:top w:val="nil"/>
              <w:left w:val="nil"/>
              <w:bottom w:val="single" w:sz="4" w:space="0" w:color="auto"/>
              <w:right w:val="nil"/>
            </w:tcBorders>
            <w:shd w:val="clear" w:color="auto" w:fill="auto"/>
            <w:noWrap/>
            <w:vAlign w:val="center"/>
            <w:hideMark/>
          </w:tcPr>
          <w:p w:rsidR="00E85FDF" w:rsidRPr="00E85FDF" w:rsidRDefault="00E85FDF" w:rsidP="00E85FDF">
            <w:pPr>
              <w:spacing w:after="0" w:line="240" w:lineRule="auto"/>
              <w:jc w:val="center"/>
              <w:rPr>
                <w:rFonts w:ascii="Calibri" w:eastAsia="Times New Roman" w:hAnsi="Calibri" w:cs="Times New Roman"/>
                <w:b/>
                <w:bCs/>
                <w:color w:val="000000"/>
                <w:sz w:val="20"/>
                <w:szCs w:val="20"/>
              </w:rPr>
            </w:pPr>
            <w:r w:rsidRPr="00E85FDF">
              <w:rPr>
                <w:rFonts w:ascii="Calibri" w:eastAsia="Times New Roman" w:hAnsi="Calibri" w:cs="Times New Roman"/>
                <w:b/>
                <w:bCs/>
                <w:color w:val="000000"/>
                <w:sz w:val="20"/>
                <w:szCs w:val="20"/>
              </w:rPr>
              <w:t>Priority</w:t>
            </w:r>
          </w:p>
        </w:tc>
        <w:tc>
          <w:tcPr>
            <w:tcW w:w="888" w:type="dxa"/>
            <w:tcBorders>
              <w:top w:val="nil"/>
              <w:left w:val="nil"/>
              <w:bottom w:val="single" w:sz="4" w:space="0" w:color="auto"/>
              <w:right w:val="nil"/>
            </w:tcBorders>
            <w:shd w:val="clear" w:color="auto" w:fill="auto"/>
            <w:vAlign w:val="center"/>
            <w:hideMark/>
          </w:tcPr>
          <w:p w:rsidR="00E85FDF" w:rsidRPr="00E85FDF" w:rsidRDefault="00E85FDF" w:rsidP="00E85FDF">
            <w:pPr>
              <w:spacing w:after="0" w:line="240" w:lineRule="auto"/>
              <w:jc w:val="center"/>
              <w:rPr>
                <w:rFonts w:ascii="Calibri" w:eastAsia="Times New Roman" w:hAnsi="Calibri" w:cs="Times New Roman"/>
                <w:b/>
                <w:bCs/>
                <w:sz w:val="20"/>
                <w:szCs w:val="20"/>
              </w:rPr>
            </w:pPr>
            <w:r w:rsidRPr="00E85FDF">
              <w:rPr>
                <w:rFonts w:ascii="Calibri" w:eastAsia="Times New Roman" w:hAnsi="Calibri" w:cs="Times New Roman"/>
                <w:b/>
                <w:bCs/>
                <w:sz w:val="20"/>
                <w:szCs w:val="20"/>
              </w:rPr>
              <w:t>Module</w:t>
            </w:r>
          </w:p>
        </w:tc>
        <w:tc>
          <w:tcPr>
            <w:tcW w:w="1292" w:type="dxa"/>
            <w:tcBorders>
              <w:top w:val="nil"/>
              <w:left w:val="nil"/>
              <w:bottom w:val="single" w:sz="4" w:space="0" w:color="auto"/>
              <w:right w:val="nil"/>
            </w:tcBorders>
            <w:shd w:val="clear" w:color="auto" w:fill="auto"/>
            <w:vAlign w:val="center"/>
            <w:hideMark/>
          </w:tcPr>
          <w:p w:rsidR="00E85FDF" w:rsidRPr="00E85FDF" w:rsidRDefault="00E85FDF" w:rsidP="00E85FDF">
            <w:pPr>
              <w:spacing w:after="0" w:line="240" w:lineRule="auto"/>
              <w:jc w:val="center"/>
              <w:rPr>
                <w:rFonts w:ascii="Calibri" w:eastAsia="Times New Roman" w:hAnsi="Calibri" w:cs="Times New Roman"/>
                <w:b/>
                <w:bCs/>
                <w:sz w:val="20"/>
                <w:szCs w:val="20"/>
              </w:rPr>
            </w:pPr>
            <w:r w:rsidRPr="00E85FDF">
              <w:rPr>
                <w:rFonts w:ascii="Calibri" w:eastAsia="Times New Roman" w:hAnsi="Calibri" w:cs="Times New Roman"/>
                <w:b/>
                <w:bCs/>
                <w:sz w:val="20"/>
                <w:szCs w:val="20"/>
              </w:rPr>
              <w:t>Faulty Variable</w:t>
            </w:r>
          </w:p>
        </w:tc>
        <w:tc>
          <w:tcPr>
            <w:tcW w:w="1318" w:type="dxa"/>
            <w:tcBorders>
              <w:top w:val="nil"/>
              <w:left w:val="nil"/>
              <w:bottom w:val="single" w:sz="4" w:space="0" w:color="auto"/>
              <w:right w:val="nil"/>
            </w:tcBorders>
            <w:shd w:val="clear" w:color="auto" w:fill="auto"/>
            <w:vAlign w:val="center"/>
            <w:hideMark/>
          </w:tcPr>
          <w:p w:rsidR="00E85FDF" w:rsidRPr="00E85FDF" w:rsidRDefault="00E85FDF" w:rsidP="00E85FDF">
            <w:pPr>
              <w:spacing w:after="0" w:line="240" w:lineRule="auto"/>
              <w:jc w:val="center"/>
              <w:rPr>
                <w:rFonts w:ascii="Calibri" w:eastAsia="Times New Roman" w:hAnsi="Calibri" w:cs="Times New Roman"/>
                <w:b/>
                <w:bCs/>
                <w:color w:val="000000"/>
                <w:sz w:val="20"/>
                <w:szCs w:val="20"/>
              </w:rPr>
            </w:pPr>
            <w:r w:rsidRPr="00E85FDF">
              <w:rPr>
                <w:rFonts w:ascii="Calibri" w:eastAsia="Times New Roman" w:hAnsi="Calibri" w:cs="Times New Roman"/>
                <w:b/>
                <w:bCs/>
                <w:color w:val="000000"/>
                <w:sz w:val="20"/>
                <w:szCs w:val="20"/>
              </w:rPr>
              <w:t>Base Case Value</w:t>
            </w:r>
          </w:p>
        </w:tc>
        <w:tc>
          <w:tcPr>
            <w:tcW w:w="1130" w:type="dxa"/>
            <w:tcBorders>
              <w:top w:val="nil"/>
              <w:left w:val="nil"/>
              <w:bottom w:val="single" w:sz="4" w:space="0" w:color="auto"/>
              <w:right w:val="nil"/>
            </w:tcBorders>
            <w:shd w:val="clear" w:color="auto" w:fill="auto"/>
            <w:vAlign w:val="center"/>
            <w:hideMark/>
          </w:tcPr>
          <w:p w:rsidR="00E85FDF" w:rsidRPr="00E85FDF" w:rsidRDefault="00E85FDF" w:rsidP="00E85FDF">
            <w:pPr>
              <w:spacing w:after="0" w:line="240" w:lineRule="auto"/>
              <w:jc w:val="center"/>
              <w:rPr>
                <w:rFonts w:ascii="Calibri" w:eastAsia="Times New Roman" w:hAnsi="Calibri" w:cs="Times New Roman"/>
                <w:b/>
                <w:bCs/>
                <w:color w:val="000000"/>
                <w:sz w:val="20"/>
                <w:szCs w:val="20"/>
              </w:rPr>
            </w:pPr>
            <w:r w:rsidRPr="00E85FDF">
              <w:rPr>
                <w:rFonts w:ascii="Calibri" w:eastAsia="Times New Roman" w:hAnsi="Calibri" w:cs="Times New Roman"/>
                <w:b/>
                <w:bCs/>
                <w:color w:val="000000"/>
                <w:sz w:val="20"/>
                <w:szCs w:val="20"/>
              </w:rPr>
              <w:t>Faulty Value</w:t>
            </w:r>
          </w:p>
        </w:tc>
        <w:tc>
          <w:tcPr>
            <w:tcW w:w="2057" w:type="dxa"/>
            <w:tcBorders>
              <w:top w:val="nil"/>
              <w:left w:val="nil"/>
              <w:bottom w:val="single" w:sz="4" w:space="0" w:color="auto"/>
              <w:right w:val="nil"/>
            </w:tcBorders>
            <w:shd w:val="clear" w:color="auto" w:fill="auto"/>
            <w:vAlign w:val="center"/>
            <w:hideMark/>
          </w:tcPr>
          <w:p w:rsidR="00E85FDF" w:rsidRPr="00E85FDF" w:rsidRDefault="00E85FDF" w:rsidP="00E85FDF">
            <w:pPr>
              <w:spacing w:after="0" w:line="240" w:lineRule="auto"/>
              <w:jc w:val="center"/>
              <w:rPr>
                <w:rFonts w:ascii="Calibri" w:eastAsia="Times New Roman" w:hAnsi="Calibri" w:cs="Times New Roman"/>
                <w:b/>
                <w:bCs/>
                <w:sz w:val="20"/>
                <w:szCs w:val="20"/>
              </w:rPr>
            </w:pPr>
            <w:r w:rsidRPr="00E85FDF">
              <w:rPr>
                <w:rFonts w:ascii="Calibri" w:eastAsia="Times New Roman" w:hAnsi="Calibri" w:cs="Times New Roman"/>
                <w:b/>
                <w:bCs/>
                <w:sz w:val="20"/>
                <w:szCs w:val="20"/>
              </w:rPr>
              <w:t>Physical Description</w:t>
            </w:r>
          </w:p>
        </w:tc>
      </w:tr>
      <w:tr w:rsidR="00E85FDF" w:rsidRPr="00E85FDF" w:rsidTr="00E85FDF">
        <w:trPr>
          <w:trHeight w:val="1275"/>
          <w:jc w:val="center"/>
        </w:trPr>
        <w:tc>
          <w:tcPr>
            <w:tcW w:w="1376" w:type="dxa"/>
            <w:tcBorders>
              <w:top w:val="nil"/>
              <w:left w:val="nil"/>
              <w:bottom w:val="nil"/>
              <w:right w:val="nil"/>
            </w:tcBorders>
            <w:shd w:val="clear" w:color="auto" w:fill="auto"/>
            <w:noWrap/>
            <w:vAlign w:val="center"/>
            <w:hideMark/>
          </w:tcPr>
          <w:p w:rsidR="00E85FDF" w:rsidRPr="00E85FDF" w:rsidRDefault="00E85FDF" w:rsidP="00E85FDF">
            <w:pPr>
              <w:spacing w:after="0" w:line="240" w:lineRule="auto"/>
              <w:jc w:val="center"/>
              <w:rPr>
                <w:rFonts w:ascii="Calibri" w:eastAsia="Times New Roman" w:hAnsi="Calibri" w:cs="Times New Roman"/>
                <w:color w:val="000000"/>
                <w:sz w:val="20"/>
                <w:szCs w:val="20"/>
              </w:rPr>
            </w:pPr>
            <w:r w:rsidRPr="00E85FDF">
              <w:rPr>
                <w:rFonts w:ascii="Calibri" w:eastAsia="Times New Roman" w:hAnsi="Calibri" w:cs="Times New Roman"/>
                <w:color w:val="000000"/>
                <w:sz w:val="20"/>
                <w:szCs w:val="20"/>
              </w:rPr>
              <w:t>High</w:t>
            </w:r>
          </w:p>
        </w:tc>
        <w:tc>
          <w:tcPr>
            <w:tcW w:w="888" w:type="dxa"/>
            <w:tcBorders>
              <w:top w:val="nil"/>
              <w:left w:val="nil"/>
              <w:bottom w:val="nil"/>
              <w:right w:val="nil"/>
            </w:tcBorders>
            <w:shd w:val="clear" w:color="auto" w:fill="auto"/>
            <w:vAlign w:val="center"/>
            <w:hideMark/>
          </w:tcPr>
          <w:p w:rsidR="00E85FDF" w:rsidRPr="00E85FDF" w:rsidRDefault="00E85FDF" w:rsidP="00E85FDF">
            <w:pPr>
              <w:spacing w:after="0" w:line="240" w:lineRule="auto"/>
              <w:jc w:val="center"/>
              <w:rPr>
                <w:rFonts w:ascii="Calibri" w:eastAsia="Times New Roman" w:hAnsi="Calibri" w:cs="Times New Roman"/>
                <w:color w:val="000000"/>
                <w:sz w:val="20"/>
                <w:szCs w:val="20"/>
              </w:rPr>
            </w:pPr>
            <w:r w:rsidRPr="00E85FDF">
              <w:rPr>
                <w:rFonts w:ascii="Calibri" w:eastAsia="Times New Roman" w:hAnsi="Calibri" w:cs="Times New Roman"/>
                <w:color w:val="000000"/>
                <w:sz w:val="20"/>
                <w:szCs w:val="20"/>
              </w:rPr>
              <w:t>2</w:t>
            </w:r>
          </w:p>
        </w:tc>
        <w:tc>
          <w:tcPr>
            <w:tcW w:w="1292" w:type="dxa"/>
            <w:tcBorders>
              <w:top w:val="nil"/>
              <w:left w:val="nil"/>
              <w:bottom w:val="nil"/>
              <w:right w:val="nil"/>
            </w:tcBorders>
            <w:shd w:val="clear" w:color="auto" w:fill="auto"/>
            <w:vAlign w:val="center"/>
            <w:hideMark/>
          </w:tcPr>
          <w:p w:rsidR="00E85FDF" w:rsidRPr="00E85FDF" w:rsidRDefault="00E85FDF" w:rsidP="00E85FDF">
            <w:pPr>
              <w:spacing w:after="0" w:line="240" w:lineRule="auto"/>
              <w:jc w:val="center"/>
              <w:rPr>
                <w:rFonts w:ascii="Calibri" w:eastAsia="Times New Roman" w:hAnsi="Calibri" w:cs="Times New Roman"/>
                <w:color w:val="000000"/>
                <w:sz w:val="20"/>
                <w:szCs w:val="20"/>
              </w:rPr>
            </w:pPr>
            <w:r w:rsidRPr="00E85FDF">
              <w:rPr>
                <w:rFonts w:ascii="Calibri" w:eastAsia="Times New Roman" w:hAnsi="Calibri" w:cs="Times New Roman"/>
                <w:color w:val="000000"/>
                <w:sz w:val="20"/>
                <w:szCs w:val="20"/>
              </w:rPr>
              <w:t>K</w:t>
            </w:r>
            <w:r w:rsidRPr="00E85FDF">
              <w:rPr>
                <w:rFonts w:ascii="Calibri" w:eastAsia="Times New Roman" w:hAnsi="Calibri" w:cs="Times New Roman"/>
                <w:color w:val="000000"/>
                <w:sz w:val="20"/>
                <w:szCs w:val="20"/>
                <w:vertAlign w:val="subscript"/>
              </w:rPr>
              <w:t>Mod2D,14</w:t>
            </w:r>
            <w:r w:rsidRPr="00E85FDF">
              <w:rPr>
                <w:rFonts w:ascii="Calibri" w:eastAsia="Times New Roman" w:hAnsi="Calibri" w:cs="Times New Roman"/>
                <w:color w:val="000000"/>
                <w:sz w:val="20"/>
                <w:szCs w:val="20"/>
              </w:rPr>
              <w:t xml:space="preserve">, </w:t>
            </w:r>
            <w:proofErr w:type="spellStart"/>
            <w:r w:rsidRPr="00E85FDF">
              <w:rPr>
                <w:rFonts w:ascii="Calibri" w:eastAsia="Times New Roman" w:hAnsi="Calibri" w:cs="Times New Roman"/>
                <w:color w:val="000000"/>
                <w:sz w:val="20"/>
                <w:szCs w:val="20"/>
              </w:rPr>
              <w:t>Xss</w:t>
            </w:r>
            <w:proofErr w:type="spellEnd"/>
            <w:r w:rsidRPr="00E85FDF">
              <w:rPr>
                <w:rFonts w:ascii="Calibri" w:eastAsia="Times New Roman" w:hAnsi="Calibri" w:cs="Times New Roman"/>
                <w:color w:val="000000"/>
                <w:sz w:val="20"/>
                <w:szCs w:val="20"/>
              </w:rPr>
              <w:t>(277)</w:t>
            </w:r>
          </w:p>
        </w:tc>
        <w:tc>
          <w:tcPr>
            <w:tcW w:w="1318" w:type="dxa"/>
            <w:tcBorders>
              <w:top w:val="nil"/>
              <w:left w:val="nil"/>
              <w:bottom w:val="nil"/>
              <w:right w:val="nil"/>
            </w:tcBorders>
            <w:shd w:val="clear" w:color="auto" w:fill="auto"/>
            <w:vAlign w:val="center"/>
            <w:hideMark/>
          </w:tcPr>
          <w:p w:rsidR="00E85FDF" w:rsidRPr="00E85FDF" w:rsidRDefault="00E85FDF" w:rsidP="00E85FDF">
            <w:pPr>
              <w:spacing w:after="0" w:line="240" w:lineRule="auto"/>
              <w:jc w:val="center"/>
              <w:rPr>
                <w:rFonts w:ascii="Calibri" w:eastAsia="Times New Roman" w:hAnsi="Calibri" w:cs="Times New Roman"/>
                <w:color w:val="000000"/>
                <w:sz w:val="20"/>
                <w:szCs w:val="20"/>
              </w:rPr>
            </w:pPr>
            <w:r w:rsidRPr="00E85FDF">
              <w:rPr>
                <w:rFonts w:ascii="Calibri" w:eastAsia="Times New Roman" w:hAnsi="Calibri" w:cs="Times New Roman"/>
                <w:color w:val="000000"/>
                <w:sz w:val="20"/>
                <w:szCs w:val="20"/>
              </w:rPr>
              <w:t>0.999</w:t>
            </w:r>
          </w:p>
        </w:tc>
        <w:tc>
          <w:tcPr>
            <w:tcW w:w="1130" w:type="dxa"/>
            <w:tcBorders>
              <w:top w:val="nil"/>
              <w:left w:val="nil"/>
              <w:bottom w:val="nil"/>
              <w:right w:val="nil"/>
            </w:tcBorders>
            <w:shd w:val="clear" w:color="auto" w:fill="auto"/>
            <w:vAlign w:val="center"/>
            <w:hideMark/>
          </w:tcPr>
          <w:p w:rsidR="00E85FDF" w:rsidRPr="00E85FDF" w:rsidRDefault="00E85FDF" w:rsidP="00E85FDF">
            <w:pPr>
              <w:spacing w:after="0" w:line="240" w:lineRule="auto"/>
              <w:jc w:val="center"/>
              <w:rPr>
                <w:rFonts w:ascii="Calibri" w:eastAsia="Times New Roman" w:hAnsi="Calibri" w:cs="Times New Roman"/>
                <w:color w:val="000000"/>
                <w:sz w:val="20"/>
                <w:szCs w:val="20"/>
              </w:rPr>
            </w:pPr>
            <w:r w:rsidRPr="00E85FDF">
              <w:rPr>
                <w:rFonts w:ascii="Calibri" w:eastAsia="Times New Roman" w:hAnsi="Calibri" w:cs="Times New Roman"/>
                <w:color w:val="000000"/>
                <w:sz w:val="20"/>
                <w:szCs w:val="20"/>
              </w:rPr>
              <w:t>0.9</w:t>
            </w:r>
          </w:p>
        </w:tc>
        <w:tc>
          <w:tcPr>
            <w:tcW w:w="2057" w:type="dxa"/>
            <w:tcBorders>
              <w:top w:val="nil"/>
              <w:left w:val="nil"/>
              <w:bottom w:val="nil"/>
              <w:right w:val="nil"/>
            </w:tcBorders>
            <w:shd w:val="clear" w:color="auto" w:fill="auto"/>
            <w:vAlign w:val="center"/>
            <w:hideMark/>
          </w:tcPr>
          <w:p w:rsidR="00E85FDF" w:rsidRPr="00E85FDF" w:rsidRDefault="00E85FDF" w:rsidP="00E85FDF">
            <w:pPr>
              <w:spacing w:after="0" w:line="240" w:lineRule="auto"/>
              <w:rPr>
                <w:rFonts w:ascii="Calibri" w:eastAsia="Times New Roman" w:hAnsi="Calibri" w:cs="Times New Roman"/>
                <w:sz w:val="20"/>
                <w:szCs w:val="20"/>
              </w:rPr>
            </w:pPr>
            <w:r w:rsidRPr="00E85FDF">
              <w:rPr>
                <w:rFonts w:ascii="Calibri" w:eastAsia="Times New Roman" w:hAnsi="Calibri" w:cs="Times New Roman"/>
                <w:sz w:val="20"/>
                <w:szCs w:val="20"/>
              </w:rPr>
              <w:t>Inefficient re-extraction operations, reduce uranyl nitrate extraction in Module 2 resulting in more U in Module 2 waste</w:t>
            </w:r>
          </w:p>
        </w:tc>
      </w:tr>
      <w:tr w:rsidR="00E85FDF" w:rsidRPr="00E85FDF" w:rsidTr="00E85FDF">
        <w:trPr>
          <w:trHeight w:val="255"/>
          <w:jc w:val="center"/>
        </w:trPr>
        <w:tc>
          <w:tcPr>
            <w:tcW w:w="8061" w:type="dxa"/>
            <w:gridSpan w:val="6"/>
            <w:tcBorders>
              <w:top w:val="single" w:sz="4" w:space="0" w:color="auto"/>
              <w:left w:val="nil"/>
              <w:bottom w:val="nil"/>
              <w:right w:val="nil"/>
            </w:tcBorders>
            <w:shd w:val="clear" w:color="auto" w:fill="auto"/>
            <w:noWrap/>
            <w:vAlign w:val="center"/>
            <w:hideMark/>
          </w:tcPr>
          <w:p w:rsidR="00E85FDF" w:rsidRPr="00E85FDF" w:rsidRDefault="00E85FDF" w:rsidP="00E85FDF">
            <w:pPr>
              <w:spacing w:after="0" w:line="240" w:lineRule="auto"/>
              <w:jc w:val="center"/>
              <w:rPr>
                <w:rFonts w:ascii="Calibri" w:eastAsia="Times New Roman" w:hAnsi="Calibri" w:cs="Times New Roman"/>
                <w:b/>
                <w:bCs/>
                <w:color w:val="000000"/>
                <w:sz w:val="20"/>
                <w:szCs w:val="20"/>
              </w:rPr>
            </w:pPr>
            <w:r w:rsidRPr="00E85FDF">
              <w:rPr>
                <w:rFonts w:ascii="Calibri" w:eastAsia="Times New Roman" w:hAnsi="Calibri" w:cs="Times New Roman"/>
                <w:b/>
                <w:bCs/>
                <w:color w:val="000000"/>
                <w:sz w:val="20"/>
                <w:szCs w:val="20"/>
              </w:rPr>
              <w:t>Summary of Results</w:t>
            </w:r>
          </w:p>
        </w:tc>
      </w:tr>
      <w:tr w:rsidR="00E85FDF" w:rsidRPr="00E85FDF" w:rsidTr="00E85FDF">
        <w:trPr>
          <w:trHeight w:val="255"/>
          <w:jc w:val="center"/>
        </w:trPr>
        <w:tc>
          <w:tcPr>
            <w:tcW w:w="1376" w:type="dxa"/>
            <w:tcBorders>
              <w:top w:val="nil"/>
              <w:left w:val="nil"/>
              <w:bottom w:val="single" w:sz="4" w:space="0" w:color="auto"/>
              <w:right w:val="nil"/>
            </w:tcBorders>
            <w:shd w:val="clear" w:color="auto" w:fill="auto"/>
            <w:noWrap/>
            <w:vAlign w:val="center"/>
            <w:hideMark/>
          </w:tcPr>
          <w:p w:rsidR="00E85FDF" w:rsidRPr="00E85FDF" w:rsidRDefault="00E85FDF" w:rsidP="00E85FDF">
            <w:pPr>
              <w:spacing w:after="0" w:line="240" w:lineRule="auto"/>
              <w:jc w:val="center"/>
              <w:rPr>
                <w:rFonts w:ascii="Calibri" w:eastAsia="Times New Roman" w:hAnsi="Calibri" w:cs="Times New Roman"/>
                <w:color w:val="000000"/>
                <w:sz w:val="20"/>
                <w:szCs w:val="20"/>
              </w:rPr>
            </w:pPr>
            <w:r w:rsidRPr="00E85FDF">
              <w:rPr>
                <w:rFonts w:ascii="Calibri" w:eastAsia="Times New Roman" w:hAnsi="Calibri" w:cs="Times New Roman"/>
                <w:color w:val="000000"/>
                <w:sz w:val="20"/>
                <w:szCs w:val="20"/>
              </w:rPr>
              <w:t> </w:t>
            </w:r>
          </w:p>
        </w:tc>
        <w:tc>
          <w:tcPr>
            <w:tcW w:w="888" w:type="dxa"/>
            <w:tcBorders>
              <w:top w:val="nil"/>
              <w:left w:val="nil"/>
              <w:bottom w:val="single" w:sz="4" w:space="0" w:color="auto"/>
              <w:right w:val="nil"/>
            </w:tcBorders>
            <w:shd w:val="clear" w:color="auto" w:fill="auto"/>
            <w:vAlign w:val="center"/>
            <w:hideMark/>
          </w:tcPr>
          <w:p w:rsidR="00E85FDF" w:rsidRPr="00E85FDF" w:rsidRDefault="00E85FDF" w:rsidP="00E85FDF">
            <w:pPr>
              <w:spacing w:after="0" w:line="240" w:lineRule="auto"/>
              <w:jc w:val="center"/>
              <w:rPr>
                <w:rFonts w:ascii="Calibri" w:eastAsia="Times New Roman" w:hAnsi="Calibri" w:cs="Times New Roman"/>
                <w:b/>
                <w:bCs/>
                <w:sz w:val="20"/>
                <w:szCs w:val="20"/>
              </w:rPr>
            </w:pPr>
            <w:r w:rsidRPr="00E85FDF">
              <w:rPr>
                <w:rFonts w:ascii="Calibri" w:eastAsia="Times New Roman" w:hAnsi="Calibri" w:cs="Times New Roman"/>
                <w:b/>
                <w:bCs/>
                <w:sz w:val="20"/>
                <w:szCs w:val="20"/>
              </w:rPr>
              <w:t>PC1</w:t>
            </w:r>
            <w:r w:rsidR="00E4364C">
              <w:rPr>
                <w:rFonts w:ascii="Calibri" w:eastAsia="Times New Roman" w:hAnsi="Calibri" w:cs="Times New Roman"/>
                <w:b/>
                <w:bCs/>
                <w:sz w:val="20"/>
                <w:szCs w:val="20"/>
              </w:rPr>
              <w:t xml:space="preserve"> Scores</w:t>
            </w:r>
          </w:p>
        </w:tc>
        <w:tc>
          <w:tcPr>
            <w:tcW w:w="1292" w:type="dxa"/>
            <w:tcBorders>
              <w:top w:val="nil"/>
              <w:left w:val="nil"/>
              <w:bottom w:val="single" w:sz="4" w:space="0" w:color="auto"/>
              <w:right w:val="nil"/>
            </w:tcBorders>
            <w:shd w:val="clear" w:color="auto" w:fill="auto"/>
            <w:vAlign w:val="center"/>
            <w:hideMark/>
          </w:tcPr>
          <w:p w:rsidR="00E4364C" w:rsidRDefault="00E85FDF" w:rsidP="00E85FDF">
            <w:pPr>
              <w:spacing w:after="0" w:line="240" w:lineRule="auto"/>
              <w:jc w:val="center"/>
              <w:rPr>
                <w:rFonts w:ascii="Calibri" w:eastAsia="Times New Roman" w:hAnsi="Calibri" w:cs="Times New Roman"/>
                <w:b/>
                <w:bCs/>
                <w:color w:val="000000"/>
                <w:sz w:val="20"/>
                <w:szCs w:val="20"/>
              </w:rPr>
            </w:pPr>
            <w:r w:rsidRPr="00E85FDF">
              <w:rPr>
                <w:rFonts w:ascii="Calibri" w:eastAsia="Times New Roman" w:hAnsi="Calibri" w:cs="Times New Roman"/>
                <w:b/>
                <w:bCs/>
                <w:color w:val="000000"/>
                <w:sz w:val="20"/>
                <w:szCs w:val="20"/>
              </w:rPr>
              <w:t>PC2</w:t>
            </w:r>
            <w:r w:rsidR="00E4364C">
              <w:rPr>
                <w:rFonts w:ascii="Calibri" w:eastAsia="Times New Roman" w:hAnsi="Calibri" w:cs="Times New Roman"/>
                <w:b/>
                <w:bCs/>
                <w:color w:val="000000"/>
                <w:sz w:val="20"/>
                <w:szCs w:val="20"/>
              </w:rPr>
              <w:t xml:space="preserve"> </w:t>
            </w:r>
          </w:p>
          <w:p w:rsidR="00E85FDF" w:rsidRPr="00E85FDF" w:rsidRDefault="00E4364C" w:rsidP="00E85FDF">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1318" w:type="dxa"/>
            <w:tcBorders>
              <w:top w:val="nil"/>
              <w:left w:val="nil"/>
              <w:bottom w:val="single" w:sz="4" w:space="0" w:color="auto"/>
              <w:right w:val="nil"/>
            </w:tcBorders>
            <w:shd w:val="clear" w:color="auto" w:fill="auto"/>
            <w:vAlign w:val="center"/>
            <w:hideMark/>
          </w:tcPr>
          <w:p w:rsidR="00E4364C" w:rsidRDefault="00E85FDF" w:rsidP="00E85FDF">
            <w:pPr>
              <w:spacing w:after="0" w:line="240" w:lineRule="auto"/>
              <w:jc w:val="center"/>
              <w:rPr>
                <w:rFonts w:ascii="Calibri" w:eastAsia="Times New Roman" w:hAnsi="Calibri" w:cs="Times New Roman"/>
                <w:b/>
                <w:bCs/>
                <w:color w:val="000000"/>
                <w:sz w:val="20"/>
                <w:szCs w:val="20"/>
              </w:rPr>
            </w:pPr>
            <w:r w:rsidRPr="00E85FDF">
              <w:rPr>
                <w:rFonts w:ascii="Calibri" w:eastAsia="Times New Roman" w:hAnsi="Calibri" w:cs="Times New Roman"/>
                <w:b/>
                <w:bCs/>
                <w:color w:val="000000"/>
                <w:sz w:val="20"/>
                <w:szCs w:val="20"/>
              </w:rPr>
              <w:t>PC3</w:t>
            </w:r>
            <w:r w:rsidR="00E4364C">
              <w:rPr>
                <w:rFonts w:ascii="Calibri" w:eastAsia="Times New Roman" w:hAnsi="Calibri" w:cs="Times New Roman"/>
                <w:b/>
                <w:bCs/>
                <w:color w:val="000000"/>
                <w:sz w:val="20"/>
                <w:szCs w:val="20"/>
              </w:rPr>
              <w:t xml:space="preserve"> </w:t>
            </w:r>
          </w:p>
          <w:p w:rsidR="00E85FDF" w:rsidRPr="00E85FDF" w:rsidRDefault="00E4364C" w:rsidP="00E85FDF">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1130" w:type="dxa"/>
            <w:tcBorders>
              <w:top w:val="nil"/>
              <w:left w:val="nil"/>
              <w:bottom w:val="single" w:sz="4" w:space="0" w:color="auto"/>
              <w:right w:val="nil"/>
            </w:tcBorders>
            <w:shd w:val="clear" w:color="auto" w:fill="auto"/>
            <w:vAlign w:val="center"/>
            <w:hideMark/>
          </w:tcPr>
          <w:p w:rsidR="00E85FDF" w:rsidRPr="00E85FDF" w:rsidRDefault="00E85FDF" w:rsidP="00E85FDF">
            <w:pPr>
              <w:spacing w:after="0" w:line="240" w:lineRule="auto"/>
              <w:jc w:val="center"/>
              <w:rPr>
                <w:rFonts w:ascii="Calibri" w:eastAsia="Times New Roman" w:hAnsi="Calibri" w:cs="Times New Roman"/>
                <w:b/>
                <w:bCs/>
                <w:color w:val="000000"/>
                <w:sz w:val="20"/>
                <w:szCs w:val="20"/>
              </w:rPr>
            </w:pPr>
            <w:r w:rsidRPr="00E85FDF">
              <w:rPr>
                <w:rFonts w:ascii="Calibri" w:eastAsia="Times New Roman" w:hAnsi="Calibri" w:cs="Times New Roman"/>
                <w:b/>
                <w:bCs/>
                <w:color w:val="000000"/>
                <w:sz w:val="20"/>
                <w:szCs w:val="20"/>
              </w:rPr>
              <w:t>T2</w:t>
            </w:r>
          </w:p>
        </w:tc>
        <w:tc>
          <w:tcPr>
            <w:tcW w:w="2057" w:type="dxa"/>
            <w:tcBorders>
              <w:top w:val="nil"/>
              <w:left w:val="nil"/>
              <w:bottom w:val="single" w:sz="4" w:space="0" w:color="auto"/>
              <w:right w:val="nil"/>
            </w:tcBorders>
            <w:shd w:val="clear" w:color="auto" w:fill="auto"/>
            <w:vAlign w:val="center"/>
            <w:hideMark/>
          </w:tcPr>
          <w:p w:rsidR="00E85FDF" w:rsidRPr="00E85FDF" w:rsidRDefault="00E85FDF" w:rsidP="00E85FDF">
            <w:pPr>
              <w:spacing w:after="0" w:line="240" w:lineRule="auto"/>
              <w:jc w:val="center"/>
              <w:rPr>
                <w:rFonts w:ascii="Calibri" w:eastAsia="Times New Roman" w:hAnsi="Calibri" w:cs="Times New Roman"/>
                <w:b/>
                <w:bCs/>
                <w:color w:val="000000"/>
                <w:sz w:val="20"/>
                <w:szCs w:val="20"/>
              </w:rPr>
            </w:pPr>
            <w:r w:rsidRPr="00E85FDF">
              <w:rPr>
                <w:rFonts w:ascii="Calibri" w:eastAsia="Times New Roman" w:hAnsi="Calibri" w:cs="Times New Roman"/>
                <w:b/>
                <w:bCs/>
                <w:color w:val="000000"/>
                <w:sz w:val="20"/>
                <w:szCs w:val="20"/>
              </w:rPr>
              <w:t>Q</w:t>
            </w:r>
          </w:p>
        </w:tc>
      </w:tr>
      <w:tr w:rsidR="00E85FDF" w:rsidRPr="00E85FDF" w:rsidTr="00E85FDF">
        <w:trPr>
          <w:trHeight w:val="255"/>
          <w:jc w:val="center"/>
        </w:trPr>
        <w:tc>
          <w:tcPr>
            <w:tcW w:w="1376" w:type="dxa"/>
            <w:tcBorders>
              <w:top w:val="nil"/>
              <w:left w:val="nil"/>
              <w:bottom w:val="nil"/>
              <w:right w:val="nil"/>
            </w:tcBorders>
            <w:shd w:val="clear" w:color="auto" w:fill="auto"/>
            <w:noWrap/>
            <w:vAlign w:val="center"/>
            <w:hideMark/>
          </w:tcPr>
          <w:p w:rsidR="00E85FDF" w:rsidRPr="00E85FDF" w:rsidRDefault="00E85FDF" w:rsidP="00E85FDF">
            <w:pPr>
              <w:spacing w:after="0" w:line="240" w:lineRule="auto"/>
              <w:jc w:val="center"/>
              <w:rPr>
                <w:rFonts w:ascii="Calibri" w:eastAsia="Times New Roman" w:hAnsi="Calibri" w:cs="Times New Roman"/>
                <w:b/>
                <w:bCs/>
                <w:color w:val="000000"/>
                <w:sz w:val="20"/>
                <w:szCs w:val="20"/>
              </w:rPr>
            </w:pPr>
            <w:r w:rsidRPr="00E85FDF">
              <w:rPr>
                <w:rFonts w:ascii="Calibri" w:eastAsia="Times New Roman" w:hAnsi="Calibri" w:cs="Times New Roman"/>
                <w:b/>
                <w:bCs/>
                <w:color w:val="000000"/>
                <w:sz w:val="20"/>
                <w:szCs w:val="20"/>
              </w:rPr>
              <w:t>Direction</w:t>
            </w:r>
          </w:p>
        </w:tc>
        <w:tc>
          <w:tcPr>
            <w:tcW w:w="888" w:type="dxa"/>
            <w:tcBorders>
              <w:top w:val="nil"/>
              <w:left w:val="nil"/>
              <w:bottom w:val="nil"/>
              <w:right w:val="nil"/>
            </w:tcBorders>
            <w:shd w:val="clear" w:color="auto" w:fill="auto"/>
            <w:noWrap/>
            <w:vAlign w:val="center"/>
            <w:hideMark/>
          </w:tcPr>
          <w:p w:rsidR="00E85FDF" w:rsidRPr="00E85FDF" w:rsidRDefault="00E85FDF" w:rsidP="00E85FDF">
            <w:pPr>
              <w:spacing w:after="0" w:line="240" w:lineRule="auto"/>
              <w:jc w:val="center"/>
              <w:rPr>
                <w:rFonts w:ascii="Calibri" w:eastAsia="Times New Roman" w:hAnsi="Calibri" w:cs="Times New Roman"/>
                <w:color w:val="000000"/>
                <w:sz w:val="20"/>
                <w:szCs w:val="20"/>
              </w:rPr>
            </w:pPr>
            <w:r w:rsidRPr="00E85FDF">
              <w:rPr>
                <w:rFonts w:ascii="Calibri" w:eastAsia="Times New Roman" w:hAnsi="Calibri" w:cs="Times New Roman"/>
                <w:color w:val="000000"/>
                <w:sz w:val="20"/>
                <w:szCs w:val="20"/>
              </w:rPr>
              <w:t>+</w:t>
            </w:r>
          </w:p>
        </w:tc>
        <w:tc>
          <w:tcPr>
            <w:tcW w:w="1292" w:type="dxa"/>
            <w:tcBorders>
              <w:top w:val="nil"/>
              <w:left w:val="nil"/>
              <w:bottom w:val="nil"/>
              <w:right w:val="nil"/>
            </w:tcBorders>
            <w:shd w:val="clear" w:color="auto" w:fill="auto"/>
            <w:noWrap/>
            <w:vAlign w:val="center"/>
            <w:hideMark/>
          </w:tcPr>
          <w:p w:rsidR="00E85FDF" w:rsidRPr="00E85FDF" w:rsidRDefault="00E85FDF" w:rsidP="00E85FDF">
            <w:pPr>
              <w:spacing w:after="0" w:line="240" w:lineRule="auto"/>
              <w:jc w:val="center"/>
              <w:rPr>
                <w:rFonts w:ascii="Calibri" w:eastAsia="Times New Roman" w:hAnsi="Calibri" w:cs="Times New Roman"/>
                <w:color w:val="000000"/>
                <w:sz w:val="20"/>
                <w:szCs w:val="20"/>
              </w:rPr>
            </w:pPr>
            <w:r w:rsidRPr="00E85FDF">
              <w:rPr>
                <w:rFonts w:ascii="Calibri" w:eastAsia="Times New Roman" w:hAnsi="Calibri" w:cs="Times New Roman"/>
                <w:color w:val="000000"/>
                <w:sz w:val="20"/>
                <w:szCs w:val="20"/>
              </w:rPr>
              <w:t>+</w:t>
            </w:r>
          </w:p>
        </w:tc>
        <w:tc>
          <w:tcPr>
            <w:tcW w:w="1318" w:type="dxa"/>
            <w:tcBorders>
              <w:top w:val="nil"/>
              <w:left w:val="nil"/>
              <w:bottom w:val="nil"/>
              <w:right w:val="nil"/>
            </w:tcBorders>
            <w:shd w:val="clear" w:color="auto" w:fill="auto"/>
            <w:noWrap/>
            <w:vAlign w:val="center"/>
            <w:hideMark/>
          </w:tcPr>
          <w:p w:rsidR="00E85FDF" w:rsidRPr="00E85FDF" w:rsidRDefault="00E85FDF" w:rsidP="00E85FDF">
            <w:pPr>
              <w:spacing w:after="0" w:line="240" w:lineRule="auto"/>
              <w:jc w:val="center"/>
              <w:rPr>
                <w:rFonts w:ascii="Calibri" w:eastAsia="Times New Roman" w:hAnsi="Calibri" w:cs="Times New Roman"/>
                <w:color w:val="000000"/>
                <w:sz w:val="20"/>
                <w:szCs w:val="20"/>
              </w:rPr>
            </w:pPr>
            <w:r w:rsidRPr="00E85FDF">
              <w:rPr>
                <w:rFonts w:ascii="Calibri" w:eastAsia="Times New Roman" w:hAnsi="Calibri" w:cs="Times New Roman"/>
                <w:color w:val="000000"/>
                <w:sz w:val="20"/>
                <w:szCs w:val="20"/>
              </w:rPr>
              <w:t>-</w:t>
            </w:r>
          </w:p>
        </w:tc>
        <w:tc>
          <w:tcPr>
            <w:tcW w:w="1130" w:type="dxa"/>
            <w:tcBorders>
              <w:top w:val="nil"/>
              <w:left w:val="nil"/>
              <w:bottom w:val="nil"/>
              <w:right w:val="nil"/>
            </w:tcBorders>
            <w:shd w:val="clear" w:color="auto" w:fill="auto"/>
            <w:noWrap/>
            <w:vAlign w:val="center"/>
            <w:hideMark/>
          </w:tcPr>
          <w:p w:rsidR="00E85FDF" w:rsidRPr="00E85FDF" w:rsidRDefault="00E85FDF" w:rsidP="00E85FDF">
            <w:pPr>
              <w:spacing w:after="0" w:line="240" w:lineRule="auto"/>
              <w:jc w:val="center"/>
              <w:rPr>
                <w:rFonts w:ascii="Calibri" w:eastAsia="Times New Roman" w:hAnsi="Calibri" w:cs="Times New Roman"/>
                <w:color w:val="000000"/>
                <w:sz w:val="20"/>
                <w:szCs w:val="20"/>
              </w:rPr>
            </w:pPr>
            <w:r w:rsidRPr="00E85FDF">
              <w:rPr>
                <w:rFonts w:ascii="Calibri" w:eastAsia="Times New Roman" w:hAnsi="Calibri" w:cs="Times New Roman"/>
                <w:color w:val="000000"/>
                <w:sz w:val="20"/>
                <w:szCs w:val="20"/>
              </w:rPr>
              <w:t>+</w:t>
            </w:r>
          </w:p>
        </w:tc>
        <w:tc>
          <w:tcPr>
            <w:tcW w:w="2057" w:type="dxa"/>
            <w:tcBorders>
              <w:top w:val="nil"/>
              <w:left w:val="nil"/>
              <w:bottom w:val="nil"/>
              <w:right w:val="nil"/>
            </w:tcBorders>
            <w:shd w:val="clear" w:color="auto" w:fill="auto"/>
            <w:noWrap/>
            <w:vAlign w:val="center"/>
            <w:hideMark/>
          </w:tcPr>
          <w:p w:rsidR="00E85FDF" w:rsidRPr="00E85FDF" w:rsidRDefault="00E85FDF" w:rsidP="00E85FDF">
            <w:pPr>
              <w:spacing w:after="0" w:line="240" w:lineRule="auto"/>
              <w:jc w:val="center"/>
              <w:rPr>
                <w:rFonts w:ascii="Calibri" w:eastAsia="Times New Roman" w:hAnsi="Calibri" w:cs="Times New Roman"/>
                <w:color w:val="000000"/>
                <w:sz w:val="20"/>
                <w:szCs w:val="20"/>
              </w:rPr>
            </w:pPr>
            <w:r w:rsidRPr="00E85FDF">
              <w:rPr>
                <w:rFonts w:ascii="Calibri" w:eastAsia="Times New Roman" w:hAnsi="Calibri" w:cs="Times New Roman"/>
                <w:color w:val="000000"/>
                <w:sz w:val="20"/>
                <w:szCs w:val="20"/>
              </w:rPr>
              <w:t>+</w:t>
            </w:r>
          </w:p>
        </w:tc>
      </w:tr>
      <w:tr w:rsidR="00E85FDF" w:rsidRPr="00E85FDF" w:rsidTr="00E85FDF">
        <w:trPr>
          <w:trHeight w:val="270"/>
          <w:jc w:val="center"/>
        </w:trPr>
        <w:tc>
          <w:tcPr>
            <w:tcW w:w="1376" w:type="dxa"/>
            <w:tcBorders>
              <w:top w:val="nil"/>
              <w:left w:val="nil"/>
              <w:bottom w:val="single" w:sz="8" w:space="0" w:color="auto"/>
              <w:right w:val="nil"/>
            </w:tcBorders>
            <w:shd w:val="clear" w:color="auto" w:fill="auto"/>
            <w:noWrap/>
            <w:vAlign w:val="center"/>
            <w:hideMark/>
          </w:tcPr>
          <w:p w:rsidR="00E85FDF" w:rsidRPr="00E85FDF" w:rsidRDefault="00E85FDF" w:rsidP="00E85FDF">
            <w:pPr>
              <w:spacing w:after="0" w:line="240" w:lineRule="auto"/>
              <w:jc w:val="center"/>
              <w:rPr>
                <w:rFonts w:ascii="Calibri" w:eastAsia="Times New Roman" w:hAnsi="Calibri" w:cs="Times New Roman"/>
                <w:b/>
                <w:bCs/>
                <w:color w:val="000000"/>
                <w:sz w:val="20"/>
                <w:szCs w:val="20"/>
              </w:rPr>
            </w:pPr>
            <w:r w:rsidRPr="00E85FDF">
              <w:rPr>
                <w:rFonts w:ascii="Calibri" w:eastAsia="Times New Roman" w:hAnsi="Calibri" w:cs="Times New Roman"/>
                <w:b/>
                <w:bCs/>
                <w:color w:val="000000"/>
                <w:sz w:val="20"/>
                <w:szCs w:val="20"/>
              </w:rPr>
              <w:t>Detectability</w:t>
            </w:r>
          </w:p>
        </w:tc>
        <w:tc>
          <w:tcPr>
            <w:tcW w:w="888" w:type="dxa"/>
            <w:tcBorders>
              <w:top w:val="nil"/>
              <w:left w:val="nil"/>
              <w:bottom w:val="single" w:sz="8" w:space="0" w:color="auto"/>
              <w:right w:val="nil"/>
            </w:tcBorders>
            <w:shd w:val="clear" w:color="auto" w:fill="auto"/>
            <w:vAlign w:val="center"/>
            <w:hideMark/>
          </w:tcPr>
          <w:p w:rsidR="00E85FDF" w:rsidRPr="00E85FDF" w:rsidRDefault="00E85FDF" w:rsidP="00E85FDF">
            <w:pPr>
              <w:spacing w:after="0" w:line="240" w:lineRule="auto"/>
              <w:jc w:val="center"/>
              <w:rPr>
                <w:rFonts w:ascii="Calibri" w:eastAsia="Times New Roman" w:hAnsi="Calibri" w:cs="Times New Roman"/>
                <w:color w:val="000000"/>
                <w:sz w:val="20"/>
                <w:szCs w:val="20"/>
              </w:rPr>
            </w:pPr>
            <w:r w:rsidRPr="00E85FDF">
              <w:rPr>
                <w:rFonts w:ascii="Calibri" w:eastAsia="Times New Roman" w:hAnsi="Calibri" w:cs="Times New Roman"/>
                <w:color w:val="000000"/>
                <w:sz w:val="20"/>
                <w:szCs w:val="20"/>
              </w:rPr>
              <w:t>No</w:t>
            </w:r>
          </w:p>
        </w:tc>
        <w:tc>
          <w:tcPr>
            <w:tcW w:w="1292" w:type="dxa"/>
            <w:tcBorders>
              <w:top w:val="nil"/>
              <w:left w:val="nil"/>
              <w:bottom w:val="single" w:sz="8" w:space="0" w:color="auto"/>
              <w:right w:val="nil"/>
            </w:tcBorders>
            <w:shd w:val="clear" w:color="auto" w:fill="auto"/>
            <w:noWrap/>
            <w:vAlign w:val="center"/>
            <w:hideMark/>
          </w:tcPr>
          <w:p w:rsidR="00E85FDF" w:rsidRPr="00E85FDF" w:rsidRDefault="00E85FDF" w:rsidP="00E85FDF">
            <w:pPr>
              <w:spacing w:after="0" w:line="240" w:lineRule="auto"/>
              <w:jc w:val="center"/>
              <w:rPr>
                <w:rFonts w:ascii="Calibri" w:eastAsia="Times New Roman" w:hAnsi="Calibri" w:cs="Times New Roman"/>
                <w:color w:val="000000"/>
                <w:sz w:val="20"/>
                <w:szCs w:val="20"/>
              </w:rPr>
            </w:pPr>
            <w:r w:rsidRPr="00E85FDF">
              <w:rPr>
                <w:rFonts w:ascii="Calibri" w:eastAsia="Times New Roman" w:hAnsi="Calibri" w:cs="Times New Roman"/>
                <w:color w:val="000000"/>
                <w:sz w:val="20"/>
                <w:szCs w:val="20"/>
              </w:rPr>
              <w:t>No</w:t>
            </w:r>
          </w:p>
        </w:tc>
        <w:tc>
          <w:tcPr>
            <w:tcW w:w="1318" w:type="dxa"/>
            <w:tcBorders>
              <w:top w:val="nil"/>
              <w:left w:val="nil"/>
              <w:bottom w:val="single" w:sz="8" w:space="0" w:color="auto"/>
              <w:right w:val="nil"/>
            </w:tcBorders>
            <w:shd w:val="clear" w:color="auto" w:fill="auto"/>
            <w:noWrap/>
            <w:vAlign w:val="center"/>
            <w:hideMark/>
          </w:tcPr>
          <w:p w:rsidR="00E85FDF" w:rsidRPr="00E85FDF" w:rsidRDefault="00E85FDF" w:rsidP="00E85FDF">
            <w:pPr>
              <w:spacing w:after="0" w:line="240" w:lineRule="auto"/>
              <w:jc w:val="center"/>
              <w:rPr>
                <w:rFonts w:ascii="Calibri" w:eastAsia="Times New Roman" w:hAnsi="Calibri" w:cs="Times New Roman"/>
                <w:color w:val="000000"/>
                <w:sz w:val="20"/>
                <w:szCs w:val="20"/>
              </w:rPr>
            </w:pPr>
            <w:r w:rsidRPr="00E85FDF">
              <w:rPr>
                <w:rFonts w:ascii="Calibri" w:eastAsia="Times New Roman" w:hAnsi="Calibri" w:cs="Times New Roman"/>
                <w:color w:val="000000"/>
                <w:sz w:val="20"/>
                <w:szCs w:val="20"/>
              </w:rPr>
              <w:t>Possibly</w:t>
            </w:r>
          </w:p>
        </w:tc>
        <w:tc>
          <w:tcPr>
            <w:tcW w:w="1130" w:type="dxa"/>
            <w:tcBorders>
              <w:top w:val="nil"/>
              <w:left w:val="nil"/>
              <w:bottom w:val="single" w:sz="8" w:space="0" w:color="auto"/>
              <w:right w:val="nil"/>
            </w:tcBorders>
            <w:shd w:val="clear" w:color="auto" w:fill="auto"/>
            <w:noWrap/>
            <w:vAlign w:val="center"/>
            <w:hideMark/>
          </w:tcPr>
          <w:p w:rsidR="00E85FDF" w:rsidRPr="00E85FDF" w:rsidRDefault="00E85FDF" w:rsidP="00E85FDF">
            <w:pPr>
              <w:spacing w:after="0" w:line="240" w:lineRule="auto"/>
              <w:jc w:val="center"/>
              <w:rPr>
                <w:rFonts w:ascii="Calibri" w:eastAsia="Times New Roman" w:hAnsi="Calibri" w:cs="Times New Roman"/>
                <w:color w:val="000000"/>
                <w:sz w:val="20"/>
                <w:szCs w:val="20"/>
              </w:rPr>
            </w:pPr>
            <w:r w:rsidRPr="00E85FDF">
              <w:rPr>
                <w:rFonts w:ascii="Calibri" w:eastAsia="Times New Roman" w:hAnsi="Calibri" w:cs="Times New Roman"/>
                <w:color w:val="000000"/>
                <w:sz w:val="20"/>
                <w:szCs w:val="20"/>
              </w:rPr>
              <w:t>Possibly</w:t>
            </w:r>
          </w:p>
        </w:tc>
        <w:tc>
          <w:tcPr>
            <w:tcW w:w="2057" w:type="dxa"/>
            <w:tcBorders>
              <w:top w:val="nil"/>
              <w:left w:val="nil"/>
              <w:bottom w:val="single" w:sz="8" w:space="0" w:color="auto"/>
              <w:right w:val="nil"/>
            </w:tcBorders>
            <w:shd w:val="clear" w:color="auto" w:fill="auto"/>
            <w:noWrap/>
            <w:vAlign w:val="center"/>
            <w:hideMark/>
          </w:tcPr>
          <w:p w:rsidR="00E85FDF" w:rsidRPr="00E85FDF" w:rsidRDefault="00E85FDF" w:rsidP="00E85FDF">
            <w:pPr>
              <w:spacing w:after="0" w:line="240" w:lineRule="auto"/>
              <w:jc w:val="center"/>
              <w:rPr>
                <w:rFonts w:ascii="Calibri" w:eastAsia="Times New Roman" w:hAnsi="Calibri" w:cs="Times New Roman"/>
                <w:color w:val="000000"/>
                <w:sz w:val="20"/>
                <w:szCs w:val="20"/>
              </w:rPr>
            </w:pPr>
            <w:r w:rsidRPr="00E85FDF">
              <w:rPr>
                <w:rFonts w:ascii="Calibri" w:eastAsia="Times New Roman" w:hAnsi="Calibri" w:cs="Times New Roman"/>
                <w:color w:val="000000"/>
                <w:sz w:val="20"/>
                <w:szCs w:val="20"/>
              </w:rPr>
              <w:t>Possibly</w:t>
            </w:r>
          </w:p>
        </w:tc>
      </w:tr>
    </w:tbl>
    <w:p w:rsidR="00E664E4" w:rsidRDefault="00E64AA5" w:rsidP="00E664E4">
      <w:r>
        <w:t xml:space="preserve"> </w:t>
      </w:r>
    </w:p>
    <w:p w:rsidR="00E664E4" w:rsidRDefault="00FD388F" w:rsidP="00E664E4">
      <w:pPr>
        <w:jc w:val="center"/>
      </w:pPr>
      <w:r>
        <w:rPr>
          <w:noProof/>
        </w:rPr>
        <w:drawing>
          <wp:inline distT="0" distB="0" distL="0" distR="0" wp14:anchorId="20AFC194" wp14:editId="11A21818">
            <wp:extent cx="5943600" cy="44577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1"/>
                    <a:stretch>
                      <a:fillRect/>
                    </a:stretch>
                  </pic:blipFill>
                  <pic:spPr>
                    <a:xfrm>
                      <a:off x="0" y="0"/>
                      <a:ext cx="5943600" cy="4457700"/>
                    </a:xfrm>
                    <a:prstGeom prst="rect">
                      <a:avLst/>
                    </a:prstGeom>
                  </pic:spPr>
                </pic:pic>
              </a:graphicData>
            </a:graphic>
          </wp:inline>
        </w:drawing>
      </w:r>
    </w:p>
    <w:p w:rsidR="00E664E4" w:rsidRDefault="00E664E4" w:rsidP="00E664E4">
      <w:pPr>
        <w:rPr>
          <w:b/>
          <w:sz w:val="20"/>
          <w:szCs w:val="20"/>
        </w:rPr>
      </w:pPr>
      <w:r>
        <w:rPr>
          <w:b/>
          <w:sz w:val="20"/>
          <w:szCs w:val="20"/>
        </w:rPr>
        <w:t xml:space="preserve">Figure </w:t>
      </w:r>
      <w:r w:rsidR="00E64AA5">
        <w:rPr>
          <w:b/>
          <w:sz w:val="20"/>
          <w:szCs w:val="20"/>
        </w:rPr>
        <w:t>4.5</w:t>
      </w:r>
      <w:r w:rsidR="00FD388F">
        <w:rPr>
          <w:b/>
          <w:sz w:val="20"/>
          <w:szCs w:val="20"/>
        </w:rPr>
        <w:t>3</w:t>
      </w:r>
      <w:r>
        <w:rPr>
          <w:b/>
          <w:sz w:val="20"/>
          <w:szCs w:val="20"/>
        </w:rPr>
        <w:t xml:space="preserve">. Faulty Case 4 Scores Plot for PC1 and PC2.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no detectable fault.</w:t>
      </w:r>
    </w:p>
    <w:p w:rsidR="00E664E4" w:rsidRDefault="00FD388F" w:rsidP="00E664E4">
      <w:pPr>
        <w:jc w:val="center"/>
      </w:pPr>
      <w:r>
        <w:rPr>
          <w:noProof/>
        </w:rPr>
        <w:lastRenderedPageBreak/>
        <w:drawing>
          <wp:inline distT="0" distB="0" distL="0" distR="0" wp14:anchorId="12831595" wp14:editId="49DFA5D5">
            <wp:extent cx="5943600" cy="44577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2"/>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E64AA5">
        <w:rPr>
          <w:b/>
          <w:sz w:val="20"/>
          <w:szCs w:val="20"/>
        </w:rPr>
        <w:t>4.5</w:t>
      </w:r>
      <w:r w:rsidR="00FD388F">
        <w:rPr>
          <w:b/>
          <w:sz w:val="20"/>
          <w:szCs w:val="20"/>
        </w:rPr>
        <w:t>4</w:t>
      </w:r>
      <w:r>
        <w:rPr>
          <w:b/>
          <w:sz w:val="20"/>
          <w:szCs w:val="20"/>
        </w:rPr>
        <w:t xml:space="preserve">. Faulty Case 4 Scores Plot for PC1 and PC3.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a shift in PC3</w:t>
      </w:r>
      <w:r w:rsidR="00E62112">
        <w:rPr>
          <w:i/>
          <w:sz w:val="20"/>
          <w:szCs w:val="20"/>
        </w:rPr>
        <w:t xml:space="preserve"> scores</w:t>
      </w:r>
      <w:r>
        <w:rPr>
          <w:i/>
          <w:sz w:val="20"/>
          <w:szCs w:val="20"/>
        </w:rPr>
        <w:t xml:space="preserve"> but the fault may not be detectable.</w:t>
      </w:r>
    </w:p>
    <w:p w:rsidR="00E664E4" w:rsidRDefault="00FD388F" w:rsidP="00E64AA5">
      <w:pPr>
        <w:jc w:val="center"/>
      </w:pPr>
      <w:r>
        <w:rPr>
          <w:noProof/>
        </w:rPr>
        <w:lastRenderedPageBreak/>
        <w:drawing>
          <wp:inline distT="0" distB="0" distL="0" distR="0" wp14:anchorId="23E9B8C4" wp14:editId="58620F9E">
            <wp:extent cx="5943600" cy="44577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3"/>
                    <a:stretch>
                      <a:fillRect/>
                    </a:stretch>
                  </pic:blipFill>
                  <pic:spPr>
                    <a:xfrm>
                      <a:off x="0" y="0"/>
                      <a:ext cx="5943600" cy="4457700"/>
                    </a:xfrm>
                    <a:prstGeom prst="rect">
                      <a:avLst/>
                    </a:prstGeom>
                  </pic:spPr>
                </pic:pic>
              </a:graphicData>
            </a:graphic>
          </wp:inline>
        </w:drawing>
      </w:r>
    </w:p>
    <w:p w:rsidR="00E664E4" w:rsidRDefault="00E664E4" w:rsidP="00E664E4">
      <w:pPr>
        <w:rPr>
          <w:b/>
          <w:sz w:val="20"/>
          <w:szCs w:val="20"/>
        </w:rPr>
      </w:pPr>
      <w:r>
        <w:rPr>
          <w:b/>
          <w:sz w:val="20"/>
          <w:szCs w:val="20"/>
        </w:rPr>
        <w:t xml:space="preserve">Figure </w:t>
      </w:r>
      <w:r w:rsidR="00E64AA5">
        <w:rPr>
          <w:b/>
          <w:sz w:val="20"/>
          <w:szCs w:val="20"/>
        </w:rPr>
        <w:t>4.5</w:t>
      </w:r>
      <w:r w:rsidR="00FD388F">
        <w:rPr>
          <w:b/>
          <w:sz w:val="20"/>
          <w:szCs w:val="20"/>
        </w:rPr>
        <w:t>5</w:t>
      </w:r>
      <w:r>
        <w:rPr>
          <w:b/>
          <w:sz w:val="20"/>
          <w:szCs w:val="20"/>
        </w:rPr>
        <w:t xml:space="preserve">. Faulty Case 4 Scores Plot for PC2 and PC3.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a shift in PC3</w:t>
      </w:r>
      <w:r w:rsidR="00CE21E4">
        <w:rPr>
          <w:i/>
          <w:sz w:val="20"/>
          <w:szCs w:val="20"/>
        </w:rPr>
        <w:t xml:space="preserve"> scores</w:t>
      </w:r>
      <w:r>
        <w:rPr>
          <w:i/>
          <w:sz w:val="20"/>
          <w:szCs w:val="20"/>
        </w:rPr>
        <w:t xml:space="preserve"> but the fault may not be detectable.</w:t>
      </w:r>
    </w:p>
    <w:p w:rsidR="00E664E4" w:rsidRDefault="00FD388F" w:rsidP="00E664E4">
      <w:pPr>
        <w:jc w:val="center"/>
      </w:pPr>
      <w:r>
        <w:rPr>
          <w:noProof/>
        </w:rPr>
        <w:lastRenderedPageBreak/>
        <w:drawing>
          <wp:inline distT="0" distB="0" distL="0" distR="0" wp14:anchorId="44FE0720" wp14:editId="60643196">
            <wp:extent cx="5943600" cy="44577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4"/>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FD388F">
        <w:rPr>
          <w:b/>
          <w:sz w:val="20"/>
          <w:szCs w:val="20"/>
        </w:rPr>
        <w:t>4.56</w:t>
      </w:r>
      <w:r>
        <w:rPr>
          <w:b/>
          <w:sz w:val="20"/>
          <w:szCs w:val="20"/>
        </w:rPr>
        <w:t xml:space="preserve">. Faulty Case 4 3D Scores Plot for PC1, PC2, and PC3.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as an ellipsoid</w:t>
      </w:r>
      <w:r w:rsidRPr="00EE2556">
        <w:rPr>
          <w:i/>
          <w:sz w:val="20"/>
          <w:szCs w:val="20"/>
        </w:rPr>
        <w:t>. The</w:t>
      </w:r>
      <w:r>
        <w:rPr>
          <w:i/>
          <w:sz w:val="20"/>
          <w:szCs w:val="20"/>
        </w:rPr>
        <w:t>re wa</w:t>
      </w:r>
      <w:r w:rsidRPr="00EE2556">
        <w:rPr>
          <w:i/>
          <w:sz w:val="20"/>
          <w:szCs w:val="20"/>
        </w:rPr>
        <w:t xml:space="preserve">s </w:t>
      </w:r>
      <w:r w:rsidR="00E62112">
        <w:rPr>
          <w:i/>
          <w:sz w:val="20"/>
          <w:szCs w:val="20"/>
        </w:rPr>
        <w:t>a shift in PC3 scores</w:t>
      </w:r>
      <w:r>
        <w:rPr>
          <w:i/>
          <w:sz w:val="20"/>
          <w:szCs w:val="20"/>
        </w:rPr>
        <w:t xml:space="preserve"> but the fault may not be detectable.</w:t>
      </w:r>
    </w:p>
    <w:p w:rsidR="00E664E4" w:rsidRDefault="00FD388F" w:rsidP="00E664E4">
      <w:pPr>
        <w:jc w:val="center"/>
      </w:pPr>
      <w:r>
        <w:rPr>
          <w:noProof/>
        </w:rPr>
        <w:lastRenderedPageBreak/>
        <w:drawing>
          <wp:inline distT="0" distB="0" distL="0" distR="0" wp14:anchorId="7ECF34F5" wp14:editId="6E2FA9AA">
            <wp:extent cx="5943600" cy="44577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5"/>
                    <a:stretch>
                      <a:fillRect/>
                    </a:stretch>
                  </pic:blipFill>
                  <pic:spPr>
                    <a:xfrm>
                      <a:off x="0" y="0"/>
                      <a:ext cx="5943600" cy="4457700"/>
                    </a:xfrm>
                    <a:prstGeom prst="rect">
                      <a:avLst/>
                    </a:prstGeom>
                  </pic:spPr>
                </pic:pic>
              </a:graphicData>
            </a:graphic>
          </wp:inline>
        </w:drawing>
      </w:r>
    </w:p>
    <w:p w:rsidR="00E664E4" w:rsidRDefault="00E664E4" w:rsidP="00E664E4">
      <w:pPr>
        <w:rPr>
          <w:b/>
          <w:sz w:val="20"/>
          <w:szCs w:val="20"/>
        </w:rPr>
      </w:pPr>
      <w:r>
        <w:rPr>
          <w:b/>
          <w:sz w:val="20"/>
          <w:szCs w:val="20"/>
        </w:rPr>
        <w:t xml:space="preserve">Figure </w:t>
      </w:r>
      <w:r w:rsidR="00FD388F">
        <w:rPr>
          <w:b/>
          <w:sz w:val="20"/>
          <w:szCs w:val="20"/>
        </w:rPr>
        <w:t>4.57</w:t>
      </w:r>
      <w:r>
        <w:rPr>
          <w:b/>
          <w:sz w:val="20"/>
          <w:szCs w:val="20"/>
        </w:rPr>
        <w:t xml:space="preserve">. Faulty Case 4 Mahalanobis Distance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a shift but the fault may not be detectable.</w:t>
      </w:r>
    </w:p>
    <w:p w:rsidR="00E664E4" w:rsidRDefault="00E664E4" w:rsidP="00E664E4"/>
    <w:p w:rsidR="00E664E4" w:rsidRDefault="00090D12" w:rsidP="00E664E4">
      <w:pPr>
        <w:jc w:val="center"/>
      </w:pPr>
      <w:r>
        <w:rPr>
          <w:noProof/>
        </w:rPr>
        <w:lastRenderedPageBreak/>
        <w:drawing>
          <wp:inline distT="0" distB="0" distL="0" distR="0" wp14:anchorId="358CD8F8" wp14:editId="776C5F75">
            <wp:extent cx="5943600" cy="44577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6"/>
                    <a:stretch>
                      <a:fillRect/>
                    </a:stretch>
                  </pic:blipFill>
                  <pic:spPr>
                    <a:xfrm>
                      <a:off x="0" y="0"/>
                      <a:ext cx="5943600" cy="4457700"/>
                    </a:xfrm>
                    <a:prstGeom prst="rect">
                      <a:avLst/>
                    </a:prstGeom>
                  </pic:spPr>
                </pic:pic>
              </a:graphicData>
            </a:graphic>
          </wp:inline>
        </w:drawing>
      </w:r>
    </w:p>
    <w:p w:rsidR="00E664E4" w:rsidRDefault="00E664E4" w:rsidP="00E664E4">
      <w:r>
        <w:rPr>
          <w:b/>
          <w:sz w:val="20"/>
          <w:szCs w:val="20"/>
        </w:rPr>
        <w:t xml:space="preserve">Figure </w:t>
      </w:r>
      <w:r w:rsidR="00FD388F">
        <w:rPr>
          <w:b/>
          <w:sz w:val="20"/>
          <w:szCs w:val="20"/>
        </w:rPr>
        <w:t>4.58</w:t>
      </w:r>
      <w:r>
        <w:rPr>
          <w:b/>
          <w:sz w:val="20"/>
          <w:szCs w:val="20"/>
        </w:rPr>
        <w:t xml:space="preserve">. Faulty Case 4 </w:t>
      </w:r>
      <m:oMath>
        <m:r>
          <m:rPr>
            <m:sty m:val="bi"/>
          </m:rPr>
          <w:rPr>
            <w:rFonts w:ascii="Cambria Math" w:hAnsi="Cambria Math"/>
            <w:sz w:val="20"/>
            <w:szCs w:val="20"/>
          </w:rPr>
          <m:t>Q</m:t>
        </m:r>
      </m:oMath>
      <w:r>
        <w:rPr>
          <w:b/>
          <w:sz w:val="20"/>
          <w:szCs w:val="20"/>
        </w:rPr>
        <w:t xml:space="preserve">-Statistic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a shift but the fault may not be detectable.</w:t>
      </w:r>
    </w:p>
    <w:p w:rsidR="00E664E4" w:rsidRDefault="00FD388F" w:rsidP="00E664E4">
      <w:pPr>
        <w:jc w:val="center"/>
      </w:pPr>
      <w:r>
        <w:rPr>
          <w:noProof/>
        </w:rPr>
        <w:lastRenderedPageBreak/>
        <w:drawing>
          <wp:inline distT="0" distB="0" distL="0" distR="0" wp14:anchorId="139702A5" wp14:editId="234D2014">
            <wp:extent cx="5943600" cy="44577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7"/>
                    <a:stretch>
                      <a:fillRect/>
                    </a:stretch>
                  </pic:blipFill>
                  <pic:spPr>
                    <a:xfrm>
                      <a:off x="0" y="0"/>
                      <a:ext cx="5943600" cy="4457700"/>
                    </a:xfrm>
                    <a:prstGeom prst="rect">
                      <a:avLst/>
                    </a:prstGeom>
                  </pic:spPr>
                </pic:pic>
              </a:graphicData>
            </a:graphic>
          </wp:inline>
        </w:drawing>
      </w:r>
    </w:p>
    <w:p w:rsidR="00E664E4" w:rsidRDefault="00E664E4" w:rsidP="00E664E4">
      <w:pPr>
        <w:rPr>
          <w:b/>
          <w:sz w:val="20"/>
          <w:szCs w:val="20"/>
        </w:rPr>
      </w:pPr>
      <w:r>
        <w:rPr>
          <w:b/>
          <w:sz w:val="20"/>
          <w:szCs w:val="20"/>
        </w:rPr>
        <w:t xml:space="preserve">Figure </w:t>
      </w:r>
      <w:r w:rsidR="00FD388F">
        <w:rPr>
          <w:b/>
          <w:sz w:val="20"/>
          <w:szCs w:val="20"/>
        </w:rPr>
        <w:t>4.59</w:t>
      </w:r>
      <w:r>
        <w:rPr>
          <w:b/>
          <w:sz w:val="20"/>
          <w:szCs w:val="20"/>
        </w:rPr>
        <w:t xml:space="preserve">. Faulty Case 4 PC1, PC2, and </w:t>
      </w:r>
      <m:oMath>
        <m:r>
          <m:rPr>
            <m:sty m:val="bi"/>
          </m:rPr>
          <w:rPr>
            <w:rFonts w:ascii="Cambria Math" w:hAnsi="Cambria Math"/>
            <w:sz w:val="20"/>
            <w:szCs w:val="20"/>
          </w:rPr>
          <m:t>Q</m:t>
        </m:r>
      </m:oMath>
      <w:r>
        <w:rPr>
          <w:b/>
          <w:sz w:val="20"/>
          <w:szCs w:val="20"/>
        </w:rPr>
        <w:t xml:space="preserve">-Statistic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 xml:space="preserve">a shift in the </w:t>
      </w:r>
      <m:oMath>
        <m:r>
          <w:rPr>
            <w:rFonts w:ascii="Cambria Math" w:hAnsi="Cambria Math"/>
            <w:sz w:val="20"/>
            <w:szCs w:val="20"/>
          </w:rPr>
          <m:t>Q</m:t>
        </m:r>
      </m:oMath>
      <w:r>
        <w:rPr>
          <w:rFonts w:eastAsiaTheme="minorEastAsia"/>
          <w:i/>
          <w:sz w:val="20"/>
          <w:szCs w:val="20"/>
        </w:rPr>
        <w:t xml:space="preserve">-statistic but the fault may not be </w:t>
      </w:r>
      <w:r>
        <w:rPr>
          <w:i/>
          <w:sz w:val="20"/>
          <w:szCs w:val="20"/>
        </w:rPr>
        <w:t>detectable.</w:t>
      </w:r>
    </w:p>
    <w:p w:rsidR="00E664E4" w:rsidRDefault="00E664E4" w:rsidP="00E664E4"/>
    <w:p w:rsidR="00567A68" w:rsidRDefault="00567A68" w:rsidP="00E664E4"/>
    <w:p w:rsidR="001B675F" w:rsidRDefault="001B675F">
      <w:pPr>
        <w:rPr>
          <w:rFonts w:asciiTheme="majorHAnsi" w:hAnsiTheme="majorHAnsi"/>
          <w:b/>
        </w:rPr>
      </w:pPr>
      <w:r>
        <w:rPr>
          <w:rFonts w:asciiTheme="majorHAnsi" w:hAnsiTheme="majorHAnsi"/>
          <w:b/>
        </w:rPr>
        <w:br w:type="page"/>
      </w:r>
    </w:p>
    <w:p w:rsidR="00E664E4" w:rsidRPr="00436A8B" w:rsidRDefault="00E664E4" w:rsidP="00E664E4">
      <w:pPr>
        <w:rPr>
          <w:rFonts w:asciiTheme="majorHAnsi" w:hAnsiTheme="majorHAnsi"/>
          <w:b/>
        </w:rPr>
      </w:pPr>
      <w:r>
        <w:rPr>
          <w:rFonts w:asciiTheme="majorHAnsi" w:hAnsiTheme="majorHAnsi"/>
          <w:b/>
        </w:rPr>
        <w:lastRenderedPageBreak/>
        <w:t>4.3.5 Case 5</w:t>
      </w:r>
    </w:p>
    <w:p w:rsidR="00E664E4" w:rsidRDefault="00E664E4" w:rsidP="00E664E4">
      <w:pPr>
        <w:rPr>
          <w:rFonts w:eastAsiaTheme="minorEastAsia"/>
        </w:rPr>
      </w:pPr>
      <w:r>
        <w:t xml:space="preserve">For the fifth faulty case, a small amount of uranium was diverted from the evaporator in Module 3A. Stream 21, condensate, was left unchanged from the base case and was still treated as a waste stream. A new parameter, </w:t>
      </w:r>
      <m:oMath>
        <m:sSub>
          <m:sSubPr>
            <m:ctrlPr>
              <w:rPr>
                <w:rFonts w:ascii="Cambria Math" w:hAnsi="Cambria Math"/>
                <w:i/>
              </w:rPr>
            </m:ctrlPr>
          </m:sSubPr>
          <m:e>
            <m:r>
              <w:rPr>
                <w:rFonts w:ascii="Cambria Math" w:hAnsi="Cambria Math"/>
              </w:rPr>
              <m:t>S</m:t>
            </m:r>
          </m:e>
          <m:sub>
            <m:r>
              <w:rPr>
                <w:rFonts w:ascii="Cambria Math" w:hAnsi="Cambria Math"/>
              </w:rPr>
              <m:t>Mod3A</m:t>
            </m:r>
          </m:sub>
        </m:sSub>
      </m:oMath>
      <w:r>
        <w:rPr>
          <w:rFonts w:eastAsiaTheme="minorEastAsia"/>
        </w:rPr>
        <w:t>, was created. This parame</w:t>
      </w:r>
      <w:proofErr w:type="spellStart"/>
      <w:r>
        <w:rPr>
          <w:rFonts w:eastAsiaTheme="minorEastAsia"/>
        </w:rPr>
        <w:t>ter</w:t>
      </w:r>
      <w:proofErr w:type="spellEnd"/>
      <w:r>
        <w:rPr>
          <w:rFonts w:eastAsiaTheme="minorEastAsia"/>
        </w:rPr>
        <w:t xml:space="preserve"> was used to specify how much of the material in the evaporator was diverted. Since the condensate stream was not changed, this parameter basically specified how much of the other evaporator output stream (Stream 22) was diverted. Additionally, the new stream and Stream 22 had the same composition. Initially, </w:t>
      </w:r>
      <m:oMath>
        <m:sSub>
          <m:sSubPr>
            <m:ctrlPr>
              <w:rPr>
                <w:rFonts w:ascii="Cambria Math" w:hAnsi="Cambria Math"/>
                <w:i/>
              </w:rPr>
            </m:ctrlPr>
          </m:sSubPr>
          <m:e>
            <m:r>
              <w:rPr>
                <w:rFonts w:ascii="Cambria Math" w:hAnsi="Cambria Math"/>
              </w:rPr>
              <m:t>S</m:t>
            </m:r>
          </m:e>
          <m:sub>
            <m:r>
              <w:rPr>
                <w:rFonts w:ascii="Cambria Math" w:hAnsi="Cambria Math"/>
              </w:rPr>
              <m:t>Mod3A</m:t>
            </m:r>
          </m:sub>
        </m:sSub>
      </m:oMath>
      <w:r>
        <w:rPr>
          <w:rFonts w:eastAsiaTheme="minorEastAsia"/>
        </w:rPr>
        <w:t xml:space="preserve"> was set at 0.1 such that 10% of the evaporator output was diverted. This produced an enormous fault to which the base case 95% confidence boundary was not visible on the same plots. The final value of </w:t>
      </w:r>
      <m:oMath>
        <m:sSub>
          <m:sSubPr>
            <m:ctrlPr>
              <w:rPr>
                <w:rFonts w:ascii="Cambria Math" w:hAnsi="Cambria Math"/>
                <w:i/>
              </w:rPr>
            </m:ctrlPr>
          </m:sSubPr>
          <m:e>
            <m:r>
              <w:rPr>
                <w:rFonts w:ascii="Cambria Math" w:hAnsi="Cambria Math"/>
              </w:rPr>
              <m:t>S</m:t>
            </m:r>
          </m:e>
          <m:sub>
            <m:r>
              <w:rPr>
                <w:rFonts w:ascii="Cambria Math" w:hAnsi="Cambria Math"/>
              </w:rPr>
              <m:t>Mod3A</m:t>
            </m:r>
          </m:sub>
        </m:sSub>
      </m:oMath>
      <w:r>
        <w:rPr>
          <w:rFonts w:eastAsiaTheme="minorEastAsia"/>
        </w:rPr>
        <w:t xml:space="preserve"> was set at 0.0025 such that only 0.25% was diverted. This still produced enormous faults as discussed below. The model was extremely sensitive to that new parameter because diverting material at this point in the process reduces the amount material available downstream and therefore affects other very sensitive parameters based on the sensitivity analysis.</w:t>
      </w:r>
      <w:r w:rsidR="00470E74">
        <w:rPr>
          <w:rFonts w:eastAsiaTheme="minorEastAsia"/>
        </w:rPr>
        <w:t xml:space="preserve"> This fault was easily detectable on all of the diagnostic plots.</w:t>
      </w:r>
    </w:p>
    <w:p w:rsidR="00F905EA" w:rsidRDefault="00F905EA" w:rsidP="00E664E4">
      <w:pPr>
        <w:rPr>
          <w:rFonts w:eastAsiaTheme="minorEastAsia"/>
        </w:rPr>
      </w:pPr>
      <w:r>
        <w:rPr>
          <w:rFonts w:eastAsiaTheme="minorEastAsia"/>
        </w:rPr>
        <w:t>The equations used to determine the component molar flow rates in the ne</w:t>
      </w:r>
      <w:r w:rsidR="0046306D">
        <w:rPr>
          <w:rFonts w:eastAsiaTheme="minorEastAsia"/>
        </w:rPr>
        <w:t xml:space="preserve">w output stream are shown below in terms of state variable numbers, where </w:t>
      </w:r>
      <w:proofErr w:type="spellStart"/>
      <w:proofErr w:type="gramStart"/>
      <w:r w:rsidR="0046306D">
        <w:rPr>
          <w:rFonts w:eastAsiaTheme="minorEastAsia"/>
        </w:rPr>
        <w:t>Xss</w:t>
      </w:r>
      <w:proofErr w:type="spellEnd"/>
      <w:r w:rsidR="0046306D">
        <w:rPr>
          <w:rFonts w:eastAsiaTheme="minorEastAsia"/>
        </w:rPr>
        <w:t>(</w:t>
      </w:r>
      <w:proofErr w:type="gramEnd"/>
      <w:r w:rsidR="0046306D">
        <w:rPr>
          <w:rFonts w:eastAsiaTheme="minorEastAsia"/>
        </w:rPr>
        <w:t>281)–</w:t>
      </w:r>
      <w:proofErr w:type="spellStart"/>
      <w:r w:rsidR="0046306D">
        <w:rPr>
          <w:rFonts w:eastAsiaTheme="minorEastAsia"/>
        </w:rPr>
        <w:t>Xss</w:t>
      </w:r>
      <w:proofErr w:type="spellEnd"/>
      <w:r w:rsidR="0046306D">
        <w:rPr>
          <w:rFonts w:eastAsiaTheme="minorEastAsia"/>
        </w:rPr>
        <w:t>(285) represent the components of the new stream.</w:t>
      </w:r>
    </w:p>
    <w:p w:rsidR="00F905EA" w:rsidRDefault="0046306D" w:rsidP="0046306D">
      <w:pPr>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Mod3A</m:t>
            </m:r>
          </m:sub>
        </m:sSub>
        <m:r>
          <w:rPr>
            <w:rFonts w:ascii="Cambria Math" w:eastAsiaTheme="minorEastAsia" w:hAnsi="Cambria Math"/>
          </w:rPr>
          <m:t>*Xss</m:t>
        </m:r>
        <m:d>
          <m:dPr>
            <m:ctrlPr>
              <w:rPr>
                <w:rFonts w:ascii="Cambria Math" w:eastAsiaTheme="minorEastAsia" w:hAnsi="Cambria Math"/>
                <w:i/>
              </w:rPr>
            </m:ctrlPr>
          </m:dPr>
          <m:e>
            <m:r>
              <w:rPr>
                <w:rFonts w:ascii="Cambria Math" w:eastAsiaTheme="minorEastAsia" w:hAnsi="Cambria Math"/>
              </w:rPr>
              <m:t>126</m:t>
            </m:r>
          </m:e>
        </m:d>
        <m:r>
          <w:rPr>
            <w:rFonts w:ascii="Cambria Math" w:eastAsiaTheme="minorEastAsia" w:hAnsi="Cambria Math"/>
          </w:rPr>
          <m:t>-Xss</m:t>
        </m:r>
        <m:d>
          <m:dPr>
            <m:ctrlPr>
              <w:rPr>
                <w:rFonts w:ascii="Cambria Math" w:eastAsiaTheme="minorEastAsia" w:hAnsi="Cambria Math"/>
                <w:i/>
              </w:rPr>
            </m:ctrlPr>
          </m:dPr>
          <m:e>
            <m:r>
              <w:rPr>
                <w:rFonts w:ascii="Cambria Math" w:eastAsiaTheme="minorEastAsia" w:hAnsi="Cambria Math"/>
              </w:rPr>
              <m:t>281</m:t>
            </m:r>
          </m:e>
        </m:d>
        <m:r>
          <w:rPr>
            <w:rFonts w:ascii="Cambria Math" w:eastAsiaTheme="minorEastAsia" w:hAnsi="Cambria Math"/>
          </w:rPr>
          <m:t>=0</m:t>
        </m:r>
      </m:oMath>
      <w:r>
        <w:rPr>
          <w:rFonts w:eastAsiaTheme="minorEastAsia"/>
        </w:rPr>
        <w:t xml:space="preserve"> </w:t>
      </w:r>
      <w:r>
        <w:rPr>
          <w:rFonts w:eastAsiaTheme="minorEastAsia"/>
        </w:rPr>
        <w:tab/>
      </w:r>
      <w:r>
        <w:rPr>
          <w:rFonts w:eastAsiaTheme="minorEastAsia"/>
        </w:rPr>
        <w:tab/>
      </w:r>
      <w:r>
        <w:rPr>
          <w:rFonts w:eastAsiaTheme="minorEastAsia"/>
        </w:rPr>
        <w:tab/>
      </w:r>
      <w:r>
        <w:rPr>
          <w:rFonts w:eastAsiaTheme="minorEastAsia"/>
        </w:rPr>
        <w:tab/>
        <w:t>Eq. (4.3.5.1)</w:t>
      </w:r>
    </w:p>
    <w:p w:rsidR="0046306D" w:rsidRDefault="0046306D" w:rsidP="0046306D">
      <w:pPr>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Mod3A</m:t>
            </m:r>
          </m:sub>
        </m:sSub>
        <m:r>
          <w:rPr>
            <w:rFonts w:ascii="Cambria Math" w:eastAsiaTheme="minorEastAsia" w:hAnsi="Cambria Math"/>
          </w:rPr>
          <m:t>*Xss</m:t>
        </m:r>
        <m:d>
          <m:dPr>
            <m:ctrlPr>
              <w:rPr>
                <w:rFonts w:ascii="Cambria Math" w:eastAsiaTheme="minorEastAsia" w:hAnsi="Cambria Math"/>
                <w:i/>
              </w:rPr>
            </m:ctrlPr>
          </m:dPr>
          <m:e>
            <m:r>
              <w:rPr>
                <w:rFonts w:ascii="Cambria Math" w:eastAsiaTheme="minorEastAsia" w:hAnsi="Cambria Math"/>
              </w:rPr>
              <m:t>127</m:t>
            </m:r>
          </m:e>
        </m:d>
        <m:r>
          <w:rPr>
            <w:rFonts w:ascii="Cambria Math" w:eastAsiaTheme="minorEastAsia" w:hAnsi="Cambria Math"/>
          </w:rPr>
          <m:t>-Xss</m:t>
        </m:r>
        <m:d>
          <m:dPr>
            <m:ctrlPr>
              <w:rPr>
                <w:rFonts w:ascii="Cambria Math" w:eastAsiaTheme="minorEastAsia" w:hAnsi="Cambria Math"/>
                <w:i/>
              </w:rPr>
            </m:ctrlPr>
          </m:dPr>
          <m:e>
            <m:r>
              <w:rPr>
                <w:rFonts w:ascii="Cambria Math" w:eastAsiaTheme="minorEastAsia" w:hAnsi="Cambria Math"/>
              </w:rPr>
              <m:t>282</m:t>
            </m:r>
          </m:e>
        </m:d>
        <m:r>
          <w:rPr>
            <w:rFonts w:ascii="Cambria Math" w:eastAsiaTheme="minorEastAsia" w:hAnsi="Cambria Math"/>
          </w:rPr>
          <m:t>=0</m:t>
        </m:r>
      </m:oMath>
      <w:r>
        <w:rPr>
          <w:rFonts w:eastAsiaTheme="minorEastAsia"/>
        </w:rPr>
        <w:t xml:space="preserve"> </w:t>
      </w:r>
      <w:r>
        <w:rPr>
          <w:rFonts w:eastAsiaTheme="minorEastAsia"/>
        </w:rPr>
        <w:tab/>
      </w:r>
      <w:r>
        <w:rPr>
          <w:rFonts w:eastAsiaTheme="minorEastAsia"/>
        </w:rPr>
        <w:tab/>
      </w:r>
      <w:r>
        <w:rPr>
          <w:rFonts w:eastAsiaTheme="minorEastAsia"/>
        </w:rPr>
        <w:tab/>
      </w:r>
      <w:r>
        <w:rPr>
          <w:rFonts w:eastAsiaTheme="minorEastAsia"/>
        </w:rPr>
        <w:tab/>
        <w:t>Eq. (4.3.5.2)</w:t>
      </w:r>
    </w:p>
    <w:p w:rsidR="0046306D" w:rsidRDefault="0046306D" w:rsidP="0046306D">
      <w:pPr>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Mod3A</m:t>
            </m:r>
          </m:sub>
        </m:sSub>
        <m:r>
          <w:rPr>
            <w:rFonts w:ascii="Cambria Math" w:eastAsiaTheme="minorEastAsia" w:hAnsi="Cambria Math"/>
          </w:rPr>
          <m:t>*Xss</m:t>
        </m:r>
        <m:d>
          <m:dPr>
            <m:ctrlPr>
              <w:rPr>
                <w:rFonts w:ascii="Cambria Math" w:eastAsiaTheme="minorEastAsia" w:hAnsi="Cambria Math"/>
                <w:i/>
              </w:rPr>
            </m:ctrlPr>
          </m:dPr>
          <m:e>
            <m:r>
              <w:rPr>
                <w:rFonts w:ascii="Cambria Math" w:eastAsiaTheme="minorEastAsia" w:hAnsi="Cambria Math"/>
              </w:rPr>
              <m:t>128</m:t>
            </m:r>
          </m:e>
        </m:d>
        <m:r>
          <w:rPr>
            <w:rFonts w:ascii="Cambria Math" w:eastAsiaTheme="minorEastAsia" w:hAnsi="Cambria Math"/>
          </w:rPr>
          <m:t>-Xss</m:t>
        </m:r>
        <m:d>
          <m:dPr>
            <m:ctrlPr>
              <w:rPr>
                <w:rFonts w:ascii="Cambria Math" w:eastAsiaTheme="minorEastAsia" w:hAnsi="Cambria Math"/>
                <w:i/>
              </w:rPr>
            </m:ctrlPr>
          </m:dPr>
          <m:e>
            <m:r>
              <w:rPr>
                <w:rFonts w:ascii="Cambria Math" w:eastAsiaTheme="minorEastAsia" w:hAnsi="Cambria Math"/>
              </w:rPr>
              <m:t>283</m:t>
            </m:r>
          </m:e>
        </m:d>
        <m:r>
          <w:rPr>
            <w:rFonts w:ascii="Cambria Math" w:eastAsiaTheme="minorEastAsia" w:hAnsi="Cambria Math"/>
          </w:rPr>
          <m:t>=0</m:t>
        </m:r>
      </m:oMath>
      <w:r>
        <w:rPr>
          <w:rFonts w:eastAsiaTheme="minorEastAsia"/>
        </w:rPr>
        <w:t xml:space="preserve"> </w:t>
      </w:r>
      <w:r>
        <w:rPr>
          <w:rFonts w:eastAsiaTheme="minorEastAsia"/>
        </w:rPr>
        <w:tab/>
      </w:r>
      <w:r>
        <w:rPr>
          <w:rFonts w:eastAsiaTheme="minorEastAsia"/>
        </w:rPr>
        <w:tab/>
      </w:r>
      <w:r>
        <w:rPr>
          <w:rFonts w:eastAsiaTheme="minorEastAsia"/>
        </w:rPr>
        <w:tab/>
      </w:r>
      <w:r>
        <w:rPr>
          <w:rFonts w:eastAsiaTheme="minorEastAsia"/>
        </w:rPr>
        <w:tab/>
        <w:t>Eq. (4.3.5.3)</w:t>
      </w:r>
    </w:p>
    <w:p w:rsidR="0046306D" w:rsidRDefault="0046306D" w:rsidP="0046306D">
      <w:pPr>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Mod3A</m:t>
            </m:r>
          </m:sub>
        </m:sSub>
        <m:r>
          <w:rPr>
            <w:rFonts w:ascii="Cambria Math" w:eastAsiaTheme="minorEastAsia" w:hAnsi="Cambria Math"/>
          </w:rPr>
          <m:t>*Xss</m:t>
        </m:r>
        <m:d>
          <m:dPr>
            <m:ctrlPr>
              <w:rPr>
                <w:rFonts w:ascii="Cambria Math" w:eastAsiaTheme="minorEastAsia" w:hAnsi="Cambria Math"/>
                <w:i/>
              </w:rPr>
            </m:ctrlPr>
          </m:dPr>
          <m:e>
            <m:r>
              <w:rPr>
                <w:rFonts w:ascii="Cambria Math" w:eastAsiaTheme="minorEastAsia" w:hAnsi="Cambria Math"/>
              </w:rPr>
              <m:t>129</m:t>
            </m:r>
          </m:e>
        </m:d>
        <m:r>
          <w:rPr>
            <w:rFonts w:ascii="Cambria Math" w:eastAsiaTheme="minorEastAsia" w:hAnsi="Cambria Math"/>
          </w:rPr>
          <m:t>-Xss</m:t>
        </m:r>
        <m:d>
          <m:dPr>
            <m:ctrlPr>
              <w:rPr>
                <w:rFonts w:ascii="Cambria Math" w:eastAsiaTheme="minorEastAsia" w:hAnsi="Cambria Math"/>
                <w:i/>
              </w:rPr>
            </m:ctrlPr>
          </m:dPr>
          <m:e>
            <m:r>
              <w:rPr>
                <w:rFonts w:ascii="Cambria Math" w:eastAsiaTheme="minorEastAsia" w:hAnsi="Cambria Math"/>
              </w:rPr>
              <m:t>284</m:t>
            </m:r>
          </m:e>
        </m:d>
        <m:r>
          <w:rPr>
            <w:rFonts w:ascii="Cambria Math" w:eastAsiaTheme="minorEastAsia" w:hAnsi="Cambria Math"/>
          </w:rPr>
          <m:t>=0</m:t>
        </m:r>
      </m:oMath>
      <w:r>
        <w:rPr>
          <w:rFonts w:eastAsiaTheme="minorEastAsia"/>
        </w:rPr>
        <w:t xml:space="preserve"> </w:t>
      </w:r>
      <w:r>
        <w:rPr>
          <w:rFonts w:eastAsiaTheme="minorEastAsia"/>
        </w:rPr>
        <w:tab/>
      </w:r>
      <w:r>
        <w:rPr>
          <w:rFonts w:eastAsiaTheme="minorEastAsia"/>
        </w:rPr>
        <w:tab/>
      </w:r>
      <w:r>
        <w:rPr>
          <w:rFonts w:eastAsiaTheme="minorEastAsia"/>
        </w:rPr>
        <w:tab/>
      </w:r>
      <w:r>
        <w:rPr>
          <w:rFonts w:eastAsiaTheme="minorEastAsia"/>
        </w:rPr>
        <w:tab/>
        <w:t>Eq. (4.3.5.4)</w:t>
      </w:r>
    </w:p>
    <w:p w:rsidR="0046306D" w:rsidRDefault="0046306D" w:rsidP="0046306D">
      <w:pPr>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Mod3A</m:t>
            </m:r>
          </m:sub>
        </m:sSub>
        <m:r>
          <w:rPr>
            <w:rFonts w:ascii="Cambria Math" w:eastAsiaTheme="minorEastAsia" w:hAnsi="Cambria Math"/>
          </w:rPr>
          <m:t>*Xss</m:t>
        </m:r>
        <m:d>
          <m:dPr>
            <m:ctrlPr>
              <w:rPr>
                <w:rFonts w:ascii="Cambria Math" w:eastAsiaTheme="minorEastAsia" w:hAnsi="Cambria Math"/>
                <w:i/>
              </w:rPr>
            </m:ctrlPr>
          </m:dPr>
          <m:e>
            <m:r>
              <w:rPr>
                <w:rFonts w:ascii="Cambria Math" w:eastAsiaTheme="minorEastAsia" w:hAnsi="Cambria Math"/>
              </w:rPr>
              <m:t>130</m:t>
            </m:r>
          </m:e>
        </m:d>
        <m:r>
          <w:rPr>
            <w:rFonts w:ascii="Cambria Math" w:eastAsiaTheme="minorEastAsia" w:hAnsi="Cambria Math"/>
          </w:rPr>
          <m:t>-Xss</m:t>
        </m:r>
        <m:d>
          <m:dPr>
            <m:ctrlPr>
              <w:rPr>
                <w:rFonts w:ascii="Cambria Math" w:eastAsiaTheme="minorEastAsia" w:hAnsi="Cambria Math"/>
                <w:i/>
              </w:rPr>
            </m:ctrlPr>
          </m:dPr>
          <m:e>
            <m:r>
              <w:rPr>
                <w:rFonts w:ascii="Cambria Math" w:eastAsiaTheme="minorEastAsia" w:hAnsi="Cambria Math"/>
              </w:rPr>
              <m:t>285</m:t>
            </m:r>
          </m:e>
        </m:d>
        <m:r>
          <w:rPr>
            <w:rFonts w:ascii="Cambria Math" w:eastAsiaTheme="minorEastAsia" w:hAnsi="Cambria Math"/>
          </w:rPr>
          <m:t>=0</m:t>
        </m:r>
      </m:oMath>
      <w:r>
        <w:rPr>
          <w:rFonts w:eastAsiaTheme="minorEastAsia"/>
        </w:rPr>
        <w:t xml:space="preserve"> </w:t>
      </w:r>
      <w:r>
        <w:rPr>
          <w:rFonts w:eastAsiaTheme="minorEastAsia"/>
        </w:rPr>
        <w:tab/>
      </w:r>
      <w:r>
        <w:rPr>
          <w:rFonts w:eastAsiaTheme="minorEastAsia"/>
        </w:rPr>
        <w:tab/>
      </w:r>
      <w:r>
        <w:rPr>
          <w:rFonts w:eastAsiaTheme="minorEastAsia"/>
        </w:rPr>
        <w:tab/>
      </w:r>
      <w:r>
        <w:rPr>
          <w:rFonts w:eastAsiaTheme="minorEastAsia"/>
        </w:rPr>
        <w:tab/>
        <w:t>Eq. (4.3.5.5)</w:t>
      </w:r>
    </w:p>
    <w:p w:rsidR="00470E74" w:rsidRDefault="0046306D" w:rsidP="00E664E4">
      <w:r>
        <w:rPr>
          <w:rFonts w:eastAsiaTheme="minorEastAsia"/>
        </w:rPr>
        <w:t>This change resulted in all of the uranyl nitrate, U</w:t>
      </w:r>
      <w:r w:rsidRPr="0046306D">
        <w:rPr>
          <w:rFonts w:eastAsiaTheme="minorEastAsia"/>
          <w:vertAlign w:val="subscript"/>
        </w:rPr>
        <w:t>3</w:t>
      </w:r>
      <w:r>
        <w:rPr>
          <w:rFonts w:eastAsiaTheme="minorEastAsia"/>
        </w:rPr>
        <w:t>O</w:t>
      </w:r>
      <w:r w:rsidRPr="0046306D">
        <w:rPr>
          <w:rFonts w:eastAsiaTheme="minorEastAsia"/>
          <w:vertAlign w:val="subscript"/>
        </w:rPr>
        <w:t>8</w:t>
      </w:r>
      <w:r>
        <w:rPr>
          <w:rFonts w:eastAsiaTheme="minorEastAsia"/>
        </w:rPr>
        <w:t>, and soluble components [</w:t>
      </w:r>
      <w:proofErr w:type="spellStart"/>
      <w:proofErr w:type="gramStart"/>
      <w:r>
        <w:rPr>
          <w:rFonts w:eastAsiaTheme="minorEastAsia"/>
        </w:rPr>
        <w:t>Xss</w:t>
      </w:r>
      <w:proofErr w:type="spellEnd"/>
      <w:r>
        <w:rPr>
          <w:rFonts w:eastAsiaTheme="minorEastAsia"/>
        </w:rPr>
        <w:t>(</w:t>
      </w:r>
      <w:proofErr w:type="gramEnd"/>
      <w:r>
        <w:rPr>
          <w:rFonts w:eastAsiaTheme="minorEastAsia"/>
        </w:rPr>
        <w:t xml:space="preserve">123), </w:t>
      </w:r>
      <w:proofErr w:type="spellStart"/>
      <w:r>
        <w:rPr>
          <w:rFonts w:eastAsiaTheme="minorEastAsia"/>
        </w:rPr>
        <w:t>Xss</w:t>
      </w:r>
      <w:proofErr w:type="spellEnd"/>
      <w:r>
        <w:rPr>
          <w:rFonts w:eastAsiaTheme="minorEastAsia"/>
        </w:rPr>
        <w:t xml:space="preserve">(124), and </w:t>
      </w:r>
      <w:proofErr w:type="spellStart"/>
      <w:r>
        <w:rPr>
          <w:rFonts w:eastAsiaTheme="minorEastAsia"/>
        </w:rPr>
        <w:t>Xss</w:t>
      </w:r>
      <w:proofErr w:type="spellEnd"/>
      <w:r>
        <w:rPr>
          <w:rFonts w:eastAsiaTheme="minorEastAsia"/>
        </w:rPr>
        <w:t xml:space="preserve">(125), respectively] of Stream 21 to go to zero meaning that there was none of these compound in Stream 21 under this fault. </w:t>
      </w:r>
      <w:r w:rsidR="00470E74">
        <w:rPr>
          <w:rFonts w:eastAsiaTheme="minorEastAsia"/>
        </w:rPr>
        <w:t>There was a fault in all of the scores plots (Figures 4.6</w:t>
      </w:r>
      <w:r w:rsidR="00F6611D">
        <w:rPr>
          <w:rFonts w:eastAsiaTheme="minorEastAsia"/>
        </w:rPr>
        <w:t>0</w:t>
      </w:r>
      <w:r w:rsidR="00470E74">
        <w:rPr>
          <w:rFonts w:eastAsiaTheme="minorEastAsia"/>
        </w:rPr>
        <w:t>–</w:t>
      </w:r>
      <w:r w:rsidR="00F6611D">
        <w:rPr>
          <w:rFonts w:eastAsiaTheme="minorEastAsia"/>
        </w:rPr>
        <w:t>4.</w:t>
      </w:r>
      <w:r w:rsidR="00470E74">
        <w:rPr>
          <w:rFonts w:eastAsiaTheme="minorEastAsia"/>
        </w:rPr>
        <w:t>6</w:t>
      </w:r>
      <w:r w:rsidR="00F6611D">
        <w:rPr>
          <w:rFonts w:eastAsiaTheme="minorEastAsia"/>
        </w:rPr>
        <w:t>3</w:t>
      </w:r>
      <w:r w:rsidR="00470E74">
        <w:rPr>
          <w:rFonts w:eastAsiaTheme="minorEastAsia"/>
        </w:rPr>
        <w:t xml:space="preserve">). </w:t>
      </w:r>
      <w:r w:rsidR="00470E74">
        <w:t>A fault in the scores was expected since the model is highly sensitive to changes in the uranium bearing streams throughout the process. The largest scores shift occurred in the positive direction for PC1</w:t>
      </w:r>
      <w:r w:rsidR="00E62112">
        <w:t xml:space="preserve"> scores</w:t>
      </w:r>
      <w:r w:rsidR="00470E74">
        <w:t xml:space="preserve">. Both PC2 and PC3 </w:t>
      </w:r>
      <w:r w:rsidR="00E62112">
        <w:t xml:space="preserve">scores </w:t>
      </w:r>
      <w:r w:rsidR="00470E74">
        <w:t xml:space="preserve">also had significant shifts; the shift in PC2 </w:t>
      </w:r>
      <w:r w:rsidR="00E62112">
        <w:t xml:space="preserve">scores </w:t>
      </w:r>
      <w:r w:rsidR="00470E74">
        <w:t>was in the negative direction while PC3</w:t>
      </w:r>
      <w:r w:rsidR="00E62112">
        <w:t xml:space="preserve"> scores</w:t>
      </w:r>
      <w:r w:rsidR="00470E74">
        <w:t xml:space="preserve"> w</w:t>
      </w:r>
      <w:r w:rsidR="00E62112">
        <w:t>ere</w:t>
      </w:r>
      <w:r w:rsidR="00470E74">
        <w:t xml:space="preserve"> shifted in the positive </w:t>
      </w:r>
      <w:r w:rsidR="00470E74" w:rsidRPr="005018C5">
        <w:t xml:space="preserve">direction. </w:t>
      </w:r>
      <w:r w:rsidR="005018C5" w:rsidRPr="005018C5">
        <w:t>There were some operating conditions where this fault would not be detectable in PC1 and PC2</w:t>
      </w:r>
      <w:r w:rsidR="005018C5">
        <w:t xml:space="preserve"> </w:t>
      </w:r>
      <w:r w:rsidR="00E62112">
        <w:t xml:space="preserve">scores </w:t>
      </w:r>
      <w:r w:rsidR="005018C5">
        <w:t>only</w:t>
      </w:r>
      <w:r w:rsidR="005018C5" w:rsidRPr="005018C5">
        <w:t>.</w:t>
      </w:r>
      <w:r w:rsidR="0029136E">
        <w:t xml:space="preserve"> </w:t>
      </w:r>
      <w:r w:rsidR="00470E74" w:rsidRPr="005018C5">
        <w:t>This change on</w:t>
      </w:r>
      <w:r w:rsidR="00470E74">
        <w:t>ly affected Stream 2</w:t>
      </w:r>
      <w:r>
        <w:t>1</w:t>
      </w:r>
      <w:r w:rsidR="00470E74">
        <w:t xml:space="preserve"> and those downstream. The first principal component was heavily loaded by the product streams from each module including those in Modules 3–5 which would be affected by this diversion of material. The first principal component was also moderately loaded by most of the primary state variables in Modules 3–5 which were also impacted by this diversion. These loadings explain why this diversion resulted in the </w:t>
      </w:r>
      <w:r w:rsidR="00470E74">
        <w:lastRenderedPageBreak/>
        <w:t>largest shift being in PC1</w:t>
      </w:r>
      <w:r w:rsidR="00E62112">
        <w:t xml:space="preserve"> scores</w:t>
      </w:r>
      <w:r w:rsidR="00470E74">
        <w:t xml:space="preserve">. The second </w:t>
      </w:r>
      <w:r w:rsidR="005018C5">
        <w:t>principal component was loaded heavily by one of the products from Module 4 which would be affected by this change as well but less so which resulted in the smallest shift in the scores plots being in PC2</w:t>
      </w:r>
      <w:r w:rsidR="00CE21E4">
        <w:t xml:space="preserve"> scores</w:t>
      </w:r>
      <w:r w:rsidR="005018C5">
        <w:t>. The third principal component was also heavily loaded by the product streams from Modules 3–5 and the waste stream in Module 3 which were all affected by this diversion, and therefore resulted in the shift in PC3</w:t>
      </w:r>
      <w:r w:rsidR="00CE21E4">
        <w:t xml:space="preserve"> scores</w:t>
      </w:r>
      <w:r w:rsidR="005018C5">
        <w:t>.</w:t>
      </w:r>
    </w:p>
    <w:p w:rsidR="0046306D" w:rsidRDefault="00946755">
      <w:r>
        <w:t xml:space="preserve">The faults in the scores also resulted in </w:t>
      </w:r>
      <w:r w:rsidR="005018C5">
        <w:t>a detectable fault in the Mahalanobis distance (Figure 4.6</w:t>
      </w:r>
      <w:r w:rsidR="00F6611D">
        <w:t>4</w:t>
      </w:r>
      <w:r w:rsidR="005018C5">
        <w:t xml:space="preserve">). This fault was expected since an additional output stream was outside normal operating conditions. Additionally, this diversion would result in less uranium downstream which is also outside normal operating conditions. There was also a significant </w:t>
      </w:r>
      <w:r w:rsidR="007063C2">
        <w:t>increase</w:t>
      </w:r>
      <w:r w:rsidR="005018C5">
        <w:t xml:space="preserve"> in the </w:t>
      </w:r>
      <m:oMath>
        <m:r>
          <w:rPr>
            <w:rFonts w:ascii="Cambria Math" w:hAnsi="Cambria Math"/>
          </w:rPr>
          <m:t>Q</m:t>
        </m:r>
      </m:oMath>
      <w:r w:rsidR="005018C5">
        <w:rPr>
          <w:rFonts w:eastAsiaTheme="minorEastAsia"/>
        </w:rPr>
        <w:t>-stati</w:t>
      </w:r>
      <w:proofErr w:type="spellStart"/>
      <w:r w:rsidR="005018C5">
        <w:rPr>
          <w:rFonts w:eastAsiaTheme="minorEastAsia"/>
        </w:rPr>
        <w:t>stic</w:t>
      </w:r>
      <w:proofErr w:type="spellEnd"/>
      <w:r w:rsidR="005018C5">
        <w:rPr>
          <w:rFonts w:eastAsiaTheme="minorEastAsia"/>
        </w:rPr>
        <w:t xml:space="preserve"> (Figures 4.6</w:t>
      </w:r>
      <w:r w:rsidR="00F6611D">
        <w:rPr>
          <w:rFonts w:eastAsiaTheme="minorEastAsia"/>
        </w:rPr>
        <w:t>5</w:t>
      </w:r>
      <w:r w:rsidR="005018C5">
        <w:rPr>
          <w:rFonts w:eastAsiaTheme="minorEastAsia"/>
        </w:rPr>
        <w:t>–4.</w:t>
      </w:r>
      <w:r w:rsidR="00F6611D">
        <w:rPr>
          <w:rFonts w:eastAsiaTheme="minorEastAsia"/>
        </w:rPr>
        <w:t>66</w:t>
      </w:r>
      <w:r w:rsidR="005018C5">
        <w:rPr>
          <w:rFonts w:eastAsiaTheme="minorEastAsia"/>
        </w:rPr>
        <w:t xml:space="preserve">). </w:t>
      </w:r>
      <w:r w:rsidR="005018C5">
        <w:t xml:space="preserve">A fault was expected in the </w:t>
      </w:r>
      <m:oMath>
        <m:r>
          <w:rPr>
            <w:rFonts w:ascii="Cambria Math" w:hAnsi="Cambria Math"/>
          </w:rPr>
          <m:t>Q</m:t>
        </m:r>
      </m:oMath>
      <w:r w:rsidR="005018C5">
        <w:t xml:space="preserve">-statistic since diverting material changes the </w:t>
      </w:r>
      <w:r w:rsidR="006F1843">
        <w:t xml:space="preserve">relative </w:t>
      </w:r>
      <w:r w:rsidR="00F6611D">
        <w:t xml:space="preserve">relationships between state variables </w:t>
      </w:r>
      <w:r w:rsidR="005018C5">
        <w:t>downstream of the diversion</w:t>
      </w:r>
      <w:r w:rsidR="00F6611D">
        <w:t xml:space="preserve">. </w:t>
      </w:r>
      <w:r w:rsidR="00E664E4">
        <w:t xml:space="preserve">The </w:t>
      </w:r>
      <m:oMath>
        <m:r>
          <w:rPr>
            <w:rFonts w:ascii="Cambria Math" w:hAnsi="Cambria Math"/>
          </w:rPr>
          <m:t>Q</m:t>
        </m:r>
      </m:oMath>
      <w:r w:rsidR="00E664E4">
        <w:t xml:space="preserve">-statistic </w:t>
      </w:r>
      <w:r w:rsidR="004E68DC">
        <w:t>increase</w:t>
      </w:r>
      <w:r w:rsidR="00E664E4">
        <w:t xml:space="preserve"> was significant while the Mahalanobis distance was within the same order of magnitude as the base case. Therefore, a very small diversion of material from the evaporator was easily detectable. </w:t>
      </w:r>
    </w:p>
    <w:p w:rsidR="00AF54F9" w:rsidRDefault="00E664E4">
      <w:r>
        <w:t>From a safeguards perspective, it would be expected that a diversion of this nature would be very small so as not to be detected.</w:t>
      </w:r>
      <w:r w:rsidR="00F6611D">
        <w:t xml:space="preserve"> </w:t>
      </w:r>
      <w:r w:rsidR="00AF54F9">
        <w:rPr>
          <w:rFonts w:eastAsiaTheme="minorEastAsia"/>
        </w:rPr>
        <w:t xml:space="preserve">It is recommended that the stream leaving the evaporator to feed the precipitation process be monitored for both flow rate and uranium content. This area of the plant should also be inspected for additional piping which may be diverting material to another location. Additionally, the waste stream from the evaporator should be monitored for flow rate and uranium content as well in case material is being diverted to the waste directly. </w:t>
      </w:r>
      <w:r w:rsidR="00F6611D">
        <w:t>Table 4.25 provides a summary of this case.</w:t>
      </w:r>
    </w:p>
    <w:p w:rsidR="00CE21E4" w:rsidRDefault="00CE21E4"/>
    <w:p w:rsidR="00CE21E4" w:rsidRDefault="00CE21E4"/>
    <w:tbl>
      <w:tblPr>
        <w:tblW w:w="8040" w:type="dxa"/>
        <w:jc w:val="center"/>
        <w:tblInd w:w="93" w:type="dxa"/>
        <w:tblLook w:val="04A0" w:firstRow="1" w:lastRow="0" w:firstColumn="1" w:lastColumn="0" w:noHBand="0" w:noVBand="1"/>
      </w:tblPr>
      <w:tblGrid>
        <w:gridCol w:w="1406"/>
        <w:gridCol w:w="962"/>
        <w:gridCol w:w="1309"/>
        <w:gridCol w:w="1232"/>
        <w:gridCol w:w="1094"/>
        <w:gridCol w:w="2037"/>
      </w:tblGrid>
      <w:tr w:rsidR="00F6611D" w:rsidRPr="00F6611D" w:rsidTr="00F6611D">
        <w:trPr>
          <w:trHeight w:val="270"/>
          <w:jc w:val="center"/>
        </w:trPr>
        <w:tc>
          <w:tcPr>
            <w:tcW w:w="8040" w:type="dxa"/>
            <w:gridSpan w:val="6"/>
            <w:tcBorders>
              <w:top w:val="nil"/>
              <w:left w:val="nil"/>
              <w:bottom w:val="single" w:sz="8" w:space="0" w:color="auto"/>
              <w:right w:val="nil"/>
            </w:tcBorders>
            <w:shd w:val="clear" w:color="auto" w:fill="auto"/>
            <w:noWrap/>
            <w:vAlign w:val="center"/>
            <w:hideMark/>
          </w:tcPr>
          <w:p w:rsidR="00F6611D" w:rsidRPr="00F6611D" w:rsidRDefault="00F6611D" w:rsidP="00F6611D">
            <w:pPr>
              <w:spacing w:after="0" w:line="240" w:lineRule="auto"/>
              <w:jc w:val="center"/>
              <w:rPr>
                <w:rFonts w:ascii="Calibri" w:eastAsia="Times New Roman" w:hAnsi="Calibri" w:cs="Times New Roman"/>
                <w:b/>
                <w:bCs/>
                <w:color w:val="000000"/>
                <w:sz w:val="20"/>
                <w:szCs w:val="20"/>
              </w:rPr>
            </w:pPr>
            <w:r w:rsidRPr="00F6611D">
              <w:rPr>
                <w:rFonts w:ascii="Calibri" w:eastAsia="Times New Roman" w:hAnsi="Calibri" w:cs="Times New Roman"/>
                <w:b/>
                <w:bCs/>
                <w:color w:val="000000"/>
                <w:sz w:val="20"/>
                <w:szCs w:val="20"/>
              </w:rPr>
              <w:t>Table 4.25. Summary of Faulty Case 5</w:t>
            </w:r>
          </w:p>
        </w:tc>
      </w:tr>
      <w:tr w:rsidR="00F6611D" w:rsidRPr="00F6611D" w:rsidTr="00F6611D">
        <w:trPr>
          <w:trHeight w:val="255"/>
          <w:jc w:val="center"/>
        </w:trPr>
        <w:tc>
          <w:tcPr>
            <w:tcW w:w="8040" w:type="dxa"/>
            <w:gridSpan w:val="6"/>
            <w:tcBorders>
              <w:top w:val="nil"/>
              <w:left w:val="nil"/>
              <w:bottom w:val="nil"/>
              <w:right w:val="nil"/>
            </w:tcBorders>
            <w:shd w:val="clear" w:color="auto" w:fill="auto"/>
            <w:noWrap/>
            <w:vAlign w:val="center"/>
            <w:hideMark/>
          </w:tcPr>
          <w:p w:rsidR="00F6611D" w:rsidRPr="00F6611D" w:rsidRDefault="00F6611D" w:rsidP="00F6611D">
            <w:pPr>
              <w:spacing w:after="0" w:line="240" w:lineRule="auto"/>
              <w:jc w:val="center"/>
              <w:rPr>
                <w:rFonts w:ascii="Calibri" w:eastAsia="Times New Roman" w:hAnsi="Calibri" w:cs="Times New Roman"/>
                <w:b/>
                <w:bCs/>
                <w:color w:val="000000"/>
                <w:sz w:val="20"/>
                <w:szCs w:val="20"/>
              </w:rPr>
            </w:pPr>
            <w:r w:rsidRPr="00F6611D">
              <w:rPr>
                <w:rFonts w:ascii="Calibri" w:eastAsia="Times New Roman" w:hAnsi="Calibri" w:cs="Times New Roman"/>
                <w:b/>
                <w:bCs/>
                <w:color w:val="000000"/>
                <w:sz w:val="20"/>
                <w:szCs w:val="20"/>
              </w:rPr>
              <w:t>Summary of Faulty Case</w:t>
            </w:r>
          </w:p>
        </w:tc>
      </w:tr>
      <w:tr w:rsidR="00F6611D" w:rsidRPr="00F6611D" w:rsidTr="00F6611D">
        <w:trPr>
          <w:trHeight w:val="255"/>
          <w:jc w:val="center"/>
        </w:trPr>
        <w:tc>
          <w:tcPr>
            <w:tcW w:w="1406" w:type="dxa"/>
            <w:tcBorders>
              <w:top w:val="nil"/>
              <w:left w:val="nil"/>
              <w:bottom w:val="single" w:sz="4" w:space="0" w:color="auto"/>
              <w:right w:val="nil"/>
            </w:tcBorders>
            <w:shd w:val="clear" w:color="auto" w:fill="auto"/>
            <w:noWrap/>
            <w:vAlign w:val="center"/>
            <w:hideMark/>
          </w:tcPr>
          <w:p w:rsidR="00F6611D" w:rsidRPr="00F6611D" w:rsidRDefault="00F6611D" w:rsidP="00F6611D">
            <w:pPr>
              <w:spacing w:after="0" w:line="240" w:lineRule="auto"/>
              <w:jc w:val="center"/>
              <w:rPr>
                <w:rFonts w:ascii="Calibri" w:eastAsia="Times New Roman" w:hAnsi="Calibri" w:cs="Times New Roman"/>
                <w:b/>
                <w:bCs/>
                <w:color w:val="000000"/>
                <w:sz w:val="20"/>
                <w:szCs w:val="20"/>
              </w:rPr>
            </w:pPr>
            <w:r w:rsidRPr="00F6611D">
              <w:rPr>
                <w:rFonts w:ascii="Calibri" w:eastAsia="Times New Roman" w:hAnsi="Calibri" w:cs="Times New Roman"/>
                <w:b/>
                <w:bCs/>
                <w:color w:val="000000"/>
                <w:sz w:val="20"/>
                <w:szCs w:val="20"/>
              </w:rPr>
              <w:t>Priority</w:t>
            </w:r>
          </w:p>
        </w:tc>
        <w:tc>
          <w:tcPr>
            <w:tcW w:w="962" w:type="dxa"/>
            <w:tcBorders>
              <w:top w:val="nil"/>
              <w:left w:val="nil"/>
              <w:bottom w:val="single" w:sz="4" w:space="0" w:color="auto"/>
              <w:right w:val="nil"/>
            </w:tcBorders>
            <w:shd w:val="clear" w:color="auto" w:fill="auto"/>
            <w:vAlign w:val="center"/>
            <w:hideMark/>
          </w:tcPr>
          <w:p w:rsidR="00F6611D" w:rsidRPr="00F6611D" w:rsidRDefault="00F6611D" w:rsidP="00F6611D">
            <w:pPr>
              <w:spacing w:after="0" w:line="240" w:lineRule="auto"/>
              <w:jc w:val="center"/>
              <w:rPr>
                <w:rFonts w:ascii="Calibri" w:eastAsia="Times New Roman" w:hAnsi="Calibri" w:cs="Times New Roman"/>
                <w:b/>
                <w:bCs/>
                <w:sz w:val="20"/>
                <w:szCs w:val="20"/>
              </w:rPr>
            </w:pPr>
            <w:r w:rsidRPr="00F6611D">
              <w:rPr>
                <w:rFonts w:ascii="Calibri" w:eastAsia="Times New Roman" w:hAnsi="Calibri" w:cs="Times New Roman"/>
                <w:b/>
                <w:bCs/>
                <w:sz w:val="20"/>
                <w:szCs w:val="20"/>
              </w:rPr>
              <w:t>Module</w:t>
            </w:r>
          </w:p>
        </w:tc>
        <w:tc>
          <w:tcPr>
            <w:tcW w:w="1309" w:type="dxa"/>
            <w:tcBorders>
              <w:top w:val="nil"/>
              <w:left w:val="nil"/>
              <w:bottom w:val="single" w:sz="4" w:space="0" w:color="auto"/>
              <w:right w:val="nil"/>
            </w:tcBorders>
            <w:shd w:val="clear" w:color="auto" w:fill="auto"/>
            <w:vAlign w:val="center"/>
            <w:hideMark/>
          </w:tcPr>
          <w:p w:rsidR="00F6611D" w:rsidRPr="00F6611D" w:rsidRDefault="00F6611D" w:rsidP="00F6611D">
            <w:pPr>
              <w:spacing w:after="0" w:line="240" w:lineRule="auto"/>
              <w:jc w:val="center"/>
              <w:rPr>
                <w:rFonts w:ascii="Calibri" w:eastAsia="Times New Roman" w:hAnsi="Calibri" w:cs="Times New Roman"/>
                <w:b/>
                <w:bCs/>
                <w:sz w:val="20"/>
                <w:szCs w:val="20"/>
              </w:rPr>
            </w:pPr>
            <w:r w:rsidRPr="00F6611D">
              <w:rPr>
                <w:rFonts w:ascii="Calibri" w:eastAsia="Times New Roman" w:hAnsi="Calibri" w:cs="Times New Roman"/>
                <w:b/>
                <w:bCs/>
                <w:sz w:val="20"/>
                <w:szCs w:val="20"/>
              </w:rPr>
              <w:t>Faulty Variable</w:t>
            </w:r>
          </w:p>
        </w:tc>
        <w:tc>
          <w:tcPr>
            <w:tcW w:w="1232" w:type="dxa"/>
            <w:tcBorders>
              <w:top w:val="nil"/>
              <w:left w:val="nil"/>
              <w:bottom w:val="single" w:sz="4" w:space="0" w:color="auto"/>
              <w:right w:val="nil"/>
            </w:tcBorders>
            <w:shd w:val="clear" w:color="auto" w:fill="auto"/>
            <w:vAlign w:val="center"/>
            <w:hideMark/>
          </w:tcPr>
          <w:p w:rsidR="00F6611D" w:rsidRPr="00F6611D" w:rsidRDefault="00F6611D" w:rsidP="00F6611D">
            <w:pPr>
              <w:spacing w:after="0" w:line="240" w:lineRule="auto"/>
              <w:jc w:val="center"/>
              <w:rPr>
                <w:rFonts w:ascii="Calibri" w:eastAsia="Times New Roman" w:hAnsi="Calibri" w:cs="Times New Roman"/>
                <w:b/>
                <w:bCs/>
                <w:color w:val="000000"/>
                <w:sz w:val="20"/>
                <w:szCs w:val="20"/>
              </w:rPr>
            </w:pPr>
            <w:r w:rsidRPr="00F6611D">
              <w:rPr>
                <w:rFonts w:ascii="Calibri" w:eastAsia="Times New Roman" w:hAnsi="Calibri" w:cs="Times New Roman"/>
                <w:b/>
                <w:bCs/>
                <w:color w:val="000000"/>
                <w:sz w:val="20"/>
                <w:szCs w:val="20"/>
              </w:rPr>
              <w:t>Base Case Value</w:t>
            </w:r>
          </w:p>
        </w:tc>
        <w:tc>
          <w:tcPr>
            <w:tcW w:w="1094" w:type="dxa"/>
            <w:tcBorders>
              <w:top w:val="nil"/>
              <w:left w:val="nil"/>
              <w:bottom w:val="single" w:sz="4" w:space="0" w:color="auto"/>
              <w:right w:val="nil"/>
            </w:tcBorders>
            <w:shd w:val="clear" w:color="auto" w:fill="auto"/>
            <w:vAlign w:val="center"/>
            <w:hideMark/>
          </w:tcPr>
          <w:p w:rsidR="00F6611D" w:rsidRPr="00F6611D" w:rsidRDefault="00F6611D" w:rsidP="00F6611D">
            <w:pPr>
              <w:spacing w:after="0" w:line="240" w:lineRule="auto"/>
              <w:jc w:val="center"/>
              <w:rPr>
                <w:rFonts w:ascii="Calibri" w:eastAsia="Times New Roman" w:hAnsi="Calibri" w:cs="Times New Roman"/>
                <w:b/>
                <w:bCs/>
                <w:color w:val="000000"/>
                <w:sz w:val="20"/>
                <w:szCs w:val="20"/>
              </w:rPr>
            </w:pPr>
            <w:r w:rsidRPr="00F6611D">
              <w:rPr>
                <w:rFonts w:ascii="Calibri" w:eastAsia="Times New Roman" w:hAnsi="Calibri" w:cs="Times New Roman"/>
                <w:b/>
                <w:bCs/>
                <w:color w:val="000000"/>
                <w:sz w:val="20"/>
                <w:szCs w:val="20"/>
              </w:rPr>
              <w:t>Faulty Value</w:t>
            </w:r>
          </w:p>
        </w:tc>
        <w:tc>
          <w:tcPr>
            <w:tcW w:w="2037" w:type="dxa"/>
            <w:tcBorders>
              <w:top w:val="nil"/>
              <w:left w:val="nil"/>
              <w:bottom w:val="single" w:sz="4" w:space="0" w:color="auto"/>
              <w:right w:val="nil"/>
            </w:tcBorders>
            <w:shd w:val="clear" w:color="auto" w:fill="auto"/>
            <w:vAlign w:val="center"/>
            <w:hideMark/>
          </w:tcPr>
          <w:p w:rsidR="00F6611D" w:rsidRPr="00F6611D" w:rsidRDefault="00F6611D" w:rsidP="00F6611D">
            <w:pPr>
              <w:spacing w:after="0" w:line="240" w:lineRule="auto"/>
              <w:jc w:val="center"/>
              <w:rPr>
                <w:rFonts w:ascii="Calibri" w:eastAsia="Times New Roman" w:hAnsi="Calibri" w:cs="Times New Roman"/>
                <w:b/>
                <w:bCs/>
                <w:sz w:val="20"/>
                <w:szCs w:val="20"/>
              </w:rPr>
            </w:pPr>
            <w:r w:rsidRPr="00F6611D">
              <w:rPr>
                <w:rFonts w:ascii="Calibri" w:eastAsia="Times New Roman" w:hAnsi="Calibri" w:cs="Times New Roman"/>
                <w:b/>
                <w:bCs/>
                <w:sz w:val="20"/>
                <w:szCs w:val="20"/>
              </w:rPr>
              <w:t>Physical Description</w:t>
            </w:r>
          </w:p>
        </w:tc>
      </w:tr>
      <w:tr w:rsidR="00F6611D" w:rsidRPr="00F6611D" w:rsidTr="00F6611D">
        <w:trPr>
          <w:trHeight w:val="765"/>
          <w:jc w:val="center"/>
        </w:trPr>
        <w:tc>
          <w:tcPr>
            <w:tcW w:w="1406" w:type="dxa"/>
            <w:tcBorders>
              <w:top w:val="nil"/>
              <w:left w:val="nil"/>
              <w:bottom w:val="nil"/>
              <w:right w:val="nil"/>
            </w:tcBorders>
            <w:shd w:val="clear" w:color="auto" w:fill="auto"/>
            <w:noWrap/>
            <w:vAlign w:val="center"/>
            <w:hideMark/>
          </w:tcPr>
          <w:p w:rsidR="00F6611D" w:rsidRPr="00F6611D" w:rsidRDefault="00F6611D" w:rsidP="00F6611D">
            <w:pPr>
              <w:spacing w:after="0" w:line="240" w:lineRule="auto"/>
              <w:jc w:val="center"/>
              <w:rPr>
                <w:rFonts w:ascii="Calibri" w:eastAsia="Times New Roman" w:hAnsi="Calibri" w:cs="Times New Roman"/>
                <w:color w:val="000000"/>
                <w:sz w:val="20"/>
                <w:szCs w:val="20"/>
              </w:rPr>
            </w:pPr>
            <w:r w:rsidRPr="00F6611D">
              <w:rPr>
                <w:rFonts w:ascii="Calibri" w:eastAsia="Times New Roman" w:hAnsi="Calibri" w:cs="Times New Roman"/>
                <w:color w:val="000000"/>
                <w:sz w:val="20"/>
                <w:szCs w:val="20"/>
              </w:rPr>
              <w:t>High</w:t>
            </w:r>
          </w:p>
        </w:tc>
        <w:tc>
          <w:tcPr>
            <w:tcW w:w="962" w:type="dxa"/>
            <w:tcBorders>
              <w:top w:val="nil"/>
              <w:left w:val="nil"/>
              <w:bottom w:val="nil"/>
              <w:right w:val="nil"/>
            </w:tcBorders>
            <w:shd w:val="clear" w:color="auto" w:fill="auto"/>
            <w:vAlign w:val="center"/>
            <w:hideMark/>
          </w:tcPr>
          <w:p w:rsidR="00F6611D" w:rsidRPr="00F6611D" w:rsidRDefault="00F6611D" w:rsidP="00F6611D">
            <w:pPr>
              <w:spacing w:after="0" w:line="240" w:lineRule="auto"/>
              <w:jc w:val="center"/>
              <w:rPr>
                <w:rFonts w:ascii="Calibri" w:eastAsia="Times New Roman" w:hAnsi="Calibri" w:cs="Times New Roman"/>
                <w:color w:val="000000"/>
                <w:sz w:val="20"/>
                <w:szCs w:val="20"/>
              </w:rPr>
            </w:pPr>
            <w:r w:rsidRPr="00F6611D">
              <w:rPr>
                <w:rFonts w:ascii="Calibri" w:eastAsia="Times New Roman" w:hAnsi="Calibri" w:cs="Times New Roman"/>
                <w:color w:val="000000"/>
                <w:sz w:val="20"/>
                <w:szCs w:val="20"/>
              </w:rPr>
              <w:t>3</w:t>
            </w:r>
          </w:p>
        </w:tc>
        <w:tc>
          <w:tcPr>
            <w:tcW w:w="1309" w:type="dxa"/>
            <w:tcBorders>
              <w:top w:val="nil"/>
              <w:left w:val="nil"/>
              <w:bottom w:val="nil"/>
              <w:right w:val="nil"/>
            </w:tcBorders>
            <w:shd w:val="clear" w:color="auto" w:fill="auto"/>
            <w:vAlign w:val="center"/>
            <w:hideMark/>
          </w:tcPr>
          <w:p w:rsidR="00F6611D" w:rsidRPr="00F6611D" w:rsidRDefault="00F6611D" w:rsidP="00F6611D">
            <w:pPr>
              <w:spacing w:after="0" w:line="240" w:lineRule="auto"/>
              <w:jc w:val="center"/>
              <w:rPr>
                <w:rFonts w:ascii="Calibri" w:eastAsia="Times New Roman" w:hAnsi="Calibri" w:cs="Times New Roman"/>
                <w:color w:val="000000"/>
                <w:sz w:val="20"/>
                <w:szCs w:val="20"/>
              </w:rPr>
            </w:pPr>
            <w:r w:rsidRPr="00F6611D">
              <w:rPr>
                <w:rFonts w:ascii="Calibri" w:eastAsia="Times New Roman" w:hAnsi="Calibri" w:cs="Times New Roman"/>
                <w:color w:val="000000"/>
                <w:sz w:val="20"/>
                <w:szCs w:val="20"/>
              </w:rPr>
              <w:t>S</w:t>
            </w:r>
            <w:r w:rsidRPr="00F6611D">
              <w:rPr>
                <w:rFonts w:ascii="Calibri" w:eastAsia="Times New Roman" w:hAnsi="Calibri" w:cs="Times New Roman"/>
                <w:color w:val="000000"/>
                <w:sz w:val="20"/>
                <w:szCs w:val="20"/>
                <w:vertAlign w:val="subscript"/>
              </w:rPr>
              <w:t>Mod3A</w:t>
            </w:r>
          </w:p>
        </w:tc>
        <w:tc>
          <w:tcPr>
            <w:tcW w:w="1232" w:type="dxa"/>
            <w:tcBorders>
              <w:top w:val="nil"/>
              <w:left w:val="nil"/>
              <w:bottom w:val="nil"/>
              <w:right w:val="nil"/>
            </w:tcBorders>
            <w:shd w:val="clear" w:color="auto" w:fill="auto"/>
            <w:vAlign w:val="center"/>
            <w:hideMark/>
          </w:tcPr>
          <w:p w:rsidR="00F6611D" w:rsidRPr="00F6611D" w:rsidRDefault="00F6611D" w:rsidP="00F6611D">
            <w:pPr>
              <w:spacing w:after="0" w:line="240" w:lineRule="auto"/>
              <w:jc w:val="center"/>
              <w:rPr>
                <w:rFonts w:ascii="Calibri" w:eastAsia="Times New Roman" w:hAnsi="Calibri" w:cs="Times New Roman"/>
                <w:color w:val="000000"/>
                <w:sz w:val="20"/>
                <w:szCs w:val="20"/>
              </w:rPr>
            </w:pPr>
            <w:r w:rsidRPr="00F6611D">
              <w:rPr>
                <w:rFonts w:ascii="Calibri" w:eastAsia="Times New Roman" w:hAnsi="Calibri" w:cs="Times New Roman"/>
                <w:color w:val="000000"/>
                <w:sz w:val="20"/>
                <w:szCs w:val="20"/>
              </w:rPr>
              <w:t>N/A</w:t>
            </w:r>
          </w:p>
        </w:tc>
        <w:tc>
          <w:tcPr>
            <w:tcW w:w="1094" w:type="dxa"/>
            <w:tcBorders>
              <w:top w:val="nil"/>
              <w:left w:val="nil"/>
              <w:bottom w:val="nil"/>
              <w:right w:val="nil"/>
            </w:tcBorders>
            <w:shd w:val="clear" w:color="auto" w:fill="auto"/>
            <w:vAlign w:val="center"/>
            <w:hideMark/>
          </w:tcPr>
          <w:p w:rsidR="00F6611D" w:rsidRPr="00F6611D" w:rsidRDefault="00F6611D" w:rsidP="00F6611D">
            <w:pPr>
              <w:spacing w:after="0" w:line="240" w:lineRule="auto"/>
              <w:jc w:val="center"/>
              <w:rPr>
                <w:rFonts w:ascii="Calibri" w:eastAsia="Times New Roman" w:hAnsi="Calibri" w:cs="Times New Roman"/>
                <w:color w:val="000000"/>
                <w:sz w:val="20"/>
                <w:szCs w:val="20"/>
              </w:rPr>
            </w:pPr>
            <w:r w:rsidRPr="00F6611D">
              <w:rPr>
                <w:rFonts w:ascii="Calibri" w:eastAsia="Times New Roman" w:hAnsi="Calibri" w:cs="Times New Roman"/>
                <w:color w:val="000000"/>
                <w:sz w:val="20"/>
                <w:szCs w:val="20"/>
              </w:rPr>
              <w:t>0.0025</w:t>
            </w:r>
          </w:p>
        </w:tc>
        <w:tc>
          <w:tcPr>
            <w:tcW w:w="2037" w:type="dxa"/>
            <w:tcBorders>
              <w:top w:val="nil"/>
              <w:left w:val="nil"/>
              <w:bottom w:val="nil"/>
              <w:right w:val="nil"/>
            </w:tcBorders>
            <w:shd w:val="clear" w:color="auto" w:fill="auto"/>
            <w:vAlign w:val="center"/>
            <w:hideMark/>
          </w:tcPr>
          <w:p w:rsidR="00F6611D" w:rsidRPr="00F6611D" w:rsidRDefault="00F6611D" w:rsidP="00F6611D">
            <w:pPr>
              <w:spacing w:after="0" w:line="240" w:lineRule="auto"/>
              <w:rPr>
                <w:rFonts w:ascii="Calibri" w:eastAsia="Times New Roman" w:hAnsi="Calibri" w:cs="Times New Roman"/>
                <w:color w:val="000000"/>
                <w:sz w:val="20"/>
                <w:szCs w:val="20"/>
              </w:rPr>
            </w:pPr>
            <w:r w:rsidRPr="00F6611D">
              <w:rPr>
                <w:rFonts w:ascii="Calibri" w:eastAsia="Times New Roman" w:hAnsi="Calibri" w:cs="Times New Roman"/>
                <w:color w:val="000000"/>
                <w:sz w:val="20"/>
                <w:szCs w:val="20"/>
              </w:rPr>
              <w:t>Diversion of 0.25% of the uranium from the evaporator</w:t>
            </w:r>
          </w:p>
        </w:tc>
      </w:tr>
      <w:tr w:rsidR="00F6611D" w:rsidRPr="00F6611D" w:rsidTr="00F6611D">
        <w:trPr>
          <w:trHeight w:val="255"/>
          <w:jc w:val="center"/>
        </w:trPr>
        <w:tc>
          <w:tcPr>
            <w:tcW w:w="8040" w:type="dxa"/>
            <w:gridSpan w:val="6"/>
            <w:tcBorders>
              <w:top w:val="single" w:sz="4" w:space="0" w:color="auto"/>
              <w:left w:val="nil"/>
              <w:bottom w:val="nil"/>
              <w:right w:val="nil"/>
            </w:tcBorders>
            <w:shd w:val="clear" w:color="auto" w:fill="auto"/>
            <w:noWrap/>
            <w:vAlign w:val="center"/>
            <w:hideMark/>
          </w:tcPr>
          <w:p w:rsidR="00F6611D" w:rsidRPr="00F6611D" w:rsidRDefault="00F6611D" w:rsidP="00F6611D">
            <w:pPr>
              <w:spacing w:after="0" w:line="240" w:lineRule="auto"/>
              <w:jc w:val="center"/>
              <w:rPr>
                <w:rFonts w:ascii="Calibri" w:eastAsia="Times New Roman" w:hAnsi="Calibri" w:cs="Times New Roman"/>
                <w:b/>
                <w:bCs/>
                <w:color w:val="000000"/>
                <w:sz w:val="20"/>
                <w:szCs w:val="20"/>
              </w:rPr>
            </w:pPr>
            <w:r w:rsidRPr="00F6611D">
              <w:rPr>
                <w:rFonts w:ascii="Calibri" w:eastAsia="Times New Roman" w:hAnsi="Calibri" w:cs="Times New Roman"/>
                <w:b/>
                <w:bCs/>
                <w:color w:val="000000"/>
                <w:sz w:val="20"/>
                <w:szCs w:val="20"/>
              </w:rPr>
              <w:t>Summary of Results</w:t>
            </w:r>
          </w:p>
        </w:tc>
      </w:tr>
      <w:tr w:rsidR="00F6611D" w:rsidRPr="00F6611D" w:rsidTr="00F6611D">
        <w:trPr>
          <w:trHeight w:val="255"/>
          <w:jc w:val="center"/>
        </w:trPr>
        <w:tc>
          <w:tcPr>
            <w:tcW w:w="1406" w:type="dxa"/>
            <w:tcBorders>
              <w:top w:val="nil"/>
              <w:left w:val="nil"/>
              <w:bottom w:val="single" w:sz="4" w:space="0" w:color="auto"/>
              <w:right w:val="nil"/>
            </w:tcBorders>
            <w:shd w:val="clear" w:color="auto" w:fill="auto"/>
            <w:noWrap/>
            <w:vAlign w:val="center"/>
            <w:hideMark/>
          </w:tcPr>
          <w:p w:rsidR="00F6611D" w:rsidRPr="00F6611D" w:rsidRDefault="00F6611D" w:rsidP="00F6611D">
            <w:pPr>
              <w:spacing w:after="0" w:line="240" w:lineRule="auto"/>
              <w:jc w:val="center"/>
              <w:rPr>
                <w:rFonts w:ascii="Calibri" w:eastAsia="Times New Roman" w:hAnsi="Calibri" w:cs="Times New Roman"/>
                <w:color w:val="000000"/>
                <w:sz w:val="20"/>
                <w:szCs w:val="20"/>
              </w:rPr>
            </w:pPr>
            <w:r w:rsidRPr="00F6611D">
              <w:rPr>
                <w:rFonts w:ascii="Calibri" w:eastAsia="Times New Roman" w:hAnsi="Calibri" w:cs="Times New Roman"/>
                <w:color w:val="000000"/>
                <w:sz w:val="20"/>
                <w:szCs w:val="20"/>
              </w:rPr>
              <w:t> </w:t>
            </w:r>
          </w:p>
        </w:tc>
        <w:tc>
          <w:tcPr>
            <w:tcW w:w="962" w:type="dxa"/>
            <w:tcBorders>
              <w:top w:val="nil"/>
              <w:left w:val="nil"/>
              <w:bottom w:val="single" w:sz="4" w:space="0" w:color="auto"/>
              <w:right w:val="nil"/>
            </w:tcBorders>
            <w:shd w:val="clear" w:color="auto" w:fill="auto"/>
            <w:vAlign w:val="center"/>
            <w:hideMark/>
          </w:tcPr>
          <w:p w:rsidR="00F6611D" w:rsidRDefault="00F6611D" w:rsidP="00F6611D">
            <w:pPr>
              <w:spacing w:after="0" w:line="240" w:lineRule="auto"/>
              <w:jc w:val="center"/>
              <w:rPr>
                <w:rFonts w:ascii="Calibri" w:eastAsia="Times New Roman" w:hAnsi="Calibri" w:cs="Times New Roman"/>
                <w:b/>
                <w:bCs/>
                <w:sz w:val="20"/>
                <w:szCs w:val="20"/>
              </w:rPr>
            </w:pPr>
            <w:r w:rsidRPr="00F6611D">
              <w:rPr>
                <w:rFonts w:ascii="Calibri" w:eastAsia="Times New Roman" w:hAnsi="Calibri" w:cs="Times New Roman"/>
                <w:b/>
                <w:bCs/>
                <w:sz w:val="20"/>
                <w:szCs w:val="20"/>
              </w:rPr>
              <w:t>PC1</w:t>
            </w:r>
          </w:p>
          <w:p w:rsidR="00AC7D91" w:rsidRPr="00F6611D" w:rsidRDefault="00AC7D91" w:rsidP="00F6611D">
            <w:pPr>
              <w:spacing w:after="0" w:line="240" w:lineRule="auto"/>
              <w:jc w:val="center"/>
              <w:rPr>
                <w:rFonts w:ascii="Calibri" w:eastAsia="Times New Roman" w:hAnsi="Calibri" w:cs="Times New Roman"/>
                <w:b/>
                <w:bCs/>
                <w:sz w:val="20"/>
                <w:szCs w:val="20"/>
              </w:rPr>
            </w:pPr>
            <w:r>
              <w:rPr>
                <w:rFonts w:ascii="Calibri" w:eastAsia="Times New Roman" w:hAnsi="Calibri" w:cs="Times New Roman"/>
                <w:b/>
                <w:bCs/>
                <w:sz w:val="20"/>
                <w:szCs w:val="20"/>
              </w:rPr>
              <w:t>Scores</w:t>
            </w:r>
          </w:p>
        </w:tc>
        <w:tc>
          <w:tcPr>
            <w:tcW w:w="1309" w:type="dxa"/>
            <w:tcBorders>
              <w:top w:val="nil"/>
              <w:left w:val="nil"/>
              <w:bottom w:val="single" w:sz="4" w:space="0" w:color="auto"/>
              <w:right w:val="nil"/>
            </w:tcBorders>
            <w:shd w:val="clear" w:color="auto" w:fill="auto"/>
            <w:vAlign w:val="center"/>
            <w:hideMark/>
          </w:tcPr>
          <w:p w:rsidR="00F6611D" w:rsidRDefault="00F6611D" w:rsidP="00F6611D">
            <w:pPr>
              <w:spacing w:after="0" w:line="240" w:lineRule="auto"/>
              <w:jc w:val="center"/>
              <w:rPr>
                <w:rFonts w:ascii="Calibri" w:eastAsia="Times New Roman" w:hAnsi="Calibri" w:cs="Times New Roman"/>
                <w:b/>
                <w:bCs/>
                <w:color w:val="000000"/>
                <w:sz w:val="20"/>
                <w:szCs w:val="20"/>
              </w:rPr>
            </w:pPr>
            <w:r w:rsidRPr="00F6611D">
              <w:rPr>
                <w:rFonts w:ascii="Calibri" w:eastAsia="Times New Roman" w:hAnsi="Calibri" w:cs="Times New Roman"/>
                <w:b/>
                <w:bCs/>
                <w:color w:val="000000"/>
                <w:sz w:val="20"/>
                <w:szCs w:val="20"/>
              </w:rPr>
              <w:t>PC2</w:t>
            </w:r>
          </w:p>
          <w:p w:rsidR="00AC7D91" w:rsidRPr="00F6611D" w:rsidRDefault="00AC7D91" w:rsidP="00F6611D">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1232" w:type="dxa"/>
            <w:tcBorders>
              <w:top w:val="nil"/>
              <w:left w:val="nil"/>
              <w:bottom w:val="single" w:sz="4" w:space="0" w:color="auto"/>
              <w:right w:val="nil"/>
            </w:tcBorders>
            <w:shd w:val="clear" w:color="auto" w:fill="auto"/>
            <w:vAlign w:val="center"/>
            <w:hideMark/>
          </w:tcPr>
          <w:p w:rsidR="00F6611D" w:rsidRDefault="00F6611D" w:rsidP="00F6611D">
            <w:pPr>
              <w:spacing w:after="0" w:line="240" w:lineRule="auto"/>
              <w:jc w:val="center"/>
              <w:rPr>
                <w:rFonts w:ascii="Calibri" w:eastAsia="Times New Roman" w:hAnsi="Calibri" w:cs="Times New Roman"/>
                <w:b/>
                <w:bCs/>
                <w:color w:val="000000"/>
                <w:sz w:val="20"/>
                <w:szCs w:val="20"/>
              </w:rPr>
            </w:pPr>
            <w:r w:rsidRPr="00F6611D">
              <w:rPr>
                <w:rFonts w:ascii="Calibri" w:eastAsia="Times New Roman" w:hAnsi="Calibri" w:cs="Times New Roman"/>
                <w:b/>
                <w:bCs/>
                <w:color w:val="000000"/>
                <w:sz w:val="20"/>
                <w:szCs w:val="20"/>
              </w:rPr>
              <w:t>PC3</w:t>
            </w:r>
          </w:p>
          <w:p w:rsidR="00AC7D91" w:rsidRPr="00F6611D" w:rsidRDefault="00AC7D91" w:rsidP="00F6611D">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1094" w:type="dxa"/>
            <w:tcBorders>
              <w:top w:val="nil"/>
              <w:left w:val="nil"/>
              <w:bottom w:val="single" w:sz="4" w:space="0" w:color="auto"/>
              <w:right w:val="nil"/>
            </w:tcBorders>
            <w:shd w:val="clear" w:color="auto" w:fill="auto"/>
            <w:vAlign w:val="center"/>
            <w:hideMark/>
          </w:tcPr>
          <w:p w:rsidR="00F6611D" w:rsidRPr="00F6611D" w:rsidRDefault="00F6611D" w:rsidP="00F6611D">
            <w:pPr>
              <w:spacing w:after="0" w:line="240" w:lineRule="auto"/>
              <w:jc w:val="center"/>
              <w:rPr>
                <w:rFonts w:ascii="Calibri" w:eastAsia="Times New Roman" w:hAnsi="Calibri" w:cs="Times New Roman"/>
                <w:b/>
                <w:bCs/>
                <w:color w:val="000000"/>
                <w:sz w:val="20"/>
                <w:szCs w:val="20"/>
              </w:rPr>
            </w:pPr>
            <w:r w:rsidRPr="00F6611D">
              <w:rPr>
                <w:rFonts w:ascii="Calibri" w:eastAsia="Times New Roman" w:hAnsi="Calibri" w:cs="Times New Roman"/>
                <w:b/>
                <w:bCs/>
                <w:color w:val="000000"/>
                <w:sz w:val="20"/>
                <w:szCs w:val="20"/>
              </w:rPr>
              <w:t>T2</w:t>
            </w:r>
          </w:p>
        </w:tc>
        <w:tc>
          <w:tcPr>
            <w:tcW w:w="2037" w:type="dxa"/>
            <w:tcBorders>
              <w:top w:val="nil"/>
              <w:left w:val="nil"/>
              <w:bottom w:val="single" w:sz="4" w:space="0" w:color="auto"/>
              <w:right w:val="nil"/>
            </w:tcBorders>
            <w:shd w:val="clear" w:color="auto" w:fill="auto"/>
            <w:vAlign w:val="center"/>
            <w:hideMark/>
          </w:tcPr>
          <w:p w:rsidR="00F6611D" w:rsidRPr="00F6611D" w:rsidRDefault="00F6611D" w:rsidP="00F6611D">
            <w:pPr>
              <w:spacing w:after="0" w:line="240" w:lineRule="auto"/>
              <w:jc w:val="center"/>
              <w:rPr>
                <w:rFonts w:ascii="Calibri" w:eastAsia="Times New Roman" w:hAnsi="Calibri" w:cs="Times New Roman"/>
                <w:b/>
                <w:bCs/>
                <w:color w:val="000000"/>
                <w:sz w:val="20"/>
                <w:szCs w:val="20"/>
              </w:rPr>
            </w:pPr>
            <w:r w:rsidRPr="00F6611D">
              <w:rPr>
                <w:rFonts w:ascii="Calibri" w:eastAsia="Times New Roman" w:hAnsi="Calibri" w:cs="Times New Roman"/>
                <w:b/>
                <w:bCs/>
                <w:color w:val="000000"/>
                <w:sz w:val="20"/>
                <w:szCs w:val="20"/>
              </w:rPr>
              <w:t>Q</w:t>
            </w:r>
          </w:p>
        </w:tc>
      </w:tr>
      <w:tr w:rsidR="00F6611D" w:rsidRPr="00F6611D" w:rsidTr="00F6611D">
        <w:trPr>
          <w:trHeight w:val="255"/>
          <w:jc w:val="center"/>
        </w:trPr>
        <w:tc>
          <w:tcPr>
            <w:tcW w:w="1406" w:type="dxa"/>
            <w:tcBorders>
              <w:top w:val="nil"/>
              <w:left w:val="nil"/>
              <w:bottom w:val="nil"/>
              <w:right w:val="nil"/>
            </w:tcBorders>
            <w:shd w:val="clear" w:color="auto" w:fill="auto"/>
            <w:noWrap/>
            <w:vAlign w:val="center"/>
            <w:hideMark/>
          </w:tcPr>
          <w:p w:rsidR="00F6611D" w:rsidRPr="00F6611D" w:rsidRDefault="00F6611D" w:rsidP="00F6611D">
            <w:pPr>
              <w:spacing w:after="0" w:line="240" w:lineRule="auto"/>
              <w:jc w:val="center"/>
              <w:rPr>
                <w:rFonts w:ascii="Calibri" w:eastAsia="Times New Roman" w:hAnsi="Calibri" w:cs="Times New Roman"/>
                <w:b/>
                <w:bCs/>
                <w:color w:val="000000"/>
                <w:sz w:val="20"/>
                <w:szCs w:val="20"/>
              </w:rPr>
            </w:pPr>
            <w:r w:rsidRPr="00F6611D">
              <w:rPr>
                <w:rFonts w:ascii="Calibri" w:eastAsia="Times New Roman" w:hAnsi="Calibri" w:cs="Times New Roman"/>
                <w:b/>
                <w:bCs/>
                <w:color w:val="000000"/>
                <w:sz w:val="20"/>
                <w:szCs w:val="20"/>
              </w:rPr>
              <w:t>Direction</w:t>
            </w:r>
          </w:p>
        </w:tc>
        <w:tc>
          <w:tcPr>
            <w:tcW w:w="962" w:type="dxa"/>
            <w:tcBorders>
              <w:top w:val="nil"/>
              <w:left w:val="nil"/>
              <w:bottom w:val="nil"/>
              <w:right w:val="nil"/>
            </w:tcBorders>
            <w:shd w:val="clear" w:color="auto" w:fill="auto"/>
            <w:noWrap/>
            <w:vAlign w:val="center"/>
            <w:hideMark/>
          </w:tcPr>
          <w:p w:rsidR="00F6611D" w:rsidRPr="00F6611D" w:rsidRDefault="00F6611D" w:rsidP="00F6611D">
            <w:pPr>
              <w:spacing w:after="0" w:line="240" w:lineRule="auto"/>
              <w:jc w:val="center"/>
              <w:rPr>
                <w:rFonts w:ascii="Calibri" w:eastAsia="Times New Roman" w:hAnsi="Calibri" w:cs="Times New Roman"/>
                <w:color w:val="000000"/>
                <w:sz w:val="20"/>
                <w:szCs w:val="20"/>
              </w:rPr>
            </w:pPr>
            <w:r w:rsidRPr="00F6611D">
              <w:rPr>
                <w:rFonts w:ascii="Calibri" w:eastAsia="Times New Roman" w:hAnsi="Calibri" w:cs="Times New Roman"/>
                <w:color w:val="000000"/>
                <w:sz w:val="20"/>
                <w:szCs w:val="20"/>
              </w:rPr>
              <w:t>+</w:t>
            </w:r>
          </w:p>
        </w:tc>
        <w:tc>
          <w:tcPr>
            <w:tcW w:w="1309" w:type="dxa"/>
            <w:tcBorders>
              <w:top w:val="nil"/>
              <w:left w:val="nil"/>
              <w:bottom w:val="nil"/>
              <w:right w:val="nil"/>
            </w:tcBorders>
            <w:shd w:val="clear" w:color="auto" w:fill="auto"/>
            <w:noWrap/>
            <w:vAlign w:val="center"/>
            <w:hideMark/>
          </w:tcPr>
          <w:p w:rsidR="00F6611D" w:rsidRPr="00F6611D" w:rsidRDefault="00F6611D" w:rsidP="00F6611D">
            <w:pPr>
              <w:spacing w:after="0" w:line="240" w:lineRule="auto"/>
              <w:jc w:val="center"/>
              <w:rPr>
                <w:rFonts w:ascii="Calibri" w:eastAsia="Times New Roman" w:hAnsi="Calibri" w:cs="Times New Roman"/>
                <w:color w:val="000000"/>
                <w:sz w:val="20"/>
                <w:szCs w:val="20"/>
              </w:rPr>
            </w:pPr>
            <w:r w:rsidRPr="00F6611D">
              <w:rPr>
                <w:rFonts w:ascii="Calibri" w:eastAsia="Times New Roman" w:hAnsi="Calibri" w:cs="Times New Roman"/>
                <w:color w:val="000000"/>
                <w:sz w:val="20"/>
                <w:szCs w:val="20"/>
              </w:rPr>
              <w:t>-</w:t>
            </w:r>
          </w:p>
        </w:tc>
        <w:tc>
          <w:tcPr>
            <w:tcW w:w="1232" w:type="dxa"/>
            <w:tcBorders>
              <w:top w:val="nil"/>
              <w:left w:val="nil"/>
              <w:bottom w:val="nil"/>
              <w:right w:val="nil"/>
            </w:tcBorders>
            <w:shd w:val="clear" w:color="auto" w:fill="auto"/>
            <w:noWrap/>
            <w:vAlign w:val="center"/>
            <w:hideMark/>
          </w:tcPr>
          <w:p w:rsidR="00F6611D" w:rsidRPr="00F6611D" w:rsidRDefault="00F6611D" w:rsidP="00F6611D">
            <w:pPr>
              <w:spacing w:after="0" w:line="240" w:lineRule="auto"/>
              <w:jc w:val="center"/>
              <w:rPr>
                <w:rFonts w:ascii="Calibri" w:eastAsia="Times New Roman" w:hAnsi="Calibri" w:cs="Times New Roman"/>
                <w:color w:val="000000"/>
                <w:sz w:val="20"/>
                <w:szCs w:val="20"/>
              </w:rPr>
            </w:pPr>
            <w:r w:rsidRPr="00F6611D">
              <w:rPr>
                <w:rFonts w:ascii="Calibri" w:eastAsia="Times New Roman" w:hAnsi="Calibri" w:cs="Times New Roman"/>
                <w:color w:val="000000"/>
                <w:sz w:val="20"/>
                <w:szCs w:val="20"/>
              </w:rPr>
              <w:t>+</w:t>
            </w:r>
          </w:p>
        </w:tc>
        <w:tc>
          <w:tcPr>
            <w:tcW w:w="1094" w:type="dxa"/>
            <w:tcBorders>
              <w:top w:val="nil"/>
              <w:left w:val="nil"/>
              <w:bottom w:val="nil"/>
              <w:right w:val="nil"/>
            </w:tcBorders>
            <w:shd w:val="clear" w:color="auto" w:fill="auto"/>
            <w:noWrap/>
            <w:vAlign w:val="center"/>
            <w:hideMark/>
          </w:tcPr>
          <w:p w:rsidR="00F6611D" w:rsidRPr="00F6611D" w:rsidRDefault="00F6611D" w:rsidP="00F6611D">
            <w:pPr>
              <w:spacing w:after="0" w:line="240" w:lineRule="auto"/>
              <w:jc w:val="center"/>
              <w:rPr>
                <w:rFonts w:ascii="Calibri" w:eastAsia="Times New Roman" w:hAnsi="Calibri" w:cs="Times New Roman"/>
                <w:color w:val="000000"/>
                <w:sz w:val="20"/>
                <w:szCs w:val="20"/>
              </w:rPr>
            </w:pPr>
            <w:r w:rsidRPr="00F6611D">
              <w:rPr>
                <w:rFonts w:ascii="Calibri" w:eastAsia="Times New Roman" w:hAnsi="Calibri" w:cs="Times New Roman"/>
                <w:color w:val="000000"/>
                <w:sz w:val="20"/>
                <w:szCs w:val="20"/>
              </w:rPr>
              <w:t>+</w:t>
            </w:r>
          </w:p>
        </w:tc>
        <w:tc>
          <w:tcPr>
            <w:tcW w:w="2037" w:type="dxa"/>
            <w:tcBorders>
              <w:top w:val="nil"/>
              <w:left w:val="nil"/>
              <w:bottom w:val="nil"/>
              <w:right w:val="nil"/>
            </w:tcBorders>
            <w:shd w:val="clear" w:color="auto" w:fill="auto"/>
            <w:noWrap/>
            <w:vAlign w:val="center"/>
            <w:hideMark/>
          </w:tcPr>
          <w:p w:rsidR="00F6611D" w:rsidRPr="00F6611D" w:rsidRDefault="00F6611D" w:rsidP="00F6611D">
            <w:pPr>
              <w:spacing w:after="0" w:line="240" w:lineRule="auto"/>
              <w:jc w:val="center"/>
              <w:rPr>
                <w:rFonts w:ascii="Calibri" w:eastAsia="Times New Roman" w:hAnsi="Calibri" w:cs="Times New Roman"/>
                <w:color w:val="000000"/>
                <w:sz w:val="20"/>
                <w:szCs w:val="20"/>
              </w:rPr>
            </w:pPr>
            <w:r w:rsidRPr="00F6611D">
              <w:rPr>
                <w:rFonts w:ascii="Calibri" w:eastAsia="Times New Roman" w:hAnsi="Calibri" w:cs="Times New Roman"/>
                <w:color w:val="000000"/>
                <w:sz w:val="20"/>
                <w:szCs w:val="20"/>
              </w:rPr>
              <w:t>+</w:t>
            </w:r>
          </w:p>
        </w:tc>
      </w:tr>
      <w:tr w:rsidR="00F6611D" w:rsidRPr="00F6611D" w:rsidTr="00F6611D">
        <w:trPr>
          <w:trHeight w:val="270"/>
          <w:jc w:val="center"/>
        </w:trPr>
        <w:tc>
          <w:tcPr>
            <w:tcW w:w="1406" w:type="dxa"/>
            <w:tcBorders>
              <w:top w:val="nil"/>
              <w:left w:val="nil"/>
              <w:bottom w:val="single" w:sz="8" w:space="0" w:color="auto"/>
              <w:right w:val="nil"/>
            </w:tcBorders>
            <w:shd w:val="clear" w:color="auto" w:fill="auto"/>
            <w:noWrap/>
            <w:vAlign w:val="center"/>
            <w:hideMark/>
          </w:tcPr>
          <w:p w:rsidR="00F6611D" w:rsidRPr="00F6611D" w:rsidRDefault="00F6611D" w:rsidP="00F6611D">
            <w:pPr>
              <w:spacing w:after="0" w:line="240" w:lineRule="auto"/>
              <w:jc w:val="center"/>
              <w:rPr>
                <w:rFonts w:ascii="Calibri" w:eastAsia="Times New Roman" w:hAnsi="Calibri" w:cs="Times New Roman"/>
                <w:b/>
                <w:bCs/>
                <w:color w:val="000000"/>
                <w:sz w:val="20"/>
                <w:szCs w:val="20"/>
              </w:rPr>
            </w:pPr>
            <w:r w:rsidRPr="00F6611D">
              <w:rPr>
                <w:rFonts w:ascii="Calibri" w:eastAsia="Times New Roman" w:hAnsi="Calibri" w:cs="Times New Roman"/>
                <w:b/>
                <w:bCs/>
                <w:color w:val="000000"/>
                <w:sz w:val="20"/>
                <w:szCs w:val="20"/>
              </w:rPr>
              <w:t>Detectability</w:t>
            </w:r>
          </w:p>
        </w:tc>
        <w:tc>
          <w:tcPr>
            <w:tcW w:w="962" w:type="dxa"/>
            <w:tcBorders>
              <w:top w:val="nil"/>
              <w:left w:val="nil"/>
              <w:bottom w:val="single" w:sz="8" w:space="0" w:color="auto"/>
              <w:right w:val="nil"/>
            </w:tcBorders>
            <w:shd w:val="clear" w:color="auto" w:fill="auto"/>
            <w:vAlign w:val="center"/>
            <w:hideMark/>
          </w:tcPr>
          <w:p w:rsidR="00F6611D" w:rsidRPr="00F6611D" w:rsidRDefault="00F6611D" w:rsidP="00F6611D">
            <w:pPr>
              <w:spacing w:after="0" w:line="240" w:lineRule="auto"/>
              <w:jc w:val="center"/>
              <w:rPr>
                <w:rFonts w:ascii="Calibri" w:eastAsia="Times New Roman" w:hAnsi="Calibri" w:cs="Times New Roman"/>
                <w:color w:val="000000"/>
                <w:sz w:val="20"/>
                <w:szCs w:val="20"/>
              </w:rPr>
            </w:pPr>
            <w:r w:rsidRPr="00F6611D">
              <w:rPr>
                <w:rFonts w:ascii="Calibri" w:eastAsia="Times New Roman" w:hAnsi="Calibri" w:cs="Times New Roman"/>
                <w:color w:val="000000"/>
                <w:sz w:val="20"/>
                <w:szCs w:val="20"/>
              </w:rPr>
              <w:t>Possibly</w:t>
            </w:r>
          </w:p>
        </w:tc>
        <w:tc>
          <w:tcPr>
            <w:tcW w:w="1309" w:type="dxa"/>
            <w:tcBorders>
              <w:top w:val="nil"/>
              <w:left w:val="nil"/>
              <w:bottom w:val="single" w:sz="8" w:space="0" w:color="auto"/>
              <w:right w:val="nil"/>
            </w:tcBorders>
            <w:shd w:val="clear" w:color="auto" w:fill="auto"/>
            <w:noWrap/>
            <w:vAlign w:val="center"/>
            <w:hideMark/>
          </w:tcPr>
          <w:p w:rsidR="00F6611D" w:rsidRPr="00F6611D" w:rsidRDefault="00F6611D" w:rsidP="00F6611D">
            <w:pPr>
              <w:spacing w:after="0" w:line="240" w:lineRule="auto"/>
              <w:jc w:val="center"/>
              <w:rPr>
                <w:rFonts w:ascii="Calibri" w:eastAsia="Times New Roman" w:hAnsi="Calibri" w:cs="Times New Roman"/>
                <w:color w:val="000000"/>
                <w:sz w:val="20"/>
                <w:szCs w:val="20"/>
              </w:rPr>
            </w:pPr>
            <w:r w:rsidRPr="00F6611D">
              <w:rPr>
                <w:rFonts w:ascii="Calibri" w:eastAsia="Times New Roman" w:hAnsi="Calibri" w:cs="Times New Roman"/>
                <w:color w:val="000000"/>
                <w:sz w:val="20"/>
                <w:szCs w:val="20"/>
              </w:rPr>
              <w:t>Possibly</w:t>
            </w:r>
          </w:p>
        </w:tc>
        <w:tc>
          <w:tcPr>
            <w:tcW w:w="1232" w:type="dxa"/>
            <w:tcBorders>
              <w:top w:val="nil"/>
              <w:left w:val="nil"/>
              <w:bottom w:val="single" w:sz="8" w:space="0" w:color="auto"/>
              <w:right w:val="nil"/>
            </w:tcBorders>
            <w:shd w:val="clear" w:color="auto" w:fill="auto"/>
            <w:noWrap/>
            <w:vAlign w:val="center"/>
            <w:hideMark/>
          </w:tcPr>
          <w:p w:rsidR="00F6611D" w:rsidRPr="00F6611D" w:rsidRDefault="00F6611D" w:rsidP="00F6611D">
            <w:pPr>
              <w:spacing w:after="0" w:line="240" w:lineRule="auto"/>
              <w:jc w:val="center"/>
              <w:rPr>
                <w:rFonts w:ascii="Calibri" w:eastAsia="Times New Roman" w:hAnsi="Calibri" w:cs="Times New Roman"/>
                <w:color w:val="000000"/>
                <w:sz w:val="20"/>
                <w:szCs w:val="20"/>
              </w:rPr>
            </w:pPr>
            <w:r w:rsidRPr="00F6611D">
              <w:rPr>
                <w:rFonts w:ascii="Calibri" w:eastAsia="Times New Roman" w:hAnsi="Calibri" w:cs="Times New Roman"/>
                <w:color w:val="000000"/>
                <w:sz w:val="20"/>
                <w:szCs w:val="20"/>
              </w:rPr>
              <w:t>Likely</w:t>
            </w:r>
          </w:p>
        </w:tc>
        <w:tc>
          <w:tcPr>
            <w:tcW w:w="1094" w:type="dxa"/>
            <w:tcBorders>
              <w:top w:val="nil"/>
              <w:left w:val="nil"/>
              <w:bottom w:val="single" w:sz="8" w:space="0" w:color="auto"/>
              <w:right w:val="nil"/>
            </w:tcBorders>
            <w:shd w:val="clear" w:color="auto" w:fill="auto"/>
            <w:noWrap/>
            <w:vAlign w:val="center"/>
            <w:hideMark/>
          </w:tcPr>
          <w:p w:rsidR="00F6611D" w:rsidRPr="00F6611D" w:rsidRDefault="00F6611D" w:rsidP="00F6611D">
            <w:pPr>
              <w:spacing w:after="0" w:line="240" w:lineRule="auto"/>
              <w:jc w:val="center"/>
              <w:rPr>
                <w:rFonts w:ascii="Calibri" w:eastAsia="Times New Roman" w:hAnsi="Calibri" w:cs="Times New Roman"/>
                <w:color w:val="000000"/>
                <w:sz w:val="20"/>
                <w:szCs w:val="20"/>
              </w:rPr>
            </w:pPr>
            <w:r w:rsidRPr="00F6611D">
              <w:rPr>
                <w:rFonts w:ascii="Calibri" w:eastAsia="Times New Roman" w:hAnsi="Calibri" w:cs="Times New Roman"/>
                <w:color w:val="000000"/>
                <w:sz w:val="20"/>
                <w:szCs w:val="20"/>
              </w:rPr>
              <w:t>Yes</w:t>
            </w:r>
          </w:p>
        </w:tc>
        <w:tc>
          <w:tcPr>
            <w:tcW w:w="2037" w:type="dxa"/>
            <w:tcBorders>
              <w:top w:val="nil"/>
              <w:left w:val="nil"/>
              <w:bottom w:val="single" w:sz="8" w:space="0" w:color="auto"/>
              <w:right w:val="nil"/>
            </w:tcBorders>
            <w:shd w:val="clear" w:color="auto" w:fill="auto"/>
            <w:noWrap/>
            <w:vAlign w:val="center"/>
            <w:hideMark/>
          </w:tcPr>
          <w:p w:rsidR="00F6611D" w:rsidRPr="00F6611D" w:rsidRDefault="00F6611D" w:rsidP="00F6611D">
            <w:pPr>
              <w:spacing w:after="0" w:line="240" w:lineRule="auto"/>
              <w:jc w:val="center"/>
              <w:rPr>
                <w:rFonts w:ascii="Calibri" w:eastAsia="Times New Roman" w:hAnsi="Calibri" w:cs="Times New Roman"/>
                <w:color w:val="000000"/>
                <w:sz w:val="20"/>
                <w:szCs w:val="20"/>
              </w:rPr>
            </w:pPr>
            <w:r w:rsidRPr="00F6611D">
              <w:rPr>
                <w:rFonts w:ascii="Calibri" w:eastAsia="Times New Roman" w:hAnsi="Calibri" w:cs="Times New Roman"/>
                <w:color w:val="000000"/>
                <w:sz w:val="20"/>
                <w:szCs w:val="20"/>
              </w:rPr>
              <w:t>Yes</w:t>
            </w:r>
          </w:p>
        </w:tc>
      </w:tr>
    </w:tbl>
    <w:p w:rsidR="001B675F" w:rsidRDefault="001B675F" w:rsidP="00E664E4">
      <w:pPr>
        <w:jc w:val="center"/>
      </w:pPr>
    </w:p>
    <w:p w:rsidR="001B675F" w:rsidRDefault="001B675F" w:rsidP="00E664E4">
      <w:pPr>
        <w:jc w:val="center"/>
      </w:pPr>
    </w:p>
    <w:p w:rsidR="00E664E4" w:rsidRPr="00CC22B8" w:rsidRDefault="00F6611D" w:rsidP="00E664E4">
      <w:pPr>
        <w:jc w:val="center"/>
      </w:pPr>
      <w:r>
        <w:rPr>
          <w:noProof/>
        </w:rPr>
        <w:lastRenderedPageBreak/>
        <w:drawing>
          <wp:inline distT="0" distB="0" distL="0" distR="0" wp14:anchorId="60D45237" wp14:editId="4C62F59A">
            <wp:extent cx="5943600" cy="44577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8"/>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29136E">
        <w:rPr>
          <w:b/>
          <w:sz w:val="20"/>
          <w:szCs w:val="20"/>
        </w:rPr>
        <w:t>4.6</w:t>
      </w:r>
      <w:r w:rsidR="00F6611D">
        <w:rPr>
          <w:b/>
          <w:sz w:val="20"/>
          <w:szCs w:val="20"/>
        </w:rPr>
        <w:t>0</w:t>
      </w:r>
      <w:r>
        <w:rPr>
          <w:b/>
          <w:sz w:val="20"/>
          <w:szCs w:val="20"/>
        </w:rPr>
        <w:t xml:space="preserve">. Faulty Case 5 Scores Plot for PC1 and PC2.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 xml:space="preserve">a detectable fault in PC1 </w:t>
      </w:r>
      <w:r w:rsidR="005018C5">
        <w:rPr>
          <w:i/>
          <w:sz w:val="20"/>
          <w:szCs w:val="20"/>
        </w:rPr>
        <w:t>and PC2</w:t>
      </w:r>
      <w:r w:rsidR="00E62112">
        <w:rPr>
          <w:i/>
          <w:sz w:val="20"/>
          <w:szCs w:val="20"/>
        </w:rPr>
        <w:t xml:space="preserve"> scores</w:t>
      </w:r>
      <w:r w:rsidR="005018C5">
        <w:rPr>
          <w:i/>
          <w:sz w:val="20"/>
          <w:szCs w:val="20"/>
        </w:rPr>
        <w:t xml:space="preserve">. There were some operating conditions where this fault would not be detectable in PC1 and PC2 </w:t>
      </w:r>
      <w:r w:rsidR="00E62112">
        <w:rPr>
          <w:i/>
          <w:sz w:val="20"/>
          <w:szCs w:val="20"/>
        </w:rPr>
        <w:t xml:space="preserve">scores </w:t>
      </w:r>
      <w:r w:rsidR="005018C5">
        <w:rPr>
          <w:i/>
          <w:sz w:val="20"/>
          <w:szCs w:val="20"/>
        </w:rPr>
        <w:t>only.</w:t>
      </w:r>
    </w:p>
    <w:p w:rsidR="00E664E4" w:rsidRPr="005018C5" w:rsidRDefault="00F6611D" w:rsidP="005018C5">
      <w:pPr>
        <w:jc w:val="center"/>
      </w:pPr>
      <w:r>
        <w:rPr>
          <w:noProof/>
        </w:rPr>
        <w:lastRenderedPageBreak/>
        <w:drawing>
          <wp:inline distT="0" distB="0" distL="0" distR="0" wp14:anchorId="0B74E4D3" wp14:editId="1E7B17E5">
            <wp:extent cx="5943600" cy="44577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9"/>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29136E">
        <w:rPr>
          <w:b/>
          <w:sz w:val="20"/>
          <w:szCs w:val="20"/>
        </w:rPr>
        <w:t>4.6</w:t>
      </w:r>
      <w:r w:rsidR="00F6611D">
        <w:rPr>
          <w:b/>
          <w:sz w:val="20"/>
          <w:szCs w:val="20"/>
        </w:rPr>
        <w:t>1</w:t>
      </w:r>
      <w:r>
        <w:rPr>
          <w:b/>
          <w:sz w:val="20"/>
          <w:szCs w:val="20"/>
        </w:rPr>
        <w:t xml:space="preserve">. Faulty Case 5 Scores Plot for PC1 and PC3.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a detectable fault in PC1 and PC3</w:t>
      </w:r>
      <w:r w:rsidR="00E62112">
        <w:rPr>
          <w:i/>
          <w:sz w:val="20"/>
          <w:szCs w:val="20"/>
        </w:rPr>
        <w:t xml:space="preserve"> scores</w:t>
      </w:r>
      <w:r>
        <w:rPr>
          <w:i/>
          <w:sz w:val="20"/>
          <w:szCs w:val="20"/>
        </w:rPr>
        <w:t>.</w:t>
      </w:r>
    </w:p>
    <w:p w:rsidR="00E664E4" w:rsidRDefault="00F6611D" w:rsidP="00E664E4">
      <w:pPr>
        <w:jc w:val="center"/>
        <w:rPr>
          <w:i/>
          <w:sz w:val="20"/>
          <w:szCs w:val="20"/>
        </w:rPr>
      </w:pPr>
      <w:r>
        <w:rPr>
          <w:noProof/>
        </w:rPr>
        <w:lastRenderedPageBreak/>
        <w:drawing>
          <wp:inline distT="0" distB="0" distL="0" distR="0" wp14:anchorId="73506A3B" wp14:editId="6F08428E">
            <wp:extent cx="5943600" cy="44577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0"/>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29136E">
        <w:rPr>
          <w:b/>
          <w:sz w:val="20"/>
          <w:szCs w:val="20"/>
        </w:rPr>
        <w:t>4.6</w:t>
      </w:r>
      <w:r w:rsidR="00F6611D">
        <w:rPr>
          <w:b/>
          <w:sz w:val="20"/>
          <w:szCs w:val="20"/>
        </w:rPr>
        <w:t>2</w:t>
      </w:r>
      <w:r>
        <w:rPr>
          <w:b/>
          <w:sz w:val="20"/>
          <w:szCs w:val="20"/>
        </w:rPr>
        <w:t xml:space="preserve">. Faulty Case 5 Scores Plot for PC2 and PC3.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a detectable fault in PC2 and PC3</w:t>
      </w:r>
      <w:r w:rsidR="00CE21E4">
        <w:rPr>
          <w:i/>
          <w:sz w:val="20"/>
          <w:szCs w:val="20"/>
        </w:rPr>
        <w:t xml:space="preserve"> scores</w:t>
      </w:r>
      <w:r>
        <w:rPr>
          <w:i/>
          <w:sz w:val="20"/>
          <w:szCs w:val="20"/>
        </w:rPr>
        <w:t>.</w:t>
      </w:r>
    </w:p>
    <w:p w:rsidR="00E664E4" w:rsidRDefault="00F6611D" w:rsidP="00E664E4">
      <w:pPr>
        <w:jc w:val="center"/>
        <w:rPr>
          <w:i/>
          <w:sz w:val="20"/>
          <w:szCs w:val="20"/>
        </w:rPr>
      </w:pPr>
      <w:r>
        <w:rPr>
          <w:noProof/>
        </w:rPr>
        <w:lastRenderedPageBreak/>
        <w:drawing>
          <wp:inline distT="0" distB="0" distL="0" distR="0" wp14:anchorId="2AEE3BCC" wp14:editId="1078BE7B">
            <wp:extent cx="5943600" cy="44577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1"/>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29136E">
        <w:rPr>
          <w:b/>
          <w:sz w:val="20"/>
          <w:szCs w:val="20"/>
        </w:rPr>
        <w:t>4.6</w:t>
      </w:r>
      <w:r w:rsidR="00F6611D">
        <w:rPr>
          <w:b/>
          <w:sz w:val="20"/>
          <w:szCs w:val="20"/>
        </w:rPr>
        <w:t>3</w:t>
      </w:r>
      <w:r>
        <w:rPr>
          <w:b/>
          <w:sz w:val="20"/>
          <w:szCs w:val="20"/>
        </w:rPr>
        <w:t xml:space="preserve">. Faulty Case 5 3D Scores Plot for PC1, PC2, and PC3.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base case 95% confidence boundary displayed</w:t>
      </w:r>
      <w:r>
        <w:rPr>
          <w:i/>
          <w:sz w:val="20"/>
          <w:szCs w:val="20"/>
        </w:rPr>
        <w:t xml:space="preserve"> as an ellipsoid</w:t>
      </w:r>
      <w:r w:rsidRPr="00EE2556">
        <w:rPr>
          <w:i/>
          <w:sz w:val="20"/>
          <w:szCs w:val="20"/>
        </w:rPr>
        <w:t>. The</w:t>
      </w:r>
      <w:r>
        <w:rPr>
          <w:i/>
          <w:sz w:val="20"/>
          <w:szCs w:val="20"/>
        </w:rPr>
        <w:t>re wa</w:t>
      </w:r>
      <w:r w:rsidRPr="00EE2556">
        <w:rPr>
          <w:i/>
          <w:sz w:val="20"/>
          <w:szCs w:val="20"/>
        </w:rPr>
        <w:t xml:space="preserve">s </w:t>
      </w:r>
      <w:r>
        <w:rPr>
          <w:i/>
          <w:sz w:val="20"/>
          <w:szCs w:val="20"/>
        </w:rPr>
        <w:t xml:space="preserve">a detectable fault in all three scores. </w:t>
      </w:r>
    </w:p>
    <w:p w:rsidR="00E664E4" w:rsidRDefault="00F6611D" w:rsidP="00E664E4">
      <w:pPr>
        <w:jc w:val="center"/>
        <w:rPr>
          <w:i/>
          <w:sz w:val="20"/>
          <w:szCs w:val="20"/>
        </w:rPr>
      </w:pPr>
      <w:r>
        <w:rPr>
          <w:noProof/>
        </w:rPr>
        <w:lastRenderedPageBreak/>
        <w:drawing>
          <wp:inline distT="0" distB="0" distL="0" distR="0" wp14:anchorId="03301F19" wp14:editId="6825AE36">
            <wp:extent cx="5943600" cy="44577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2"/>
                    <a:stretch>
                      <a:fillRect/>
                    </a:stretch>
                  </pic:blipFill>
                  <pic:spPr>
                    <a:xfrm>
                      <a:off x="0" y="0"/>
                      <a:ext cx="5943600" cy="4457700"/>
                    </a:xfrm>
                    <a:prstGeom prst="rect">
                      <a:avLst/>
                    </a:prstGeom>
                  </pic:spPr>
                </pic:pic>
              </a:graphicData>
            </a:graphic>
          </wp:inline>
        </w:drawing>
      </w:r>
    </w:p>
    <w:p w:rsidR="00E664E4" w:rsidRPr="00EE2556" w:rsidRDefault="00E664E4" w:rsidP="00E664E4">
      <w:pPr>
        <w:rPr>
          <w:i/>
          <w:sz w:val="20"/>
          <w:szCs w:val="20"/>
        </w:rPr>
      </w:pPr>
      <w:r>
        <w:rPr>
          <w:b/>
          <w:sz w:val="20"/>
          <w:szCs w:val="20"/>
        </w:rPr>
        <w:t xml:space="preserve">Figure </w:t>
      </w:r>
      <w:r w:rsidR="0029136E">
        <w:rPr>
          <w:b/>
          <w:sz w:val="20"/>
          <w:szCs w:val="20"/>
        </w:rPr>
        <w:t>4.6</w:t>
      </w:r>
      <w:r w:rsidR="00F6611D">
        <w:rPr>
          <w:b/>
          <w:sz w:val="20"/>
          <w:szCs w:val="20"/>
        </w:rPr>
        <w:t>4</w:t>
      </w:r>
      <w:r>
        <w:rPr>
          <w:b/>
          <w:sz w:val="20"/>
          <w:szCs w:val="20"/>
        </w:rPr>
        <w:t xml:space="preserve">. Faulty Case 5 Mahalanobis Distance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a detectable fault.</w:t>
      </w:r>
    </w:p>
    <w:p w:rsidR="00E664E4" w:rsidRPr="00EE2556" w:rsidRDefault="00E664E4" w:rsidP="00E664E4">
      <w:pPr>
        <w:rPr>
          <w:i/>
          <w:sz w:val="20"/>
          <w:szCs w:val="20"/>
        </w:rPr>
      </w:pPr>
    </w:p>
    <w:p w:rsidR="00E664E4" w:rsidRDefault="00F6611D" w:rsidP="00E664E4">
      <w:pPr>
        <w:jc w:val="center"/>
        <w:rPr>
          <w:i/>
          <w:sz w:val="20"/>
          <w:szCs w:val="20"/>
        </w:rPr>
      </w:pPr>
      <w:r>
        <w:rPr>
          <w:noProof/>
        </w:rPr>
        <w:lastRenderedPageBreak/>
        <w:drawing>
          <wp:inline distT="0" distB="0" distL="0" distR="0" wp14:anchorId="08994D4D" wp14:editId="7C373ADE">
            <wp:extent cx="5943600" cy="44577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3"/>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29136E">
        <w:rPr>
          <w:b/>
          <w:sz w:val="20"/>
          <w:szCs w:val="20"/>
        </w:rPr>
        <w:t>4.6</w:t>
      </w:r>
      <w:r w:rsidR="00F6611D">
        <w:rPr>
          <w:b/>
          <w:sz w:val="20"/>
          <w:szCs w:val="20"/>
        </w:rPr>
        <w:t>5</w:t>
      </w:r>
      <w:r>
        <w:rPr>
          <w:b/>
          <w:sz w:val="20"/>
          <w:szCs w:val="20"/>
        </w:rPr>
        <w:t xml:space="preserve">. Faulty Case 5 </w:t>
      </w:r>
      <m:oMath>
        <m:r>
          <m:rPr>
            <m:sty m:val="bi"/>
          </m:rPr>
          <w:rPr>
            <w:rFonts w:ascii="Cambria Math" w:hAnsi="Cambria Math"/>
            <w:sz w:val="20"/>
            <w:szCs w:val="20"/>
          </w:rPr>
          <m:t>Q</m:t>
        </m:r>
      </m:oMath>
      <w:r>
        <w:rPr>
          <w:b/>
          <w:sz w:val="20"/>
          <w:szCs w:val="20"/>
        </w:rPr>
        <w:t xml:space="preserve">-Statistic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a detectable fault.</w:t>
      </w:r>
    </w:p>
    <w:p w:rsidR="00E664E4" w:rsidRDefault="00E664E4" w:rsidP="00E664E4">
      <w:pPr>
        <w:rPr>
          <w:i/>
          <w:sz w:val="20"/>
          <w:szCs w:val="20"/>
        </w:rPr>
      </w:pPr>
    </w:p>
    <w:p w:rsidR="00E664E4" w:rsidRDefault="00F6611D" w:rsidP="00E664E4">
      <w:pPr>
        <w:jc w:val="center"/>
        <w:rPr>
          <w:i/>
          <w:sz w:val="20"/>
          <w:szCs w:val="20"/>
        </w:rPr>
      </w:pPr>
      <w:r>
        <w:rPr>
          <w:noProof/>
        </w:rPr>
        <w:lastRenderedPageBreak/>
        <w:drawing>
          <wp:inline distT="0" distB="0" distL="0" distR="0" wp14:anchorId="6DDA43D1" wp14:editId="69689BCA">
            <wp:extent cx="5943600" cy="44577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4"/>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F6611D">
        <w:rPr>
          <w:b/>
          <w:sz w:val="20"/>
          <w:szCs w:val="20"/>
        </w:rPr>
        <w:t>4.66</w:t>
      </w:r>
      <w:r>
        <w:rPr>
          <w:b/>
          <w:sz w:val="20"/>
          <w:szCs w:val="20"/>
        </w:rPr>
        <w:t xml:space="preserve">. Faulty Case 5 PC1, PC2, and </w:t>
      </w:r>
      <m:oMath>
        <m:r>
          <m:rPr>
            <m:sty m:val="bi"/>
          </m:rPr>
          <w:rPr>
            <w:rFonts w:ascii="Cambria Math" w:hAnsi="Cambria Math"/>
            <w:sz w:val="20"/>
            <w:szCs w:val="20"/>
          </w:rPr>
          <m:t>Q</m:t>
        </m:r>
      </m:oMath>
      <w:r>
        <w:rPr>
          <w:b/>
          <w:sz w:val="20"/>
          <w:szCs w:val="20"/>
        </w:rPr>
        <w:t xml:space="preserve">-Statistic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 xml:space="preserve">a detectable fault in the scores and the </w:t>
      </w:r>
      <m:oMath>
        <m:r>
          <w:rPr>
            <w:rFonts w:ascii="Cambria Math" w:hAnsi="Cambria Math"/>
            <w:sz w:val="20"/>
            <w:szCs w:val="20"/>
          </w:rPr>
          <m:t>Q</m:t>
        </m:r>
      </m:oMath>
      <w:r>
        <w:rPr>
          <w:rFonts w:eastAsiaTheme="minorEastAsia"/>
          <w:i/>
          <w:sz w:val="20"/>
          <w:szCs w:val="20"/>
        </w:rPr>
        <w:t>-statistic</w:t>
      </w:r>
      <w:r>
        <w:rPr>
          <w:i/>
          <w:sz w:val="20"/>
          <w:szCs w:val="20"/>
        </w:rPr>
        <w:t>.</w:t>
      </w:r>
    </w:p>
    <w:p w:rsidR="00E664E4" w:rsidRDefault="00E664E4" w:rsidP="00E664E4"/>
    <w:p w:rsidR="00567A68" w:rsidRPr="00CC22B8" w:rsidRDefault="00567A68" w:rsidP="00E664E4"/>
    <w:p w:rsidR="001B675F" w:rsidRDefault="001B675F">
      <w:pPr>
        <w:rPr>
          <w:rFonts w:asciiTheme="majorHAnsi" w:hAnsiTheme="majorHAnsi"/>
          <w:b/>
        </w:rPr>
      </w:pPr>
      <w:r>
        <w:rPr>
          <w:rFonts w:asciiTheme="majorHAnsi" w:hAnsiTheme="majorHAnsi"/>
          <w:b/>
        </w:rPr>
        <w:br w:type="page"/>
      </w:r>
    </w:p>
    <w:p w:rsidR="00E664E4" w:rsidRDefault="00E664E4" w:rsidP="00E664E4">
      <w:pPr>
        <w:rPr>
          <w:rFonts w:asciiTheme="majorHAnsi" w:hAnsiTheme="majorHAnsi"/>
          <w:b/>
        </w:rPr>
      </w:pPr>
      <w:r>
        <w:rPr>
          <w:rFonts w:asciiTheme="majorHAnsi" w:hAnsiTheme="majorHAnsi"/>
          <w:b/>
        </w:rPr>
        <w:lastRenderedPageBreak/>
        <w:t>4.3.6 Case 6</w:t>
      </w:r>
    </w:p>
    <w:p w:rsidR="00E664E4" w:rsidRDefault="00E664E4" w:rsidP="00E664E4">
      <w:pPr>
        <w:rPr>
          <w:rFonts w:eastAsiaTheme="minorEastAsia"/>
        </w:rPr>
      </w:pPr>
      <w:r>
        <w:t>For the sixth faulty case, a small amount of uranium was added to the precipitation process in Module</w:t>
      </w:r>
      <w:r w:rsidR="0029136E">
        <w:t> </w:t>
      </w:r>
      <w:r>
        <w:t xml:space="preserve">3B. This simulated the processing of undeclared uranium which is of great concern of safeguards. The flow rate of the new stream (14A) was set at 10 kg/h and was assumed to be pure uranyl nitrate. </w:t>
      </w:r>
      <w:r w:rsidR="0029136E">
        <w:t xml:space="preserve">This case was easily detectable using the </w:t>
      </w:r>
      <m:oMath>
        <m:r>
          <w:rPr>
            <w:rFonts w:ascii="Cambria Math" w:hAnsi="Cambria Math"/>
          </w:rPr>
          <m:t>Q</m:t>
        </m:r>
      </m:oMath>
      <w:r w:rsidR="0029136E">
        <w:rPr>
          <w:rFonts w:eastAsiaTheme="minorEastAsia"/>
        </w:rPr>
        <w:t>-statistic.</w:t>
      </w:r>
    </w:p>
    <w:p w:rsidR="008B2B64" w:rsidRDefault="008B2B64" w:rsidP="00E664E4">
      <w:pPr>
        <w:rPr>
          <w:rFonts w:eastAsiaTheme="minorEastAsia"/>
        </w:rPr>
      </w:pPr>
      <w:r>
        <w:rPr>
          <w:rFonts w:eastAsiaTheme="minorEastAsia"/>
        </w:rPr>
        <w:t>Equation 4.3.6.1 shows the calculation of the uranyl nitrate balance for Stream 26 where Stream 14A has been added to Stream 22.</w:t>
      </w:r>
    </w:p>
    <w:p w:rsidR="008B2B64" w:rsidRDefault="008B2B64" w:rsidP="008B2B64">
      <w:pPr>
        <w:jc w:val="right"/>
        <w:rPr>
          <w:rFonts w:eastAsiaTheme="minorEastAsia"/>
        </w:rPr>
      </w:pPr>
      <m:oMath>
        <m:r>
          <w:rPr>
            <w:rFonts w:ascii="Cambria Math" w:eastAsiaTheme="minorEastAsia" w:hAnsi="Cambria Math"/>
          </w:rPr>
          <m:t>Xss</m:t>
        </m:r>
        <m:d>
          <m:dPr>
            <m:ctrlPr>
              <w:rPr>
                <w:rFonts w:ascii="Cambria Math" w:eastAsiaTheme="minorEastAsia" w:hAnsi="Cambria Math"/>
                <w:i/>
              </w:rPr>
            </m:ctrlPr>
          </m:dPr>
          <m:e>
            <m:r>
              <w:rPr>
                <w:rFonts w:ascii="Cambria Math" w:eastAsiaTheme="minorEastAsia" w:hAnsi="Cambria Math"/>
              </w:rPr>
              <m:t>128</m:t>
            </m:r>
          </m:e>
        </m:d>
        <m:r>
          <w:rPr>
            <w:rFonts w:ascii="Cambria Math" w:eastAsiaTheme="minorEastAsia" w:hAnsi="Cambria Math"/>
          </w:rPr>
          <m:t>-Xss</m:t>
        </m:r>
        <m:d>
          <m:dPr>
            <m:ctrlPr>
              <w:rPr>
                <w:rFonts w:ascii="Cambria Math" w:eastAsiaTheme="minorEastAsia" w:hAnsi="Cambria Math"/>
                <w:i/>
              </w:rPr>
            </m:ctrlPr>
          </m:dPr>
          <m:e>
            <m:r>
              <w:rPr>
                <w:rFonts w:ascii="Cambria Math" w:eastAsiaTheme="minorEastAsia" w:hAnsi="Cambria Math"/>
              </w:rPr>
              <m:t>138</m:t>
            </m:r>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14A</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14A,14</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1000</m:t>
            </m:r>
          </m:num>
          <m:den>
            <m:sSub>
              <m:sSubPr>
                <m:ctrlPr>
                  <w:rPr>
                    <w:rFonts w:ascii="Cambria Math" w:eastAsiaTheme="minorEastAsia" w:hAnsi="Cambria Math"/>
                    <w:i/>
                  </w:rPr>
                </m:ctrlPr>
              </m:sSubPr>
              <m:e>
                <m:r>
                  <w:rPr>
                    <w:rFonts w:ascii="Cambria Math" w:eastAsiaTheme="minorEastAsia" w:hAnsi="Cambria Math"/>
                  </w:rPr>
                  <m:t>MW</m:t>
                </m:r>
              </m:e>
              <m:sub>
                <m:r>
                  <w:rPr>
                    <w:rFonts w:ascii="Cambria Math" w:eastAsiaTheme="minorEastAsia" w:hAnsi="Cambria Math"/>
                  </w:rPr>
                  <m:t>14</m:t>
                </m:r>
              </m:sub>
            </m:sSub>
          </m:den>
        </m:f>
        <m:r>
          <w:rPr>
            <w:rFonts w:ascii="Cambria Math" w:eastAsiaTheme="minorEastAsia" w:hAnsi="Cambria Math"/>
          </w:rPr>
          <m:t>=0</m:t>
        </m:r>
      </m:oMath>
      <w:r>
        <w:rPr>
          <w:rFonts w:eastAsiaTheme="minorEastAsia"/>
        </w:rPr>
        <w:t xml:space="preserve"> </w:t>
      </w:r>
      <w:r>
        <w:rPr>
          <w:rFonts w:eastAsiaTheme="minorEastAsia"/>
        </w:rPr>
        <w:tab/>
      </w:r>
      <w:r>
        <w:rPr>
          <w:rFonts w:eastAsiaTheme="minorEastAsia"/>
        </w:rPr>
        <w:tab/>
        <w:t>Eq. (4.3.6.1)</w:t>
      </w:r>
    </w:p>
    <w:p w:rsidR="008B2B64" w:rsidRDefault="008B2B64" w:rsidP="008B2B64">
      <w:pPr>
        <w:rPr>
          <w:rFonts w:eastAsiaTheme="minorEastAsia"/>
        </w:rPr>
      </w:pPr>
      <w:r>
        <w:rPr>
          <w:rFonts w:eastAsiaTheme="minorEastAsia"/>
        </w:rPr>
        <w:t xml:space="preserve">Both </w:t>
      </w:r>
      <w:proofErr w:type="spellStart"/>
      <w:proofErr w:type="gramStart"/>
      <w:r>
        <w:rPr>
          <w:rFonts w:eastAsiaTheme="minorEastAsia"/>
        </w:rPr>
        <w:t>Xss</w:t>
      </w:r>
      <w:proofErr w:type="spellEnd"/>
      <w:r>
        <w:rPr>
          <w:rFonts w:eastAsiaTheme="minorEastAsia"/>
        </w:rPr>
        <w:t>(</w:t>
      </w:r>
      <w:proofErr w:type="gramEnd"/>
      <w:r>
        <w:rPr>
          <w:rFonts w:eastAsiaTheme="minorEastAsia"/>
        </w:rPr>
        <w:t xml:space="preserve">128) and </w:t>
      </w:r>
      <w:proofErr w:type="spellStart"/>
      <w:r>
        <w:rPr>
          <w:rFonts w:eastAsiaTheme="minorEastAsia"/>
        </w:rPr>
        <w:t>Xss</w:t>
      </w:r>
      <w:proofErr w:type="spellEnd"/>
      <w:r>
        <w:rPr>
          <w:rFonts w:eastAsiaTheme="minorEastAsia"/>
        </w:rPr>
        <w:t xml:space="preserve">(138) moderately loaded PC1. State variable </w:t>
      </w:r>
      <w:proofErr w:type="spellStart"/>
      <w:proofErr w:type="gramStart"/>
      <w:r>
        <w:rPr>
          <w:rFonts w:eastAsiaTheme="minorEastAsia"/>
        </w:rPr>
        <w:t>Xss</w:t>
      </w:r>
      <w:proofErr w:type="spellEnd"/>
      <w:r>
        <w:rPr>
          <w:rFonts w:eastAsiaTheme="minorEastAsia"/>
        </w:rPr>
        <w:t>(</w:t>
      </w:r>
      <w:proofErr w:type="gramEnd"/>
      <w:r>
        <w:rPr>
          <w:rFonts w:eastAsiaTheme="minorEastAsia"/>
        </w:rPr>
        <w:t xml:space="preserve">142), </w:t>
      </w:r>
      <w:proofErr w:type="spellStart"/>
      <w:r>
        <w:rPr>
          <w:rFonts w:eastAsiaTheme="minorEastAsia"/>
        </w:rPr>
        <w:t>Xss</w:t>
      </w:r>
      <w:proofErr w:type="spellEnd"/>
      <w:r>
        <w:rPr>
          <w:rFonts w:eastAsiaTheme="minorEastAsia"/>
        </w:rPr>
        <w:t xml:space="preserve">(143), </w:t>
      </w:r>
      <w:proofErr w:type="spellStart"/>
      <w:r>
        <w:rPr>
          <w:rFonts w:eastAsiaTheme="minorEastAsia"/>
        </w:rPr>
        <w:t>Xss</w:t>
      </w:r>
      <w:proofErr w:type="spellEnd"/>
      <w:r>
        <w:rPr>
          <w:rFonts w:eastAsiaTheme="minorEastAsia"/>
        </w:rPr>
        <w:t xml:space="preserve">(150), and </w:t>
      </w:r>
      <w:proofErr w:type="spellStart"/>
      <w:r>
        <w:rPr>
          <w:rFonts w:eastAsiaTheme="minorEastAsia"/>
        </w:rPr>
        <w:t>Xss</w:t>
      </w:r>
      <w:proofErr w:type="spellEnd"/>
      <w:r>
        <w:rPr>
          <w:rFonts w:eastAsiaTheme="minorEastAsia"/>
        </w:rPr>
        <w:t>(151) decreased by 25% in comparison with the base case nominal solution with the addition of this stream. These were the ammonia and CO</w:t>
      </w:r>
      <w:r w:rsidRPr="008B2B64">
        <w:rPr>
          <w:rFonts w:eastAsiaTheme="minorEastAsia"/>
          <w:vertAlign w:val="subscript"/>
        </w:rPr>
        <w:t>2</w:t>
      </w:r>
      <w:r>
        <w:rPr>
          <w:rFonts w:eastAsiaTheme="minorEastAsia"/>
        </w:rPr>
        <w:t xml:space="preserve"> in Streams 27 and 28. The addition of this new stream caused an additional 82 state variables to increase by 12% when compared to the base case nominal solution. These 82 state variables </w:t>
      </w:r>
      <w:r w:rsidR="00411471">
        <w:rPr>
          <w:rFonts w:eastAsiaTheme="minorEastAsia"/>
        </w:rPr>
        <w:t xml:space="preserve">included state variables that were heavy contributors to PC1, PC2, or PC3.  </w:t>
      </w:r>
    </w:p>
    <w:p w:rsidR="00543008" w:rsidRDefault="0029136E" w:rsidP="00E664E4">
      <w:r>
        <w:rPr>
          <w:rFonts w:eastAsiaTheme="minorEastAsia"/>
        </w:rPr>
        <w:t xml:space="preserve">There was a slight shift in </w:t>
      </w:r>
      <w:r w:rsidR="00543008">
        <w:rPr>
          <w:rFonts w:eastAsiaTheme="minorEastAsia"/>
        </w:rPr>
        <w:t>both PC1 and PC2</w:t>
      </w:r>
      <w:r w:rsidR="00E62112">
        <w:rPr>
          <w:rFonts w:eastAsiaTheme="minorEastAsia"/>
        </w:rPr>
        <w:t xml:space="preserve"> scores</w:t>
      </w:r>
      <w:r w:rsidR="00543008">
        <w:rPr>
          <w:rFonts w:eastAsiaTheme="minorEastAsia"/>
        </w:rPr>
        <w:t xml:space="preserve"> (Figure 4.67</w:t>
      </w:r>
      <w:r>
        <w:rPr>
          <w:rFonts w:eastAsiaTheme="minorEastAsia"/>
        </w:rPr>
        <w:t>), but the fault was not detectable since nearly all of the data points were still within the 95% confidence boundary. There was a slightly larger shift in PC3</w:t>
      </w:r>
      <w:r w:rsidR="00543008">
        <w:rPr>
          <w:rFonts w:eastAsiaTheme="minorEastAsia"/>
        </w:rPr>
        <w:t xml:space="preserve"> </w:t>
      </w:r>
      <w:r w:rsidR="00CE21E4">
        <w:rPr>
          <w:rFonts w:eastAsiaTheme="minorEastAsia"/>
        </w:rPr>
        <w:t xml:space="preserve">scores </w:t>
      </w:r>
      <w:r w:rsidR="00543008">
        <w:rPr>
          <w:rFonts w:eastAsiaTheme="minorEastAsia"/>
        </w:rPr>
        <w:t>(Figures 4.68</w:t>
      </w:r>
      <w:r w:rsidR="002D4C1C">
        <w:rPr>
          <w:rFonts w:eastAsiaTheme="minorEastAsia"/>
        </w:rPr>
        <w:t>–4.7</w:t>
      </w:r>
      <w:r w:rsidR="00543008">
        <w:rPr>
          <w:rFonts w:eastAsiaTheme="minorEastAsia"/>
        </w:rPr>
        <w:t>0</w:t>
      </w:r>
      <w:r w:rsidR="002D4C1C">
        <w:rPr>
          <w:rFonts w:eastAsiaTheme="minorEastAsia"/>
        </w:rPr>
        <w:t xml:space="preserve">), but the fault may not be detectable depending on operating conditions since approximately 50% of the data points were within the normal operation confidence boundaries. </w:t>
      </w:r>
      <w:r w:rsidR="002D4C1C">
        <w:t>These shifts in the scores were expected since the model was highly sensitive to changes in the uranium bearing streams throughout th</w:t>
      </w:r>
      <w:r w:rsidR="00543008">
        <w:t>e process</w:t>
      </w:r>
      <w:r w:rsidR="00411471">
        <w:t xml:space="preserve"> and based on the loadings discussed above</w:t>
      </w:r>
      <w:r w:rsidR="00543008">
        <w:t xml:space="preserve">. </w:t>
      </w:r>
    </w:p>
    <w:p w:rsidR="001B675F" w:rsidRDefault="00F37760">
      <w:r>
        <w:rPr>
          <w:rFonts w:eastAsiaTheme="minorEastAsia"/>
        </w:rPr>
        <w:t xml:space="preserve">The shifts in the scores resulted in </w:t>
      </w:r>
      <w:r w:rsidR="002D4C1C">
        <w:rPr>
          <w:rFonts w:eastAsiaTheme="minorEastAsia"/>
        </w:rPr>
        <w:t>a</w:t>
      </w:r>
      <w:r w:rsidR="004E68DC">
        <w:rPr>
          <w:rFonts w:eastAsiaTheme="minorEastAsia"/>
        </w:rPr>
        <w:t>n increase</w:t>
      </w:r>
      <w:r w:rsidR="002D4C1C">
        <w:rPr>
          <w:rFonts w:eastAsiaTheme="minorEastAsia"/>
        </w:rPr>
        <w:t xml:space="preserve"> in the M</w:t>
      </w:r>
      <w:r w:rsidR="00543008">
        <w:rPr>
          <w:rFonts w:eastAsiaTheme="minorEastAsia"/>
        </w:rPr>
        <w:t>ahalanobis distance (Figure 4.71</w:t>
      </w:r>
      <w:r w:rsidR="002D4C1C">
        <w:rPr>
          <w:rFonts w:eastAsiaTheme="minorEastAsia"/>
        </w:rPr>
        <w:t xml:space="preserve">) which may be detectable depending on operating conditions. </w:t>
      </w:r>
      <w:r w:rsidR="002D4C1C">
        <w:t>A</w:t>
      </w:r>
      <w:r w:rsidR="004E68DC">
        <w:t>n increase</w:t>
      </w:r>
      <w:r w:rsidR="002D4C1C">
        <w:t xml:space="preserve"> in the Mahalanobis distance was expected since the addition of material </w:t>
      </w:r>
      <w:r w:rsidR="00543008">
        <w:t>would increase the amount of uranium downstream of the addition which would be outside of normal operating conditions. T</w:t>
      </w:r>
      <w:r w:rsidR="002D4C1C">
        <w:t xml:space="preserve">here was a significant </w:t>
      </w:r>
      <w:r w:rsidR="007063C2">
        <w:t>increase</w:t>
      </w:r>
      <w:r w:rsidR="002D4C1C">
        <w:t xml:space="preserve"> in the </w:t>
      </w:r>
      <m:oMath>
        <m:r>
          <w:rPr>
            <w:rFonts w:ascii="Cambria Math" w:hAnsi="Cambria Math"/>
          </w:rPr>
          <m:t>Q</m:t>
        </m:r>
      </m:oMath>
      <w:r w:rsidR="002D4C1C">
        <w:rPr>
          <w:rFonts w:eastAsiaTheme="minorEastAsia"/>
        </w:rPr>
        <w:t>-statistic (Figures 4.7</w:t>
      </w:r>
      <w:r w:rsidR="00543008">
        <w:rPr>
          <w:rFonts w:eastAsiaTheme="minorEastAsia"/>
        </w:rPr>
        <w:t>2</w:t>
      </w:r>
      <w:r w:rsidR="002D4C1C">
        <w:rPr>
          <w:rFonts w:eastAsiaTheme="minorEastAsia"/>
        </w:rPr>
        <w:t>–4.7</w:t>
      </w:r>
      <w:r w:rsidR="00543008">
        <w:rPr>
          <w:rFonts w:eastAsiaTheme="minorEastAsia"/>
        </w:rPr>
        <w:t>3</w:t>
      </w:r>
      <w:r w:rsidR="002D4C1C">
        <w:rPr>
          <w:rFonts w:eastAsiaTheme="minorEastAsia"/>
        </w:rPr>
        <w:t xml:space="preserve">). </w:t>
      </w:r>
      <w:r w:rsidR="002D4C1C">
        <w:t xml:space="preserve">Additionally, a fault was expected in the </w:t>
      </w:r>
      <m:oMath>
        <m:r>
          <w:rPr>
            <w:rFonts w:ascii="Cambria Math" w:hAnsi="Cambria Math"/>
          </w:rPr>
          <m:t>Q</m:t>
        </m:r>
      </m:oMath>
      <w:r w:rsidR="002D4C1C">
        <w:t xml:space="preserve">-statistic since material addition changes the </w:t>
      </w:r>
      <w:r w:rsidR="00454A92">
        <w:t>relative relationships</w:t>
      </w:r>
      <w:r w:rsidR="002D4C1C">
        <w:t xml:space="preserve"> of the state variables downstream of the new input.</w:t>
      </w:r>
      <w:r w:rsidR="002D4C1C">
        <w:rPr>
          <w:rFonts w:eastAsiaTheme="minorEastAsia"/>
        </w:rPr>
        <w:t xml:space="preserve"> </w:t>
      </w:r>
      <w:r w:rsidR="00E664E4">
        <w:t xml:space="preserve">Therefore, an addition of material was detectable but only in the </w:t>
      </w:r>
      <m:oMath>
        <m:r>
          <w:rPr>
            <w:rFonts w:ascii="Cambria Math" w:hAnsi="Cambria Math"/>
          </w:rPr>
          <m:t>Q</m:t>
        </m:r>
      </m:oMath>
      <w:r w:rsidR="00E664E4">
        <w:rPr>
          <w:rFonts w:eastAsiaTheme="minorEastAsia"/>
        </w:rPr>
        <w:t>-statistic</w:t>
      </w:r>
      <w:r w:rsidR="00E664E4">
        <w:t xml:space="preserve">. Since the base case incoming uranium was allowed to vary by ±10%, it was reasonable </w:t>
      </w:r>
      <w:r w:rsidR="00543008">
        <w:t xml:space="preserve">that </w:t>
      </w:r>
      <w:r w:rsidR="00E664E4">
        <w:t xml:space="preserve">the scores and Mahalanobis distance plots did not produce a detectable fault since this was only slightly more than a 10% addition of uranium material. Therefore, this was mostly within the normal operating conditions but </w:t>
      </w:r>
      <w:r w:rsidR="006F1843">
        <w:t xml:space="preserve">the relative relationship between the state variables </w:t>
      </w:r>
      <w:r w:rsidR="00E664E4">
        <w:t>was no longer as modeled.</w:t>
      </w:r>
      <w:r w:rsidR="00543008">
        <w:t xml:space="preserve"> </w:t>
      </w:r>
      <w:r w:rsidR="00B307D4">
        <w:t xml:space="preserve">For this case, it is recommended that the uranium feed to the plant be monitored for both flow rate and uranium content. It is also recommended that the streams exiting each major process (e.g., dissolution, solvent extraction, fluorination) as product or waste be monitored for flow rate and uranium content. Additionally, this area of the plant should be inspected to determine that there is not additional uranium being fed to the process. </w:t>
      </w:r>
      <w:r w:rsidR="00543008">
        <w:t>Table 4.26 summarizes this faulty case.</w:t>
      </w:r>
      <w:r w:rsidR="001B675F">
        <w:br w:type="page"/>
      </w:r>
    </w:p>
    <w:tbl>
      <w:tblPr>
        <w:tblW w:w="8220" w:type="dxa"/>
        <w:jc w:val="center"/>
        <w:tblInd w:w="93" w:type="dxa"/>
        <w:tblLook w:val="04A0" w:firstRow="1" w:lastRow="0" w:firstColumn="1" w:lastColumn="0" w:noHBand="0" w:noVBand="1"/>
      </w:tblPr>
      <w:tblGrid>
        <w:gridCol w:w="1379"/>
        <w:gridCol w:w="889"/>
        <w:gridCol w:w="1283"/>
        <w:gridCol w:w="1320"/>
        <w:gridCol w:w="1132"/>
        <w:gridCol w:w="2217"/>
      </w:tblGrid>
      <w:tr w:rsidR="00543008" w:rsidRPr="00543008" w:rsidTr="00543008">
        <w:trPr>
          <w:trHeight w:val="270"/>
          <w:jc w:val="center"/>
        </w:trPr>
        <w:tc>
          <w:tcPr>
            <w:tcW w:w="8220" w:type="dxa"/>
            <w:gridSpan w:val="6"/>
            <w:tcBorders>
              <w:top w:val="nil"/>
              <w:left w:val="nil"/>
              <w:bottom w:val="single" w:sz="8" w:space="0" w:color="auto"/>
              <w:right w:val="nil"/>
            </w:tcBorders>
            <w:shd w:val="clear" w:color="auto" w:fill="auto"/>
            <w:noWrap/>
            <w:vAlign w:val="center"/>
            <w:hideMark/>
          </w:tcPr>
          <w:p w:rsidR="00543008" w:rsidRPr="00543008" w:rsidRDefault="00543008" w:rsidP="00543008">
            <w:pPr>
              <w:spacing w:after="0" w:line="240" w:lineRule="auto"/>
              <w:jc w:val="center"/>
              <w:rPr>
                <w:rFonts w:ascii="Calibri" w:eastAsia="Times New Roman" w:hAnsi="Calibri" w:cs="Times New Roman"/>
                <w:b/>
                <w:bCs/>
                <w:color w:val="000000"/>
                <w:sz w:val="20"/>
                <w:szCs w:val="20"/>
              </w:rPr>
            </w:pPr>
            <w:r w:rsidRPr="00543008">
              <w:rPr>
                <w:rFonts w:ascii="Calibri" w:eastAsia="Times New Roman" w:hAnsi="Calibri" w:cs="Times New Roman"/>
                <w:b/>
                <w:bCs/>
                <w:color w:val="000000"/>
                <w:sz w:val="20"/>
                <w:szCs w:val="20"/>
              </w:rPr>
              <w:lastRenderedPageBreak/>
              <w:t>Table 4.26. Summary of Faulty Case 6</w:t>
            </w:r>
          </w:p>
        </w:tc>
      </w:tr>
      <w:tr w:rsidR="00543008" w:rsidRPr="00543008" w:rsidTr="00543008">
        <w:trPr>
          <w:trHeight w:val="255"/>
          <w:jc w:val="center"/>
        </w:trPr>
        <w:tc>
          <w:tcPr>
            <w:tcW w:w="8220" w:type="dxa"/>
            <w:gridSpan w:val="6"/>
            <w:tcBorders>
              <w:top w:val="nil"/>
              <w:left w:val="nil"/>
              <w:bottom w:val="nil"/>
              <w:right w:val="nil"/>
            </w:tcBorders>
            <w:shd w:val="clear" w:color="auto" w:fill="auto"/>
            <w:noWrap/>
            <w:vAlign w:val="center"/>
            <w:hideMark/>
          </w:tcPr>
          <w:p w:rsidR="00543008" w:rsidRPr="00543008" w:rsidRDefault="00543008" w:rsidP="00543008">
            <w:pPr>
              <w:spacing w:after="0" w:line="240" w:lineRule="auto"/>
              <w:jc w:val="center"/>
              <w:rPr>
                <w:rFonts w:ascii="Calibri" w:eastAsia="Times New Roman" w:hAnsi="Calibri" w:cs="Times New Roman"/>
                <w:b/>
                <w:bCs/>
                <w:color w:val="000000"/>
                <w:sz w:val="20"/>
                <w:szCs w:val="20"/>
              </w:rPr>
            </w:pPr>
            <w:r w:rsidRPr="00543008">
              <w:rPr>
                <w:rFonts w:ascii="Calibri" w:eastAsia="Times New Roman" w:hAnsi="Calibri" w:cs="Times New Roman"/>
                <w:b/>
                <w:bCs/>
                <w:color w:val="000000"/>
                <w:sz w:val="20"/>
                <w:szCs w:val="20"/>
              </w:rPr>
              <w:t>Summary of Faulty Case</w:t>
            </w:r>
          </w:p>
        </w:tc>
      </w:tr>
      <w:tr w:rsidR="00543008" w:rsidRPr="00543008" w:rsidTr="00543008">
        <w:trPr>
          <w:trHeight w:val="255"/>
          <w:jc w:val="center"/>
        </w:trPr>
        <w:tc>
          <w:tcPr>
            <w:tcW w:w="1379" w:type="dxa"/>
            <w:tcBorders>
              <w:top w:val="nil"/>
              <w:left w:val="nil"/>
              <w:bottom w:val="single" w:sz="4" w:space="0" w:color="auto"/>
              <w:right w:val="nil"/>
            </w:tcBorders>
            <w:shd w:val="clear" w:color="auto" w:fill="auto"/>
            <w:noWrap/>
            <w:vAlign w:val="center"/>
            <w:hideMark/>
          </w:tcPr>
          <w:p w:rsidR="00543008" w:rsidRPr="00543008" w:rsidRDefault="00543008" w:rsidP="00543008">
            <w:pPr>
              <w:spacing w:after="0" w:line="240" w:lineRule="auto"/>
              <w:jc w:val="center"/>
              <w:rPr>
                <w:rFonts w:ascii="Calibri" w:eastAsia="Times New Roman" w:hAnsi="Calibri" w:cs="Times New Roman"/>
                <w:b/>
                <w:bCs/>
                <w:color w:val="000000"/>
                <w:sz w:val="20"/>
                <w:szCs w:val="20"/>
              </w:rPr>
            </w:pPr>
            <w:r w:rsidRPr="00543008">
              <w:rPr>
                <w:rFonts w:ascii="Calibri" w:eastAsia="Times New Roman" w:hAnsi="Calibri" w:cs="Times New Roman"/>
                <w:b/>
                <w:bCs/>
                <w:color w:val="000000"/>
                <w:sz w:val="20"/>
                <w:szCs w:val="20"/>
              </w:rPr>
              <w:t>Priority</w:t>
            </w:r>
          </w:p>
        </w:tc>
        <w:tc>
          <w:tcPr>
            <w:tcW w:w="889" w:type="dxa"/>
            <w:tcBorders>
              <w:top w:val="nil"/>
              <w:left w:val="nil"/>
              <w:bottom w:val="single" w:sz="4" w:space="0" w:color="auto"/>
              <w:right w:val="nil"/>
            </w:tcBorders>
            <w:shd w:val="clear" w:color="auto" w:fill="auto"/>
            <w:vAlign w:val="center"/>
            <w:hideMark/>
          </w:tcPr>
          <w:p w:rsidR="00543008" w:rsidRPr="00543008" w:rsidRDefault="00543008" w:rsidP="00543008">
            <w:pPr>
              <w:spacing w:after="0" w:line="240" w:lineRule="auto"/>
              <w:jc w:val="center"/>
              <w:rPr>
                <w:rFonts w:ascii="Calibri" w:eastAsia="Times New Roman" w:hAnsi="Calibri" w:cs="Times New Roman"/>
                <w:b/>
                <w:bCs/>
                <w:sz w:val="20"/>
                <w:szCs w:val="20"/>
              </w:rPr>
            </w:pPr>
            <w:r w:rsidRPr="00543008">
              <w:rPr>
                <w:rFonts w:ascii="Calibri" w:eastAsia="Times New Roman" w:hAnsi="Calibri" w:cs="Times New Roman"/>
                <w:b/>
                <w:bCs/>
                <w:sz w:val="20"/>
                <w:szCs w:val="20"/>
              </w:rPr>
              <w:t>Module</w:t>
            </w:r>
          </w:p>
        </w:tc>
        <w:tc>
          <w:tcPr>
            <w:tcW w:w="1283" w:type="dxa"/>
            <w:tcBorders>
              <w:top w:val="nil"/>
              <w:left w:val="nil"/>
              <w:bottom w:val="single" w:sz="4" w:space="0" w:color="auto"/>
              <w:right w:val="nil"/>
            </w:tcBorders>
            <w:shd w:val="clear" w:color="auto" w:fill="auto"/>
            <w:vAlign w:val="center"/>
            <w:hideMark/>
          </w:tcPr>
          <w:p w:rsidR="00543008" w:rsidRPr="00543008" w:rsidRDefault="00543008" w:rsidP="00543008">
            <w:pPr>
              <w:spacing w:after="0" w:line="240" w:lineRule="auto"/>
              <w:jc w:val="center"/>
              <w:rPr>
                <w:rFonts w:ascii="Calibri" w:eastAsia="Times New Roman" w:hAnsi="Calibri" w:cs="Times New Roman"/>
                <w:b/>
                <w:bCs/>
                <w:sz w:val="20"/>
                <w:szCs w:val="20"/>
              </w:rPr>
            </w:pPr>
            <w:r w:rsidRPr="00543008">
              <w:rPr>
                <w:rFonts w:ascii="Calibri" w:eastAsia="Times New Roman" w:hAnsi="Calibri" w:cs="Times New Roman"/>
                <w:b/>
                <w:bCs/>
                <w:sz w:val="20"/>
                <w:szCs w:val="20"/>
              </w:rPr>
              <w:t>Faulty Variable</w:t>
            </w:r>
          </w:p>
        </w:tc>
        <w:tc>
          <w:tcPr>
            <w:tcW w:w="1320" w:type="dxa"/>
            <w:tcBorders>
              <w:top w:val="nil"/>
              <w:left w:val="nil"/>
              <w:bottom w:val="single" w:sz="4" w:space="0" w:color="auto"/>
              <w:right w:val="nil"/>
            </w:tcBorders>
            <w:shd w:val="clear" w:color="auto" w:fill="auto"/>
            <w:vAlign w:val="center"/>
            <w:hideMark/>
          </w:tcPr>
          <w:p w:rsidR="00543008" w:rsidRPr="00543008" w:rsidRDefault="00543008" w:rsidP="00543008">
            <w:pPr>
              <w:spacing w:after="0" w:line="240" w:lineRule="auto"/>
              <w:jc w:val="center"/>
              <w:rPr>
                <w:rFonts w:ascii="Calibri" w:eastAsia="Times New Roman" w:hAnsi="Calibri" w:cs="Times New Roman"/>
                <w:b/>
                <w:bCs/>
                <w:color w:val="000000"/>
                <w:sz w:val="20"/>
                <w:szCs w:val="20"/>
              </w:rPr>
            </w:pPr>
            <w:r w:rsidRPr="00543008">
              <w:rPr>
                <w:rFonts w:ascii="Calibri" w:eastAsia="Times New Roman" w:hAnsi="Calibri" w:cs="Times New Roman"/>
                <w:b/>
                <w:bCs/>
                <w:color w:val="000000"/>
                <w:sz w:val="20"/>
                <w:szCs w:val="20"/>
              </w:rPr>
              <w:t>Base Case Value</w:t>
            </w:r>
          </w:p>
        </w:tc>
        <w:tc>
          <w:tcPr>
            <w:tcW w:w="1132" w:type="dxa"/>
            <w:tcBorders>
              <w:top w:val="nil"/>
              <w:left w:val="nil"/>
              <w:bottom w:val="single" w:sz="4" w:space="0" w:color="auto"/>
              <w:right w:val="nil"/>
            </w:tcBorders>
            <w:shd w:val="clear" w:color="auto" w:fill="auto"/>
            <w:vAlign w:val="center"/>
            <w:hideMark/>
          </w:tcPr>
          <w:p w:rsidR="00543008" w:rsidRPr="00543008" w:rsidRDefault="00543008" w:rsidP="00543008">
            <w:pPr>
              <w:spacing w:after="0" w:line="240" w:lineRule="auto"/>
              <w:jc w:val="center"/>
              <w:rPr>
                <w:rFonts w:ascii="Calibri" w:eastAsia="Times New Roman" w:hAnsi="Calibri" w:cs="Times New Roman"/>
                <w:b/>
                <w:bCs/>
                <w:color w:val="000000"/>
                <w:sz w:val="20"/>
                <w:szCs w:val="20"/>
              </w:rPr>
            </w:pPr>
            <w:r w:rsidRPr="00543008">
              <w:rPr>
                <w:rFonts w:ascii="Calibri" w:eastAsia="Times New Roman" w:hAnsi="Calibri" w:cs="Times New Roman"/>
                <w:b/>
                <w:bCs/>
                <w:color w:val="000000"/>
                <w:sz w:val="20"/>
                <w:szCs w:val="20"/>
              </w:rPr>
              <w:t>Faulty Value</w:t>
            </w:r>
          </w:p>
        </w:tc>
        <w:tc>
          <w:tcPr>
            <w:tcW w:w="2217" w:type="dxa"/>
            <w:tcBorders>
              <w:top w:val="nil"/>
              <w:left w:val="nil"/>
              <w:bottom w:val="single" w:sz="4" w:space="0" w:color="auto"/>
              <w:right w:val="nil"/>
            </w:tcBorders>
            <w:shd w:val="clear" w:color="auto" w:fill="auto"/>
            <w:vAlign w:val="center"/>
            <w:hideMark/>
          </w:tcPr>
          <w:p w:rsidR="00543008" w:rsidRPr="00543008" w:rsidRDefault="00543008" w:rsidP="00543008">
            <w:pPr>
              <w:spacing w:after="0" w:line="240" w:lineRule="auto"/>
              <w:jc w:val="center"/>
              <w:rPr>
                <w:rFonts w:ascii="Calibri" w:eastAsia="Times New Roman" w:hAnsi="Calibri" w:cs="Times New Roman"/>
                <w:b/>
                <w:bCs/>
                <w:sz w:val="20"/>
                <w:szCs w:val="20"/>
              </w:rPr>
            </w:pPr>
            <w:r w:rsidRPr="00543008">
              <w:rPr>
                <w:rFonts w:ascii="Calibri" w:eastAsia="Times New Roman" w:hAnsi="Calibri" w:cs="Times New Roman"/>
                <w:b/>
                <w:bCs/>
                <w:sz w:val="20"/>
                <w:szCs w:val="20"/>
              </w:rPr>
              <w:t>Physical Description</w:t>
            </w:r>
          </w:p>
        </w:tc>
      </w:tr>
      <w:tr w:rsidR="00543008" w:rsidRPr="00543008" w:rsidTr="00543008">
        <w:trPr>
          <w:trHeight w:val="510"/>
          <w:jc w:val="center"/>
        </w:trPr>
        <w:tc>
          <w:tcPr>
            <w:tcW w:w="1379" w:type="dxa"/>
            <w:tcBorders>
              <w:top w:val="nil"/>
              <w:left w:val="nil"/>
              <w:bottom w:val="nil"/>
              <w:right w:val="nil"/>
            </w:tcBorders>
            <w:shd w:val="clear" w:color="auto" w:fill="auto"/>
            <w:noWrap/>
            <w:vAlign w:val="center"/>
            <w:hideMark/>
          </w:tcPr>
          <w:p w:rsidR="00543008" w:rsidRPr="00543008" w:rsidRDefault="00543008" w:rsidP="00543008">
            <w:pPr>
              <w:spacing w:after="0" w:line="240" w:lineRule="auto"/>
              <w:jc w:val="center"/>
              <w:rPr>
                <w:rFonts w:ascii="Calibri" w:eastAsia="Times New Roman" w:hAnsi="Calibri" w:cs="Times New Roman"/>
                <w:color w:val="000000"/>
                <w:sz w:val="20"/>
                <w:szCs w:val="20"/>
              </w:rPr>
            </w:pPr>
            <w:r w:rsidRPr="00543008">
              <w:rPr>
                <w:rFonts w:ascii="Calibri" w:eastAsia="Times New Roman" w:hAnsi="Calibri" w:cs="Times New Roman"/>
                <w:color w:val="000000"/>
                <w:sz w:val="20"/>
                <w:szCs w:val="20"/>
              </w:rPr>
              <w:t>High</w:t>
            </w:r>
          </w:p>
        </w:tc>
        <w:tc>
          <w:tcPr>
            <w:tcW w:w="889" w:type="dxa"/>
            <w:tcBorders>
              <w:top w:val="nil"/>
              <w:left w:val="nil"/>
              <w:bottom w:val="nil"/>
              <w:right w:val="nil"/>
            </w:tcBorders>
            <w:shd w:val="clear" w:color="auto" w:fill="auto"/>
            <w:vAlign w:val="center"/>
            <w:hideMark/>
          </w:tcPr>
          <w:p w:rsidR="00543008" w:rsidRPr="00543008" w:rsidRDefault="00543008" w:rsidP="00543008">
            <w:pPr>
              <w:spacing w:after="0" w:line="240" w:lineRule="auto"/>
              <w:jc w:val="center"/>
              <w:rPr>
                <w:rFonts w:ascii="Calibri" w:eastAsia="Times New Roman" w:hAnsi="Calibri" w:cs="Times New Roman"/>
                <w:color w:val="000000"/>
                <w:sz w:val="20"/>
                <w:szCs w:val="20"/>
              </w:rPr>
            </w:pPr>
            <w:r w:rsidRPr="00543008">
              <w:rPr>
                <w:rFonts w:ascii="Calibri" w:eastAsia="Times New Roman" w:hAnsi="Calibri" w:cs="Times New Roman"/>
                <w:color w:val="000000"/>
                <w:sz w:val="20"/>
                <w:szCs w:val="20"/>
              </w:rPr>
              <w:t>3</w:t>
            </w:r>
          </w:p>
        </w:tc>
        <w:tc>
          <w:tcPr>
            <w:tcW w:w="1283" w:type="dxa"/>
            <w:tcBorders>
              <w:top w:val="nil"/>
              <w:left w:val="nil"/>
              <w:bottom w:val="nil"/>
              <w:right w:val="nil"/>
            </w:tcBorders>
            <w:shd w:val="clear" w:color="auto" w:fill="auto"/>
            <w:vAlign w:val="center"/>
            <w:hideMark/>
          </w:tcPr>
          <w:p w:rsidR="00543008" w:rsidRPr="00543008" w:rsidRDefault="00543008" w:rsidP="00543008">
            <w:pPr>
              <w:spacing w:after="0" w:line="240" w:lineRule="auto"/>
              <w:jc w:val="center"/>
              <w:rPr>
                <w:rFonts w:ascii="Calibri" w:eastAsia="Times New Roman" w:hAnsi="Calibri" w:cs="Times New Roman"/>
                <w:color w:val="000000"/>
                <w:sz w:val="20"/>
                <w:szCs w:val="20"/>
              </w:rPr>
            </w:pPr>
            <w:r w:rsidRPr="00543008">
              <w:rPr>
                <w:rFonts w:ascii="Calibri" w:eastAsia="Times New Roman" w:hAnsi="Calibri" w:cs="Times New Roman"/>
                <w:color w:val="000000"/>
                <w:sz w:val="20"/>
                <w:szCs w:val="20"/>
              </w:rPr>
              <w:t>F</w:t>
            </w:r>
            <w:r w:rsidRPr="00543008">
              <w:rPr>
                <w:rFonts w:ascii="Calibri" w:eastAsia="Times New Roman" w:hAnsi="Calibri" w:cs="Times New Roman"/>
                <w:color w:val="000000"/>
                <w:sz w:val="20"/>
                <w:szCs w:val="20"/>
                <w:vertAlign w:val="subscript"/>
              </w:rPr>
              <w:t>14A</w:t>
            </w:r>
          </w:p>
        </w:tc>
        <w:tc>
          <w:tcPr>
            <w:tcW w:w="1320" w:type="dxa"/>
            <w:tcBorders>
              <w:top w:val="nil"/>
              <w:left w:val="nil"/>
              <w:bottom w:val="nil"/>
              <w:right w:val="nil"/>
            </w:tcBorders>
            <w:shd w:val="clear" w:color="auto" w:fill="auto"/>
            <w:vAlign w:val="center"/>
            <w:hideMark/>
          </w:tcPr>
          <w:p w:rsidR="00543008" w:rsidRPr="00543008" w:rsidRDefault="00543008" w:rsidP="00543008">
            <w:pPr>
              <w:spacing w:after="0" w:line="240" w:lineRule="auto"/>
              <w:jc w:val="center"/>
              <w:rPr>
                <w:rFonts w:ascii="Calibri" w:eastAsia="Times New Roman" w:hAnsi="Calibri" w:cs="Times New Roman"/>
                <w:color w:val="000000"/>
                <w:sz w:val="20"/>
                <w:szCs w:val="20"/>
              </w:rPr>
            </w:pPr>
            <w:r w:rsidRPr="00543008">
              <w:rPr>
                <w:rFonts w:ascii="Calibri" w:eastAsia="Times New Roman" w:hAnsi="Calibri" w:cs="Times New Roman"/>
                <w:color w:val="000000"/>
                <w:sz w:val="20"/>
                <w:szCs w:val="20"/>
              </w:rPr>
              <w:t>N/A</w:t>
            </w:r>
          </w:p>
        </w:tc>
        <w:tc>
          <w:tcPr>
            <w:tcW w:w="1132" w:type="dxa"/>
            <w:tcBorders>
              <w:top w:val="nil"/>
              <w:left w:val="nil"/>
              <w:bottom w:val="nil"/>
              <w:right w:val="nil"/>
            </w:tcBorders>
            <w:shd w:val="clear" w:color="auto" w:fill="auto"/>
            <w:vAlign w:val="center"/>
            <w:hideMark/>
          </w:tcPr>
          <w:p w:rsidR="00543008" w:rsidRPr="00543008" w:rsidRDefault="00543008" w:rsidP="00543008">
            <w:pPr>
              <w:spacing w:after="0" w:line="240" w:lineRule="auto"/>
              <w:jc w:val="center"/>
              <w:rPr>
                <w:rFonts w:ascii="Calibri" w:eastAsia="Times New Roman" w:hAnsi="Calibri" w:cs="Times New Roman"/>
                <w:color w:val="000000"/>
                <w:sz w:val="20"/>
                <w:szCs w:val="20"/>
              </w:rPr>
            </w:pPr>
            <w:r w:rsidRPr="00543008">
              <w:rPr>
                <w:rFonts w:ascii="Calibri" w:eastAsia="Times New Roman" w:hAnsi="Calibri" w:cs="Times New Roman"/>
                <w:color w:val="000000"/>
                <w:sz w:val="20"/>
                <w:szCs w:val="20"/>
              </w:rPr>
              <w:t>10 kg/h</w:t>
            </w:r>
          </w:p>
        </w:tc>
        <w:tc>
          <w:tcPr>
            <w:tcW w:w="2217" w:type="dxa"/>
            <w:tcBorders>
              <w:top w:val="nil"/>
              <w:left w:val="nil"/>
              <w:bottom w:val="nil"/>
              <w:right w:val="nil"/>
            </w:tcBorders>
            <w:shd w:val="clear" w:color="auto" w:fill="auto"/>
            <w:vAlign w:val="center"/>
            <w:hideMark/>
          </w:tcPr>
          <w:p w:rsidR="00543008" w:rsidRPr="00543008" w:rsidRDefault="00543008" w:rsidP="00543008">
            <w:pPr>
              <w:spacing w:after="0" w:line="240" w:lineRule="auto"/>
              <w:rPr>
                <w:rFonts w:ascii="Calibri" w:eastAsia="Times New Roman" w:hAnsi="Calibri" w:cs="Times New Roman"/>
                <w:color w:val="000000"/>
                <w:sz w:val="20"/>
                <w:szCs w:val="20"/>
              </w:rPr>
            </w:pPr>
            <w:r w:rsidRPr="00543008">
              <w:rPr>
                <w:rFonts w:ascii="Calibri" w:eastAsia="Times New Roman" w:hAnsi="Calibri" w:cs="Times New Roman"/>
                <w:color w:val="000000"/>
                <w:sz w:val="20"/>
                <w:szCs w:val="20"/>
              </w:rPr>
              <w:t>Addition of uranyl nitrate to the precipitation process</w:t>
            </w:r>
          </w:p>
        </w:tc>
      </w:tr>
      <w:tr w:rsidR="00543008" w:rsidRPr="00543008" w:rsidTr="00543008">
        <w:trPr>
          <w:trHeight w:val="255"/>
          <w:jc w:val="center"/>
        </w:trPr>
        <w:tc>
          <w:tcPr>
            <w:tcW w:w="8220" w:type="dxa"/>
            <w:gridSpan w:val="6"/>
            <w:tcBorders>
              <w:top w:val="single" w:sz="4" w:space="0" w:color="auto"/>
              <w:left w:val="nil"/>
              <w:bottom w:val="nil"/>
              <w:right w:val="nil"/>
            </w:tcBorders>
            <w:shd w:val="clear" w:color="auto" w:fill="auto"/>
            <w:noWrap/>
            <w:vAlign w:val="center"/>
            <w:hideMark/>
          </w:tcPr>
          <w:p w:rsidR="00543008" w:rsidRPr="00543008" w:rsidRDefault="00543008" w:rsidP="00543008">
            <w:pPr>
              <w:spacing w:after="0" w:line="240" w:lineRule="auto"/>
              <w:jc w:val="center"/>
              <w:rPr>
                <w:rFonts w:ascii="Calibri" w:eastAsia="Times New Roman" w:hAnsi="Calibri" w:cs="Times New Roman"/>
                <w:b/>
                <w:bCs/>
                <w:color w:val="000000"/>
                <w:sz w:val="20"/>
                <w:szCs w:val="20"/>
              </w:rPr>
            </w:pPr>
            <w:r w:rsidRPr="00543008">
              <w:rPr>
                <w:rFonts w:ascii="Calibri" w:eastAsia="Times New Roman" w:hAnsi="Calibri" w:cs="Times New Roman"/>
                <w:b/>
                <w:bCs/>
                <w:color w:val="000000"/>
                <w:sz w:val="20"/>
                <w:szCs w:val="20"/>
              </w:rPr>
              <w:t>Summary of Results</w:t>
            </w:r>
          </w:p>
        </w:tc>
      </w:tr>
      <w:tr w:rsidR="00543008" w:rsidRPr="00543008" w:rsidTr="00543008">
        <w:trPr>
          <w:trHeight w:val="255"/>
          <w:jc w:val="center"/>
        </w:trPr>
        <w:tc>
          <w:tcPr>
            <w:tcW w:w="1379" w:type="dxa"/>
            <w:tcBorders>
              <w:top w:val="nil"/>
              <w:left w:val="nil"/>
              <w:bottom w:val="single" w:sz="4" w:space="0" w:color="auto"/>
              <w:right w:val="nil"/>
            </w:tcBorders>
            <w:shd w:val="clear" w:color="auto" w:fill="auto"/>
            <w:noWrap/>
            <w:vAlign w:val="center"/>
            <w:hideMark/>
          </w:tcPr>
          <w:p w:rsidR="00543008" w:rsidRPr="00543008" w:rsidRDefault="00543008" w:rsidP="00543008">
            <w:pPr>
              <w:spacing w:after="0" w:line="240" w:lineRule="auto"/>
              <w:jc w:val="center"/>
              <w:rPr>
                <w:rFonts w:ascii="Calibri" w:eastAsia="Times New Roman" w:hAnsi="Calibri" w:cs="Times New Roman"/>
                <w:color w:val="000000"/>
                <w:sz w:val="20"/>
                <w:szCs w:val="20"/>
              </w:rPr>
            </w:pPr>
            <w:r w:rsidRPr="00543008">
              <w:rPr>
                <w:rFonts w:ascii="Calibri" w:eastAsia="Times New Roman" w:hAnsi="Calibri" w:cs="Times New Roman"/>
                <w:color w:val="000000"/>
                <w:sz w:val="20"/>
                <w:szCs w:val="20"/>
              </w:rPr>
              <w:t> </w:t>
            </w:r>
          </w:p>
        </w:tc>
        <w:tc>
          <w:tcPr>
            <w:tcW w:w="889" w:type="dxa"/>
            <w:tcBorders>
              <w:top w:val="nil"/>
              <w:left w:val="nil"/>
              <w:bottom w:val="single" w:sz="4" w:space="0" w:color="auto"/>
              <w:right w:val="nil"/>
            </w:tcBorders>
            <w:shd w:val="clear" w:color="auto" w:fill="auto"/>
            <w:vAlign w:val="center"/>
            <w:hideMark/>
          </w:tcPr>
          <w:p w:rsidR="00543008" w:rsidRDefault="00543008" w:rsidP="00543008">
            <w:pPr>
              <w:spacing w:after="0" w:line="240" w:lineRule="auto"/>
              <w:jc w:val="center"/>
              <w:rPr>
                <w:rFonts w:ascii="Calibri" w:eastAsia="Times New Roman" w:hAnsi="Calibri" w:cs="Times New Roman"/>
                <w:b/>
                <w:bCs/>
                <w:sz w:val="20"/>
                <w:szCs w:val="20"/>
              </w:rPr>
            </w:pPr>
            <w:r w:rsidRPr="00543008">
              <w:rPr>
                <w:rFonts w:ascii="Calibri" w:eastAsia="Times New Roman" w:hAnsi="Calibri" w:cs="Times New Roman"/>
                <w:b/>
                <w:bCs/>
                <w:sz w:val="20"/>
                <w:szCs w:val="20"/>
              </w:rPr>
              <w:t>PC1</w:t>
            </w:r>
          </w:p>
          <w:p w:rsidR="00AC7D91" w:rsidRPr="00543008" w:rsidRDefault="00AC7D91" w:rsidP="00543008">
            <w:pPr>
              <w:spacing w:after="0" w:line="240" w:lineRule="auto"/>
              <w:jc w:val="center"/>
              <w:rPr>
                <w:rFonts w:ascii="Calibri" w:eastAsia="Times New Roman" w:hAnsi="Calibri" w:cs="Times New Roman"/>
                <w:b/>
                <w:bCs/>
                <w:sz w:val="20"/>
                <w:szCs w:val="20"/>
              </w:rPr>
            </w:pPr>
            <w:r>
              <w:rPr>
                <w:rFonts w:ascii="Calibri" w:eastAsia="Times New Roman" w:hAnsi="Calibri" w:cs="Times New Roman"/>
                <w:b/>
                <w:bCs/>
                <w:sz w:val="20"/>
                <w:szCs w:val="20"/>
              </w:rPr>
              <w:t>Scores</w:t>
            </w:r>
          </w:p>
        </w:tc>
        <w:tc>
          <w:tcPr>
            <w:tcW w:w="1283" w:type="dxa"/>
            <w:tcBorders>
              <w:top w:val="nil"/>
              <w:left w:val="nil"/>
              <w:bottom w:val="single" w:sz="4" w:space="0" w:color="auto"/>
              <w:right w:val="nil"/>
            </w:tcBorders>
            <w:shd w:val="clear" w:color="auto" w:fill="auto"/>
            <w:vAlign w:val="center"/>
            <w:hideMark/>
          </w:tcPr>
          <w:p w:rsidR="00543008" w:rsidRDefault="00543008" w:rsidP="00543008">
            <w:pPr>
              <w:spacing w:after="0" w:line="240" w:lineRule="auto"/>
              <w:jc w:val="center"/>
              <w:rPr>
                <w:rFonts w:ascii="Calibri" w:eastAsia="Times New Roman" w:hAnsi="Calibri" w:cs="Times New Roman"/>
                <w:b/>
                <w:bCs/>
                <w:color w:val="000000"/>
                <w:sz w:val="20"/>
                <w:szCs w:val="20"/>
              </w:rPr>
            </w:pPr>
            <w:r w:rsidRPr="00543008">
              <w:rPr>
                <w:rFonts w:ascii="Calibri" w:eastAsia="Times New Roman" w:hAnsi="Calibri" w:cs="Times New Roman"/>
                <w:b/>
                <w:bCs/>
                <w:color w:val="000000"/>
                <w:sz w:val="20"/>
                <w:szCs w:val="20"/>
              </w:rPr>
              <w:t>PC2</w:t>
            </w:r>
          </w:p>
          <w:p w:rsidR="00AC7D91" w:rsidRPr="00543008" w:rsidRDefault="00AC7D91" w:rsidP="00543008">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1320" w:type="dxa"/>
            <w:tcBorders>
              <w:top w:val="nil"/>
              <w:left w:val="nil"/>
              <w:bottom w:val="single" w:sz="4" w:space="0" w:color="auto"/>
              <w:right w:val="nil"/>
            </w:tcBorders>
            <w:shd w:val="clear" w:color="auto" w:fill="auto"/>
            <w:vAlign w:val="center"/>
            <w:hideMark/>
          </w:tcPr>
          <w:p w:rsidR="00543008" w:rsidRDefault="00543008" w:rsidP="00543008">
            <w:pPr>
              <w:spacing w:after="0" w:line="240" w:lineRule="auto"/>
              <w:jc w:val="center"/>
              <w:rPr>
                <w:rFonts w:ascii="Calibri" w:eastAsia="Times New Roman" w:hAnsi="Calibri" w:cs="Times New Roman"/>
                <w:b/>
                <w:bCs/>
                <w:color w:val="000000"/>
                <w:sz w:val="20"/>
                <w:szCs w:val="20"/>
              </w:rPr>
            </w:pPr>
            <w:r w:rsidRPr="00543008">
              <w:rPr>
                <w:rFonts w:ascii="Calibri" w:eastAsia="Times New Roman" w:hAnsi="Calibri" w:cs="Times New Roman"/>
                <w:b/>
                <w:bCs/>
                <w:color w:val="000000"/>
                <w:sz w:val="20"/>
                <w:szCs w:val="20"/>
              </w:rPr>
              <w:t>PC3</w:t>
            </w:r>
          </w:p>
          <w:p w:rsidR="00AC7D91" w:rsidRPr="00543008" w:rsidRDefault="00AC7D91" w:rsidP="00543008">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1132" w:type="dxa"/>
            <w:tcBorders>
              <w:top w:val="nil"/>
              <w:left w:val="nil"/>
              <w:bottom w:val="single" w:sz="4" w:space="0" w:color="auto"/>
              <w:right w:val="nil"/>
            </w:tcBorders>
            <w:shd w:val="clear" w:color="auto" w:fill="auto"/>
            <w:vAlign w:val="center"/>
            <w:hideMark/>
          </w:tcPr>
          <w:p w:rsidR="00543008" w:rsidRPr="00543008" w:rsidRDefault="00543008" w:rsidP="00543008">
            <w:pPr>
              <w:spacing w:after="0" w:line="240" w:lineRule="auto"/>
              <w:jc w:val="center"/>
              <w:rPr>
                <w:rFonts w:ascii="Calibri" w:eastAsia="Times New Roman" w:hAnsi="Calibri" w:cs="Times New Roman"/>
                <w:b/>
                <w:bCs/>
                <w:color w:val="000000"/>
                <w:sz w:val="20"/>
                <w:szCs w:val="20"/>
              </w:rPr>
            </w:pPr>
            <w:r w:rsidRPr="00543008">
              <w:rPr>
                <w:rFonts w:ascii="Calibri" w:eastAsia="Times New Roman" w:hAnsi="Calibri" w:cs="Times New Roman"/>
                <w:b/>
                <w:bCs/>
                <w:color w:val="000000"/>
                <w:sz w:val="20"/>
                <w:szCs w:val="20"/>
              </w:rPr>
              <w:t>T2</w:t>
            </w:r>
          </w:p>
        </w:tc>
        <w:tc>
          <w:tcPr>
            <w:tcW w:w="2217" w:type="dxa"/>
            <w:tcBorders>
              <w:top w:val="nil"/>
              <w:left w:val="nil"/>
              <w:bottom w:val="single" w:sz="4" w:space="0" w:color="auto"/>
              <w:right w:val="nil"/>
            </w:tcBorders>
            <w:shd w:val="clear" w:color="auto" w:fill="auto"/>
            <w:vAlign w:val="center"/>
            <w:hideMark/>
          </w:tcPr>
          <w:p w:rsidR="00543008" w:rsidRPr="00543008" w:rsidRDefault="00543008" w:rsidP="00543008">
            <w:pPr>
              <w:spacing w:after="0" w:line="240" w:lineRule="auto"/>
              <w:jc w:val="center"/>
              <w:rPr>
                <w:rFonts w:ascii="Calibri" w:eastAsia="Times New Roman" w:hAnsi="Calibri" w:cs="Times New Roman"/>
                <w:b/>
                <w:bCs/>
                <w:color w:val="000000"/>
                <w:sz w:val="20"/>
                <w:szCs w:val="20"/>
              </w:rPr>
            </w:pPr>
            <w:r w:rsidRPr="00543008">
              <w:rPr>
                <w:rFonts w:ascii="Calibri" w:eastAsia="Times New Roman" w:hAnsi="Calibri" w:cs="Times New Roman"/>
                <w:b/>
                <w:bCs/>
                <w:color w:val="000000"/>
                <w:sz w:val="20"/>
                <w:szCs w:val="20"/>
              </w:rPr>
              <w:t>Q</w:t>
            </w:r>
          </w:p>
        </w:tc>
      </w:tr>
      <w:tr w:rsidR="00543008" w:rsidRPr="00543008" w:rsidTr="00543008">
        <w:trPr>
          <w:trHeight w:val="255"/>
          <w:jc w:val="center"/>
        </w:trPr>
        <w:tc>
          <w:tcPr>
            <w:tcW w:w="1379" w:type="dxa"/>
            <w:tcBorders>
              <w:top w:val="nil"/>
              <w:left w:val="nil"/>
              <w:bottom w:val="nil"/>
              <w:right w:val="nil"/>
            </w:tcBorders>
            <w:shd w:val="clear" w:color="auto" w:fill="auto"/>
            <w:noWrap/>
            <w:vAlign w:val="center"/>
            <w:hideMark/>
          </w:tcPr>
          <w:p w:rsidR="00543008" w:rsidRPr="00543008" w:rsidRDefault="00543008" w:rsidP="00543008">
            <w:pPr>
              <w:spacing w:after="0" w:line="240" w:lineRule="auto"/>
              <w:jc w:val="center"/>
              <w:rPr>
                <w:rFonts w:ascii="Calibri" w:eastAsia="Times New Roman" w:hAnsi="Calibri" w:cs="Times New Roman"/>
                <w:b/>
                <w:bCs/>
                <w:color w:val="000000"/>
                <w:sz w:val="20"/>
                <w:szCs w:val="20"/>
              </w:rPr>
            </w:pPr>
            <w:r w:rsidRPr="00543008">
              <w:rPr>
                <w:rFonts w:ascii="Calibri" w:eastAsia="Times New Roman" w:hAnsi="Calibri" w:cs="Times New Roman"/>
                <w:b/>
                <w:bCs/>
                <w:color w:val="000000"/>
                <w:sz w:val="20"/>
                <w:szCs w:val="20"/>
              </w:rPr>
              <w:t>Direction</w:t>
            </w:r>
          </w:p>
        </w:tc>
        <w:tc>
          <w:tcPr>
            <w:tcW w:w="889" w:type="dxa"/>
            <w:tcBorders>
              <w:top w:val="nil"/>
              <w:left w:val="nil"/>
              <w:bottom w:val="nil"/>
              <w:right w:val="nil"/>
            </w:tcBorders>
            <w:shd w:val="clear" w:color="auto" w:fill="auto"/>
            <w:noWrap/>
            <w:vAlign w:val="center"/>
            <w:hideMark/>
          </w:tcPr>
          <w:p w:rsidR="00543008" w:rsidRPr="00543008" w:rsidRDefault="00543008" w:rsidP="00543008">
            <w:pPr>
              <w:spacing w:after="0" w:line="240" w:lineRule="auto"/>
              <w:jc w:val="center"/>
              <w:rPr>
                <w:rFonts w:ascii="Calibri" w:eastAsia="Times New Roman" w:hAnsi="Calibri" w:cs="Times New Roman"/>
                <w:color w:val="000000"/>
                <w:sz w:val="20"/>
                <w:szCs w:val="20"/>
              </w:rPr>
            </w:pPr>
            <w:r w:rsidRPr="00543008">
              <w:rPr>
                <w:rFonts w:ascii="Calibri" w:eastAsia="Times New Roman" w:hAnsi="Calibri" w:cs="Times New Roman"/>
                <w:color w:val="000000"/>
                <w:sz w:val="20"/>
                <w:szCs w:val="20"/>
              </w:rPr>
              <w:t>-</w:t>
            </w:r>
          </w:p>
        </w:tc>
        <w:tc>
          <w:tcPr>
            <w:tcW w:w="1283" w:type="dxa"/>
            <w:tcBorders>
              <w:top w:val="nil"/>
              <w:left w:val="nil"/>
              <w:bottom w:val="nil"/>
              <w:right w:val="nil"/>
            </w:tcBorders>
            <w:shd w:val="clear" w:color="auto" w:fill="auto"/>
            <w:noWrap/>
            <w:vAlign w:val="center"/>
            <w:hideMark/>
          </w:tcPr>
          <w:p w:rsidR="00543008" w:rsidRPr="00543008" w:rsidRDefault="00543008" w:rsidP="00543008">
            <w:pPr>
              <w:spacing w:after="0" w:line="240" w:lineRule="auto"/>
              <w:jc w:val="center"/>
              <w:rPr>
                <w:rFonts w:ascii="Calibri" w:eastAsia="Times New Roman" w:hAnsi="Calibri" w:cs="Times New Roman"/>
                <w:color w:val="000000"/>
                <w:sz w:val="20"/>
                <w:szCs w:val="20"/>
              </w:rPr>
            </w:pPr>
            <w:r w:rsidRPr="00543008">
              <w:rPr>
                <w:rFonts w:ascii="Calibri" w:eastAsia="Times New Roman" w:hAnsi="Calibri" w:cs="Times New Roman"/>
                <w:color w:val="000000"/>
                <w:sz w:val="20"/>
                <w:szCs w:val="20"/>
              </w:rPr>
              <w:t>-</w:t>
            </w:r>
          </w:p>
        </w:tc>
        <w:tc>
          <w:tcPr>
            <w:tcW w:w="1320" w:type="dxa"/>
            <w:tcBorders>
              <w:top w:val="nil"/>
              <w:left w:val="nil"/>
              <w:bottom w:val="nil"/>
              <w:right w:val="nil"/>
            </w:tcBorders>
            <w:shd w:val="clear" w:color="auto" w:fill="auto"/>
            <w:noWrap/>
            <w:vAlign w:val="center"/>
            <w:hideMark/>
          </w:tcPr>
          <w:p w:rsidR="00543008" w:rsidRPr="00543008" w:rsidRDefault="00543008" w:rsidP="00543008">
            <w:pPr>
              <w:spacing w:after="0" w:line="240" w:lineRule="auto"/>
              <w:jc w:val="center"/>
              <w:rPr>
                <w:rFonts w:ascii="Calibri" w:eastAsia="Times New Roman" w:hAnsi="Calibri" w:cs="Times New Roman"/>
                <w:color w:val="000000"/>
                <w:sz w:val="20"/>
                <w:szCs w:val="20"/>
              </w:rPr>
            </w:pPr>
            <w:r w:rsidRPr="00543008">
              <w:rPr>
                <w:rFonts w:ascii="Calibri" w:eastAsia="Times New Roman" w:hAnsi="Calibri" w:cs="Times New Roman"/>
                <w:color w:val="000000"/>
                <w:sz w:val="20"/>
                <w:szCs w:val="20"/>
              </w:rPr>
              <w:t>+</w:t>
            </w:r>
          </w:p>
        </w:tc>
        <w:tc>
          <w:tcPr>
            <w:tcW w:w="1132" w:type="dxa"/>
            <w:tcBorders>
              <w:top w:val="nil"/>
              <w:left w:val="nil"/>
              <w:bottom w:val="nil"/>
              <w:right w:val="nil"/>
            </w:tcBorders>
            <w:shd w:val="clear" w:color="auto" w:fill="auto"/>
            <w:noWrap/>
            <w:vAlign w:val="center"/>
            <w:hideMark/>
          </w:tcPr>
          <w:p w:rsidR="00543008" w:rsidRPr="00543008" w:rsidRDefault="00543008" w:rsidP="00543008">
            <w:pPr>
              <w:spacing w:after="0" w:line="240" w:lineRule="auto"/>
              <w:jc w:val="center"/>
              <w:rPr>
                <w:rFonts w:ascii="Calibri" w:eastAsia="Times New Roman" w:hAnsi="Calibri" w:cs="Times New Roman"/>
                <w:color w:val="000000"/>
                <w:sz w:val="20"/>
                <w:szCs w:val="20"/>
              </w:rPr>
            </w:pPr>
            <w:r w:rsidRPr="00543008">
              <w:rPr>
                <w:rFonts w:ascii="Calibri" w:eastAsia="Times New Roman" w:hAnsi="Calibri" w:cs="Times New Roman"/>
                <w:color w:val="000000"/>
                <w:sz w:val="20"/>
                <w:szCs w:val="20"/>
              </w:rPr>
              <w:t>+</w:t>
            </w:r>
          </w:p>
        </w:tc>
        <w:tc>
          <w:tcPr>
            <w:tcW w:w="2217" w:type="dxa"/>
            <w:tcBorders>
              <w:top w:val="nil"/>
              <w:left w:val="nil"/>
              <w:bottom w:val="nil"/>
              <w:right w:val="nil"/>
            </w:tcBorders>
            <w:shd w:val="clear" w:color="auto" w:fill="auto"/>
            <w:noWrap/>
            <w:vAlign w:val="center"/>
            <w:hideMark/>
          </w:tcPr>
          <w:p w:rsidR="00543008" w:rsidRPr="00543008" w:rsidRDefault="00543008" w:rsidP="00543008">
            <w:pPr>
              <w:spacing w:after="0" w:line="240" w:lineRule="auto"/>
              <w:jc w:val="center"/>
              <w:rPr>
                <w:rFonts w:ascii="Calibri" w:eastAsia="Times New Roman" w:hAnsi="Calibri" w:cs="Times New Roman"/>
                <w:color w:val="000000"/>
                <w:sz w:val="20"/>
                <w:szCs w:val="20"/>
              </w:rPr>
            </w:pPr>
            <w:r w:rsidRPr="00543008">
              <w:rPr>
                <w:rFonts w:ascii="Calibri" w:eastAsia="Times New Roman" w:hAnsi="Calibri" w:cs="Times New Roman"/>
                <w:color w:val="000000"/>
                <w:sz w:val="20"/>
                <w:szCs w:val="20"/>
              </w:rPr>
              <w:t>+</w:t>
            </w:r>
          </w:p>
        </w:tc>
      </w:tr>
      <w:tr w:rsidR="00543008" w:rsidRPr="00543008" w:rsidTr="00543008">
        <w:trPr>
          <w:trHeight w:val="270"/>
          <w:jc w:val="center"/>
        </w:trPr>
        <w:tc>
          <w:tcPr>
            <w:tcW w:w="1379" w:type="dxa"/>
            <w:tcBorders>
              <w:top w:val="nil"/>
              <w:left w:val="nil"/>
              <w:bottom w:val="single" w:sz="8" w:space="0" w:color="auto"/>
              <w:right w:val="nil"/>
            </w:tcBorders>
            <w:shd w:val="clear" w:color="auto" w:fill="auto"/>
            <w:noWrap/>
            <w:vAlign w:val="center"/>
            <w:hideMark/>
          </w:tcPr>
          <w:p w:rsidR="00543008" w:rsidRPr="00543008" w:rsidRDefault="00543008" w:rsidP="00543008">
            <w:pPr>
              <w:spacing w:after="0" w:line="240" w:lineRule="auto"/>
              <w:jc w:val="center"/>
              <w:rPr>
                <w:rFonts w:ascii="Calibri" w:eastAsia="Times New Roman" w:hAnsi="Calibri" w:cs="Times New Roman"/>
                <w:b/>
                <w:bCs/>
                <w:color w:val="000000"/>
                <w:sz w:val="20"/>
                <w:szCs w:val="20"/>
              </w:rPr>
            </w:pPr>
            <w:r w:rsidRPr="00543008">
              <w:rPr>
                <w:rFonts w:ascii="Calibri" w:eastAsia="Times New Roman" w:hAnsi="Calibri" w:cs="Times New Roman"/>
                <w:b/>
                <w:bCs/>
                <w:color w:val="000000"/>
                <w:sz w:val="20"/>
                <w:szCs w:val="20"/>
              </w:rPr>
              <w:t>Detectability</w:t>
            </w:r>
          </w:p>
        </w:tc>
        <w:tc>
          <w:tcPr>
            <w:tcW w:w="889" w:type="dxa"/>
            <w:tcBorders>
              <w:top w:val="nil"/>
              <w:left w:val="nil"/>
              <w:bottom w:val="single" w:sz="8" w:space="0" w:color="auto"/>
              <w:right w:val="nil"/>
            </w:tcBorders>
            <w:shd w:val="clear" w:color="auto" w:fill="auto"/>
            <w:vAlign w:val="center"/>
            <w:hideMark/>
          </w:tcPr>
          <w:p w:rsidR="00543008" w:rsidRPr="00543008" w:rsidRDefault="00543008" w:rsidP="00543008">
            <w:pPr>
              <w:spacing w:after="0" w:line="240" w:lineRule="auto"/>
              <w:jc w:val="center"/>
              <w:rPr>
                <w:rFonts w:ascii="Calibri" w:eastAsia="Times New Roman" w:hAnsi="Calibri" w:cs="Times New Roman"/>
                <w:color w:val="000000"/>
                <w:sz w:val="20"/>
                <w:szCs w:val="20"/>
              </w:rPr>
            </w:pPr>
            <w:r w:rsidRPr="00543008">
              <w:rPr>
                <w:rFonts w:ascii="Calibri" w:eastAsia="Times New Roman" w:hAnsi="Calibri" w:cs="Times New Roman"/>
                <w:color w:val="000000"/>
                <w:sz w:val="20"/>
                <w:szCs w:val="20"/>
              </w:rPr>
              <w:t>No</w:t>
            </w:r>
          </w:p>
        </w:tc>
        <w:tc>
          <w:tcPr>
            <w:tcW w:w="1283" w:type="dxa"/>
            <w:tcBorders>
              <w:top w:val="nil"/>
              <w:left w:val="nil"/>
              <w:bottom w:val="single" w:sz="8" w:space="0" w:color="auto"/>
              <w:right w:val="nil"/>
            </w:tcBorders>
            <w:shd w:val="clear" w:color="auto" w:fill="auto"/>
            <w:noWrap/>
            <w:vAlign w:val="center"/>
            <w:hideMark/>
          </w:tcPr>
          <w:p w:rsidR="00543008" w:rsidRPr="00543008" w:rsidRDefault="00543008" w:rsidP="00543008">
            <w:pPr>
              <w:spacing w:after="0" w:line="240" w:lineRule="auto"/>
              <w:jc w:val="center"/>
              <w:rPr>
                <w:rFonts w:ascii="Calibri" w:eastAsia="Times New Roman" w:hAnsi="Calibri" w:cs="Times New Roman"/>
                <w:color w:val="000000"/>
                <w:sz w:val="20"/>
                <w:szCs w:val="20"/>
              </w:rPr>
            </w:pPr>
            <w:r w:rsidRPr="00543008">
              <w:rPr>
                <w:rFonts w:ascii="Calibri" w:eastAsia="Times New Roman" w:hAnsi="Calibri" w:cs="Times New Roman"/>
                <w:color w:val="000000"/>
                <w:sz w:val="20"/>
                <w:szCs w:val="20"/>
              </w:rPr>
              <w:t>No</w:t>
            </w:r>
          </w:p>
        </w:tc>
        <w:tc>
          <w:tcPr>
            <w:tcW w:w="1320" w:type="dxa"/>
            <w:tcBorders>
              <w:top w:val="nil"/>
              <w:left w:val="nil"/>
              <w:bottom w:val="single" w:sz="8" w:space="0" w:color="auto"/>
              <w:right w:val="nil"/>
            </w:tcBorders>
            <w:shd w:val="clear" w:color="auto" w:fill="auto"/>
            <w:noWrap/>
            <w:vAlign w:val="center"/>
            <w:hideMark/>
          </w:tcPr>
          <w:p w:rsidR="00543008" w:rsidRPr="00543008" w:rsidRDefault="00543008" w:rsidP="00543008">
            <w:pPr>
              <w:spacing w:after="0" w:line="240" w:lineRule="auto"/>
              <w:jc w:val="center"/>
              <w:rPr>
                <w:rFonts w:ascii="Calibri" w:eastAsia="Times New Roman" w:hAnsi="Calibri" w:cs="Times New Roman"/>
                <w:color w:val="000000"/>
                <w:sz w:val="20"/>
                <w:szCs w:val="20"/>
              </w:rPr>
            </w:pPr>
            <w:r w:rsidRPr="00543008">
              <w:rPr>
                <w:rFonts w:ascii="Calibri" w:eastAsia="Times New Roman" w:hAnsi="Calibri" w:cs="Times New Roman"/>
                <w:color w:val="000000"/>
                <w:sz w:val="20"/>
                <w:szCs w:val="20"/>
              </w:rPr>
              <w:t>Possibly</w:t>
            </w:r>
          </w:p>
        </w:tc>
        <w:tc>
          <w:tcPr>
            <w:tcW w:w="1132" w:type="dxa"/>
            <w:tcBorders>
              <w:top w:val="nil"/>
              <w:left w:val="nil"/>
              <w:bottom w:val="single" w:sz="8" w:space="0" w:color="auto"/>
              <w:right w:val="nil"/>
            </w:tcBorders>
            <w:shd w:val="clear" w:color="auto" w:fill="auto"/>
            <w:noWrap/>
            <w:vAlign w:val="center"/>
            <w:hideMark/>
          </w:tcPr>
          <w:p w:rsidR="00543008" w:rsidRPr="00543008" w:rsidRDefault="00543008" w:rsidP="00543008">
            <w:pPr>
              <w:spacing w:after="0" w:line="240" w:lineRule="auto"/>
              <w:jc w:val="center"/>
              <w:rPr>
                <w:rFonts w:ascii="Calibri" w:eastAsia="Times New Roman" w:hAnsi="Calibri" w:cs="Times New Roman"/>
                <w:color w:val="000000"/>
                <w:sz w:val="20"/>
                <w:szCs w:val="20"/>
              </w:rPr>
            </w:pPr>
            <w:r w:rsidRPr="00543008">
              <w:rPr>
                <w:rFonts w:ascii="Calibri" w:eastAsia="Times New Roman" w:hAnsi="Calibri" w:cs="Times New Roman"/>
                <w:color w:val="000000"/>
                <w:sz w:val="20"/>
                <w:szCs w:val="20"/>
              </w:rPr>
              <w:t>Possibly</w:t>
            </w:r>
          </w:p>
        </w:tc>
        <w:tc>
          <w:tcPr>
            <w:tcW w:w="2217" w:type="dxa"/>
            <w:tcBorders>
              <w:top w:val="nil"/>
              <w:left w:val="nil"/>
              <w:bottom w:val="single" w:sz="8" w:space="0" w:color="auto"/>
              <w:right w:val="nil"/>
            </w:tcBorders>
            <w:shd w:val="clear" w:color="auto" w:fill="auto"/>
            <w:noWrap/>
            <w:vAlign w:val="center"/>
            <w:hideMark/>
          </w:tcPr>
          <w:p w:rsidR="00543008" w:rsidRPr="00543008" w:rsidRDefault="00543008" w:rsidP="00543008">
            <w:pPr>
              <w:spacing w:after="0" w:line="240" w:lineRule="auto"/>
              <w:jc w:val="center"/>
              <w:rPr>
                <w:rFonts w:ascii="Calibri" w:eastAsia="Times New Roman" w:hAnsi="Calibri" w:cs="Times New Roman"/>
                <w:color w:val="000000"/>
                <w:sz w:val="20"/>
                <w:szCs w:val="20"/>
              </w:rPr>
            </w:pPr>
            <w:r w:rsidRPr="00543008">
              <w:rPr>
                <w:rFonts w:ascii="Calibri" w:eastAsia="Times New Roman" w:hAnsi="Calibri" w:cs="Times New Roman"/>
                <w:color w:val="000000"/>
                <w:sz w:val="20"/>
                <w:szCs w:val="20"/>
              </w:rPr>
              <w:t>Yes</w:t>
            </w:r>
          </w:p>
        </w:tc>
      </w:tr>
    </w:tbl>
    <w:p w:rsidR="007E61E6" w:rsidRDefault="007E61E6" w:rsidP="00E664E4">
      <w:pPr>
        <w:rPr>
          <w:rFonts w:eastAsiaTheme="minorEastAsia"/>
        </w:rPr>
      </w:pPr>
    </w:p>
    <w:p w:rsidR="00E664E4" w:rsidRDefault="00543008" w:rsidP="00E664E4">
      <w:pPr>
        <w:jc w:val="center"/>
      </w:pPr>
      <w:r>
        <w:rPr>
          <w:noProof/>
        </w:rPr>
        <w:drawing>
          <wp:inline distT="0" distB="0" distL="0" distR="0" wp14:anchorId="6D2D7FC1" wp14:editId="058AF41F">
            <wp:extent cx="5943600" cy="44577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5"/>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543008">
        <w:rPr>
          <w:b/>
          <w:sz w:val="20"/>
          <w:szCs w:val="20"/>
        </w:rPr>
        <w:t>4.67</w:t>
      </w:r>
      <w:r>
        <w:rPr>
          <w:b/>
          <w:sz w:val="20"/>
          <w:szCs w:val="20"/>
        </w:rPr>
        <w:t xml:space="preserve">. Faulty Case 6 Scores Plot for PC1 and PC2.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a slight change in PC1 and PC2</w:t>
      </w:r>
      <w:r w:rsidR="00E62112">
        <w:rPr>
          <w:i/>
          <w:sz w:val="20"/>
          <w:szCs w:val="20"/>
        </w:rPr>
        <w:t xml:space="preserve"> scores</w:t>
      </w:r>
      <w:r>
        <w:rPr>
          <w:i/>
          <w:sz w:val="20"/>
          <w:szCs w:val="20"/>
        </w:rPr>
        <w:t>, but there was no detectable fault.</w:t>
      </w:r>
    </w:p>
    <w:p w:rsidR="00E664E4" w:rsidRPr="00AB12F8" w:rsidRDefault="00543008" w:rsidP="00E664E4">
      <w:pPr>
        <w:jc w:val="center"/>
      </w:pPr>
      <w:r>
        <w:rPr>
          <w:noProof/>
        </w:rPr>
        <w:lastRenderedPageBreak/>
        <w:drawing>
          <wp:inline distT="0" distB="0" distL="0" distR="0" wp14:anchorId="3EC3F70B" wp14:editId="7EE93A28">
            <wp:extent cx="5943600" cy="44577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6"/>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543008">
        <w:rPr>
          <w:b/>
          <w:sz w:val="20"/>
          <w:szCs w:val="20"/>
        </w:rPr>
        <w:t>4.68</w:t>
      </w:r>
      <w:r>
        <w:rPr>
          <w:b/>
          <w:sz w:val="20"/>
          <w:szCs w:val="20"/>
        </w:rPr>
        <w:t xml:space="preserve">. Faulty Case 6 Scores Plot for PC1 and PC3.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a slight change in PC1 and PC3</w:t>
      </w:r>
      <w:r w:rsidR="00E62112">
        <w:rPr>
          <w:i/>
          <w:sz w:val="20"/>
          <w:szCs w:val="20"/>
        </w:rPr>
        <w:t xml:space="preserve"> scores</w:t>
      </w:r>
      <w:r>
        <w:rPr>
          <w:i/>
          <w:sz w:val="20"/>
          <w:szCs w:val="20"/>
        </w:rPr>
        <w:t>, but the</w:t>
      </w:r>
      <w:r w:rsidR="002D4C1C">
        <w:rPr>
          <w:i/>
          <w:sz w:val="20"/>
          <w:szCs w:val="20"/>
        </w:rPr>
        <w:t xml:space="preserve"> fault was only detectable under certain operating conditions</w:t>
      </w:r>
      <w:r>
        <w:rPr>
          <w:i/>
          <w:sz w:val="20"/>
          <w:szCs w:val="20"/>
        </w:rPr>
        <w:t>.</w:t>
      </w:r>
    </w:p>
    <w:p w:rsidR="00E664E4" w:rsidRDefault="00E664E4" w:rsidP="00E664E4">
      <w:pPr>
        <w:rPr>
          <w:i/>
          <w:sz w:val="20"/>
          <w:szCs w:val="20"/>
        </w:rPr>
      </w:pPr>
    </w:p>
    <w:p w:rsidR="00E664E4" w:rsidRDefault="001B0CB1" w:rsidP="00E664E4">
      <w:pPr>
        <w:jc w:val="center"/>
        <w:rPr>
          <w:i/>
          <w:sz w:val="20"/>
          <w:szCs w:val="20"/>
        </w:rPr>
      </w:pPr>
      <w:r>
        <w:rPr>
          <w:noProof/>
        </w:rPr>
        <w:lastRenderedPageBreak/>
        <w:drawing>
          <wp:inline distT="0" distB="0" distL="0" distR="0" wp14:anchorId="54691694" wp14:editId="5E9403F4">
            <wp:extent cx="5943600" cy="44577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7"/>
                    <a:stretch>
                      <a:fillRect/>
                    </a:stretch>
                  </pic:blipFill>
                  <pic:spPr>
                    <a:xfrm>
                      <a:off x="0" y="0"/>
                      <a:ext cx="5943600" cy="4457700"/>
                    </a:xfrm>
                    <a:prstGeom prst="rect">
                      <a:avLst/>
                    </a:prstGeom>
                  </pic:spPr>
                </pic:pic>
              </a:graphicData>
            </a:graphic>
          </wp:inline>
        </w:drawing>
      </w:r>
    </w:p>
    <w:p w:rsidR="002D4C1C" w:rsidRDefault="00E664E4" w:rsidP="002D4C1C">
      <w:pPr>
        <w:rPr>
          <w:i/>
          <w:sz w:val="20"/>
          <w:szCs w:val="20"/>
        </w:rPr>
      </w:pPr>
      <w:r>
        <w:rPr>
          <w:b/>
          <w:sz w:val="20"/>
          <w:szCs w:val="20"/>
        </w:rPr>
        <w:t xml:space="preserve">Figure </w:t>
      </w:r>
      <w:r w:rsidR="00BE36F0">
        <w:rPr>
          <w:b/>
          <w:sz w:val="20"/>
          <w:szCs w:val="20"/>
        </w:rPr>
        <w:t>4.</w:t>
      </w:r>
      <w:r w:rsidR="00543008">
        <w:rPr>
          <w:b/>
          <w:sz w:val="20"/>
          <w:szCs w:val="20"/>
        </w:rPr>
        <w:t>69</w:t>
      </w:r>
      <w:r>
        <w:rPr>
          <w:b/>
          <w:sz w:val="20"/>
          <w:szCs w:val="20"/>
        </w:rPr>
        <w:t xml:space="preserve">. Faulty Case 6 Scores Plot for PC2 and PC3.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xml:space="preserve">. </w:t>
      </w:r>
      <w:r w:rsidR="002D4C1C" w:rsidRPr="00EE2556">
        <w:rPr>
          <w:i/>
          <w:sz w:val="20"/>
          <w:szCs w:val="20"/>
        </w:rPr>
        <w:t>The</w:t>
      </w:r>
      <w:r w:rsidR="002D4C1C">
        <w:rPr>
          <w:i/>
          <w:sz w:val="20"/>
          <w:szCs w:val="20"/>
        </w:rPr>
        <w:t>re wa</w:t>
      </w:r>
      <w:r w:rsidR="002D4C1C" w:rsidRPr="00EE2556">
        <w:rPr>
          <w:i/>
          <w:sz w:val="20"/>
          <w:szCs w:val="20"/>
        </w:rPr>
        <w:t xml:space="preserve">s </w:t>
      </w:r>
      <w:r w:rsidR="002D4C1C">
        <w:rPr>
          <w:i/>
          <w:sz w:val="20"/>
          <w:szCs w:val="20"/>
        </w:rPr>
        <w:t>a slight change in PC2 and PC3</w:t>
      </w:r>
      <w:r w:rsidR="00CE21E4">
        <w:rPr>
          <w:i/>
          <w:sz w:val="20"/>
          <w:szCs w:val="20"/>
        </w:rPr>
        <w:t xml:space="preserve"> scores</w:t>
      </w:r>
      <w:r w:rsidR="002D4C1C">
        <w:rPr>
          <w:i/>
          <w:sz w:val="20"/>
          <w:szCs w:val="20"/>
        </w:rPr>
        <w:t>, but the fault was only detectable under certain operating conditions.</w:t>
      </w:r>
    </w:p>
    <w:p w:rsidR="00E664E4" w:rsidRDefault="00E664E4" w:rsidP="00E664E4">
      <w:pPr>
        <w:rPr>
          <w:i/>
          <w:sz w:val="20"/>
          <w:szCs w:val="20"/>
        </w:rPr>
      </w:pPr>
    </w:p>
    <w:p w:rsidR="00E664E4" w:rsidRDefault="001B0CB1" w:rsidP="00E664E4">
      <w:pPr>
        <w:jc w:val="center"/>
        <w:rPr>
          <w:i/>
          <w:sz w:val="20"/>
          <w:szCs w:val="20"/>
        </w:rPr>
      </w:pPr>
      <w:r>
        <w:rPr>
          <w:noProof/>
        </w:rPr>
        <w:lastRenderedPageBreak/>
        <w:drawing>
          <wp:inline distT="0" distB="0" distL="0" distR="0" wp14:anchorId="6F689FD3" wp14:editId="1BC848FB">
            <wp:extent cx="5943600" cy="44577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8"/>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2D4C1C">
        <w:rPr>
          <w:b/>
          <w:sz w:val="20"/>
          <w:szCs w:val="20"/>
        </w:rPr>
        <w:t>4.7</w:t>
      </w:r>
      <w:r w:rsidR="00543008">
        <w:rPr>
          <w:b/>
          <w:sz w:val="20"/>
          <w:szCs w:val="20"/>
        </w:rPr>
        <w:t>0</w:t>
      </w:r>
      <w:r>
        <w:rPr>
          <w:b/>
          <w:sz w:val="20"/>
          <w:szCs w:val="20"/>
        </w:rPr>
        <w:t xml:space="preserve">. Faulty Case 6 3D Scores Plot for PC1, PC2, and PC3.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as an ellipsoid</w:t>
      </w:r>
      <w:r w:rsidRPr="00EE2556">
        <w:rPr>
          <w:i/>
          <w:sz w:val="20"/>
          <w:szCs w:val="20"/>
        </w:rPr>
        <w:t>. The</w:t>
      </w:r>
      <w:r>
        <w:rPr>
          <w:i/>
          <w:sz w:val="20"/>
          <w:szCs w:val="20"/>
        </w:rPr>
        <w:t>re wa</w:t>
      </w:r>
      <w:r w:rsidRPr="00EE2556">
        <w:rPr>
          <w:i/>
          <w:sz w:val="20"/>
          <w:szCs w:val="20"/>
        </w:rPr>
        <w:t xml:space="preserve">s </w:t>
      </w:r>
      <w:r>
        <w:rPr>
          <w:i/>
          <w:sz w:val="20"/>
          <w:szCs w:val="20"/>
        </w:rPr>
        <w:t>a slight change in all scores, but the fault is likely undetectable at most operating conditions.</w:t>
      </w:r>
    </w:p>
    <w:p w:rsidR="00E664E4" w:rsidRPr="00AB12F8" w:rsidRDefault="001B0CB1" w:rsidP="00E664E4">
      <w:pPr>
        <w:jc w:val="center"/>
      </w:pPr>
      <w:r>
        <w:rPr>
          <w:noProof/>
        </w:rPr>
        <w:lastRenderedPageBreak/>
        <w:drawing>
          <wp:inline distT="0" distB="0" distL="0" distR="0" wp14:anchorId="6DA48B3D" wp14:editId="5C7E9CFE">
            <wp:extent cx="5943600" cy="44577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9"/>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2D4C1C">
        <w:rPr>
          <w:b/>
          <w:sz w:val="20"/>
          <w:szCs w:val="20"/>
        </w:rPr>
        <w:t>4.7</w:t>
      </w:r>
      <w:r w:rsidR="00543008">
        <w:rPr>
          <w:b/>
          <w:sz w:val="20"/>
          <w:szCs w:val="20"/>
        </w:rPr>
        <w:t>1</w:t>
      </w:r>
      <w:r>
        <w:rPr>
          <w:b/>
          <w:sz w:val="20"/>
          <w:szCs w:val="20"/>
        </w:rPr>
        <w:t xml:space="preserve">. Faulty Case 6 Mahalanobis Distance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a slight change in the Mahalanobis distance, but the fault is likely undetectable at most operating conditions.</w:t>
      </w:r>
    </w:p>
    <w:p w:rsidR="00E664E4" w:rsidRDefault="00E664E4" w:rsidP="00E664E4">
      <w:pPr>
        <w:rPr>
          <w:i/>
          <w:sz w:val="20"/>
          <w:szCs w:val="20"/>
        </w:rPr>
      </w:pPr>
    </w:p>
    <w:p w:rsidR="00E664E4" w:rsidRDefault="001B0CB1" w:rsidP="00E664E4">
      <w:pPr>
        <w:jc w:val="center"/>
        <w:rPr>
          <w:i/>
          <w:sz w:val="20"/>
          <w:szCs w:val="20"/>
        </w:rPr>
      </w:pPr>
      <w:r>
        <w:rPr>
          <w:noProof/>
        </w:rPr>
        <w:lastRenderedPageBreak/>
        <w:drawing>
          <wp:inline distT="0" distB="0" distL="0" distR="0" wp14:anchorId="0059A374" wp14:editId="09E05131">
            <wp:extent cx="5943600" cy="4457700"/>
            <wp:effectExtent l="0" t="0" r="0" b="0"/>
            <wp:docPr id="1054" name="Picture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0"/>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2D4C1C">
        <w:rPr>
          <w:b/>
          <w:sz w:val="20"/>
          <w:szCs w:val="20"/>
        </w:rPr>
        <w:t>4.7</w:t>
      </w:r>
      <w:r w:rsidR="00543008">
        <w:rPr>
          <w:b/>
          <w:sz w:val="20"/>
          <w:szCs w:val="20"/>
        </w:rPr>
        <w:t>2</w:t>
      </w:r>
      <w:r>
        <w:rPr>
          <w:b/>
          <w:sz w:val="20"/>
          <w:szCs w:val="20"/>
        </w:rPr>
        <w:t xml:space="preserve">. Faulty Case 6 </w:t>
      </w:r>
      <m:oMath>
        <m:r>
          <m:rPr>
            <m:sty m:val="bi"/>
          </m:rPr>
          <w:rPr>
            <w:rFonts w:ascii="Cambria Math" w:hAnsi="Cambria Math"/>
            <w:sz w:val="20"/>
            <w:szCs w:val="20"/>
          </w:rPr>
          <m:t>Q</m:t>
        </m:r>
      </m:oMath>
      <w:r>
        <w:rPr>
          <w:b/>
          <w:sz w:val="20"/>
          <w:szCs w:val="20"/>
        </w:rPr>
        <w:t xml:space="preserve">-Statistic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a detectable fault</w:t>
      </w:r>
      <w:r w:rsidR="00CE10B2">
        <w:rPr>
          <w:i/>
          <w:sz w:val="20"/>
          <w:szCs w:val="20"/>
        </w:rPr>
        <w:t>.</w:t>
      </w:r>
    </w:p>
    <w:p w:rsidR="00E664E4" w:rsidRDefault="00E664E4" w:rsidP="00E664E4">
      <w:pPr>
        <w:rPr>
          <w:i/>
          <w:sz w:val="20"/>
          <w:szCs w:val="20"/>
        </w:rPr>
      </w:pPr>
    </w:p>
    <w:p w:rsidR="00E664E4" w:rsidRDefault="001B0CB1" w:rsidP="00E664E4">
      <w:pPr>
        <w:jc w:val="center"/>
        <w:rPr>
          <w:i/>
          <w:sz w:val="20"/>
          <w:szCs w:val="20"/>
        </w:rPr>
      </w:pPr>
      <w:r>
        <w:rPr>
          <w:noProof/>
        </w:rPr>
        <w:lastRenderedPageBreak/>
        <w:drawing>
          <wp:inline distT="0" distB="0" distL="0" distR="0" wp14:anchorId="7D97732E" wp14:editId="362AA4A3">
            <wp:extent cx="5943600" cy="44577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1"/>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2D4C1C">
        <w:rPr>
          <w:b/>
          <w:sz w:val="20"/>
          <w:szCs w:val="20"/>
        </w:rPr>
        <w:t>4.7</w:t>
      </w:r>
      <w:r w:rsidR="00543008">
        <w:rPr>
          <w:b/>
          <w:sz w:val="20"/>
          <w:szCs w:val="20"/>
        </w:rPr>
        <w:t>3</w:t>
      </w:r>
      <w:r>
        <w:rPr>
          <w:b/>
          <w:sz w:val="20"/>
          <w:szCs w:val="20"/>
        </w:rPr>
        <w:t xml:space="preserve">. Faulty Case 6 PC1, PC2, and </w:t>
      </w:r>
      <m:oMath>
        <m:r>
          <m:rPr>
            <m:sty m:val="bi"/>
          </m:rPr>
          <w:rPr>
            <w:rFonts w:ascii="Cambria Math" w:hAnsi="Cambria Math"/>
            <w:sz w:val="20"/>
            <w:szCs w:val="20"/>
          </w:rPr>
          <m:t>Q</m:t>
        </m:r>
      </m:oMath>
      <w:r>
        <w:rPr>
          <w:b/>
          <w:sz w:val="20"/>
          <w:szCs w:val="20"/>
        </w:rPr>
        <w:t xml:space="preserve">-Statistic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 xml:space="preserve">a detectable fault in the </w:t>
      </w:r>
      <m:oMath>
        <m:r>
          <w:rPr>
            <w:rFonts w:ascii="Cambria Math" w:hAnsi="Cambria Math"/>
            <w:sz w:val="20"/>
            <w:szCs w:val="20"/>
          </w:rPr>
          <m:t>Q</m:t>
        </m:r>
      </m:oMath>
      <w:r>
        <w:rPr>
          <w:rFonts w:eastAsiaTheme="minorEastAsia"/>
          <w:i/>
          <w:sz w:val="20"/>
          <w:szCs w:val="20"/>
        </w:rPr>
        <w:t>-statistic.</w:t>
      </w:r>
    </w:p>
    <w:p w:rsidR="00E664E4" w:rsidRDefault="00E664E4" w:rsidP="00E664E4"/>
    <w:p w:rsidR="00567A68" w:rsidRPr="005B5260" w:rsidRDefault="00567A68" w:rsidP="00E664E4"/>
    <w:p w:rsidR="001B675F" w:rsidRDefault="001B675F">
      <w:pPr>
        <w:rPr>
          <w:rFonts w:asciiTheme="majorHAnsi" w:hAnsiTheme="majorHAnsi"/>
          <w:b/>
        </w:rPr>
      </w:pPr>
      <w:r>
        <w:rPr>
          <w:rFonts w:asciiTheme="majorHAnsi" w:hAnsiTheme="majorHAnsi"/>
          <w:b/>
        </w:rPr>
        <w:br w:type="page"/>
      </w:r>
    </w:p>
    <w:p w:rsidR="00E664E4" w:rsidRDefault="00E664E4" w:rsidP="00E664E4">
      <w:pPr>
        <w:rPr>
          <w:rFonts w:asciiTheme="majorHAnsi" w:hAnsiTheme="majorHAnsi"/>
          <w:b/>
        </w:rPr>
      </w:pPr>
      <w:r>
        <w:rPr>
          <w:rFonts w:asciiTheme="majorHAnsi" w:hAnsiTheme="majorHAnsi"/>
          <w:b/>
        </w:rPr>
        <w:lastRenderedPageBreak/>
        <w:t>4.3.7 Case 7</w:t>
      </w:r>
    </w:p>
    <w:p w:rsidR="00E664E4" w:rsidRDefault="00E664E4" w:rsidP="00E664E4">
      <w:pPr>
        <w:rPr>
          <w:rFonts w:eastAsiaTheme="minorEastAsia"/>
        </w:rPr>
      </w:pPr>
      <w:r>
        <w:t>For case seven, the effect of inefficient precipitation process operations in Module 3 was investigated. Inefficient operations results in uran</w:t>
      </w:r>
      <w:r w:rsidR="00A12897">
        <w:t xml:space="preserve">yl </w:t>
      </w:r>
      <w:r w:rsidR="007F5AD6">
        <w:t xml:space="preserve">nitrate </w:t>
      </w:r>
      <w:r>
        <w:t xml:space="preserve">not being completely converted </w:t>
      </w:r>
      <w:r w:rsidR="00B86BB6">
        <w:t xml:space="preserve">to </w:t>
      </w:r>
      <w:r w:rsidR="007F5AD6">
        <w:t xml:space="preserve">AUC </w:t>
      </w:r>
      <w:r>
        <w:t>and therefore additional uranium would leave the process as waste. This case was modeled by changing the extent</w:t>
      </w:r>
      <w:r w:rsidR="00E365C2">
        <w:t xml:space="preserve"> of reaction for the precipitation</w:t>
      </w:r>
      <w:r>
        <w:t xml:space="preserve"> reaction, </w:t>
      </w:r>
      <m:oMath>
        <m:sSub>
          <m:sSubPr>
            <m:ctrlPr>
              <w:rPr>
                <w:rFonts w:ascii="Cambria Math" w:hAnsi="Cambria Math"/>
              </w:rPr>
            </m:ctrlPr>
          </m:sSubPr>
          <m:e>
            <m:r>
              <w:rPr>
                <w:rFonts w:ascii="Cambria Math" w:hAnsi="Cambria Math"/>
              </w:rPr>
              <m:t>X</m:t>
            </m:r>
          </m:e>
          <m:sub>
            <m:r>
              <w:rPr>
                <w:rFonts w:ascii="Cambria Math" w:hAnsi="Cambria Math"/>
              </w:rPr>
              <m:t>Mod3C</m:t>
            </m:r>
          </m:sub>
        </m:sSub>
      </m:oMath>
      <w:r>
        <w:rPr>
          <w:rFonts w:eastAsiaTheme="minorEastAsia"/>
        </w:rPr>
        <w:t>, from 0.9999 to 0.9. During the sensitivity analysis, three state variables were identified as being artificially sensitive to changes in this pa</w:t>
      </w:r>
      <w:proofErr w:type="spellStart"/>
      <w:r>
        <w:rPr>
          <w:rFonts w:eastAsiaTheme="minorEastAsia"/>
        </w:rPr>
        <w:t>rameter</w:t>
      </w:r>
      <w:proofErr w:type="spellEnd"/>
      <w:r w:rsidR="00B86BB6">
        <w:rPr>
          <w:rFonts w:eastAsiaTheme="minorEastAsia"/>
        </w:rPr>
        <w:t>, such that the sensitivity factor was -9999</w:t>
      </w:r>
      <w:r>
        <w:rPr>
          <w:rFonts w:eastAsiaTheme="minorEastAsia"/>
        </w:rPr>
        <w:t xml:space="preserve">. Those state variables were </w:t>
      </w:r>
      <w:proofErr w:type="spellStart"/>
      <w:r>
        <w:rPr>
          <w:rFonts w:eastAsiaTheme="minorEastAsia"/>
        </w:rPr>
        <w:t>Xss</w:t>
      </w:r>
      <w:proofErr w:type="spellEnd"/>
      <w:r>
        <w:rPr>
          <w:rFonts w:eastAsiaTheme="minorEastAsia"/>
        </w:rPr>
        <w:t xml:space="preserve">(146), </w:t>
      </w:r>
      <w:proofErr w:type="spellStart"/>
      <w:r>
        <w:rPr>
          <w:rFonts w:eastAsiaTheme="minorEastAsia"/>
        </w:rPr>
        <w:t>Xss</w:t>
      </w:r>
      <w:proofErr w:type="spellEnd"/>
      <w:r>
        <w:rPr>
          <w:rFonts w:eastAsiaTheme="minorEastAsia"/>
        </w:rPr>
        <w:t xml:space="preserve">(157), and </w:t>
      </w:r>
      <w:proofErr w:type="spellStart"/>
      <w:r>
        <w:rPr>
          <w:rFonts w:eastAsiaTheme="minorEastAsia"/>
        </w:rPr>
        <w:t>Xss</w:t>
      </w:r>
      <w:proofErr w:type="spellEnd"/>
      <w:r>
        <w:rPr>
          <w:rFonts w:eastAsiaTheme="minorEastAsia"/>
        </w:rPr>
        <w:t>(169) which correspond to the uranyl nitrate in Stream</w:t>
      </w:r>
      <w:r w:rsidR="00E365C2">
        <w:rPr>
          <w:rFonts w:eastAsiaTheme="minorEastAsia"/>
        </w:rPr>
        <w:t>s</w:t>
      </w:r>
      <w:r>
        <w:rPr>
          <w:rFonts w:eastAsiaTheme="minorEastAsia"/>
        </w:rPr>
        <w:t xml:space="preserve"> 27, 29, and 31, respectively. In order to get a realistic response from the PCA model, these state variables were removed from the faulty case analysis.</w:t>
      </w:r>
      <w:r w:rsidR="00E365C2">
        <w:rPr>
          <w:rFonts w:eastAsiaTheme="minorEastAsia"/>
        </w:rPr>
        <w:t xml:space="preserve"> </w:t>
      </w:r>
      <w:r w:rsidR="00E365C2">
        <w:t xml:space="preserve">This case was easily detectable using the </w:t>
      </w:r>
      <m:oMath>
        <m:r>
          <w:rPr>
            <w:rFonts w:ascii="Cambria Math" w:hAnsi="Cambria Math"/>
          </w:rPr>
          <m:t>Q</m:t>
        </m:r>
      </m:oMath>
      <w:r w:rsidR="00E365C2">
        <w:rPr>
          <w:rFonts w:eastAsiaTheme="minorEastAsia"/>
        </w:rPr>
        <w:t>-statistic.</w:t>
      </w:r>
    </w:p>
    <w:p w:rsidR="0094545D" w:rsidRDefault="0094545D" w:rsidP="00E664E4">
      <w:pPr>
        <w:rPr>
          <w:rFonts w:eastAsiaTheme="minorEastAsia"/>
        </w:rPr>
      </w:pPr>
      <w:r>
        <w:t>The extent of reaction for the precipitation reaction</w:t>
      </w:r>
      <w:proofErr w:type="gramStart"/>
      <w:r>
        <w:t xml:space="preserve">, </w:t>
      </w:r>
      <w:proofErr w:type="gramEnd"/>
      <m:oMath>
        <m:sSub>
          <m:sSubPr>
            <m:ctrlPr>
              <w:rPr>
                <w:rFonts w:ascii="Cambria Math" w:hAnsi="Cambria Math"/>
              </w:rPr>
            </m:ctrlPr>
          </m:sSubPr>
          <m:e>
            <m:r>
              <w:rPr>
                <w:rFonts w:ascii="Cambria Math" w:hAnsi="Cambria Math"/>
              </w:rPr>
              <m:t>X</m:t>
            </m:r>
          </m:e>
          <m:sub>
            <m:r>
              <w:rPr>
                <w:rFonts w:ascii="Cambria Math" w:hAnsi="Cambria Math"/>
              </w:rPr>
              <m:t>Mod3C</m:t>
            </m:r>
          </m:sub>
        </m:sSub>
      </m:oMath>
      <w:r>
        <w:rPr>
          <w:rFonts w:eastAsiaTheme="minorEastAsia"/>
        </w:rPr>
        <w:t>, appears in the model as shown in Equations 3.2.3.24–32 which are restated here in terms of state variable numbers.</w:t>
      </w:r>
    </w:p>
    <w:p w:rsidR="0094545D" w:rsidRDefault="005D1EA5" w:rsidP="0094545D">
      <w:pPr>
        <w:jc w:val="right"/>
      </w:pPr>
      <m:oMath>
        <m:r>
          <w:rPr>
            <w:rFonts w:ascii="Cambria Math" w:hAnsi="Cambria Math"/>
          </w:rPr>
          <m:t>Xss(134)</m:t>
        </m:r>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3</m:t>
                </m:r>
                <m:r>
                  <w:rPr>
                    <w:rFonts w:ascii="Cambria Math" w:hAnsi="Cambria Math"/>
                  </w:rPr>
                  <m:t>C</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3</m:t>
                </m:r>
                <m:r>
                  <w:rPr>
                    <w:rFonts w:ascii="Cambria Math" w:hAnsi="Cambria Math"/>
                  </w:rPr>
                  <m:t>C</m:t>
                </m:r>
              </m:sub>
            </m:sSub>
            <m:r>
              <m:rPr>
                <m:sty m:val="p"/>
              </m:rPr>
              <w:rPr>
                <w:rFonts w:ascii="Cambria Math" w:hAnsi="Cambria Math"/>
              </w:rPr>
              <m:t>*Xss</m:t>
            </m:r>
            <m:d>
              <m:dPr>
                <m:ctrlPr>
                  <w:rPr>
                    <w:rFonts w:ascii="Cambria Math" w:hAnsi="Cambria Math"/>
                  </w:rPr>
                </m:ctrlPr>
              </m:dPr>
              <m:e>
                <m:r>
                  <w:rPr>
                    <w:rFonts w:ascii="Cambria Math" w:hAnsi="Cambria Math"/>
                  </w:rPr>
                  <m:t>138</m:t>
                </m:r>
              </m:e>
            </m:d>
          </m:e>
        </m:d>
        <m:r>
          <m:rPr>
            <m:sty m:val="p"/>
          </m:rPr>
          <w:rPr>
            <w:rFonts w:ascii="Cambria Math" w:hAnsi="Cambria Math"/>
          </w:rPr>
          <m:t>-</m:t>
        </m:r>
        <m:r>
          <m:rPr>
            <m:sty m:val="p"/>
          </m:rPr>
          <w:rPr>
            <w:rFonts w:ascii="Cambria Math" w:hAnsi="Cambria Math"/>
          </w:rPr>
          <m:t>Xss(141)</m:t>
        </m:r>
        <m:r>
          <m:rPr>
            <m:sty m:val="p"/>
          </m:rPr>
          <w:rPr>
            <w:rFonts w:ascii="Cambria Math" w:hAnsi="Cambria Math"/>
          </w:rPr>
          <m:t>=0</m:t>
        </m:r>
      </m:oMath>
      <w:r w:rsidR="0094545D" w:rsidRPr="00BF5CD5">
        <w:t xml:space="preserve"> </w:t>
      </w:r>
      <w:r w:rsidR="0094545D" w:rsidRPr="00BF5CD5">
        <w:tab/>
      </w:r>
      <w:r w:rsidR="0094545D" w:rsidRPr="00BF5CD5">
        <w:tab/>
      </w:r>
      <w:r w:rsidR="0094545D">
        <w:t>Eq. (</w:t>
      </w:r>
      <w:r>
        <w:t>4.3.7.1</w:t>
      </w:r>
      <w:r w:rsidR="0094545D" w:rsidRPr="00BF5CD5">
        <w:t>)</w:t>
      </w:r>
    </w:p>
    <w:p w:rsidR="0094545D" w:rsidRPr="00BF5CD5" w:rsidRDefault="0094545D" w:rsidP="0094545D">
      <w:pPr>
        <w:jc w:val="right"/>
      </w:pPr>
      <m:oMath>
        <m:r>
          <m:rPr>
            <m:sty m:val="p"/>
          </m:rPr>
          <w:rPr>
            <w:rFonts w:ascii="Cambria Math" w:hAnsi="Cambria Math"/>
          </w:rPr>
          <m:t xml:space="preserve"> </m:t>
        </m:r>
        <m:r>
          <m:rPr>
            <m:sty m:val="p"/>
          </m:rPr>
          <w:rPr>
            <w:rFonts w:ascii="Cambria Math" w:hAnsi="Cambria Math"/>
          </w:rPr>
          <m:t>Xss(135)</m:t>
        </m:r>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3</m:t>
                </m:r>
                <m:r>
                  <w:rPr>
                    <w:rFonts w:ascii="Cambria Math" w:hAnsi="Cambria Math"/>
                  </w:rPr>
                  <m:t>C</m:t>
                </m:r>
                <m:r>
                  <m:rPr>
                    <m:sty m:val="p"/>
                  </m:rP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3</m:t>
                </m:r>
                <m:r>
                  <w:rPr>
                    <w:rFonts w:ascii="Cambria Math" w:hAnsi="Cambria Math"/>
                  </w:rPr>
                  <m:t>C</m:t>
                </m:r>
              </m:sub>
            </m:sSub>
            <m:r>
              <m:rPr>
                <m:sty m:val="p"/>
              </m:rPr>
              <w:rPr>
                <w:rFonts w:ascii="Cambria Math" w:hAnsi="Cambria Math"/>
              </w:rPr>
              <m:t>*</m:t>
            </m:r>
            <m:r>
              <m:rPr>
                <m:sty m:val="p"/>
              </m:rPr>
              <w:rPr>
                <w:rFonts w:ascii="Cambria Math" w:hAnsi="Cambria Math"/>
              </w:rPr>
              <m:t>Xss</m:t>
            </m:r>
            <m:d>
              <m:dPr>
                <m:ctrlPr>
                  <w:rPr>
                    <w:rFonts w:ascii="Cambria Math" w:hAnsi="Cambria Math"/>
                  </w:rPr>
                </m:ctrlPr>
              </m:dPr>
              <m:e>
                <m:r>
                  <w:rPr>
                    <w:rFonts w:ascii="Cambria Math" w:hAnsi="Cambria Math"/>
                  </w:rPr>
                  <m:t>138</m:t>
                </m:r>
              </m:e>
            </m:d>
          </m:e>
        </m:d>
        <m:r>
          <m:rPr>
            <m:sty m:val="p"/>
          </m:rPr>
          <w:rPr>
            <w:rFonts w:ascii="Cambria Math" w:hAnsi="Cambria Math"/>
          </w:rPr>
          <m:t>-</m:t>
        </m:r>
        <m:r>
          <m:rPr>
            <m:sty m:val="p"/>
          </m:rPr>
          <w:rPr>
            <w:rFonts w:ascii="Cambria Math" w:hAnsi="Cambria Math"/>
          </w:rPr>
          <m:t>Xss(142)</m:t>
        </m:r>
        <m:r>
          <m:rPr>
            <m:sty m:val="p"/>
          </m:rPr>
          <w:rPr>
            <w:rFonts w:ascii="Cambria Math" w:hAnsi="Cambria Math"/>
          </w:rPr>
          <m:t>=0</m:t>
        </m:r>
      </m:oMath>
      <w:r w:rsidRPr="00BF5CD5">
        <w:t xml:space="preserve"> </w:t>
      </w:r>
      <w:r w:rsidRPr="00BF5CD5">
        <w:tab/>
      </w:r>
      <w:r w:rsidRPr="00BF5CD5">
        <w:tab/>
      </w:r>
      <w:r>
        <w:t>Eq. (</w:t>
      </w:r>
      <w:r w:rsidR="005D1EA5">
        <w:t>4.3.7.2</w:t>
      </w:r>
      <w:r w:rsidRPr="00BF5CD5">
        <w:t>)</w:t>
      </w:r>
    </w:p>
    <w:p w:rsidR="0094545D" w:rsidRPr="00BF5CD5" w:rsidRDefault="005D1EA5" w:rsidP="0094545D">
      <w:pPr>
        <w:jc w:val="right"/>
      </w:pPr>
      <m:oMath>
        <m:r>
          <w:rPr>
            <w:rFonts w:ascii="Cambria Math" w:hAnsi="Cambria Math"/>
          </w:rPr>
          <m:t>Xss(136)</m:t>
        </m:r>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3</m:t>
                </m:r>
                <m:r>
                  <w:rPr>
                    <w:rFonts w:ascii="Cambria Math" w:hAnsi="Cambria Math"/>
                  </w:rPr>
                  <m:t>C</m:t>
                </m:r>
                <m:r>
                  <m:rPr>
                    <m:sty m:val="p"/>
                  </m:rPr>
                  <w:rPr>
                    <w:rFonts w:ascii="Cambria Math" w:hAnsi="Cambria Math"/>
                  </w:rPr>
                  <m:t>,8</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3</m:t>
                </m:r>
                <m:r>
                  <w:rPr>
                    <w:rFonts w:ascii="Cambria Math" w:hAnsi="Cambria Math"/>
                  </w:rPr>
                  <m:t>C</m:t>
                </m:r>
              </m:sub>
            </m:sSub>
            <m:r>
              <m:rPr>
                <m:sty m:val="p"/>
              </m:rPr>
              <w:rPr>
                <w:rFonts w:ascii="Cambria Math" w:hAnsi="Cambria Math"/>
              </w:rPr>
              <m:t>*</m:t>
            </m:r>
            <m:r>
              <m:rPr>
                <m:sty m:val="p"/>
              </m:rPr>
              <w:rPr>
                <w:rFonts w:ascii="Cambria Math" w:hAnsi="Cambria Math"/>
              </w:rPr>
              <m:t>Xss</m:t>
            </m:r>
            <m:d>
              <m:dPr>
                <m:ctrlPr>
                  <w:rPr>
                    <w:rFonts w:ascii="Cambria Math" w:hAnsi="Cambria Math"/>
                  </w:rPr>
                </m:ctrlPr>
              </m:dPr>
              <m:e>
                <m:r>
                  <w:rPr>
                    <w:rFonts w:ascii="Cambria Math" w:hAnsi="Cambria Math"/>
                  </w:rPr>
                  <m:t>138</m:t>
                </m:r>
              </m:e>
            </m:d>
          </m:e>
        </m:d>
        <m:r>
          <m:rPr>
            <m:sty m:val="p"/>
          </m:rPr>
          <w:rPr>
            <w:rFonts w:ascii="Cambria Math" w:hAnsi="Cambria Math"/>
          </w:rPr>
          <m:t>-</m:t>
        </m:r>
        <m:r>
          <m:rPr>
            <m:sty m:val="p"/>
          </m:rPr>
          <w:rPr>
            <w:rFonts w:ascii="Cambria Math" w:hAnsi="Cambria Math"/>
          </w:rPr>
          <m:t>Xss(143)</m:t>
        </m:r>
        <m:r>
          <m:rPr>
            <m:sty m:val="p"/>
          </m:rPr>
          <w:rPr>
            <w:rFonts w:ascii="Cambria Math" w:hAnsi="Cambria Math"/>
          </w:rPr>
          <m:t>=0</m:t>
        </m:r>
      </m:oMath>
      <w:r w:rsidR="0094545D" w:rsidRPr="00BF5CD5">
        <w:t xml:space="preserve"> </w:t>
      </w:r>
      <w:r w:rsidR="0094545D" w:rsidRPr="00BF5CD5">
        <w:tab/>
      </w:r>
      <w:r w:rsidR="0094545D" w:rsidRPr="00BF5CD5">
        <w:tab/>
      </w:r>
      <w:r w:rsidR="0094545D">
        <w:t>Eq. (</w:t>
      </w:r>
      <w:r>
        <w:t>4.3.7.3</w:t>
      </w:r>
      <w:r w:rsidR="0094545D" w:rsidRPr="00BF5CD5">
        <w:t>)</w:t>
      </w:r>
    </w:p>
    <w:p w:rsidR="0094545D" w:rsidRPr="00BF5CD5" w:rsidRDefault="0094545D" w:rsidP="0094545D">
      <w:pPr>
        <w:jc w:val="right"/>
      </w:pPr>
      <m:oMath>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3</m:t>
                </m:r>
                <m:r>
                  <w:rPr>
                    <w:rFonts w:ascii="Cambria Math" w:hAnsi="Cambria Math"/>
                  </w:rPr>
                  <m:t>C</m:t>
                </m:r>
                <m:r>
                  <m:rPr>
                    <m:sty m:val="p"/>
                  </m:rPr>
                  <w:rPr>
                    <w:rFonts w:ascii="Cambria Math" w:hAnsi="Cambria Math"/>
                  </w:rPr>
                  <m:t>,12</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3</m:t>
                </m:r>
                <m:r>
                  <w:rPr>
                    <w:rFonts w:ascii="Cambria Math" w:hAnsi="Cambria Math"/>
                  </w:rPr>
                  <m:t>C</m:t>
                </m:r>
              </m:sub>
            </m:sSub>
            <m:r>
              <m:rPr>
                <m:sty m:val="p"/>
              </m:rPr>
              <w:rPr>
                <w:rFonts w:ascii="Cambria Math" w:hAnsi="Cambria Math"/>
              </w:rPr>
              <m:t>*</m:t>
            </m:r>
            <m:r>
              <m:rPr>
                <m:sty m:val="p"/>
              </m:rPr>
              <w:rPr>
                <w:rFonts w:ascii="Cambria Math" w:hAnsi="Cambria Math"/>
              </w:rPr>
              <m:t>Xss</m:t>
            </m:r>
            <m:d>
              <m:dPr>
                <m:ctrlPr>
                  <w:rPr>
                    <w:rFonts w:ascii="Cambria Math" w:hAnsi="Cambria Math"/>
                  </w:rPr>
                </m:ctrlPr>
              </m:dPr>
              <m:e>
                <m:r>
                  <w:rPr>
                    <w:rFonts w:ascii="Cambria Math" w:hAnsi="Cambria Math"/>
                  </w:rPr>
                  <m:t>138</m:t>
                </m:r>
              </m:e>
            </m:d>
          </m:e>
        </m:d>
        <m:r>
          <m:rPr>
            <m:sty m:val="p"/>
          </m:rPr>
          <w:rPr>
            <w:rFonts w:ascii="Cambria Math" w:hAnsi="Cambria Math"/>
          </w:rPr>
          <m:t>-</m:t>
        </m:r>
        <m:r>
          <m:rPr>
            <m:sty m:val="p"/>
          </m:rPr>
          <w:rPr>
            <w:rFonts w:ascii="Cambria Math" w:hAnsi="Cambria Math"/>
          </w:rPr>
          <m:t>Xss(145)</m:t>
        </m:r>
        <m:r>
          <m:rPr>
            <m:sty m:val="p"/>
          </m:rPr>
          <w:rPr>
            <w:rFonts w:ascii="Cambria Math" w:hAnsi="Cambria Math"/>
          </w:rPr>
          <m:t>=0</m:t>
        </m:r>
      </m:oMath>
      <w:r w:rsidRPr="00BF5CD5">
        <w:t xml:space="preserve"> </w:t>
      </w:r>
      <w:r w:rsidRPr="00BF5CD5">
        <w:tab/>
      </w:r>
      <w:r w:rsidR="005D1EA5">
        <w:tab/>
      </w:r>
      <w:r w:rsidR="005D1EA5">
        <w:tab/>
      </w:r>
      <w:r>
        <w:t>Eq. (</w:t>
      </w:r>
      <w:r w:rsidR="005D1EA5">
        <w:t>4.3.7.4</w:t>
      </w:r>
      <w:r w:rsidRPr="00BF5CD5">
        <w:t>)</w:t>
      </w:r>
    </w:p>
    <w:p w:rsidR="0094545D" w:rsidRPr="00BF5CD5" w:rsidRDefault="005D1EA5" w:rsidP="0094545D">
      <w:pPr>
        <w:jc w:val="right"/>
      </w:pPr>
      <m:oMath>
        <m:r>
          <w:rPr>
            <w:rFonts w:ascii="Cambria Math" w:hAnsi="Cambria Math"/>
          </w:rPr>
          <m:t>Xss(138)</m:t>
        </m:r>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3</m:t>
                </m:r>
                <m:r>
                  <w:rPr>
                    <w:rFonts w:ascii="Cambria Math" w:hAnsi="Cambria Math"/>
                  </w:rPr>
                  <m:t>C</m:t>
                </m:r>
                <m:r>
                  <m:rPr>
                    <m:sty m:val="p"/>
                  </m:rPr>
                  <w:rPr>
                    <w:rFonts w:ascii="Cambria Math" w:hAnsi="Cambria Math"/>
                  </w:rPr>
                  <m:t>,14</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3</m:t>
                </m:r>
                <m:r>
                  <w:rPr>
                    <w:rFonts w:ascii="Cambria Math" w:hAnsi="Cambria Math"/>
                  </w:rPr>
                  <m:t>C</m:t>
                </m:r>
              </m:sub>
            </m:sSub>
            <m:r>
              <m:rPr>
                <m:sty m:val="p"/>
              </m:rPr>
              <w:rPr>
                <w:rFonts w:ascii="Cambria Math" w:hAnsi="Cambria Math"/>
              </w:rPr>
              <m:t>*</m:t>
            </m:r>
            <m:r>
              <m:rPr>
                <m:sty m:val="p"/>
              </m:rPr>
              <w:rPr>
                <w:rFonts w:ascii="Cambria Math" w:hAnsi="Cambria Math"/>
              </w:rPr>
              <m:t>Xss</m:t>
            </m:r>
            <m:d>
              <m:dPr>
                <m:ctrlPr>
                  <w:rPr>
                    <w:rFonts w:ascii="Cambria Math" w:hAnsi="Cambria Math"/>
                  </w:rPr>
                </m:ctrlPr>
              </m:dPr>
              <m:e>
                <m:r>
                  <w:rPr>
                    <w:rFonts w:ascii="Cambria Math" w:hAnsi="Cambria Math"/>
                  </w:rPr>
                  <m:t>138</m:t>
                </m:r>
              </m:e>
            </m:d>
          </m:e>
        </m:d>
        <m:r>
          <m:rPr>
            <m:sty m:val="p"/>
          </m:rPr>
          <w:rPr>
            <w:rFonts w:ascii="Cambria Math" w:hAnsi="Cambria Math"/>
          </w:rPr>
          <m:t>-</m:t>
        </m:r>
        <m:r>
          <m:rPr>
            <m:sty m:val="p"/>
          </m:rPr>
          <w:rPr>
            <w:rFonts w:ascii="Cambria Math" w:hAnsi="Cambria Math"/>
          </w:rPr>
          <m:t>Xss(146)</m:t>
        </m:r>
        <m:r>
          <m:rPr>
            <m:sty m:val="p"/>
          </m:rPr>
          <w:rPr>
            <w:rFonts w:ascii="Cambria Math" w:hAnsi="Cambria Math"/>
          </w:rPr>
          <m:t>=0</m:t>
        </m:r>
      </m:oMath>
      <w:r>
        <w:t xml:space="preserve"> </w:t>
      </w:r>
      <w:r>
        <w:tab/>
      </w:r>
      <w:r w:rsidR="0094545D">
        <w:t>Eq. (</w:t>
      </w:r>
      <w:r>
        <w:t>4.3.7.5</w:t>
      </w:r>
      <w:r w:rsidR="0094545D" w:rsidRPr="00BF5CD5">
        <w:t>)</w:t>
      </w:r>
    </w:p>
    <w:p w:rsidR="0094545D" w:rsidRPr="00BF5CD5" w:rsidRDefault="0094545D" w:rsidP="0094545D">
      <w:pPr>
        <w:jc w:val="right"/>
      </w:pPr>
      <m:oMath>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Mod</m:t>
                </m:r>
                <m:r>
                  <m:rPr>
                    <m:sty m:val="p"/>
                  </m:rPr>
                  <w:rPr>
                    <w:rFonts w:ascii="Cambria Math" w:hAnsi="Cambria Math"/>
                  </w:rPr>
                  <m:t>3</m:t>
                </m:r>
                <m:r>
                  <w:rPr>
                    <w:rFonts w:ascii="Cambria Math" w:hAnsi="Cambria Math"/>
                  </w:rPr>
                  <m:t>C</m:t>
                </m:r>
                <m:r>
                  <m:rPr>
                    <m:sty m:val="p"/>
                  </m:rPr>
                  <w:rPr>
                    <w:rFonts w:ascii="Cambria Math" w:hAnsi="Cambria Math"/>
                  </w:rPr>
                  <m:t>,19</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3</m:t>
                </m:r>
                <m:r>
                  <w:rPr>
                    <w:rFonts w:ascii="Cambria Math" w:hAnsi="Cambria Math"/>
                  </w:rPr>
                  <m:t>C</m:t>
                </m:r>
              </m:sub>
            </m:sSub>
            <m:r>
              <m:rPr>
                <m:sty m:val="p"/>
              </m:rPr>
              <w:rPr>
                <w:rFonts w:ascii="Cambria Math" w:hAnsi="Cambria Math"/>
              </w:rPr>
              <m:t>*</m:t>
            </m:r>
            <m:r>
              <m:rPr>
                <m:sty m:val="p"/>
              </m:rPr>
              <w:rPr>
                <w:rFonts w:ascii="Cambria Math" w:hAnsi="Cambria Math"/>
              </w:rPr>
              <m:t>Xss</m:t>
            </m:r>
            <m:d>
              <m:dPr>
                <m:ctrlPr>
                  <w:rPr>
                    <w:rFonts w:ascii="Cambria Math" w:hAnsi="Cambria Math"/>
                  </w:rPr>
                </m:ctrlPr>
              </m:dPr>
              <m:e>
                <m:r>
                  <w:rPr>
                    <w:rFonts w:ascii="Cambria Math" w:hAnsi="Cambria Math"/>
                  </w:rPr>
                  <m:t>138</m:t>
                </m:r>
              </m:e>
            </m:d>
          </m:e>
        </m:d>
        <m:r>
          <m:rPr>
            <m:sty m:val="p"/>
          </m:rPr>
          <w:rPr>
            <w:rFonts w:ascii="Cambria Math" w:hAnsi="Cambria Math"/>
          </w:rPr>
          <m:t>-</m:t>
        </m:r>
        <m:r>
          <m:rPr>
            <m:sty m:val="p"/>
          </m:rPr>
          <w:rPr>
            <w:rFonts w:ascii="Cambria Math" w:hAnsi="Cambria Math"/>
          </w:rPr>
          <m:t>Xss(148)</m:t>
        </m:r>
        <m:r>
          <m:rPr>
            <m:sty m:val="p"/>
          </m:rPr>
          <w:rPr>
            <w:rFonts w:ascii="Cambria Math" w:hAnsi="Cambria Math"/>
          </w:rPr>
          <m:t>=0</m:t>
        </m:r>
      </m:oMath>
      <w:r w:rsidRPr="00BF5CD5">
        <w:t xml:space="preserve"> </w:t>
      </w:r>
      <w:r w:rsidRPr="00BF5CD5">
        <w:tab/>
      </w:r>
      <w:r w:rsidRPr="00BF5CD5">
        <w:tab/>
      </w:r>
      <w:r w:rsidRPr="00BF5CD5">
        <w:tab/>
      </w:r>
      <w:r>
        <w:t>Eq. (</w:t>
      </w:r>
      <w:r w:rsidR="005D1EA5">
        <w:t>4.3.7.6</w:t>
      </w:r>
      <w:r w:rsidRPr="00BF5CD5">
        <w:t>)</w:t>
      </w:r>
    </w:p>
    <w:p w:rsidR="002020C3" w:rsidRDefault="002020C3" w:rsidP="00E664E4">
      <w:pPr>
        <w:rPr>
          <w:rFonts w:eastAsiaTheme="minorEastAsia"/>
        </w:rPr>
      </w:pPr>
      <w:r>
        <w:rPr>
          <w:rFonts w:eastAsiaTheme="minorEastAsia"/>
        </w:rPr>
        <w:t xml:space="preserve">State variable </w:t>
      </w:r>
      <w:proofErr w:type="spellStart"/>
      <w:proofErr w:type="gramStart"/>
      <w:r>
        <w:rPr>
          <w:rFonts w:eastAsiaTheme="minorEastAsia"/>
        </w:rPr>
        <w:t>Xss</w:t>
      </w:r>
      <w:proofErr w:type="spellEnd"/>
      <w:r>
        <w:rPr>
          <w:rFonts w:eastAsiaTheme="minorEastAsia"/>
        </w:rPr>
        <w:t>(</w:t>
      </w:r>
      <w:proofErr w:type="gramEnd"/>
      <w:r>
        <w:rPr>
          <w:rFonts w:eastAsiaTheme="minorEastAsia"/>
        </w:rPr>
        <w:t xml:space="preserve">142), </w:t>
      </w:r>
      <w:proofErr w:type="spellStart"/>
      <w:r>
        <w:rPr>
          <w:rFonts w:eastAsiaTheme="minorEastAsia"/>
        </w:rPr>
        <w:t>Xss</w:t>
      </w:r>
      <w:proofErr w:type="spellEnd"/>
      <w:r>
        <w:rPr>
          <w:rFonts w:eastAsiaTheme="minorEastAsia"/>
        </w:rPr>
        <w:t xml:space="preserve">(143), </w:t>
      </w:r>
      <w:proofErr w:type="spellStart"/>
      <w:r>
        <w:rPr>
          <w:rFonts w:eastAsiaTheme="minorEastAsia"/>
        </w:rPr>
        <w:t>Xss</w:t>
      </w:r>
      <w:proofErr w:type="spellEnd"/>
      <w:r>
        <w:rPr>
          <w:rFonts w:eastAsiaTheme="minorEastAsia"/>
        </w:rPr>
        <w:t xml:space="preserve">(150), and </w:t>
      </w:r>
      <w:proofErr w:type="spellStart"/>
      <w:r>
        <w:rPr>
          <w:rFonts w:eastAsiaTheme="minorEastAsia"/>
        </w:rPr>
        <w:t>Xss</w:t>
      </w:r>
      <w:proofErr w:type="spellEnd"/>
      <w:r>
        <w:rPr>
          <w:rFonts w:eastAsiaTheme="minorEastAsia"/>
        </w:rPr>
        <w:t>(151) increased by 20% in comparison with the base case nominal solution with the addition of this stream. These were the ammonia and CO</w:t>
      </w:r>
      <w:r w:rsidRPr="008B2B64">
        <w:rPr>
          <w:rFonts w:eastAsiaTheme="minorEastAsia"/>
          <w:vertAlign w:val="subscript"/>
        </w:rPr>
        <w:t>2</w:t>
      </w:r>
      <w:r>
        <w:rPr>
          <w:rFonts w:eastAsiaTheme="minorEastAsia"/>
        </w:rPr>
        <w:t xml:space="preserve"> in Streams 27 and 28.</w:t>
      </w:r>
      <w:r w:rsidR="006869E2">
        <w:rPr>
          <w:rFonts w:eastAsiaTheme="minorEastAsia"/>
        </w:rPr>
        <w:t xml:space="preserve"> </w:t>
      </w:r>
      <w:r>
        <w:rPr>
          <w:rFonts w:eastAsiaTheme="minorEastAsia"/>
        </w:rPr>
        <w:t>An additional 78 state variables decreased by 10% when compared to the base case nominal solution. These 78 state variables included state variables that were heavy contributors to PC1, PC2, or PC3.</w:t>
      </w:r>
    </w:p>
    <w:p w:rsidR="006869E2" w:rsidRDefault="008371F3" w:rsidP="00E664E4">
      <w:pPr>
        <w:rPr>
          <w:rFonts w:eastAsiaTheme="minorEastAsia"/>
        </w:rPr>
      </w:pPr>
      <w:r>
        <w:rPr>
          <w:rFonts w:eastAsiaTheme="minorEastAsia"/>
        </w:rPr>
        <w:t>There was a slight shift in all of the scores (Figures 4.7</w:t>
      </w:r>
      <w:r w:rsidR="007F5AD6">
        <w:rPr>
          <w:rFonts w:eastAsiaTheme="minorEastAsia"/>
        </w:rPr>
        <w:t>4</w:t>
      </w:r>
      <w:r>
        <w:rPr>
          <w:rFonts w:eastAsiaTheme="minorEastAsia"/>
        </w:rPr>
        <w:t>–4.</w:t>
      </w:r>
      <w:r w:rsidR="007F5AD6">
        <w:rPr>
          <w:rFonts w:eastAsiaTheme="minorEastAsia"/>
        </w:rPr>
        <w:t>77</w:t>
      </w:r>
      <w:r>
        <w:rPr>
          <w:rFonts w:eastAsiaTheme="minorEastAsia"/>
        </w:rPr>
        <w:t xml:space="preserve">). However, the fault was not detectable in the scores plots because most of the data points were within the 95% confidence boundaries. </w:t>
      </w:r>
      <w:r>
        <w:t xml:space="preserve">A fault in the scores was expected since the model is highly sensitive to changes in the uranium bearing streams throughout the process, but the fault was not large enough to be detectable in the scores. </w:t>
      </w:r>
      <w:r w:rsidR="00CE21E4">
        <w:t xml:space="preserve">The third principal component </w:t>
      </w:r>
      <w:r w:rsidR="007F5AD6">
        <w:t xml:space="preserve">was heavily loaded by both the product and waste streams at the end of Module 3 which were directly affected by this fault. </w:t>
      </w:r>
      <w:r>
        <w:t xml:space="preserve">There was </w:t>
      </w:r>
      <w:r w:rsidR="00F37760">
        <w:t xml:space="preserve">also </w:t>
      </w:r>
      <w:r w:rsidR="004E68DC">
        <w:t xml:space="preserve">an increase </w:t>
      </w:r>
      <w:r>
        <w:t>in the M</w:t>
      </w:r>
      <w:r w:rsidR="007F5AD6">
        <w:t>ahalanobis distance (Figure 4.78</w:t>
      </w:r>
      <w:r>
        <w:t>), but most of the data</w:t>
      </w:r>
      <w:r w:rsidR="007F5AD6">
        <w:t xml:space="preserve"> points</w:t>
      </w:r>
      <w:r>
        <w:t xml:space="preserve"> were within the confidence boundary making the fault only </w:t>
      </w:r>
      <w:r>
        <w:lastRenderedPageBreak/>
        <w:t xml:space="preserve">detectable under certain operating conditions. </w:t>
      </w:r>
      <w:r w:rsidR="00585133">
        <w:t>A</w:t>
      </w:r>
      <w:r w:rsidR="004E68DC">
        <w:t>n increase</w:t>
      </w:r>
      <w:r w:rsidR="00585133">
        <w:t xml:space="preserve"> in the Mahalanobis distance was expected since additional uranium leaving as waste was outside normal operating conditions. Since the fault was not large enough to be detectable it showed that this fault was not large enough to be outside of normal operating conditions. There was a</w:t>
      </w:r>
      <w:r w:rsidR="007063C2">
        <w:t>n increase</w:t>
      </w:r>
      <w:r w:rsidR="00585133">
        <w:t xml:space="preserve"> in the </w:t>
      </w:r>
      <m:oMath>
        <m:r>
          <w:rPr>
            <w:rFonts w:ascii="Cambria Math" w:hAnsi="Cambria Math"/>
          </w:rPr>
          <m:t>Q</m:t>
        </m:r>
      </m:oMath>
      <w:r w:rsidR="00585133">
        <w:rPr>
          <w:rFonts w:eastAsiaTheme="minorEastAsia"/>
        </w:rPr>
        <w:t>-statistic (Figures 4.</w:t>
      </w:r>
      <w:r w:rsidR="007F5AD6">
        <w:rPr>
          <w:rFonts w:eastAsiaTheme="minorEastAsia"/>
        </w:rPr>
        <w:t>79</w:t>
      </w:r>
      <w:r w:rsidR="00585133">
        <w:rPr>
          <w:rFonts w:eastAsiaTheme="minorEastAsia"/>
        </w:rPr>
        <w:t>–4.8</w:t>
      </w:r>
      <w:r w:rsidR="007F5AD6">
        <w:rPr>
          <w:rFonts w:eastAsiaTheme="minorEastAsia"/>
        </w:rPr>
        <w:t>0</w:t>
      </w:r>
      <w:r w:rsidR="00585133">
        <w:rPr>
          <w:rFonts w:eastAsiaTheme="minorEastAsia"/>
        </w:rPr>
        <w:t>). The</w:t>
      </w:r>
      <w:r w:rsidR="00585133">
        <w:t xml:space="preserve"> </w:t>
      </w:r>
      <m:oMath>
        <m:r>
          <w:rPr>
            <w:rFonts w:ascii="Cambria Math" w:hAnsi="Cambria Math"/>
          </w:rPr>
          <m:t>Q</m:t>
        </m:r>
      </m:oMath>
      <w:r w:rsidR="00585133">
        <w:t xml:space="preserve">-statistic </w:t>
      </w:r>
      <w:r w:rsidR="006869E2">
        <w:t>f</w:t>
      </w:r>
      <w:r w:rsidR="00585133">
        <w:t xml:space="preserve">ault was expected since changing the extent of reaction changes the parameters and therefore </w:t>
      </w:r>
      <w:proofErr w:type="spellStart"/>
      <w:r w:rsidR="006F1843">
        <w:t>the</w:t>
      </w:r>
      <w:proofErr w:type="spellEnd"/>
      <w:r w:rsidR="006F1843">
        <w:t xml:space="preserve"> relative relationship between the state variables</w:t>
      </w:r>
      <w:r w:rsidR="00585133">
        <w:t xml:space="preserve"> w</w:t>
      </w:r>
      <w:r w:rsidR="007F5AD6">
        <w:t>ould</w:t>
      </w:r>
      <w:r w:rsidR="00585133">
        <w:t xml:space="preserve"> be different.</w:t>
      </w:r>
      <w:r w:rsidR="00585133">
        <w:rPr>
          <w:rFonts w:eastAsiaTheme="minorEastAsia"/>
        </w:rPr>
        <w:t xml:space="preserve"> </w:t>
      </w:r>
      <w:r w:rsidR="00E664E4">
        <w:t xml:space="preserve">A 10% reduction in the extent of reaction produced a detectable fault only in the </w:t>
      </w:r>
      <m:oMath>
        <m:r>
          <w:rPr>
            <w:rFonts w:ascii="Cambria Math" w:hAnsi="Cambria Math"/>
          </w:rPr>
          <m:t>Q</m:t>
        </m:r>
      </m:oMath>
      <w:r w:rsidR="00E664E4">
        <w:rPr>
          <w:rFonts w:eastAsiaTheme="minorEastAsia"/>
        </w:rPr>
        <w:t>-statistic.</w:t>
      </w:r>
      <w:r w:rsidR="007F5AD6">
        <w:rPr>
          <w:rFonts w:eastAsiaTheme="minorEastAsia"/>
        </w:rPr>
        <w:t xml:space="preserve"> </w:t>
      </w:r>
    </w:p>
    <w:p w:rsidR="001B675F" w:rsidRDefault="00A12897" w:rsidP="00E664E4">
      <w:pPr>
        <w:rPr>
          <w:rFonts w:eastAsiaTheme="minorEastAsia"/>
        </w:rPr>
      </w:pPr>
      <w:r>
        <w:t xml:space="preserve">It is recommended that the product and waste streams in the evaporation and precipitation process areas of the facility be monitored for both flow rate and uranium content. For this fault specifically, it is recommended that the outlet stream from the precipitation process be monitored for flow rate and uranium content as well as type of uranium compound. </w:t>
      </w:r>
      <w:r w:rsidR="007F5AD6">
        <w:rPr>
          <w:rFonts w:eastAsiaTheme="minorEastAsia"/>
        </w:rPr>
        <w:t>Table 4.27 summarizes the Case 7 results.</w:t>
      </w:r>
    </w:p>
    <w:p w:rsidR="001B675F" w:rsidRDefault="001B675F">
      <w:pPr>
        <w:rPr>
          <w:rFonts w:eastAsiaTheme="minorEastAsia"/>
        </w:rPr>
      </w:pPr>
    </w:p>
    <w:p w:rsidR="006869E2" w:rsidRDefault="006869E2">
      <w:pPr>
        <w:rPr>
          <w:rFonts w:eastAsiaTheme="minorEastAsia"/>
        </w:rPr>
      </w:pPr>
    </w:p>
    <w:tbl>
      <w:tblPr>
        <w:tblW w:w="8220" w:type="dxa"/>
        <w:jc w:val="center"/>
        <w:tblInd w:w="93" w:type="dxa"/>
        <w:tblLook w:val="04A0" w:firstRow="1" w:lastRow="0" w:firstColumn="1" w:lastColumn="0" w:noHBand="0" w:noVBand="1"/>
      </w:tblPr>
      <w:tblGrid>
        <w:gridCol w:w="1367"/>
        <w:gridCol w:w="882"/>
        <w:gridCol w:w="1272"/>
        <w:gridCol w:w="1379"/>
        <w:gridCol w:w="1122"/>
        <w:gridCol w:w="2198"/>
      </w:tblGrid>
      <w:tr w:rsidR="007F5AD6" w:rsidRPr="007F5AD6" w:rsidTr="007F5AD6">
        <w:trPr>
          <w:trHeight w:val="270"/>
          <w:jc w:val="center"/>
        </w:trPr>
        <w:tc>
          <w:tcPr>
            <w:tcW w:w="8220" w:type="dxa"/>
            <w:gridSpan w:val="6"/>
            <w:tcBorders>
              <w:top w:val="nil"/>
              <w:left w:val="nil"/>
              <w:bottom w:val="single" w:sz="8" w:space="0" w:color="auto"/>
              <w:right w:val="nil"/>
            </w:tcBorders>
            <w:shd w:val="clear" w:color="auto" w:fill="auto"/>
            <w:noWrap/>
            <w:vAlign w:val="center"/>
            <w:hideMark/>
          </w:tcPr>
          <w:p w:rsidR="007F5AD6" w:rsidRPr="007F5AD6" w:rsidRDefault="007F5AD6" w:rsidP="007F5AD6">
            <w:pPr>
              <w:spacing w:after="0" w:line="240" w:lineRule="auto"/>
              <w:jc w:val="center"/>
              <w:rPr>
                <w:rFonts w:ascii="Calibri" w:eastAsia="Times New Roman" w:hAnsi="Calibri" w:cs="Times New Roman"/>
                <w:b/>
                <w:bCs/>
                <w:color w:val="000000"/>
                <w:sz w:val="20"/>
                <w:szCs w:val="20"/>
              </w:rPr>
            </w:pPr>
            <w:r w:rsidRPr="007F5AD6">
              <w:rPr>
                <w:rFonts w:ascii="Calibri" w:eastAsia="Times New Roman" w:hAnsi="Calibri" w:cs="Times New Roman"/>
                <w:b/>
                <w:bCs/>
                <w:color w:val="000000"/>
                <w:sz w:val="20"/>
                <w:szCs w:val="20"/>
              </w:rPr>
              <w:t>Table 4.27. Summary of Faulty Case 7</w:t>
            </w:r>
          </w:p>
        </w:tc>
      </w:tr>
      <w:tr w:rsidR="007F5AD6" w:rsidRPr="007F5AD6" w:rsidTr="007F5AD6">
        <w:trPr>
          <w:trHeight w:val="255"/>
          <w:jc w:val="center"/>
        </w:trPr>
        <w:tc>
          <w:tcPr>
            <w:tcW w:w="8220" w:type="dxa"/>
            <w:gridSpan w:val="6"/>
            <w:tcBorders>
              <w:top w:val="nil"/>
              <w:left w:val="nil"/>
              <w:bottom w:val="nil"/>
              <w:right w:val="nil"/>
            </w:tcBorders>
            <w:shd w:val="clear" w:color="auto" w:fill="auto"/>
            <w:noWrap/>
            <w:vAlign w:val="center"/>
            <w:hideMark/>
          </w:tcPr>
          <w:p w:rsidR="007F5AD6" w:rsidRPr="007F5AD6" w:rsidRDefault="007F5AD6" w:rsidP="007F5AD6">
            <w:pPr>
              <w:spacing w:after="0" w:line="240" w:lineRule="auto"/>
              <w:jc w:val="center"/>
              <w:rPr>
                <w:rFonts w:ascii="Calibri" w:eastAsia="Times New Roman" w:hAnsi="Calibri" w:cs="Times New Roman"/>
                <w:b/>
                <w:bCs/>
                <w:color w:val="000000"/>
                <w:sz w:val="20"/>
                <w:szCs w:val="20"/>
              </w:rPr>
            </w:pPr>
            <w:r w:rsidRPr="007F5AD6">
              <w:rPr>
                <w:rFonts w:ascii="Calibri" w:eastAsia="Times New Roman" w:hAnsi="Calibri" w:cs="Times New Roman"/>
                <w:b/>
                <w:bCs/>
                <w:color w:val="000000"/>
                <w:sz w:val="20"/>
                <w:szCs w:val="20"/>
              </w:rPr>
              <w:t>Summary of Faulty Case</w:t>
            </w:r>
          </w:p>
        </w:tc>
      </w:tr>
      <w:tr w:rsidR="007F5AD6" w:rsidRPr="007F5AD6" w:rsidTr="007F5AD6">
        <w:trPr>
          <w:trHeight w:val="255"/>
          <w:jc w:val="center"/>
        </w:trPr>
        <w:tc>
          <w:tcPr>
            <w:tcW w:w="1367" w:type="dxa"/>
            <w:tcBorders>
              <w:top w:val="nil"/>
              <w:left w:val="nil"/>
              <w:bottom w:val="single" w:sz="4" w:space="0" w:color="auto"/>
              <w:right w:val="nil"/>
            </w:tcBorders>
            <w:shd w:val="clear" w:color="auto" w:fill="auto"/>
            <w:noWrap/>
            <w:vAlign w:val="center"/>
            <w:hideMark/>
          </w:tcPr>
          <w:p w:rsidR="007F5AD6" w:rsidRPr="007F5AD6" w:rsidRDefault="007F5AD6" w:rsidP="007F5AD6">
            <w:pPr>
              <w:spacing w:after="0" w:line="240" w:lineRule="auto"/>
              <w:jc w:val="center"/>
              <w:rPr>
                <w:rFonts w:ascii="Calibri" w:eastAsia="Times New Roman" w:hAnsi="Calibri" w:cs="Times New Roman"/>
                <w:b/>
                <w:bCs/>
                <w:color w:val="000000"/>
                <w:sz w:val="20"/>
                <w:szCs w:val="20"/>
              </w:rPr>
            </w:pPr>
            <w:r w:rsidRPr="007F5AD6">
              <w:rPr>
                <w:rFonts w:ascii="Calibri" w:eastAsia="Times New Roman" w:hAnsi="Calibri" w:cs="Times New Roman"/>
                <w:b/>
                <w:bCs/>
                <w:color w:val="000000"/>
                <w:sz w:val="20"/>
                <w:szCs w:val="20"/>
              </w:rPr>
              <w:t>Priority</w:t>
            </w:r>
          </w:p>
        </w:tc>
        <w:tc>
          <w:tcPr>
            <w:tcW w:w="882" w:type="dxa"/>
            <w:tcBorders>
              <w:top w:val="nil"/>
              <w:left w:val="nil"/>
              <w:bottom w:val="single" w:sz="4" w:space="0" w:color="auto"/>
              <w:right w:val="nil"/>
            </w:tcBorders>
            <w:shd w:val="clear" w:color="auto" w:fill="auto"/>
            <w:vAlign w:val="center"/>
            <w:hideMark/>
          </w:tcPr>
          <w:p w:rsidR="007F5AD6" w:rsidRPr="007F5AD6" w:rsidRDefault="007F5AD6" w:rsidP="007F5AD6">
            <w:pPr>
              <w:spacing w:after="0" w:line="240" w:lineRule="auto"/>
              <w:jc w:val="center"/>
              <w:rPr>
                <w:rFonts w:ascii="Calibri" w:eastAsia="Times New Roman" w:hAnsi="Calibri" w:cs="Times New Roman"/>
                <w:b/>
                <w:bCs/>
                <w:sz w:val="20"/>
                <w:szCs w:val="20"/>
              </w:rPr>
            </w:pPr>
            <w:r w:rsidRPr="007F5AD6">
              <w:rPr>
                <w:rFonts w:ascii="Calibri" w:eastAsia="Times New Roman" w:hAnsi="Calibri" w:cs="Times New Roman"/>
                <w:b/>
                <w:bCs/>
                <w:sz w:val="20"/>
                <w:szCs w:val="20"/>
              </w:rPr>
              <w:t>Module</w:t>
            </w:r>
          </w:p>
        </w:tc>
        <w:tc>
          <w:tcPr>
            <w:tcW w:w="1272" w:type="dxa"/>
            <w:tcBorders>
              <w:top w:val="nil"/>
              <w:left w:val="nil"/>
              <w:bottom w:val="single" w:sz="4" w:space="0" w:color="auto"/>
              <w:right w:val="nil"/>
            </w:tcBorders>
            <w:shd w:val="clear" w:color="auto" w:fill="auto"/>
            <w:vAlign w:val="center"/>
            <w:hideMark/>
          </w:tcPr>
          <w:p w:rsidR="007F5AD6" w:rsidRPr="007F5AD6" w:rsidRDefault="007F5AD6" w:rsidP="007F5AD6">
            <w:pPr>
              <w:spacing w:after="0" w:line="240" w:lineRule="auto"/>
              <w:jc w:val="center"/>
              <w:rPr>
                <w:rFonts w:ascii="Calibri" w:eastAsia="Times New Roman" w:hAnsi="Calibri" w:cs="Times New Roman"/>
                <w:b/>
                <w:bCs/>
                <w:sz w:val="20"/>
                <w:szCs w:val="20"/>
              </w:rPr>
            </w:pPr>
            <w:r w:rsidRPr="007F5AD6">
              <w:rPr>
                <w:rFonts w:ascii="Calibri" w:eastAsia="Times New Roman" w:hAnsi="Calibri" w:cs="Times New Roman"/>
                <w:b/>
                <w:bCs/>
                <w:sz w:val="20"/>
                <w:szCs w:val="20"/>
              </w:rPr>
              <w:t>Faulty Variable</w:t>
            </w:r>
          </w:p>
        </w:tc>
        <w:tc>
          <w:tcPr>
            <w:tcW w:w="1379" w:type="dxa"/>
            <w:tcBorders>
              <w:top w:val="nil"/>
              <w:left w:val="nil"/>
              <w:bottom w:val="single" w:sz="4" w:space="0" w:color="auto"/>
              <w:right w:val="nil"/>
            </w:tcBorders>
            <w:shd w:val="clear" w:color="auto" w:fill="auto"/>
            <w:vAlign w:val="center"/>
            <w:hideMark/>
          </w:tcPr>
          <w:p w:rsidR="007F5AD6" w:rsidRPr="007F5AD6" w:rsidRDefault="007F5AD6" w:rsidP="007F5AD6">
            <w:pPr>
              <w:spacing w:after="0" w:line="240" w:lineRule="auto"/>
              <w:jc w:val="center"/>
              <w:rPr>
                <w:rFonts w:ascii="Calibri" w:eastAsia="Times New Roman" w:hAnsi="Calibri" w:cs="Times New Roman"/>
                <w:b/>
                <w:bCs/>
                <w:color w:val="000000"/>
                <w:sz w:val="20"/>
                <w:szCs w:val="20"/>
              </w:rPr>
            </w:pPr>
            <w:r w:rsidRPr="007F5AD6">
              <w:rPr>
                <w:rFonts w:ascii="Calibri" w:eastAsia="Times New Roman" w:hAnsi="Calibri" w:cs="Times New Roman"/>
                <w:b/>
                <w:bCs/>
                <w:color w:val="000000"/>
                <w:sz w:val="20"/>
                <w:szCs w:val="20"/>
              </w:rPr>
              <w:t>Base Case Value</w:t>
            </w:r>
          </w:p>
        </w:tc>
        <w:tc>
          <w:tcPr>
            <w:tcW w:w="1122" w:type="dxa"/>
            <w:tcBorders>
              <w:top w:val="nil"/>
              <w:left w:val="nil"/>
              <w:bottom w:val="single" w:sz="4" w:space="0" w:color="auto"/>
              <w:right w:val="nil"/>
            </w:tcBorders>
            <w:shd w:val="clear" w:color="auto" w:fill="auto"/>
            <w:vAlign w:val="center"/>
            <w:hideMark/>
          </w:tcPr>
          <w:p w:rsidR="007F5AD6" w:rsidRPr="007F5AD6" w:rsidRDefault="007F5AD6" w:rsidP="007F5AD6">
            <w:pPr>
              <w:spacing w:after="0" w:line="240" w:lineRule="auto"/>
              <w:jc w:val="center"/>
              <w:rPr>
                <w:rFonts w:ascii="Calibri" w:eastAsia="Times New Roman" w:hAnsi="Calibri" w:cs="Times New Roman"/>
                <w:b/>
                <w:bCs/>
                <w:color w:val="000000"/>
                <w:sz w:val="20"/>
                <w:szCs w:val="20"/>
              </w:rPr>
            </w:pPr>
            <w:r w:rsidRPr="007F5AD6">
              <w:rPr>
                <w:rFonts w:ascii="Calibri" w:eastAsia="Times New Roman" w:hAnsi="Calibri" w:cs="Times New Roman"/>
                <w:b/>
                <w:bCs/>
                <w:color w:val="000000"/>
                <w:sz w:val="20"/>
                <w:szCs w:val="20"/>
              </w:rPr>
              <w:t>Faulty Value</w:t>
            </w:r>
          </w:p>
        </w:tc>
        <w:tc>
          <w:tcPr>
            <w:tcW w:w="2198" w:type="dxa"/>
            <w:tcBorders>
              <w:top w:val="nil"/>
              <w:left w:val="nil"/>
              <w:bottom w:val="single" w:sz="4" w:space="0" w:color="auto"/>
              <w:right w:val="nil"/>
            </w:tcBorders>
            <w:shd w:val="clear" w:color="auto" w:fill="auto"/>
            <w:vAlign w:val="center"/>
            <w:hideMark/>
          </w:tcPr>
          <w:p w:rsidR="007F5AD6" w:rsidRPr="007F5AD6" w:rsidRDefault="007F5AD6" w:rsidP="007F5AD6">
            <w:pPr>
              <w:spacing w:after="0" w:line="240" w:lineRule="auto"/>
              <w:jc w:val="center"/>
              <w:rPr>
                <w:rFonts w:ascii="Calibri" w:eastAsia="Times New Roman" w:hAnsi="Calibri" w:cs="Times New Roman"/>
                <w:b/>
                <w:bCs/>
                <w:sz w:val="20"/>
                <w:szCs w:val="20"/>
              </w:rPr>
            </w:pPr>
            <w:r w:rsidRPr="007F5AD6">
              <w:rPr>
                <w:rFonts w:ascii="Calibri" w:eastAsia="Times New Roman" w:hAnsi="Calibri" w:cs="Times New Roman"/>
                <w:b/>
                <w:bCs/>
                <w:sz w:val="20"/>
                <w:szCs w:val="20"/>
              </w:rPr>
              <w:t>Physical Description</w:t>
            </w:r>
          </w:p>
        </w:tc>
      </w:tr>
      <w:tr w:rsidR="007F5AD6" w:rsidRPr="007F5AD6" w:rsidTr="007F5AD6">
        <w:trPr>
          <w:trHeight w:val="1275"/>
          <w:jc w:val="center"/>
        </w:trPr>
        <w:tc>
          <w:tcPr>
            <w:tcW w:w="1367" w:type="dxa"/>
            <w:tcBorders>
              <w:top w:val="nil"/>
              <w:left w:val="nil"/>
              <w:bottom w:val="nil"/>
              <w:right w:val="nil"/>
            </w:tcBorders>
            <w:shd w:val="clear" w:color="auto" w:fill="auto"/>
            <w:noWrap/>
            <w:vAlign w:val="center"/>
            <w:hideMark/>
          </w:tcPr>
          <w:p w:rsidR="007F5AD6" w:rsidRPr="007F5AD6" w:rsidRDefault="007F5AD6" w:rsidP="007F5AD6">
            <w:pPr>
              <w:spacing w:after="0" w:line="240" w:lineRule="auto"/>
              <w:jc w:val="center"/>
              <w:rPr>
                <w:rFonts w:ascii="Calibri" w:eastAsia="Times New Roman" w:hAnsi="Calibri" w:cs="Times New Roman"/>
                <w:color w:val="000000"/>
                <w:sz w:val="20"/>
                <w:szCs w:val="20"/>
              </w:rPr>
            </w:pPr>
            <w:r w:rsidRPr="007F5AD6">
              <w:rPr>
                <w:rFonts w:ascii="Calibri" w:eastAsia="Times New Roman" w:hAnsi="Calibri" w:cs="Times New Roman"/>
                <w:color w:val="000000"/>
                <w:sz w:val="20"/>
                <w:szCs w:val="20"/>
              </w:rPr>
              <w:t>Low</w:t>
            </w:r>
          </w:p>
        </w:tc>
        <w:tc>
          <w:tcPr>
            <w:tcW w:w="882" w:type="dxa"/>
            <w:tcBorders>
              <w:top w:val="nil"/>
              <w:left w:val="nil"/>
              <w:bottom w:val="nil"/>
              <w:right w:val="nil"/>
            </w:tcBorders>
            <w:shd w:val="clear" w:color="auto" w:fill="auto"/>
            <w:vAlign w:val="center"/>
            <w:hideMark/>
          </w:tcPr>
          <w:p w:rsidR="007F5AD6" w:rsidRPr="007F5AD6" w:rsidRDefault="007F5AD6" w:rsidP="007F5AD6">
            <w:pPr>
              <w:spacing w:after="0" w:line="240" w:lineRule="auto"/>
              <w:jc w:val="center"/>
              <w:rPr>
                <w:rFonts w:ascii="Calibri" w:eastAsia="Times New Roman" w:hAnsi="Calibri" w:cs="Times New Roman"/>
                <w:color w:val="000000"/>
                <w:sz w:val="20"/>
                <w:szCs w:val="20"/>
              </w:rPr>
            </w:pPr>
            <w:r w:rsidRPr="007F5AD6">
              <w:rPr>
                <w:rFonts w:ascii="Calibri" w:eastAsia="Times New Roman" w:hAnsi="Calibri" w:cs="Times New Roman"/>
                <w:color w:val="000000"/>
                <w:sz w:val="20"/>
                <w:szCs w:val="20"/>
              </w:rPr>
              <w:t>3</w:t>
            </w:r>
          </w:p>
        </w:tc>
        <w:tc>
          <w:tcPr>
            <w:tcW w:w="1272" w:type="dxa"/>
            <w:tcBorders>
              <w:top w:val="nil"/>
              <w:left w:val="nil"/>
              <w:bottom w:val="nil"/>
              <w:right w:val="nil"/>
            </w:tcBorders>
            <w:shd w:val="clear" w:color="auto" w:fill="auto"/>
            <w:vAlign w:val="center"/>
            <w:hideMark/>
          </w:tcPr>
          <w:p w:rsidR="007F5AD6" w:rsidRPr="007F5AD6" w:rsidRDefault="007F5AD6" w:rsidP="007F5AD6">
            <w:pPr>
              <w:spacing w:after="0" w:line="240" w:lineRule="auto"/>
              <w:jc w:val="center"/>
              <w:rPr>
                <w:rFonts w:ascii="Calibri" w:eastAsia="Times New Roman" w:hAnsi="Calibri" w:cs="Times New Roman"/>
                <w:color w:val="000000"/>
                <w:sz w:val="20"/>
                <w:szCs w:val="20"/>
              </w:rPr>
            </w:pPr>
            <w:r w:rsidRPr="007F5AD6">
              <w:rPr>
                <w:rFonts w:ascii="Calibri" w:eastAsia="Times New Roman" w:hAnsi="Calibri" w:cs="Times New Roman"/>
                <w:color w:val="000000"/>
                <w:sz w:val="20"/>
                <w:szCs w:val="20"/>
              </w:rPr>
              <w:t>X</w:t>
            </w:r>
            <w:r w:rsidRPr="007F5AD6">
              <w:rPr>
                <w:rFonts w:ascii="Calibri" w:eastAsia="Times New Roman" w:hAnsi="Calibri" w:cs="Times New Roman"/>
                <w:color w:val="000000"/>
                <w:sz w:val="20"/>
                <w:szCs w:val="20"/>
                <w:vertAlign w:val="subscript"/>
              </w:rPr>
              <w:t>Mod3C</w:t>
            </w:r>
          </w:p>
        </w:tc>
        <w:tc>
          <w:tcPr>
            <w:tcW w:w="1379" w:type="dxa"/>
            <w:tcBorders>
              <w:top w:val="nil"/>
              <w:left w:val="nil"/>
              <w:bottom w:val="nil"/>
              <w:right w:val="nil"/>
            </w:tcBorders>
            <w:shd w:val="clear" w:color="auto" w:fill="auto"/>
            <w:vAlign w:val="center"/>
            <w:hideMark/>
          </w:tcPr>
          <w:p w:rsidR="007F5AD6" w:rsidRPr="007F5AD6" w:rsidRDefault="007F5AD6" w:rsidP="007F5AD6">
            <w:pPr>
              <w:spacing w:after="0" w:line="240" w:lineRule="auto"/>
              <w:jc w:val="center"/>
              <w:rPr>
                <w:rFonts w:ascii="Calibri" w:eastAsia="Times New Roman" w:hAnsi="Calibri" w:cs="Times New Roman"/>
                <w:color w:val="000000"/>
                <w:sz w:val="20"/>
                <w:szCs w:val="20"/>
              </w:rPr>
            </w:pPr>
            <w:r w:rsidRPr="007F5AD6">
              <w:rPr>
                <w:rFonts w:ascii="Calibri" w:eastAsia="Times New Roman" w:hAnsi="Calibri" w:cs="Times New Roman"/>
                <w:color w:val="000000"/>
                <w:sz w:val="20"/>
                <w:szCs w:val="20"/>
              </w:rPr>
              <w:t>0.9999</w:t>
            </w:r>
          </w:p>
        </w:tc>
        <w:tc>
          <w:tcPr>
            <w:tcW w:w="1122" w:type="dxa"/>
            <w:tcBorders>
              <w:top w:val="nil"/>
              <w:left w:val="nil"/>
              <w:bottom w:val="nil"/>
              <w:right w:val="nil"/>
            </w:tcBorders>
            <w:shd w:val="clear" w:color="auto" w:fill="auto"/>
            <w:vAlign w:val="center"/>
            <w:hideMark/>
          </w:tcPr>
          <w:p w:rsidR="007F5AD6" w:rsidRPr="007F5AD6" w:rsidRDefault="007F5AD6" w:rsidP="007F5AD6">
            <w:pPr>
              <w:spacing w:after="0" w:line="240" w:lineRule="auto"/>
              <w:jc w:val="center"/>
              <w:rPr>
                <w:rFonts w:ascii="Calibri" w:eastAsia="Times New Roman" w:hAnsi="Calibri" w:cs="Times New Roman"/>
                <w:color w:val="000000"/>
                <w:sz w:val="20"/>
                <w:szCs w:val="20"/>
              </w:rPr>
            </w:pPr>
            <w:r w:rsidRPr="007F5AD6">
              <w:rPr>
                <w:rFonts w:ascii="Calibri" w:eastAsia="Times New Roman" w:hAnsi="Calibri" w:cs="Times New Roman"/>
                <w:color w:val="000000"/>
                <w:sz w:val="20"/>
                <w:szCs w:val="20"/>
              </w:rPr>
              <w:t>0.9</w:t>
            </w:r>
          </w:p>
        </w:tc>
        <w:tc>
          <w:tcPr>
            <w:tcW w:w="2198" w:type="dxa"/>
            <w:tcBorders>
              <w:top w:val="nil"/>
              <w:left w:val="nil"/>
              <w:bottom w:val="nil"/>
              <w:right w:val="nil"/>
            </w:tcBorders>
            <w:shd w:val="clear" w:color="auto" w:fill="auto"/>
            <w:vAlign w:val="center"/>
            <w:hideMark/>
          </w:tcPr>
          <w:p w:rsidR="007F5AD6" w:rsidRPr="007F5AD6" w:rsidRDefault="007F5AD6" w:rsidP="007F5AD6">
            <w:pPr>
              <w:spacing w:after="0" w:line="240" w:lineRule="auto"/>
              <w:rPr>
                <w:rFonts w:ascii="Calibri" w:eastAsia="Times New Roman" w:hAnsi="Calibri" w:cs="Times New Roman"/>
                <w:color w:val="000000"/>
                <w:sz w:val="20"/>
                <w:szCs w:val="20"/>
              </w:rPr>
            </w:pPr>
            <w:r w:rsidRPr="007F5AD6">
              <w:rPr>
                <w:rFonts w:ascii="Calibri" w:eastAsia="Times New Roman" w:hAnsi="Calibri" w:cs="Times New Roman"/>
                <w:color w:val="000000"/>
                <w:sz w:val="20"/>
                <w:szCs w:val="20"/>
              </w:rPr>
              <w:t>Inefficient precipitation process operations resulted in less UN converted AUC and more U in waste streams</w:t>
            </w:r>
          </w:p>
        </w:tc>
      </w:tr>
      <w:tr w:rsidR="007F5AD6" w:rsidRPr="007F5AD6" w:rsidTr="007F5AD6">
        <w:trPr>
          <w:trHeight w:val="255"/>
          <w:jc w:val="center"/>
        </w:trPr>
        <w:tc>
          <w:tcPr>
            <w:tcW w:w="8220" w:type="dxa"/>
            <w:gridSpan w:val="6"/>
            <w:tcBorders>
              <w:top w:val="single" w:sz="4" w:space="0" w:color="auto"/>
              <w:left w:val="nil"/>
              <w:bottom w:val="nil"/>
              <w:right w:val="nil"/>
            </w:tcBorders>
            <w:shd w:val="clear" w:color="auto" w:fill="auto"/>
            <w:noWrap/>
            <w:vAlign w:val="center"/>
            <w:hideMark/>
          </w:tcPr>
          <w:p w:rsidR="007F5AD6" w:rsidRPr="007F5AD6" w:rsidRDefault="007F5AD6" w:rsidP="007F5AD6">
            <w:pPr>
              <w:spacing w:after="0" w:line="240" w:lineRule="auto"/>
              <w:jc w:val="center"/>
              <w:rPr>
                <w:rFonts w:ascii="Calibri" w:eastAsia="Times New Roman" w:hAnsi="Calibri" w:cs="Times New Roman"/>
                <w:b/>
                <w:bCs/>
                <w:color w:val="000000"/>
                <w:sz w:val="20"/>
                <w:szCs w:val="20"/>
              </w:rPr>
            </w:pPr>
            <w:r w:rsidRPr="007F5AD6">
              <w:rPr>
                <w:rFonts w:ascii="Calibri" w:eastAsia="Times New Roman" w:hAnsi="Calibri" w:cs="Times New Roman"/>
                <w:b/>
                <w:bCs/>
                <w:color w:val="000000"/>
                <w:sz w:val="20"/>
                <w:szCs w:val="20"/>
              </w:rPr>
              <w:t>Summary of Results</w:t>
            </w:r>
          </w:p>
        </w:tc>
      </w:tr>
      <w:tr w:rsidR="007F5AD6" w:rsidRPr="007F5AD6" w:rsidTr="007F5AD6">
        <w:trPr>
          <w:trHeight w:val="255"/>
          <w:jc w:val="center"/>
        </w:trPr>
        <w:tc>
          <w:tcPr>
            <w:tcW w:w="1367" w:type="dxa"/>
            <w:tcBorders>
              <w:top w:val="nil"/>
              <w:left w:val="nil"/>
              <w:bottom w:val="single" w:sz="4" w:space="0" w:color="auto"/>
              <w:right w:val="nil"/>
            </w:tcBorders>
            <w:shd w:val="clear" w:color="auto" w:fill="auto"/>
            <w:noWrap/>
            <w:vAlign w:val="center"/>
            <w:hideMark/>
          </w:tcPr>
          <w:p w:rsidR="007F5AD6" w:rsidRPr="007F5AD6" w:rsidRDefault="007F5AD6" w:rsidP="007F5AD6">
            <w:pPr>
              <w:spacing w:after="0" w:line="240" w:lineRule="auto"/>
              <w:jc w:val="center"/>
              <w:rPr>
                <w:rFonts w:ascii="Calibri" w:eastAsia="Times New Roman" w:hAnsi="Calibri" w:cs="Times New Roman"/>
                <w:color w:val="000000"/>
                <w:sz w:val="20"/>
                <w:szCs w:val="20"/>
              </w:rPr>
            </w:pPr>
            <w:r w:rsidRPr="007F5AD6">
              <w:rPr>
                <w:rFonts w:ascii="Calibri" w:eastAsia="Times New Roman" w:hAnsi="Calibri" w:cs="Times New Roman"/>
                <w:color w:val="000000"/>
                <w:sz w:val="20"/>
                <w:szCs w:val="20"/>
              </w:rPr>
              <w:t> </w:t>
            </w:r>
          </w:p>
        </w:tc>
        <w:tc>
          <w:tcPr>
            <w:tcW w:w="882" w:type="dxa"/>
            <w:tcBorders>
              <w:top w:val="nil"/>
              <w:left w:val="nil"/>
              <w:bottom w:val="single" w:sz="4" w:space="0" w:color="auto"/>
              <w:right w:val="nil"/>
            </w:tcBorders>
            <w:shd w:val="clear" w:color="auto" w:fill="auto"/>
            <w:vAlign w:val="center"/>
            <w:hideMark/>
          </w:tcPr>
          <w:p w:rsidR="007F5AD6" w:rsidRDefault="007F5AD6" w:rsidP="007F5AD6">
            <w:pPr>
              <w:spacing w:after="0" w:line="240" w:lineRule="auto"/>
              <w:jc w:val="center"/>
              <w:rPr>
                <w:rFonts w:ascii="Calibri" w:eastAsia="Times New Roman" w:hAnsi="Calibri" w:cs="Times New Roman"/>
                <w:b/>
                <w:bCs/>
                <w:sz w:val="20"/>
                <w:szCs w:val="20"/>
              </w:rPr>
            </w:pPr>
            <w:r w:rsidRPr="007F5AD6">
              <w:rPr>
                <w:rFonts w:ascii="Calibri" w:eastAsia="Times New Roman" w:hAnsi="Calibri" w:cs="Times New Roman"/>
                <w:b/>
                <w:bCs/>
                <w:sz w:val="20"/>
                <w:szCs w:val="20"/>
              </w:rPr>
              <w:t>PC1</w:t>
            </w:r>
          </w:p>
          <w:p w:rsidR="00AC7D91" w:rsidRPr="007F5AD6" w:rsidRDefault="00AC7D91" w:rsidP="007F5AD6">
            <w:pPr>
              <w:spacing w:after="0" w:line="240" w:lineRule="auto"/>
              <w:jc w:val="center"/>
              <w:rPr>
                <w:rFonts w:ascii="Calibri" w:eastAsia="Times New Roman" w:hAnsi="Calibri" w:cs="Times New Roman"/>
                <w:b/>
                <w:bCs/>
                <w:sz w:val="20"/>
                <w:szCs w:val="20"/>
              </w:rPr>
            </w:pPr>
            <w:r>
              <w:rPr>
                <w:rFonts w:ascii="Calibri" w:eastAsia="Times New Roman" w:hAnsi="Calibri" w:cs="Times New Roman"/>
                <w:b/>
                <w:bCs/>
                <w:sz w:val="20"/>
                <w:szCs w:val="20"/>
              </w:rPr>
              <w:t>Scores</w:t>
            </w:r>
          </w:p>
        </w:tc>
        <w:tc>
          <w:tcPr>
            <w:tcW w:w="1272" w:type="dxa"/>
            <w:tcBorders>
              <w:top w:val="nil"/>
              <w:left w:val="nil"/>
              <w:bottom w:val="single" w:sz="4" w:space="0" w:color="auto"/>
              <w:right w:val="nil"/>
            </w:tcBorders>
            <w:shd w:val="clear" w:color="auto" w:fill="auto"/>
            <w:vAlign w:val="center"/>
            <w:hideMark/>
          </w:tcPr>
          <w:p w:rsidR="007F5AD6" w:rsidRDefault="007F5AD6" w:rsidP="007F5AD6">
            <w:pPr>
              <w:spacing w:after="0" w:line="240" w:lineRule="auto"/>
              <w:jc w:val="center"/>
              <w:rPr>
                <w:rFonts w:ascii="Calibri" w:eastAsia="Times New Roman" w:hAnsi="Calibri" w:cs="Times New Roman"/>
                <w:b/>
                <w:bCs/>
                <w:color w:val="000000"/>
                <w:sz w:val="20"/>
                <w:szCs w:val="20"/>
              </w:rPr>
            </w:pPr>
            <w:r w:rsidRPr="007F5AD6">
              <w:rPr>
                <w:rFonts w:ascii="Calibri" w:eastAsia="Times New Roman" w:hAnsi="Calibri" w:cs="Times New Roman"/>
                <w:b/>
                <w:bCs/>
                <w:color w:val="000000"/>
                <w:sz w:val="20"/>
                <w:szCs w:val="20"/>
              </w:rPr>
              <w:t>PC2</w:t>
            </w:r>
          </w:p>
          <w:p w:rsidR="00AC7D91" w:rsidRPr="007F5AD6" w:rsidRDefault="00AC7D91" w:rsidP="007F5AD6">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1379" w:type="dxa"/>
            <w:tcBorders>
              <w:top w:val="nil"/>
              <w:left w:val="nil"/>
              <w:bottom w:val="single" w:sz="4" w:space="0" w:color="auto"/>
              <w:right w:val="nil"/>
            </w:tcBorders>
            <w:shd w:val="clear" w:color="auto" w:fill="auto"/>
            <w:vAlign w:val="center"/>
            <w:hideMark/>
          </w:tcPr>
          <w:p w:rsidR="007F5AD6" w:rsidRDefault="007F5AD6" w:rsidP="007F5AD6">
            <w:pPr>
              <w:spacing w:after="0" w:line="240" w:lineRule="auto"/>
              <w:jc w:val="center"/>
              <w:rPr>
                <w:rFonts w:ascii="Calibri" w:eastAsia="Times New Roman" w:hAnsi="Calibri" w:cs="Times New Roman"/>
                <w:b/>
                <w:bCs/>
                <w:color w:val="000000"/>
                <w:sz w:val="20"/>
                <w:szCs w:val="20"/>
              </w:rPr>
            </w:pPr>
            <w:r w:rsidRPr="007F5AD6">
              <w:rPr>
                <w:rFonts w:ascii="Calibri" w:eastAsia="Times New Roman" w:hAnsi="Calibri" w:cs="Times New Roman"/>
                <w:b/>
                <w:bCs/>
                <w:color w:val="000000"/>
                <w:sz w:val="20"/>
                <w:szCs w:val="20"/>
              </w:rPr>
              <w:t>PC3</w:t>
            </w:r>
          </w:p>
          <w:p w:rsidR="00AC7D91" w:rsidRPr="007F5AD6" w:rsidRDefault="00AC7D91" w:rsidP="007F5AD6">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1122" w:type="dxa"/>
            <w:tcBorders>
              <w:top w:val="nil"/>
              <w:left w:val="nil"/>
              <w:bottom w:val="single" w:sz="4" w:space="0" w:color="auto"/>
              <w:right w:val="nil"/>
            </w:tcBorders>
            <w:shd w:val="clear" w:color="auto" w:fill="auto"/>
            <w:vAlign w:val="center"/>
            <w:hideMark/>
          </w:tcPr>
          <w:p w:rsidR="007F5AD6" w:rsidRPr="007F5AD6" w:rsidRDefault="007F5AD6" w:rsidP="007F5AD6">
            <w:pPr>
              <w:spacing w:after="0" w:line="240" w:lineRule="auto"/>
              <w:jc w:val="center"/>
              <w:rPr>
                <w:rFonts w:ascii="Calibri" w:eastAsia="Times New Roman" w:hAnsi="Calibri" w:cs="Times New Roman"/>
                <w:b/>
                <w:bCs/>
                <w:color w:val="000000"/>
                <w:sz w:val="20"/>
                <w:szCs w:val="20"/>
              </w:rPr>
            </w:pPr>
            <w:r w:rsidRPr="007F5AD6">
              <w:rPr>
                <w:rFonts w:ascii="Calibri" w:eastAsia="Times New Roman" w:hAnsi="Calibri" w:cs="Times New Roman"/>
                <w:b/>
                <w:bCs/>
                <w:color w:val="000000"/>
                <w:sz w:val="20"/>
                <w:szCs w:val="20"/>
              </w:rPr>
              <w:t>T2</w:t>
            </w:r>
          </w:p>
        </w:tc>
        <w:tc>
          <w:tcPr>
            <w:tcW w:w="2198" w:type="dxa"/>
            <w:tcBorders>
              <w:top w:val="nil"/>
              <w:left w:val="nil"/>
              <w:bottom w:val="single" w:sz="4" w:space="0" w:color="auto"/>
              <w:right w:val="nil"/>
            </w:tcBorders>
            <w:shd w:val="clear" w:color="auto" w:fill="auto"/>
            <w:vAlign w:val="center"/>
            <w:hideMark/>
          </w:tcPr>
          <w:p w:rsidR="007F5AD6" w:rsidRPr="007F5AD6" w:rsidRDefault="007F5AD6" w:rsidP="007F5AD6">
            <w:pPr>
              <w:spacing w:after="0" w:line="240" w:lineRule="auto"/>
              <w:jc w:val="center"/>
              <w:rPr>
                <w:rFonts w:ascii="Calibri" w:eastAsia="Times New Roman" w:hAnsi="Calibri" w:cs="Times New Roman"/>
                <w:b/>
                <w:bCs/>
                <w:color w:val="000000"/>
                <w:sz w:val="20"/>
                <w:szCs w:val="20"/>
              </w:rPr>
            </w:pPr>
            <w:r w:rsidRPr="007F5AD6">
              <w:rPr>
                <w:rFonts w:ascii="Calibri" w:eastAsia="Times New Roman" w:hAnsi="Calibri" w:cs="Times New Roman"/>
                <w:b/>
                <w:bCs/>
                <w:color w:val="000000"/>
                <w:sz w:val="20"/>
                <w:szCs w:val="20"/>
              </w:rPr>
              <w:t>Q</w:t>
            </w:r>
          </w:p>
        </w:tc>
      </w:tr>
      <w:tr w:rsidR="007F5AD6" w:rsidRPr="007F5AD6" w:rsidTr="007F5AD6">
        <w:trPr>
          <w:trHeight w:val="255"/>
          <w:jc w:val="center"/>
        </w:trPr>
        <w:tc>
          <w:tcPr>
            <w:tcW w:w="1367" w:type="dxa"/>
            <w:tcBorders>
              <w:top w:val="nil"/>
              <w:left w:val="nil"/>
              <w:bottom w:val="nil"/>
              <w:right w:val="nil"/>
            </w:tcBorders>
            <w:shd w:val="clear" w:color="auto" w:fill="auto"/>
            <w:noWrap/>
            <w:vAlign w:val="center"/>
            <w:hideMark/>
          </w:tcPr>
          <w:p w:rsidR="007F5AD6" w:rsidRPr="007F5AD6" w:rsidRDefault="007F5AD6" w:rsidP="007F5AD6">
            <w:pPr>
              <w:spacing w:after="0" w:line="240" w:lineRule="auto"/>
              <w:jc w:val="center"/>
              <w:rPr>
                <w:rFonts w:ascii="Calibri" w:eastAsia="Times New Roman" w:hAnsi="Calibri" w:cs="Times New Roman"/>
                <w:b/>
                <w:bCs/>
                <w:color w:val="000000"/>
                <w:sz w:val="20"/>
                <w:szCs w:val="20"/>
              </w:rPr>
            </w:pPr>
            <w:r w:rsidRPr="007F5AD6">
              <w:rPr>
                <w:rFonts w:ascii="Calibri" w:eastAsia="Times New Roman" w:hAnsi="Calibri" w:cs="Times New Roman"/>
                <w:b/>
                <w:bCs/>
                <w:color w:val="000000"/>
                <w:sz w:val="20"/>
                <w:szCs w:val="20"/>
              </w:rPr>
              <w:t>Direction</w:t>
            </w:r>
          </w:p>
        </w:tc>
        <w:tc>
          <w:tcPr>
            <w:tcW w:w="882" w:type="dxa"/>
            <w:tcBorders>
              <w:top w:val="nil"/>
              <w:left w:val="nil"/>
              <w:bottom w:val="nil"/>
              <w:right w:val="nil"/>
            </w:tcBorders>
            <w:shd w:val="clear" w:color="auto" w:fill="auto"/>
            <w:noWrap/>
            <w:vAlign w:val="center"/>
            <w:hideMark/>
          </w:tcPr>
          <w:p w:rsidR="007F5AD6" w:rsidRPr="007F5AD6" w:rsidRDefault="007F5AD6" w:rsidP="007F5AD6">
            <w:pPr>
              <w:spacing w:after="0" w:line="240" w:lineRule="auto"/>
              <w:jc w:val="center"/>
              <w:rPr>
                <w:rFonts w:ascii="Calibri" w:eastAsia="Times New Roman" w:hAnsi="Calibri" w:cs="Times New Roman"/>
                <w:color w:val="000000"/>
                <w:sz w:val="20"/>
                <w:szCs w:val="20"/>
              </w:rPr>
            </w:pPr>
            <w:r w:rsidRPr="007F5AD6">
              <w:rPr>
                <w:rFonts w:ascii="Calibri" w:eastAsia="Times New Roman" w:hAnsi="Calibri" w:cs="Times New Roman"/>
                <w:color w:val="000000"/>
                <w:sz w:val="20"/>
                <w:szCs w:val="20"/>
              </w:rPr>
              <w:t>+</w:t>
            </w:r>
          </w:p>
        </w:tc>
        <w:tc>
          <w:tcPr>
            <w:tcW w:w="1272" w:type="dxa"/>
            <w:tcBorders>
              <w:top w:val="nil"/>
              <w:left w:val="nil"/>
              <w:bottom w:val="nil"/>
              <w:right w:val="nil"/>
            </w:tcBorders>
            <w:shd w:val="clear" w:color="auto" w:fill="auto"/>
            <w:noWrap/>
            <w:vAlign w:val="center"/>
            <w:hideMark/>
          </w:tcPr>
          <w:p w:rsidR="007F5AD6" w:rsidRPr="007F5AD6" w:rsidRDefault="007F5AD6" w:rsidP="007F5AD6">
            <w:pPr>
              <w:spacing w:after="0" w:line="240" w:lineRule="auto"/>
              <w:jc w:val="center"/>
              <w:rPr>
                <w:rFonts w:ascii="Calibri" w:eastAsia="Times New Roman" w:hAnsi="Calibri" w:cs="Times New Roman"/>
                <w:color w:val="000000"/>
                <w:sz w:val="20"/>
                <w:szCs w:val="20"/>
              </w:rPr>
            </w:pPr>
            <w:r w:rsidRPr="007F5AD6">
              <w:rPr>
                <w:rFonts w:ascii="Calibri" w:eastAsia="Times New Roman" w:hAnsi="Calibri" w:cs="Times New Roman"/>
                <w:color w:val="000000"/>
                <w:sz w:val="20"/>
                <w:szCs w:val="20"/>
              </w:rPr>
              <w:t>+</w:t>
            </w:r>
          </w:p>
        </w:tc>
        <w:tc>
          <w:tcPr>
            <w:tcW w:w="1379" w:type="dxa"/>
            <w:tcBorders>
              <w:top w:val="nil"/>
              <w:left w:val="nil"/>
              <w:bottom w:val="nil"/>
              <w:right w:val="nil"/>
            </w:tcBorders>
            <w:shd w:val="clear" w:color="auto" w:fill="auto"/>
            <w:noWrap/>
            <w:vAlign w:val="center"/>
            <w:hideMark/>
          </w:tcPr>
          <w:p w:rsidR="007F5AD6" w:rsidRPr="007F5AD6" w:rsidRDefault="007F5AD6" w:rsidP="007F5AD6">
            <w:pPr>
              <w:spacing w:after="0" w:line="240" w:lineRule="auto"/>
              <w:jc w:val="center"/>
              <w:rPr>
                <w:rFonts w:ascii="Calibri" w:eastAsia="Times New Roman" w:hAnsi="Calibri" w:cs="Times New Roman"/>
                <w:color w:val="000000"/>
                <w:sz w:val="20"/>
                <w:szCs w:val="20"/>
              </w:rPr>
            </w:pPr>
            <w:r w:rsidRPr="007F5AD6">
              <w:rPr>
                <w:rFonts w:ascii="Calibri" w:eastAsia="Times New Roman" w:hAnsi="Calibri" w:cs="Times New Roman"/>
                <w:color w:val="000000"/>
                <w:sz w:val="20"/>
                <w:szCs w:val="20"/>
              </w:rPr>
              <w:t>-</w:t>
            </w:r>
          </w:p>
        </w:tc>
        <w:tc>
          <w:tcPr>
            <w:tcW w:w="1122" w:type="dxa"/>
            <w:tcBorders>
              <w:top w:val="nil"/>
              <w:left w:val="nil"/>
              <w:bottom w:val="nil"/>
              <w:right w:val="nil"/>
            </w:tcBorders>
            <w:shd w:val="clear" w:color="auto" w:fill="auto"/>
            <w:noWrap/>
            <w:vAlign w:val="center"/>
            <w:hideMark/>
          </w:tcPr>
          <w:p w:rsidR="007F5AD6" w:rsidRPr="007F5AD6" w:rsidRDefault="007F5AD6" w:rsidP="007F5AD6">
            <w:pPr>
              <w:spacing w:after="0" w:line="240" w:lineRule="auto"/>
              <w:jc w:val="center"/>
              <w:rPr>
                <w:rFonts w:ascii="Calibri" w:eastAsia="Times New Roman" w:hAnsi="Calibri" w:cs="Times New Roman"/>
                <w:color w:val="000000"/>
                <w:sz w:val="20"/>
                <w:szCs w:val="20"/>
              </w:rPr>
            </w:pPr>
            <w:r w:rsidRPr="007F5AD6">
              <w:rPr>
                <w:rFonts w:ascii="Calibri" w:eastAsia="Times New Roman" w:hAnsi="Calibri" w:cs="Times New Roman"/>
                <w:color w:val="000000"/>
                <w:sz w:val="20"/>
                <w:szCs w:val="20"/>
              </w:rPr>
              <w:t>+</w:t>
            </w:r>
          </w:p>
        </w:tc>
        <w:tc>
          <w:tcPr>
            <w:tcW w:w="2198" w:type="dxa"/>
            <w:tcBorders>
              <w:top w:val="nil"/>
              <w:left w:val="nil"/>
              <w:bottom w:val="nil"/>
              <w:right w:val="nil"/>
            </w:tcBorders>
            <w:shd w:val="clear" w:color="auto" w:fill="auto"/>
            <w:noWrap/>
            <w:vAlign w:val="center"/>
            <w:hideMark/>
          </w:tcPr>
          <w:p w:rsidR="007F5AD6" w:rsidRPr="007F5AD6" w:rsidRDefault="007F5AD6" w:rsidP="007F5AD6">
            <w:pPr>
              <w:spacing w:after="0" w:line="240" w:lineRule="auto"/>
              <w:jc w:val="center"/>
              <w:rPr>
                <w:rFonts w:ascii="Calibri" w:eastAsia="Times New Roman" w:hAnsi="Calibri" w:cs="Times New Roman"/>
                <w:color w:val="000000"/>
                <w:sz w:val="20"/>
                <w:szCs w:val="20"/>
              </w:rPr>
            </w:pPr>
            <w:r w:rsidRPr="007F5AD6">
              <w:rPr>
                <w:rFonts w:ascii="Calibri" w:eastAsia="Times New Roman" w:hAnsi="Calibri" w:cs="Times New Roman"/>
                <w:color w:val="000000"/>
                <w:sz w:val="20"/>
                <w:szCs w:val="20"/>
              </w:rPr>
              <w:t>+</w:t>
            </w:r>
          </w:p>
        </w:tc>
      </w:tr>
      <w:tr w:rsidR="007F5AD6" w:rsidRPr="007F5AD6" w:rsidTr="007F5AD6">
        <w:trPr>
          <w:trHeight w:val="270"/>
          <w:jc w:val="center"/>
        </w:trPr>
        <w:tc>
          <w:tcPr>
            <w:tcW w:w="1367" w:type="dxa"/>
            <w:tcBorders>
              <w:top w:val="nil"/>
              <w:left w:val="nil"/>
              <w:bottom w:val="single" w:sz="8" w:space="0" w:color="auto"/>
              <w:right w:val="nil"/>
            </w:tcBorders>
            <w:shd w:val="clear" w:color="auto" w:fill="auto"/>
            <w:noWrap/>
            <w:vAlign w:val="center"/>
            <w:hideMark/>
          </w:tcPr>
          <w:p w:rsidR="007F5AD6" w:rsidRPr="007F5AD6" w:rsidRDefault="007F5AD6" w:rsidP="007F5AD6">
            <w:pPr>
              <w:spacing w:after="0" w:line="240" w:lineRule="auto"/>
              <w:jc w:val="center"/>
              <w:rPr>
                <w:rFonts w:ascii="Calibri" w:eastAsia="Times New Roman" w:hAnsi="Calibri" w:cs="Times New Roman"/>
                <w:b/>
                <w:bCs/>
                <w:color w:val="000000"/>
                <w:sz w:val="20"/>
                <w:szCs w:val="20"/>
              </w:rPr>
            </w:pPr>
            <w:r w:rsidRPr="007F5AD6">
              <w:rPr>
                <w:rFonts w:ascii="Calibri" w:eastAsia="Times New Roman" w:hAnsi="Calibri" w:cs="Times New Roman"/>
                <w:b/>
                <w:bCs/>
                <w:color w:val="000000"/>
                <w:sz w:val="20"/>
                <w:szCs w:val="20"/>
              </w:rPr>
              <w:t>Detectability</w:t>
            </w:r>
          </w:p>
        </w:tc>
        <w:tc>
          <w:tcPr>
            <w:tcW w:w="882" w:type="dxa"/>
            <w:tcBorders>
              <w:top w:val="nil"/>
              <w:left w:val="nil"/>
              <w:bottom w:val="single" w:sz="8" w:space="0" w:color="auto"/>
              <w:right w:val="nil"/>
            </w:tcBorders>
            <w:shd w:val="clear" w:color="auto" w:fill="auto"/>
            <w:vAlign w:val="center"/>
            <w:hideMark/>
          </w:tcPr>
          <w:p w:rsidR="007F5AD6" w:rsidRPr="007F5AD6" w:rsidRDefault="007F5AD6" w:rsidP="007F5AD6">
            <w:pPr>
              <w:spacing w:after="0" w:line="240" w:lineRule="auto"/>
              <w:jc w:val="center"/>
              <w:rPr>
                <w:rFonts w:ascii="Calibri" w:eastAsia="Times New Roman" w:hAnsi="Calibri" w:cs="Times New Roman"/>
                <w:color w:val="000000"/>
                <w:sz w:val="20"/>
                <w:szCs w:val="20"/>
              </w:rPr>
            </w:pPr>
            <w:r w:rsidRPr="007F5AD6">
              <w:rPr>
                <w:rFonts w:ascii="Calibri" w:eastAsia="Times New Roman" w:hAnsi="Calibri" w:cs="Times New Roman"/>
                <w:color w:val="000000"/>
                <w:sz w:val="20"/>
                <w:szCs w:val="20"/>
              </w:rPr>
              <w:t>No</w:t>
            </w:r>
          </w:p>
        </w:tc>
        <w:tc>
          <w:tcPr>
            <w:tcW w:w="1272" w:type="dxa"/>
            <w:tcBorders>
              <w:top w:val="nil"/>
              <w:left w:val="nil"/>
              <w:bottom w:val="single" w:sz="8" w:space="0" w:color="auto"/>
              <w:right w:val="nil"/>
            </w:tcBorders>
            <w:shd w:val="clear" w:color="auto" w:fill="auto"/>
            <w:noWrap/>
            <w:vAlign w:val="center"/>
            <w:hideMark/>
          </w:tcPr>
          <w:p w:rsidR="007F5AD6" w:rsidRPr="007F5AD6" w:rsidRDefault="007F5AD6" w:rsidP="007F5AD6">
            <w:pPr>
              <w:spacing w:after="0" w:line="240" w:lineRule="auto"/>
              <w:jc w:val="center"/>
              <w:rPr>
                <w:rFonts w:ascii="Calibri" w:eastAsia="Times New Roman" w:hAnsi="Calibri" w:cs="Times New Roman"/>
                <w:color w:val="000000"/>
                <w:sz w:val="20"/>
                <w:szCs w:val="20"/>
              </w:rPr>
            </w:pPr>
            <w:r w:rsidRPr="007F5AD6">
              <w:rPr>
                <w:rFonts w:ascii="Calibri" w:eastAsia="Times New Roman" w:hAnsi="Calibri" w:cs="Times New Roman"/>
                <w:color w:val="000000"/>
                <w:sz w:val="20"/>
                <w:szCs w:val="20"/>
              </w:rPr>
              <w:t>No</w:t>
            </w:r>
          </w:p>
        </w:tc>
        <w:tc>
          <w:tcPr>
            <w:tcW w:w="1379" w:type="dxa"/>
            <w:tcBorders>
              <w:top w:val="nil"/>
              <w:left w:val="nil"/>
              <w:bottom w:val="single" w:sz="8" w:space="0" w:color="auto"/>
              <w:right w:val="nil"/>
            </w:tcBorders>
            <w:shd w:val="clear" w:color="auto" w:fill="auto"/>
            <w:noWrap/>
            <w:vAlign w:val="center"/>
            <w:hideMark/>
          </w:tcPr>
          <w:p w:rsidR="007F5AD6" w:rsidRPr="007F5AD6" w:rsidRDefault="007F5AD6" w:rsidP="007F5AD6">
            <w:pPr>
              <w:spacing w:after="0" w:line="240" w:lineRule="auto"/>
              <w:jc w:val="center"/>
              <w:rPr>
                <w:rFonts w:ascii="Calibri" w:eastAsia="Times New Roman" w:hAnsi="Calibri" w:cs="Times New Roman"/>
                <w:color w:val="000000"/>
                <w:sz w:val="20"/>
                <w:szCs w:val="20"/>
              </w:rPr>
            </w:pPr>
            <w:r w:rsidRPr="007F5AD6">
              <w:rPr>
                <w:rFonts w:ascii="Calibri" w:eastAsia="Times New Roman" w:hAnsi="Calibri" w:cs="Times New Roman"/>
                <w:color w:val="000000"/>
                <w:sz w:val="20"/>
                <w:szCs w:val="20"/>
              </w:rPr>
              <w:t>Not likely</w:t>
            </w:r>
          </w:p>
        </w:tc>
        <w:tc>
          <w:tcPr>
            <w:tcW w:w="1122" w:type="dxa"/>
            <w:tcBorders>
              <w:top w:val="nil"/>
              <w:left w:val="nil"/>
              <w:bottom w:val="single" w:sz="8" w:space="0" w:color="auto"/>
              <w:right w:val="nil"/>
            </w:tcBorders>
            <w:shd w:val="clear" w:color="auto" w:fill="auto"/>
            <w:noWrap/>
            <w:vAlign w:val="center"/>
            <w:hideMark/>
          </w:tcPr>
          <w:p w:rsidR="007F5AD6" w:rsidRPr="007F5AD6" w:rsidRDefault="007F5AD6" w:rsidP="007F5AD6">
            <w:pPr>
              <w:spacing w:after="0" w:line="240" w:lineRule="auto"/>
              <w:jc w:val="center"/>
              <w:rPr>
                <w:rFonts w:ascii="Calibri" w:eastAsia="Times New Roman" w:hAnsi="Calibri" w:cs="Times New Roman"/>
                <w:color w:val="000000"/>
                <w:sz w:val="20"/>
                <w:szCs w:val="20"/>
              </w:rPr>
            </w:pPr>
            <w:r w:rsidRPr="007F5AD6">
              <w:rPr>
                <w:rFonts w:ascii="Calibri" w:eastAsia="Times New Roman" w:hAnsi="Calibri" w:cs="Times New Roman"/>
                <w:color w:val="000000"/>
                <w:sz w:val="20"/>
                <w:szCs w:val="20"/>
              </w:rPr>
              <w:t>Possibly</w:t>
            </w:r>
          </w:p>
        </w:tc>
        <w:tc>
          <w:tcPr>
            <w:tcW w:w="2198" w:type="dxa"/>
            <w:tcBorders>
              <w:top w:val="nil"/>
              <w:left w:val="nil"/>
              <w:bottom w:val="single" w:sz="8" w:space="0" w:color="auto"/>
              <w:right w:val="nil"/>
            </w:tcBorders>
            <w:shd w:val="clear" w:color="auto" w:fill="auto"/>
            <w:noWrap/>
            <w:vAlign w:val="center"/>
            <w:hideMark/>
          </w:tcPr>
          <w:p w:rsidR="007F5AD6" w:rsidRPr="007F5AD6" w:rsidRDefault="007F5AD6" w:rsidP="007F5AD6">
            <w:pPr>
              <w:spacing w:after="0" w:line="240" w:lineRule="auto"/>
              <w:jc w:val="center"/>
              <w:rPr>
                <w:rFonts w:ascii="Calibri" w:eastAsia="Times New Roman" w:hAnsi="Calibri" w:cs="Times New Roman"/>
                <w:color w:val="000000"/>
                <w:sz w:val="20"/>
                <w:szCs w:val="20"/>
              </w:rPr>
            </w:pPr>
            <w:r w:rsidRPr="007F5AD6">
              <w:rPr>
                <w:rFonts w:ascii="Calibri" w:eastAsia="Times New Roman" w:hAnsi="Calibri" w:cs="Times New Roman"/>
                <w:color w:val="000000"/>
                <w:sz w:val="20"/>
                <w:szCs w:val="20"/>
              </w:rPr>
              <w:t>Yes</w:t>
            </w:r>
          </w:p>
        </w:tc>
      </w:tr>
    </w:tbl>
    <w:p w:rsidR="00E664E4" w:rsidRDefault="00E664E4" w:rsidP="001B675F">
      <w:r>
        <w:rPr>
          <w:rFonts w:eastAsiaTheme="minorEastAsia"/>
        </w:rPr>
        <w:lastRenderedPageBreak/>
        <w:t xml:space="preserve"> </w:t>
      </w:r>
      <w:r w:rsidR="007F5AD6">
        <w:rPr>
          <w:noProof/>
        </w:rPr>
        <w:drawing>
          <wp:inline distT="0" distB="0" distL="0" distR="0" wp14:anchorId="1CFAD237" wp14:editId="5D5F4904">
            <wp:extent cx="5943600" cy="4457700"/>
            <wp:effectExtent l="0" t="0" r="0" b="0"/>
            <wp:docPr id="1055" name="Picture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2"/>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E365C2">
        <w:rPr>
          <w:b/>
          <w:sz w:val="20"/>
          <w:szCs w:val="20"/>
        </w:rPr>
        <w:t>4.7</w:t>
      </w:r>
      <w:r w:rsidR="007F5AD6">
        <w:rPr>
          <w:b/>
          <w:sz w:val="20"/>
          <w:szCs w:val="20"/>
        </w:rPr>
        <w:t>4</w:t>
      </w:r>
      <w:r>
        <w:rPr>
          <w:b/>
          <w:sz w:val="20"/>
          <w:szCs w:val="20"/>
        </w:rPr>
        <w:t xml:space="preserve">. Faulty Case 7 Scores Plot for PC1 and PC2.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no detectable fault.</w:t>
      </w:r>
    </w:p>
    <w:p w:rsidR="00E664E4" w:rsidRDefault="007F5AD6" w:rsidP="00E664E4">
      <w:pPr>
        <w:jc w:val="center"/>
        <w:rPr>
          <w:i/>
          <w:sz w:val="20"/>
          <w:szCs w:val="20"/>
        </w:rPr>
      </w:pPr>
      <w:r>
        <w:rPr>
          <w:noProof/>
        </w:rPr>
        <w:lastRenderedPageBreak/>
        <w:drawing>
          <wp:inline distT="0" distB="0" distL="0" distR="0" wp14:anchorId="2B8111C5" wp14:editId="11937AF3">
            <wp:extent cx="5943600" cy="445770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3"/>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E365C2">
        <w:rPr>
          <w:b/>
          <w:sz w:val="20"/>
          <w:szCs w:val="20"/>
        </w:rPr>
        <w:t>4.7</w:t>
      </w:r>
      <w:r w:rsidR="007F5AD6">
        <w:rPr>
          <w:b/>
          <w:sz w:val="20"/>
          <w:szCs w:val="20"/>
        </w:rPr>
        <w:t>5</w:t>
      </w:r>
      <w:r>
        <w:rPr>
          <w:b/>
          <w:sz w:val="20"/>
          <w:szCs w:val="20"/>
        </w:rPr>
        <w:t xml:space="preserve">. Faulty Case 7 Scores Plot for PC1 and PC3.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a slight change in PC3</w:t>
      </w:r>
      <w:r w:rsidR="00E62112">
        <w:rPr>
          <w:i/>
          <w:sz w:val="20"/>
          <w:szCs w:val="20"/>
        </w:rPr>
        <w:t xml:space="preserve"> scores</w:t>
      </w:r>
      <w:r>
        <w:rPr>
          <w:i/>
          <w:sz w:val="20"/>
          <w:szCs w:val="20"/>
        </w:rPr>
        <w:t xml:space="preserve"> but no detectable fault</w:t>
      </w:r>
      <w:r>
        <w:rPr>
          <w:rFonts w:eastAsiaTheme="minorEastAsia"/>
          <w:i/>
          <w:sz w:val="20"/>
          <w:szCs w:val="20"/>
        </w:rPr>
        <w:t>.</w:t>
      </w:r>
    </w:p>
    <w:p w:rsidR="00E664E4" w:rsidRDefault="00E664E4" w:rsidP="00E664E4">
      <w:pPr>
        <w:rPr>
          <w:i/>
          <w:sz w:val="20"/>
          <w:szCs w:val="20"/>
        </w:rPr>
      </w:pPr>
    </w:p>
    <w:p w:rsidR="00E664E4" w:rsidRDefault="007F5AD6" w:rsidP="00E664E4">
      <w:pPr>
        <w:jc w:val="center"/>
        <w:rPr>
          <w:i/>
          <w:sz w:val="20"/>
          <w:szCs w:val="20"/>
        </w:rPr>
      </w:pPr>
      <w:r>
        <w:rPr>
          <w:noProof/>
        </w:rPr>
        <w:lastRenderedPageBreak/>
        <w:drawing>
          <wp:inline distT="0" distB="0" distL="0" distR="0" wp14:anchorId="61E08196" wp14:editId="7CD83201">
            <wp:extent cx="5943600" cy="445770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4"/>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7F5AD6">
        <w:rPr>
          <w:b/>
          <w:sz w:val="20"/>
          <w:szCs w:val="20"/>
        </w:rPr>
        <w:t>4.76</w:t>
      </w:r>
      <w:r>
        <w:rPr>
          <w:b/>
          <w:sz w:val="20"/>
          <w:szCs w:val="20"/>
        </w:rPr>
        <w:t xml:space="preserve">. Faulty Case 7 Scores Plot for PC2 and PC3.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a slight change in both PC2 and PC3</w:t>
      </w:r>
      <w:r w:rsidR="00CE21E4">
        <w:rPr>
          <w:i/>
          <w:sz w:val="20"/>
          <w:szCs w:val="20"/>
        </w:rPr>
        <w:t xml:space="preserve"> scores</w:t>
      </w:r>
      <w:r>
        <w:rPr>
          <w:i/>
          <w:sz w:val="20"/>
          <w:szCs w:val="20"/>
        </w:rPr>
        <w:t xml:space="preserve"> but no detectable fault</w:t>
      </w:r>
      <w:r>
        <w:rPr>
          <w:rFonts w:eastAsiaTheme="minorEastAsia"/>
          <w:i/>
          <w:sz w:val="20"/>
          <w:szCs w:val="20"/>
        </w:rPr>
        <w:t>.</w:t>
      </w:r>
    </w:p>
    <w:p w:rsidR="00E664E4" w:rsidRDefault="00E664E4" w:rsidP="00E664E4">
      <w:pPr>
        <w:rPr>
          <w:i/>
          <w:sz w:val="20"/>
          <w:szCs w:val="20"/>
        </w:rPr>
      </w:pPr>
    </w:p>
    <w:p w:rsidR="00E664E4" w:rsidRPr="00EE2556" w:rsidRDefault="007F5AD6" w:rsidP="00E664E4">
      <w:pPr>
        <w:jc w:val="center"/>
        <w:rPr>
          <w:i/>
          <w:sz w:val="20"/>
          <w:szCs w:val="20"/>
        </w:rPr>
      </w:pPr>
      <w:r>
        <w:rPr>
          <w:noProof/>
        </w:rPr>
        <w:lastRenderedPageBreak/>
        <w:drawing>
          <wp:inline distT="0" distB="0" distL="0" distR="0" wp14:anchorId="0D033A64" wp14:editId="4FE3C2B4">
            <wp:extent cx="5943600" cy="4457700"/>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5"/>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7F5AD6">
        <w:rPr>
          <w:b/>
          <w:sz w:val="20"/>
          <w:szCs w:val="20"/>
        </w:rPr>
        <w:t>4.77</w:t>
      </w:r>
      <w:r>
        <w:rPr>
          <w:b/>
          <w:sz w:val="20"/>
          <w:szCs w:val="20"/>
        </w:rPr>
        <w:t xml:space="preserve">. Faulty Case 7 3D Scores Plot for PC1, PC2, and PC3.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as an ellipsoid</w:t>
      </w:r>
      <w:r w:rsidRPr="00EE2556">
        <w:rPr>
          <w:i/>
          <w:sz w:val="20"/>
          <w:szCs w:val="20"/>
        </w:rPr>
        <w:t>. The</w:t>
      </w:r>
      <w:r>
        <w:rPr>
          <w:i/>
          <w:sz w:val="20"/>
          <w:szCs w:val="20"/>
        </w:rPr>
        <w:t>re wa</w:t>
      </w:r>
      <w:r w:rsidRPr="00EE2556">
        <w:rPr>
          <w:i/>
          <w:sz w:val="20"/>
          <w:szCs w:val="20"/>
        </w:rPr>
        <w:t xml:space="preserve">s </w:t>
      </w:r>
      <w:r>
        <w:rPr>
          <w:i/>
          <w:sz w:val="20"/>
          <w:szCs w:val="20"/>
        </w:rPr>
        <w:t xml:space="preserve">a slight change in both PC2 and PC3 </w:t>
      </w:r>
      <w:r w:rsidR="00E62112">
        <w:rPr>
          <w:i/>
          <w:sz w:val="20"/>
          <w:szCs w:val="20"/>
        </w:rPr>
        <w:t xml:space="preserve">scores </w:t>
      </w:r>
      <w:r>
        <w:rPr>
          <w:i/>
          <w:sz w:val="20"/>
          <w:szCs w:val="20"/>
        </w:rPr>
        <w:t>but no detectable fault</w:t>
      </w:r>
      <w:r>
        <w:rPr>
          <w:rFonts w:eastAsiaTheme="minorEastAsia"/>
          <w:i/>
          <w:sz w:val="20"/>
          <w:szCs w:val="20"/>
        </w:rPr>
        <w:t>.</w:t>
      </w:r>
    </w:p>
    <w:p w:rsidR="00E664E4" w:rsidRDefault="00E664E4" w:rsidP="00E664E4">
      <w:pPr>
        <w:rPr>
          <w:i/>
          <w:sz w:val="20"/>
          <w:szCs w:val="20"/>
        </w:rPr>
      </w:pPr>
    </w:p>
    <w:p w:rsidR="00E664E4" w:rsidRPr="00EE2556" w:rsidRDefault="007F5AD6" w:rsidP="00E664E4">
      <w:pPr>
        <w:jc w:val="center"/>
        <w:rPr>
          <w:i/>
          <w:sz w:val="20"/>
          <w:szCs w:val="20"/>
        </w:rPr>
      </w:pPr>
      <w:r>
        <w:rPr>
          <w:noProof/>
        </w:rPr>
        <w:lastRenderedPageBreak/>
        <w:drawing>
          <wp:inline distT="0" distB="0" distL="0" distR="0" wp14:anchorId="6FB14BF4" wp14:editId="7FBBC44D">
            <wp:extent cx="5943600" cy="445770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6"/>
                    <a:stretch>
                      <a:fillRect/>
                    </a:stretch>
                  </pic:blipFill>
                  <pic:spPr>
                    <a:xfrm>
                      <a:off x="0" y="0"/>
                      <a:ext cx="5943600" cy="4457700"/>
                    </a:xfrm>
                    <a:prstGeom prst="rect">
                      <a:avLst/>
                    </a:prstGeom>
                  </pic:spPr>
                </pic:pic>
              </a:graphicData>
            </a:graphic>
          </wp:inline>
        </w:drawing>
      </w:r>
    </w:p>
    <w:p w:rsidR="00E664E4" w:rsidRDefault="00E664E4" w:rsidP="00E664E4">
      <w:pPr>
        <w:rPr>
          <w:rFonts w:eastAsiaTheme="minorEastAsia"/>
          <w:i/>
          <w:sz w:val="20"/>
          <w:szCs w:val="20"/>
        </w:rPr>
      </w:pPr>
      <w:r>
        <w:rPr>
          <w:b/>
          <w:sz w:val="20"/>
          <w:szCs w:val="20"/>
        </w:rPr>
        <w:t xml:space="preserve">Figure </w:t>
      </w:r>
      <w:r w:rsidR="007F5AD6">
        <w:rPr>
          <w:b/>
          <w:sz w:val="20"/>
          <w:szCs w:val="20"/>
        </w:rPr>
        <w:t>4.78</w:t>
      </w:r>
      <w:r>
        <w:rPr>
          <w:b/>
          <w:sz w:val="20"/>
          <w:szCs w:val="20"/>
        </w:rPr>
        <w:t xml:space="preserve">. Faulty Case 7 Mahalanobis Distance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s</w:t>
      </w:r>
      <w:r w:rsidR="008965CA">
        <w:rPr>
          <w:i/>
          <w:sz w:val="20"/>
          <w:szCs w:val="20"/>
        </w:rPr>
        <w:t xml:space="preserve"> shift but the fault may not be detectable depending on operating </w:t>
      </w:r>
      <w:r w:rsidR="007F5AD6">
        <w:rPr>
          <w:i/>
          <w:sz w:val="20"/>
          <w:szCs w:val="20"/>
        </w:rPr>
        <w:t>conditions</w:t>
      </w:r>
      <w:r>
        <w:rPr>
          <w:rFonts w:eastAsiaTheme="minorEastAsia"/>
          <w:i/>
          <w:sz w:val="20"/>
          <w:szCs w:val="20"/>
        </w:rPr>
        <w:t>.</w:t>
      </w:r>
    </w:p>
    <w:p w:rsidR="007F5AD6" w:rsidRDefault="007F5AD6" w:rsidP="007F5AD6">
      <w:pPr>
        <w:jc w:val="center"/>
        <w:rPr>
          <w:i/>
          <w:sz w:val="20"/>
          <w:szCs w:val="20"/>
        </w:rPr>
      </w:pPr>
      <w:r>
        <w:rPr>
          <w:noProof/>
        </w:rPr>
        <w:lastRenderedPageBreak/>
        <w:drawing>
          <wp:inline distT="0" distB="0" distL="0" distR="0" wp14:anchorId="6166B721" wp14:editId="3C8C6240">
            <wp:extent cx="5943600" cy="44577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7"/>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7F5AD6">
        <w:rPr>
          <w:b/>
          <w:sz w:val="20"/>
          <w:szCs w:val="20"/>
        </w:rPr>
        <w:t>4.79</w:t>
      </w:r>
      <w:r>
        <w:rPr>
          <w:b/>
          <w:sz w:val="20"/>
          <w:szCs w:val="20"/>
        </w:rPr>
        <w:t xml:space="preserve">. Faulty Case 7 </w:t>
      </w:r>
      <m:oMath>
        <m:r>
          <m:rPr>
            <m:sty m:val="bi"/>
          </m:rPr>
          <w:rPr>
            <w:rFonts w:ascii="Cambria Math" w:hAnsi="Cambria Math"/>
            <w:sz w:val="20"/>
            <w:szCs w:val="20"/>
          </w:rPr>
          <m:t>Q</m:t>
        </m:r>
      </m:oMath>
      <w:r>
        <w:rPr>
          <w:b/>
          <w:sz w:val="20"/>
          <w:szCs w:val="20"/>
        </w:rPr>
        <w:t xml:space="preserve">-Statistic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a detectable fault.</w:t>
      </w:r>
    </w:p>
    <w:p w:rsidR="00E664E4" w:rsidRPr="00137476" w:rsidRDefault="00E664E4" w:rsidP="00E664E4">
      <w:pPr>
        <w:rPr>
          <w:rFonts w:eastAsiaTheme="minorEastAsia"/>
          <w:b/>
          <w:sz w:val="20"/>
          <w:szCs w:val="20"/>
        </w:rPr>
      </w:pPr>
    </w:p>
    <w:p w:rsidR="00E664E4" w:rsidRPr="00EE2556" w:rsidRDefault="007F5AD6" w:rsidP="00E664E4">
      <w:pPr>
        <w:jc w:val="center"/>
        <w:rPr>
          <w:i/>
          <w:sz w:val="20"/>
          <w:szCs w:val="20"/>
        </w:rPr>
      </w:pPr>
      <w:r>
        <w:rPr>
          <w:noProof/>
        </w:rPr>
        <w:lastRenderedPageBreak/>
        <w:drawing>
          <wp:inline distT="0" distB="0" distL="0" distR="0" wp14:anchorId="70A2155A" wp14:editId="151A1150">
            <wp:extent cx="5943600" cy="4457700"/>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8"/>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E365C2">
        <w:rPr>
          <w:b/>
          <w:sz w:val="20"/>
          <w:szCs w:val="20"/>
        </w:rPr>
        <w:t>4.8</w:t>
      </w:r>
      <w:r w:rsidR="007F5AD6">
        <w:rPr>
          <w:b/>
          <w:sz w:val="20"/>
          <w:szCs w:val="20"/>
        </w:rPr>
        <w:t>0</w:t>
      </w:r>
      <w:r>
        <w:rPr>
          <w:b/>
          <w:sz w:val="20"/>
          <w:szCs w:val="20"/>
        </w:rPr>
        <w:t xml:space="preserve">. Faulty Case 7 PC1, PC2, and </w:t>
      </w:r>
      <m:oMath>
        <m:r>
          <m:rPr>
            <m:sty m:val="bi"/>
          </m:rPr>
          <w:rPr>
            <w:rFonts w:ascii="Cambria Math" w:hAnsi="Cambria Math"/>
            <w:sz w:val="20"/>
            <w:szCs w:val="20"/>
          </w:rPr>
          <m:t>Q</m:t>
        </m:r>
      </m:oMath>
      <w:r>
        <w:rPr>
          <w:b/>
          <w:sz w:val="20"/>
          <w:szCs w:val="20"/>
        </w:rPr>
        <w:t xml:space="preserve">-Statistic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 xml:space="preserve">a detectable fault in the </w:t>
      </w:r>
      <m:oMath>
        <m:r>
          <w:rPr>
            <w:rFonts w:ascii="Cambria Math" w:hAnsi="Cambria Math"/>
            <w:sz w:val="20"/>
            <w:szCs w:val="20"/>
          </w:rPr>
          <m:t>Q</m:t>
        </m:r>
      </m:oMath>
      <w:r>
        <w:rPr>
          <w:rFonts w:eastAsiaTheme="minorEastAsia"/>
          <w:i/>
          <w:sz w:val="20"/>
          <w:szCs w:val="20"/>
        </w:rPr>
        <w:t>-statistic.</w:t>
      </w:r>
    </w:p>
    <w:p w:rsidR="00E664E4" w:rsidRDefault="00E664E4" w:rsidP="00E664E4"/>
    <w:p w:rsidR="00567A68" w:rsidRDefault="00567A68" w:rsidP="00E664E4"/>
    <w:p w:rsidR="001B675F" w:rsidRDefault="001B675F">
      <w:pPr>
        <w:rPr>
          <w:rFonts w:asciiTheme="majorHAnsi" w:hAnsiTheme="majorHAnsi"/>
          <w:b/>
        </w:rPr>
      </w:pPr>
      <w:r>
        <w:rPr>
          <w:rFonts w:asciiTheme="majorHAnsi" w:hAnsiTheme="majorHAnsi"/>
          <w:b/>
        </w:rPr>
        <w:br w:type="page"/>
      </w:r>
    </w:p>
    <w:p w:rsidR="00E664E4" w:rsidRDefault="00E664E4" w:rsidP="00E664E4">
      <w:pPr>
        <w:rPr>
          <w:rFonts w:asciiTheme="majorHAnsi" w:hAnsiTheme="majorHAnsi"/>
          <w:b/>
        </w:rPr>
      </w:pPr>
      <w:r>
        <w:rPr>
          <w:rFonts w:asciiTheme="majorHAnsi" w:hAnsiTheme="majorHAnsi"/>
          <w:b/>
        </w:rPr>
        <w:lastRenderedPageBreak/>
        <w:t>4.3.8 Case 8</w:t>
      </w:r>
    </w:p>
    <w:p w:rsidR="00E664E4" w:rsidRDefault="00E664E4" w:rsidP="00E664E4">
      <w:pPr>
        <w:rPr>
          <w:rFonts w:eastAsiaTheme="minorEastAsia"/>
        </w:rPr>
      </w:pPr>
      <w:r>
        <w:t xml:space="preserve">For the eighth faulty case, inefficient separation operations of the filtration system downstream of the </w:t>
      </w:r>
      <w:proofErr w:type="spellStart"/>
      <w:r>
        <w:t>hydrofluorination</w:t>
      </w:r>
      <w:proofErr w:type="spellEnd"/>
      <w:r>
        <w:t xml:space="preserve"> reaction </w:t>
      </w:r>
      <w:r w:rsidR="00F93F90">
        <w:t xml:space="preserve">in </w:t>
      </w:r>
      <w:r>
        <w:t>Module 4 were investigated. Inefficient filtration result</w:t>
      </w:r>
      <w:r w:rsidR="00F93F90">
        <w:t>ed</w:t>
      </w:r>
      <w:r>
        <w:t xml:space="preserve"> in additional uranium being diverted to the off-gas waste stream. This case was modeled by changing the filter fractionation parameters for the UF</w:t>
      </w:r>
      <w:r w:rsidRPr="004E12C6">
        <w:rPr>
          <w:vertAlign w:val="subscript"/>
        </w:rPr>
        <w:t>4</w:t>
      </w:r>
      <w:r>
        <w:t xml:space="preserve"> and UO</w:t>
      </w:r>
      <w:r w:rsidRPr="004E12C6">
        <w:rPr>
          <w:vertAlign w:val="subscript"/>
        </w:rPr>
        <w:t>2</w:t>
      </w:r>
      <w:r>
        <w:t xml:space="preserve"> in Module 4F, </w:t>
      </w:r>
      <m:oMath>
        <m:sSub>
          <m:sSubPr>
            <m:ctrlPr>
              <w:rPr>
                <w:rFonts w:ascii="Cambria Math" w:hAnsi="Cambria Math"/>
              </w:rPr>
            </m:ctrlPr>
          </m:sSubPr>
          <m:e>
            <m:r>
              <w:rPr>
                <w:rFonts w:ascii="Cambria Math" w:hAnsi="Cambria Math"/>
              </w:rPr>
              <m:t>K</m:t>
            </m:r>
          </m:e>
          <m:sub>
            <m:r>
              <w:rPr>
                <w:rFonts w:ascii="Cambria Math" w:hAnsi="Cambria Math"/>
              </w:rPr>
              <m:t>Mod4F</m:t>
            </m:r>
            <m:r>
              <m:rPr>
                <m:sty m:val="p"/>
              </m:rPr>
              <w:rPr>
                <w:rFonts w:ascii="Cambria Math" w:hAnsi="Cambria Math"/>
              </w:rPr>
              <m:t>,16</m:t>
            </m:r>
          </m:sub>
        </m:sSub>
      </m:oMath>
      <w:r>
        <w:rPr>
          <w:rFonts w:eastAsiaTheme="minorEastAsia"/>
        </w:rPr>
        <w:t xml:space="preserve"> and </w:t>
      </w:r>
      <m:oMath>
        <m:sSub>
          <m:sSubPr>
            <m:ctrlPr>
              <w:rPr>
                <w:rFonts w:ascii="Cambria Math" w:hAnsi="Cambria Math"/>
              </w:rPr>
            </m:ctrlPr>
          </m:sSubPr>
          <m:e>
            <m:r>
              <w:rPr>
                <w:rFonts w:ascii="Cambria Math" w:hAnsi="Cambria Math"/>
              </w:rPr>
              <m:t>K</m:t>
            </m:r>
          </m:e>
          <m:sub>
            <m:r>
              <w:rPr>
                <w:rFonts w:ascii="Cambria Math" w:hAnsi="Cambria Math"/>
              </w:rPr>
              <m:t>Mod4F</m:t>
            </m:r>
            <m:r>
              <m:rPr>
                <m:sty m:val="p"/>
              </m:rPr>
              <w:rPr>
                <w:rFonts w:ascii="Cambria Math" w:hAnsi="Cambria Math"/>
              </w:rPr>
              <m:t>,17</m:t>
            </m:r>
          </m:sub>
        </m:sSub>
      </m:oMath>
      <w:r>
        <w:rPr>
          <w:rFonts w:eastAsiaTheme="minorEastAsia"/>
        </w:rPr>
        <w:t xml:space="preserve">, respectively. For both, the base case value was increased ten times. Therefore, the value of </w:t>
      </w:r>
      <m:oMath>
        <m:sSub>
          <m:sSubPr>
            <m:ctrlPr>
              <w:rPr>
                <w:rFonts w:ascii="Cambria Math" w:hAnsi="Cambria Math"/>
              </w:rPr>
            </m:ctrlPr>
          </m:sSubPr>
          <m:e>
            <m:r>
              <w:rPr>
                <w:rFonts w:ascii="Cambria Math" w:hAnsi="Cambria Math"/>
              </w:rPr>
              <m:t>K</m:t>
            </m:r>
          </m:e>
          <m:sub>
            <m:r>
              <w:rPr>
                <w:rFonts w:ascii="Cambria Math" w:hAnsi="Cambria Math"/>
              </w:rPr>
              <m:t>Mod4F</m:t>
            </m:r>
            <m:r>
              <m:rPr>
                <m:sty m:val="p"/>
              </m:rPr>
              <w:rPr>
                <w:rFonts w:ascii="Cambria Math" w:hAnsi="Cambria Math"/>
              </w:rPr>
              <m:t>,16</m:t>
            </m:r>
          </m:sub>
        </m:sSub>
      </m:oMath>
      <w:r>
        <w:rPr>
          <w:rFonts w:eastAsiaTheme="minorEastAsia"/>
        </w:rPr>
        <w:t xml:space="preserve"> was increased from 0.00001 to 0.0001, and the value of </w:t>
      </w:r>
      <m:oMath>
        <m:sSub>
          <m:sSubPr>
            <m:ctrlPr>
              <w:rPr>
                <w:rFonts w:ascii="Cambria Math" w:hAnsi="Cambria Math"/>
              </w:rPr>
            </m:ctrlPr>
          </m:sSubPr>
          <m:e>
            <m:r>
              <w:rPr>
                <w:rFonts w:ascii="Cambria Math" w:hAnsi="Cambria Math"/>
              </w:rPr>
              <m:t>K</m:t>
            </m:r>
          </m:e>
          <m:sub>
            <m:r>
              <w:rPr>
                <w:rFonts w:ascii="Cambria Math" w:hAnsi="Cambria Math"/>
              </w:rPr>
              <m:t>Mod4F</m:t>
            </m:r>
            <m:r>
              <m:rPr>
                <m:sty m:val="p"/>
              </m:rPr>
              <w:rPr>
                <w:rFonts w:ascii="Cambria Math" w:hAnsi="Cambria Math"/>
              </w:rPr>
              <m:t>,17</m:t>
            </m:r>
          </m:sub>
        </m:sSub>
      </m:oMath>
      <w:r>
        <w:rPr>
          <w:rFonts w:eastAsiaTheme="minorEastAsia"/>
        </w:rPr>
        <w:t xml:space="preserve"> was increased from 0.001 to 0.01. </w:t>
      </w:r>
      <w:r w:rsidR="008965CA">
        <w:rPr>
          <w:rFonts w:eastAsiaTheme="minorEastAsia"/>
        </w:rPr>
        <w:t xml:space="preserve">This fault was only detectable in the </w:t>
      </w:r>
      <m:oMath>
        <m:r>
          <w:rPr>
            <w:rFonts w:ascii="Cambria Math" w:eastAsiaTheme="minorEastAsia" w:hAnsi="Cambria Math"/>
          </w:rPr>
          <m:t>Q</m:t>
        </m:r>
      </m:oMath>
      <w:r w:rsidR="008965CA">
        <w:rPr>
          <w:rFonts w:eastAsiaTheme="minorEastAsia"/>
        </w:rPr>
        <w:t>-statistic.</w:t>
      </w:r>
    </w:p>
    <w:p w:rsidR="00EC3E46" w:rsidRDefault="00EC3E46" w:rsidP="00E664E4">
      <w:pPr>
        <w:rPr>
          <w:rFonts w:eastAsiaTheme="minorEastAsia"/>
        </w:rPr>
      </w:pPr>
      <w:r>
        <w:rPr>
          <w:rFonts w:eastAsiaTheme="minorEastAsia"/>
        </w:rPr>
        <w:t>These parameters appear in the model as shown in Equations 3.2.4.48 and 3.2.4.49 which are restated here in terms of state variable numbers.</w:t>
      </w:r>
    </w:p>
    <w:p w:rsidR="00EC3E46" w:rsidRPr="00AD1F45" w:rsidRDefault="00EC3E46" w:rsidP="00EC3E46">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4</m:t>
            </m:r>
            <m:r>
              <w:rPr>
                <w:rFonts w:ascii="Cambria Math" w:hAnsi="Cambria Math"/>
              </w:rPr>
              <m:t>F</m:t>
            </m:r>
            <m:r>
              <m:rPr>
                <m:sty m:val="p"/>
              </m:rPr>
              <w:rPr>
                <w:rFonts w:ascii="Cambria Math" w:hAnsi="Cambria Math"/>
              </w:rPr>
              <m:t>,16</m:t>
            </m:r>
          </m:sub>
        </m:sSub>
        <m:r>
          <m:rPr>
            <m:sty m:val="p"/>
          </m:rPr>
          <w:rPr>
            <w:rFonts w:ascii="Cambria Math" w:hAnsi="Cambria Math"/>
          </w:rPr>
          <m:t>*Xss(207)-Xss(214)=0</m:t>
        </m:r>
      </m:oMath>
      <w:r w:rsidRPr="00AD1F45">
        <w:t xml:space="preserve"> </w:t>
      </w:r>
      <w:r w:rsidRPr="00AD1F45">
        <w:tab/>
      </w:r>
      <w:r>
        <w:tab/>
      </w:r>
      <w:r w:rsidRPr="00AD1F45">
        <w:tab/>
      </w:r>
      <w:r w:rsidRPr="00AD1F45">
        <w:tab/>
      </w:r>
      <w:r>
        <w:t>Eq. (4.3.8.1</w:t>
      </w:r>
      <w:r w:rsidRPr="00AD1F45">
        <w:t>)</w:t>
      </w:r>
    </w:p>
    <w:p w:rsidR="00EC3E46" w:rsidRPr="00AD1F45" w:rsidRDefault="00EC3E46" w:rsidP="00EC3E46">
      <w:pPr>
        <w:jc w:val="right"/>
      </w:pPr>
      <m:oMath>
        <m:sSub>
          <m:sSubPr>
            <m:ctrlPr>
              <w:rPr>
                <w:rFonts w:ascii="Cambria Math" w:hAnsi="Cambria Math"/>
              </w:rPr>
            </m:ctrlPr>
          </m:sSubPr>
          <m:e>
            <m:r>
              <w:rPr>
                <w:rFonts w:ascii="Cambria Math" w:hAnsi="Cambria Math"/>
              </w:rPr>
              <m:t>K</m:t>
            </m:r>
          </m:e>
          <m:sub>
            <m:r>
              <w:rPr>
                <w:rFonts w:ascii="Cambria Math" w:hAnsi="Cambria Math"/>
              </w:rPr>
              <m:t>Mod</m:t>
            </m:r>
            <m:r>
              <m:rPr>
                <m:sty m:val="p"/>
              </m:rPr>
              <w:rPr>
                <w:rFonts w:ascii="Cambria Math" w:hAnsi="Cambria Math"/>
              </w:rPr>
              <m:t>4</m:t>
            </m:r>
            <m:r>
              <w:rPr>
                <w:rFonts w:ascii="Cambria Math" w:hAnsi="Cambria Math"/>
              </w:rPr>
              <m:t>F</m:t>
            </m:r>
            <m:r>
              <m:rPr>
                <m:sty m:val="p"/>
              </m:rPr>
              <w:rPr>
                <w:rFonts w:ascii="Cambria Math" w:hAnsi="Cambria Math"/>
              </w:rPr>
              <m:t>,17</m:t>
            </m:r>
          </m:sub>
        </m:sSub>
        <m:r>
          <m:rPr>
            <m:sty m:val="p"/>
          </m:rPr>
          <w:rPr>
            <w:rFonts w:ascii="Cambria Math" w:hAnsi="Cambria Math"/>
          </w:rPr>
          <m:t>*Xss(208)-Xss(215)=0</m:t>
        </m:r>
      </m:oMath>
      <w:r w:rsidRPr="00AD1F45">
        <w:t xml:space="preserve"> </w:t>
      </w:r>
      <w:r w:rsidRPr="00AD1F45">
        <w:tab/>
      </w:r>
      <w:r>
        <w:tab/>
      </w:r>
      <w:r w:rsidRPr="00AD1F45">
        <w:tab/>
      </w:r>
      <w:r w:rsidRPr="00AD1F45">
        <w:tab/>
      </w:r>
      <w:r>
        <w:t>Eq. (4.3.8.2</w:t>
      </w:r>
      <w:r w:rsidRPr="00AD1F45">
        <w:t>)</w:t>
      </w:r>
    </w:p>
    <w:p w:rsidR="00EC3E46" w:rsidRDefault="00EC3E46" w:rsidP="00E664E4">
      <w:pPr>
        <w:rPr>
          <w:rFonts w:eastAsiaTheme="minorEastAsia"/>
        </w:rPr>
      </w:pPr>
      <w:r>
        <w:rPr>
          <w:rFonts w:eastAsiaTheme="minorEastAsia"/>
        </w:rPr>
        <w:t xml:space="preserve">The base case nominal value for </w:t>
      </w:r>
      <w:proofErr w:type="spellStart"/>
      <w:proofErr w:type="gramStart"/>
      <w:r>
        <w:rPr>
          <w:rFonts w:eastAsiaTheme="minorEastAsia"/>
        </w:rPr>
        <w:t>Xss</w:t>
      </w:r>
      <w:proofErr w:type="spellEnd"/>
      <w:r>
        <w:rPr>
          <w:rFonts w:eastAsiaTheme="minorEastAsia"/>
        </w:rPr>
        <w:t>(</w:t>
      </w:r>
      <w:proofErr w:type="gramEnd"/>
      <w:r>
        <w:rPr>
          <w:rFonts w:eastAsiaTheme="minorEastAsia"/>
        </w:rPr>
        <w:t xml:space="preserve">214) was 0.002 while the faulty case 8 value was 0.02. The base case nominal value for </w:t>
      </w:r>
      <w:proofErr w:type="spellStart"/>
      <w:proofErr w:type="gramStart"/>
      <w:r>
        <w:rPr>
          <w:rFonts w:eastAsiaTheme="minorEastAsia"/>
        </w:rPr>
        <w:t>Xss</w:t>
      </w:r>
      <w:proofErr w:type="spellEnd"/>
      <w:r>
        <w:rPr>
          <w:rFonts w:eastAsiaTheme="minorEastAsia"/>
        </w:rPr>
        <w:t>(</w:t>
      </w:r>
      <w:proofErr w:type="gramEnd"/>
      <w:r>
        <w:rPr>
          <w:rFonts w:eastAsiaTheme="minorEastAsia"/>
        </w:rPr>
        <w:t xml:space="preserve">215) was 0.01 while the faulty case 8 value was 0.1. Based on the sensitivity analysis, </w:t>
      </w:r>
      <w:proofErr w:type="spellStart"/>
      <w:proofErr w:type="gramStart"/>
      <w:r>
        <w:rPr>
          <w:rFonts w:eastAsiaTheme="minorEastAsia"/>
        </w:rPr>
        <w:t>Xss</w:t>
      </w:r>
      <w:proofErr w:type="spellEnd"/>
      <w:r>
        <w:rPr>
          <w:rFonts w:eastAsiaTheme="minorEastAsia"/>
        </w:rPr>
        <w:t>(</w:t>
      </w:r>
      <w:proofErr w:type="gramEnd"/>
      <w:r>
        <w:rPr>
          <w:rFonts w:eastAsiaTheme="minorEastAsia"/>
        </w:rPr>
        <w:t xml:space="preserve">214) was the only state variable sensitive to changes in </w:t>
      </w:r>
      <m:oMath>
        <m:sSub>
          <m:sSubPr>
            <m:ctrlPr>
              <w:rPr>
                <w:rFonts w:ascii="Cambria Math" w:hAnsi="Cambria Math"/>
              </w:rPr>
            </m:ctrlPr>
          </m:sSubPr>
          <m:e>
            <m:r>
              <w:rPr>
                <w:rFonts w:ascii="Cambria Math" w:hAnsi="Cambria Math"/>
              </w:rPr>
              <m:t>K</m:t>
            </m:r>
          </m:e>
          <m:sub>
            <m:r>
              <w:rPr>
                <w:rFonts w:ascii="Cambria Math" w:hAnsi="Cambria Math"/>
              </w:rPr>
              <m:t>Mod4F</m:t>
            </m:r>
            <m:r>
              <m:rPr>
                <m:sty m:val="p"/>
              </m:rPr>
              <w:rPr>
                <w:rFonts w:ascii="Cambria Math" w:hAnsi="Cambria Math"/>
              </w:rPr>
              <m:t>,16</m:t>
            </m:r>
          </m:sub>
        </m:sSub>
      </m:oMath>
      <w:r>
        <w:rPr>
          <w:rFonts w:eastAsiaTheme="minorEastAsia"/>
        </w:rPr>
        <w:t xml:space="preserve"> and Xss(215) was the on</w:t>
      </w:r>
      <w:proofErr w:type="spellStart"/>
      <w:r>
        <w:rPr>
          <w:rFonts w:eastAsiaTheme="minorEastAsia"/>
        </w:rPr>
        <w:t>ly</w:t>
      </w:r>
      <w:proofErr w:type="spellEnd"/>
      <w:r>
        <w:rPr>
          <w:rFonts w:eastAsiaTheme="minorEastAsia"/>
        </w:rPr>
        <w:t xml:space="preserve"> state variable sensitive to changes in </w:t>
      </w:r>
      <m:oMath>
        <m:sSub>
          <m:sSubPr>
            <m:ctrlPr>
              <w:rPr>
                <w:rFonts w:ascii="Cambria Math" w:hAnsi="Cambria Math"/>
              </w:rPr>
            </m:ctrlPr>
          </m:sSubPr>
          <m:e>
            <m:r>
              <w:rPr>
                <w:rFonts w:ascii="Cambria Math" w:hAnsi="Cambria Math"/>
              </w:rPr>
              <m:t>K</m:t>
            </m:r>
          </m:e>
          <m:sub>
            <m:r>
              <w:rPr>
                <w:rFonts w:ascii="Cambria Math" w:hAnsi="Cambria Math"/>
              </w:rPr>
              <m:t>Mod4F</m:t>
            </m:r>
            <m:r>
              <m:rPr>
                <m:sty m:val="p"/>
              </m:rPr>
              <w:rPr>
                <w:rFonts w:ascii="Cambria Math" w:hAnsi="Cambria Math"/>
              </w:rPr>
              <m:t>,17</m:t>
            </m:r>
          </m:sub>
        </m:sSub>
      </m:oMath>
      <w:r>
        <w:rPr>
          <w:rFonts w:eastAsiaTheme="minorEastAsia"/>
        </w:rPr>
        <w:t xml:space="preserve">. The sensitivity factors for each of these were one. </w:t>
      </w:r>
      <w:proofErr w:type="spellStart"/>
      <w:proofErr w:type="gramStart"/>
      <w:r>
        <w:rPr>
          <w:rFonts w:eastAsiaTheme="minorEastAsia"/>
        </w:rPr>
        <w:t>Xss</w:t>
      </w:r>
      <w:proofErr w:type="spellEnd"/>
      <w:r>
        <w:rPr>
          <w:rFonts w:eastAsiaTheme="minorEastAsia"/>
        </w:rPr>
        <w:t>(</w:t>
      </w:r>
      <w:proofErr w:type="gramEnd"/>
      <w:r>
        <w:rPr>
          <w:rFonts w:eastAsiaTheme="minorEastAsia"/>
        </w:rPr>
        <w:t xml:space="preserve">207) and </w:t>
      </w:r>
      <w:proofErr w:type="spellStart"/>
      <w:r>
        <w:rPr>
          <w:rFonts w:eastAsiaTheme="minorEastAsia"/>
        </w:rPr>
        <w:t>Xss</w:t>
      </w:r>
      <w:proofErr w:type="spellEnd"/>
      <w:r>
        <w:rPr>
          <w:rFonts w:eastAsiaTheme="minorEastAsia"/>
        </w:rPr>
        <w:t xml:space="preserve">(214) moderately loaded PC1 while </w:t>
      </w:r>
      <w:proofErr w:type="spellStart"/>
      <w:r>
        <w:rPr>
          <w:rFonts w:eastAsiaTheme="minorEastAsia"/>
        </w:rPr>
        <w:t>Xss</w:t>
      </w:r>
      <w:proofErr w:type="spellEnd"/>
      <w:r>
        <w:rPr>
          <w:rFonts w:eastAsiaTheme="minorEastAsia"/>
        </w:rPr>
        <w:t xml:space="preserve">(208) and </w:t>
      </w:r>
      <w:proofErr w:type="spellStart"/>
      <w:r>
        <w:rPr>
          <w:rFonts w:eastAsiaTheme="minorEastAsia"/>
        </w:rPr>
        <w:t>Xss</w:t>
      </w:r>
      <w:proofErr w:type="spellEnd"/>
      <w:r>
        <w:rPr>
          <w:rFonts w:eastAsiaTheme="minorEastAsia"/>
        </w:rPr>
        <w:t>(215) moderately loaded PC2.</w:t>
      </w:r>
    </w:p>
    <w:p w:rsidR="00DD216A" w:rsidRDefault="00F93F90">
      <w:r>
        <w:rPr>
          <w:rFonts w:eastAsiaTheme="minorEastAsia"/>
        </w:rPr>
        <w:t>T</w:t>
      </w:r>
      <w:r w:rsidR="008965CA">
        <w:rPr>
          <w:rFonts w:eastAsiaTheme="minorEastAsia"/>
        </w:rPr>
        <w:t>here was no detectable fault in any of the scores plots</w:t>
      </w:r>
      <w:r>
        <w:rPr>
          <w:rFonts w:eastAsiaTheme="minorEastAsia"/>
        </w:rPr>
        <w:t xml:space="preserve"> even though there were very slight shifts in the scores</w:t>
      </w:r>
      <w:r w:rsidR="008965CA">
        <w:rPr>
          <w:rFonts w:eastAsiaTheme="minorEastAsia"/>
        </w:rPr>
        <w:t xml:space="preserve">. </w:t>
      </w:r>
      <w:r w:rsidR="008965CA">
        <w:t xml:space="preserve">There was a slight </w:t>
      </w:r>
      <w:r w:rsidR="004E68DC">
        <w:t>increase</w:t>
      </w:r>
      <w:r w:rsidR="008965CA">
        <w:t xml:space="preserve"> in the Mahalanobis distance (Figure 4.8</w:t>
      </w:r>
      <w:r>
        <w:t>1</w:t>
      </w:r>
      <w:r w:rsidR="008965CA">
        <w:t xml:space="preserve">), but most of the data points were still within the 95% confidence boundary so the fault was not </w:t>
      </w:r>
      <w:r>
        <w:t xml:space="preserve">likely to be </w:t>
      </w:r>
      <w:r w:rsidR="008965CA">
        <w:t>detectable. A</w:t>
      </w:r>
      <w:r w:rsidR="004E68DC">
        <w:t>n increase</w:t>
      </w:r>
      <w:r w:rsidR="008965CA">
        <w:t xml:space="preserve"> in the Mahalanobis distance was expected since additional material in the waste is outside normal operating conditions. However, since this was such a small change, it was not significant enough to be outside of normal conditions. Even though the increase was large, the actual amounts from the fractionations were still very small even after the increase.</w:t>
      </w:r>
      <w:r w:rsidR="000B3013">
        <w:t xml:space="preserve"> A significant </w:t>
      </w:r>
      <w:r w:rsidR="007063C2">
        <w:t>increase</w:t>
      </w:r>
      <w:r w:rsidR="000B3013">
        <w:t xml:space="preserve"> occurred in the </w:t>
      </w:r>
      <m:oMath>
        <m:r>
          <w:rPr>
            <w:rFonts w:ascii="Cambria Math" w:hAnsi="Cambria Math"/>
          </w:rPr>
          <m:t>Q</m:t>
        </m:r>
      </m:oMath>
      <w:r w:rsidR="00EC3E46">
        <w:rPr>
          <w:rFonts w:eastAsiaTheme="minorEastAsia"/>
        </w:rPr>
        <w:noBreakHyphen/>
      </w:r>
      <w:r w:rsidR="000B3013">
        <w:rPr>
          <w:rFonts w:eastAsiaTheme="minorEastAsia"/>
        </w:rPr>
        <w:t>statistic (Figures 4.</w:t>
      </w:r>
      <w:r>
        <w:rPr>
          <w:rFonts w:eastAsiaTheme="minorEastAsia"/>
        </w:rPr>
        <w:t>82</w:t>
      </w:r>
      <w:r w:rsidR="000B3013">
        <w:rPr>
          <w:rFonts w:eastAsiaTheme="minorEastAsia"/>
        </w:rPr>
        <w:t>–4.</w:t>
      </w:r>
      <w:r>
        <w:rPr>
          <w:rFonts w:eastAsiaTheme="minorEastAsia"/>
        </w:rPr>
        <w:t>83</w:t>
      </w:r>
      <w:r w:rsidR="000B3013">
        <w:rPr>
          <w:rFonts w:eastAsiaTheme="minorEastAsia"/>
        </w:rPr>
        <w:t xml:space="preserve">). This </w:t>
      </w:r>
      <w:r w:rsidR="00E664E4">
        <w:t xml:space="preserve">fault was expected in the </w:t>
      </w:r>
      <m:oMath>
        <m:r>
          <w:rPr>
            <w:rFonts w:ascii="Cambria Math" w:hAnsi="Cambria Math"/>
          </w:rPr>
          <m:t>Q</m:t>
        </m:r>
      </m:oMath>
      <w:r w:rsidR="007063C2">
        <w:noBreakHyphen/>
      </w:r>
      <w:r w:rsidR="00E664E4">
        <w:t xml:space="preserve">statistic since changing the filter fractionation changes the parameters and therefore </w:t>
      </w:r>
      <w:r w:rsidR="006F1843">
        <w:t>the relative relationship between the state variables</w:t>
      </w:r>
      <w:r w:rsidR="00E664E4">
        <w:t xml:space="preserve"> w</w:t>
      </w:r>
      <w:r>
        <w:t xml:space="preserve">ould </w:t>
      </w:r>
      <w:r w:rsidR="00E664E4">
        <w:t xml:space="preserve">be different. The fault in the </w:t>
      </w:r>
      <m:oMath>
        <m:r>
          <w:rPr>
            <w:rFonts w:ascii="Cambria Math" w:hAnsi="Cambria Math"/>
          </w:rPr>
          <m:t>Q</m:t>
        </m:r>
      </m:oMath>
      <w:r w:rsidR="00E664E4">
        <w:rPr>
          <w:rFonts w:eastAsiaTheme="minorEastAsia"/>
        </w:rPr>
        <w:t>-statistic was expected to be large sin</w:t>
      </w:r>
      <w:proofErr w:type="spellStart"/>
      <w:r w:rsidR="00E664E4">
        <w:rPr>
          <w:rFonts w:eastAsiaTheme="minorEastAsia"/>
        </w:rPr>
        <w:t>ce</w:t>
      </w:r>
      <w:proofErr w:type="spellEnd"/>
      <w:r w:rsidR="00E664E4">
        <w:rPr>
          <w:rFonts w:eastAsiaTheme="minorEastAsia"/>
        </w:rPr>
        <w:t xml:space="preserve"> this was a large change in two parameters which should result in a detectable change in the relationships between the parameters</w:t>
      </w:r>
      <w:r>
        <w:rPr>
          <w:rFonts w:eastAsiaTheme="minorEastAsia"/>
        </w:rPr>
        <w:t xml:space="preserve"> and state variables</w:t>
      </w:r>
      <w:r w:rsidR="00E664E4">
        <w:rPr>
          <w:rFonts w:eastAsiaTheme="minorEastAsia"/>
        </w:rPr>
        <w:t xml:space="preserve">. </w:t>
      </w:r>
      <w:r w:rsidR="00E664E4">
        <w:t xml:space="preserve">These parameters were increased significantly </w:t>
      </w:r>
      <w:r w:rsidR="00EC3E46">
        <w:t xml:space="preserve">(approximately 900% over the nominal base case values) </w:t>
      </w:r>
      <w:r w:rsidR="00E664E4">
        <w:t xml:space="preserve">even though the values </w:t>
      </w:r>
      <w:r w:rsidR="000960D3">
        <w:t>we</w:t>
      </w:r>
      <w:r w:rsidR="00E664E4">
        <w:t xml:space="preserve">re very small so that there was not a significant change in the amount of uranium diverted to waste. The diversion was easily detectable in the </w:t>
      </w:r>
      <m:oMath>
        <m:r>
          <w:rPr>
            <w:rFonts w:ascii="Cambria Math" w:hAnsi="Cambria Math"/>
          </w:rPr>
          <m:t>Q</m:t>
        </m:r>
      </m:oMath>
      <w:r w:rsidR="00E664E4">
        <w:t xml:space="preserve">-statistic. </w:t>
      </w:r>
      <w:r w:rsidR="000960D3">
        <w:t xml:space="preserve">It is recommended that the off-gas stream from the </w:t>
      </w:r>
      <w:proofErr w:type="spellStart"/>
      <w:r w:rsidR="000960D3">
        <w:t>hydrofluorination</w:t>
      </w:r>
      <w:proofErr w:type="spellEnd"/>
      <w:r w:rsidR="000960D3">
        <w:t xml:space="preserve"> process be monitored for uranium content. </w:t>
      </w:r>
      <w:r>
        <w:t>This case is summarized in Table 4.28.</w:t>
      </w:r>
    </w:p>
    <w:p w:rsidR="00DD216A" w:rsidRDefault="00DD216A">
      <w:r>
        <w:br w:type="page"/>
      </w:r>
    </w:p>
    <w:tbl>
      <w:tblPr>
        <w:tblW w:w="8214" w:type="dxa"/>
        <w:jc w:val="center"/>
        <w:tblInd w:w="93" w:type="dxa"/>
        <w:tblLook w:val="04A0" w:firstRow="1" w:lastRow="0" w:firstColumn="1" w:lastColumn="0" w:noHBand="0" w:noVBand="1"/>
      </w:tblPr>
      <w:tblGrid>
        <w:gridCol w:w="1318"/>
        <w:gridCol w:w="863"/>
        <w:gridCol w:w="1225"/>
        <w:gridCol w:w="1297"/>
        <w:gridCol w:w="1171"/>
        <w:gridCol w:w="2340"/>
      </w:tblGrid>
      <w:tr w:rsidR="00F93F90" w:rsidRPr="00F93F90" w:rsidTr="00A34905">
        <w:trPr>
          <w:trHeight w:val="270"/>
          <w:jc w:val="center"/>
        </w:trPr>
        <w:tc>
          <w:tcPr>
            <w:tcW w:w="8214" w:type="dxa"/>
            <w:gridSpan w:val="6"/>
            <w:tcBorders>
              <w:top w:val="nil"/>
              <w:left w:val="nil"/>
              <w:bottom w:val="single" w:sz="8" w:space="0" w:color="auto"/>
              <w:right w:val="nil"/>
            </w:tcBorders>
            <w:shd w:val="clear" w:color="auto" w:fill="auto"/>
            <w:noWrap/>
            <w:vAlign w:val="center"/>
            <w:hideMark/>
          </w:tcPr>
          <w:p w:rsidR="00F93F90" w:rsidRPr="00F93F90" w:rsidRDefault="00F93F90" w:rsidP="00F93F90">
            <w:pPr>
              <w:spacing w:after="0" w:line="240" w:lineRule="auto"/>
              <w:jc w:val="center"/>
              <w:rPr>
                <w:rFonts w:ascii="Calibri" w:eastAsia="Times New Roman" w:hAnsi="Calibri" w:cs="Times New Roman"/>
                <w:b/>
                <w:bCs/>
                <w:color w:val="000000"/>
                <w:sz w:val="20"/>
                <w:szCs w:val="20"/>
              </w:rPr>
            </w:pPr>
            <w:r w:rsidRPr="00F93F90">
              <w:rPr>
                <w:rFonts w:ascii="Calibri" w:eastAsia="Times New Roman" w:hAnsi="Calibri" w:cs="Times New Roman"/>
                <w:b/>
                <w:bCs/>
                <w:color w:val="000000"/>
                <w:sz w:val="20"/>
                <w:szCs w:val="20"/>
              </w:rPr>
              <w:lastRenderedPageBreak/>
              <w:t>Table 4.28. Summary of Faulty Case 8</w:t>
            </w:r>
          </w:p>
        </w:tc>
      </w:tr>
      <w:tr w:rsidR="00F93F90" w:rsidRPr="00F93F90" w:rsidTr="00A34905">
        <w:trPr>
          <w:trHeight w:val="255"/>
          <w:jc w:val="center"/>
        </w:trPr>
        <w:tc>
          <w:tcPr>
            <w:tcW w:w="8214" w:type="dxa"/>
            <w:gridSpan w:val="6"/>
            <w:tcBorders>
              <w:top w:val="nil"/>
              <w:left w:val="nil"/>
              <w:bottom w:val="nil"/>
              <w:right w:val="nil"/>
            </w:tcBorders>
            <w:shd w:val="clear" w:color="auto" w:fill="auto"/>
            <w:noWrap/>
            <w:vAlign w:val="center"/>
            <w:hideMark/>
          </w:tcPr>
          <w:p w:rsidR="00F93F90" w:rsidRPr="00F93F90" w:rsidRDefault="00F93F90" w:rsidP="00F93F90">
            <w:pPr>
              <w:spacing w:after="0" w:line="240" w:lineRule="auto"/>
              <w:jc w:val="center"/>
              <w:rPr>
                <w:rFonts w:ascii="Calibri" w:eastAsia="Times New Roman" w:hAnsi="Calibri" w:cs="Times New Roman"/>
                <w:b/>
                <w:bCs/>
                <w:color w:val="000000"/>
                <w:sz w:val="20"/>
                <w:szCs w:val="20"/>
              </w:rPr>
            </w:pPr>
            <w:r w:rsidRPr="00F93F90">
              <w:rPr>
                <w:rFonts w:ascii="Calibri" w:eastAsia="Times New Roman" w:hAnsi="Calibri" w:cs="Times New Roman"/>
                <w:b/>
                <w:bCs/>
                <w:color w:val="000000"/>
                <w:sz w:val="20"/>
                <w:szCs w:val="20"/>
              </w:rPr>
              <w:t>Summary of Faulty Case</w:t>
            </w:r>
          </w:p>
        </w:tc>
      </w:tr>
      <w:tr w:rsidR="00F93F90" w:rsidRPr="00F93F90" w:rsidTr="00A34905">
        <w:trPr>
          <w:trHeight w:val="255"/>
          <w:jc w:val="center"/>
        </w:trPr>
        <w:tc>
          <w:tcPr>
            <w:tcW w:w="1318" w:type="dxa"/>
            <w:tcBorders>
              <w:top w:val="nil"/>
              <w:left w:val="nil"/>
              <w:bottom w:val="single" w:sz="4" w:space="0" w:color="auto"/>
              <w:right w:val="nil"/>
            </w:tcBorders>
            <w:shd w:val="clear" w:color="auto" w:fill="auto"/>
            <w:noWrap/>
            <w:vAlign w:val="center"/>
            <w:hideMark/>
          </w:tcPr>
          <w:p w:rsidR="00F93F90" w:rsidRPr="00F93F90" w:rsidRDefault="00F93F90" w:rsidP="00F93F90">
            <w:pPr>
              <w:spacing w:after="0" w:line="240" w:lineRule="auto"/>
              <w:jc w:val="center"/>
              <w:rPr>
                <w:rFonts w:ascii="Calibri" w:eastAsia="Times New Roman" w:hAnsi="Calibri" w:cs="Times New Roman"/>
                <w:b/>
                <w:bCs/>
                <w:color w:val="000000"/>
                <w:sz w:val="20"/>
                <w:szCs w:val="20"/>
              </w:rPr>
            </w:pPr>
            <w:r w:rsidRPr="00F93F90">
              <w:rPr>
                <w:rFonts w:ascii="Calibri" w:eastAsia="Times New Roman" w:hAnsi="Calibri" w:cs="Times New Roman"/>
                <w:b/>
                <w:bCs/>
                <w:color w:val="000000"/>
                <w:sz w:val="20"/>
                <w:szCs w:val="20"/>
              </w:rPr>
              <w:t>Priority</w:t>
            </w:r>
          </w:p>
        </w:tc>
        <w:tc>
          <w:tcPr>
            <w:tcW w:w="863" w:type="dxa"/>
            <w:tcBorders>
              <w:top w:val="nil"/>
              <w:left w:val="nil"/>
              <w:bottom w:val="single" w:sz="4" w:space="0" w:color="auto"/>
              <w:right w:val="nil"/>
            </w:tcBorders>
            <w:shd w:val="clear" w:color="auto" w:fill="auto"/>
            <w:vAlign w:val="center"/>
            <w:hideMark/>
          </w:tcPr>
          <w:p w:rsidR="00F93F90" w:rsidRPr="00F93F90" w:rsidRDefault="00F93F90" w:rsidP="00F93F90">
            <w:pPr>
              <w:spacing w:after="0" w:line="240" w:lineRule="auto"/>
              <w:jc w:val="center"/>
              <w:rPr>
                <w:rFonts w:ascii="Calibri" w:eastAsia="Times New Roman" w:hAnsi="Calibri" w:cs="Times New Roman"/>
                <w:b/>
                <w:bCs/>
                <w:sz w:val="20"/>
                <w:szCs w:val="20"/>
              </w:rPr>
            </w:pPr>
            <w:r w:rsidRPr="00F93F90">
              <w:rPr>
                <w:rFonts w:ascii="Calibri" w:eastAsia="Times New Roman" w:hAnsi="Calibri" w:cs="Times New Roman"/>
                <w:b/>
                <w:bCs/>
                <w:sz w:val="20"/>
                <w:szCs w:val="20"/>
              </w:rPr>
              <w:t>Module</w:t>
            </w:r>
          </w:p>
        </w:tc>
        <w:tc>
          <w:tcPr>
            <w:tcW w:w="1225" w:type="dxa"/>
            <w:tcBorders>
              <w:top w:val="nil"/>
              <w:left w:val="nil"/>
              <w:bottom w:val="single" w:sz="4" w:space="0" w:color="auto"/>
              <w:right w:val="nil"/>
            </w:tcBorders>
            <w:shd w:val="clear" w:color="auto" w:fill="auto"/>
            <w:vAlign w:val="center"/>
            <w:hideMark/>
          </w:tcPr>
          <w:p w:rsidR="00F93F90" w:rsidRPr="00F93F90" w:rsidRDefault="00F93F90" w:rsidP="00F93F90">
            <w:pPr>
              <w:spacing w:after="0" w:line="240" w:lineRule="auto"/>
              <w:jc w:val="center"/>
              <w:rPr>
                <w:rFonts w:ascii="Calibri" w:eastAsia="Times New Roman" w:hAnsi="Calibri" w:cs="Times New Roman"/>
                <w:b/>
                <w:bCs/>
                <w:sz w:val="20"/>
                <w:szCs w:val="20"/>
              </w:rPr>
            </w:pPr>
            <w:r w:rsidRPr="00F93F90">
              <w:rPr>
                <w:rFonts w:ascii="Calibri" w:eastAsia="Times New Roman" w:hAnsi="Calibri" w:cs="Times New Roman"/>
                <w:b/>
                <w:bCs/>
                <w:sz w:val="20"/>
                <w:szCs w:val="20"/>
              </w:rPr>
              <w:t>Faulty Variable</w:t>
            </w:r>
          </w:p>
        </w:tc>
        <w:tc>
          <w:tcPr>
            <w:tcW w:w="1297" w:type="dxa"/>
            <w:tcBorders>
              <w:top w:val="nil"/>
              <w:left w:val="nil"/>
              <w:bottom w:val="single" w:sz="4" w:space="0" w:color="auto"/>
              <w:right w:val="nil"/>
            </w:tcBorders>
            <w:shd w:val="clear" w:color="auto" w:fill="auto"/>
            <w:vAlign w:val="center"/>
            <w:hideMark/>
          </w:tcPr>
          <w:p w:rsidR="00F93F90" w:rsidRPr="00F93F90" w:rsidRDefault="00F93F90" w:rsidP="00F93F90">
            <w:pPr>
              <w:spacing w:after="0" w:line="240" w:lineRule="auto"/>
              <w:jc w:val="center"/>
              <w:rPr>
                <w:rFonts w:ascii="Calibri" w:eastAsia="Times New Roman" w:hAnsi="Calibri" w:cs="Times New Roman"/>
                <w:b/>
                <w:bCs/>
                <w:color w:val="000000"/>
                <w:sz w:val="20"/>
                <w:szCs w:val="20"/>
              </w:rPr>
            </w:pPr>
            <w:r w:rsidRPr="00F93F90">
              <w:rPr>
                <w:rFonts w:ascii="Calibri" w:eastAsia="Times New Roman" w:hAnsi="Calibri" w:cs="Times New Roman"/>
                <w:b/>
                <w:bCs/>
                <w:color w:val="000000"/>
                <w:sz w:val="20"/>
                <w:szCs w:val="20"/>
              </w:rPr>
              <w:t>Base Case Value</w:t>
            </w:r>
          </w:p>
        </w:tc>
        <w:tc>
          <w:tcPr>
            <w:tcW w:w="1171" w:type="dxa"/>
            <w:tcBorders>
              <w:top w:val="nil"/>
              <w:left w:val="nil"/>
              <w:bottom w:val="single" w:sz="4" w:space="0" w:color="auto"/>
              <w:right w:val="nil"/>
            </w:tcBorders>
            <w:shd w:val="clear" w:color="auto" w:fill="auto"/>
            <w:vAlign w:val="center"/>
            <w:hideMark/>
          </w:tcPr>
          <w:p w:rsidR="00F93F90" w:rsidRPr="00F93F90" w:rsidRDefault="00F93F90" w:rsidP="00F93F90">
            <w:pPr>
              <w:spacing w:after="0" w:line="240" w:lineRule="auto"/>
              <w:jc w:val="center"/>
              <w:rPr>
                <w:rFonts w:ascii="Calibri" w:eastAsia="Times New Roman" w:hAnsi="Calibri" w:cs="Times New Roman"/>
                <w:b/>
                <w:bCs/>
                <w:color w:val="000000"/>
                <w:sz w:val="20"/>
                <w:szCs w:val="20"/>
              </w:rPr>
            </w:pPr>
            <w:r w:rsidRPr="00F93F90">
              <w:rPr>
                <w:rFonts w:ascii="Calibri" w:eastAsia="Times New Roman" w:hAnsi="Calibri" w:cs="Times New Roman"/>
                <w:b/>
                <w:bCs/>
                <w:color w:val="000000"/>
                <w:sz w:val="20"/>
                <w:szCs w:val="20"/>
              </w:rPr>
              <w:t>Faulty Value</w:t>
            </w:r>
          </w:p>
        </w:tc>
        <w:tc>
          <w:tcPr>
            <w:tcW w:w="2340" w:type="dxa"/>
            <w:tcBorders>
              <w:top w:val="nil"/>
              <w:left w:val="nil"/>
              <w:bottom w:val="single" w:sz="4" w:space="0" w:color="auto"/>
              <w:right w:val="nil"/>
            </w:tcBorders>
            <w:shd w:val="clear" w:color="auto" w:fill="auto"/>
            <w:vAlign w:val="center"/>
            <w:hideMark/>
          </w:tcPr>
          <w:p w:rsidR="00F93F90" w:rsidRPr="00F93F90" w:rsidRDefault="00F93F90" w:rsidP="00F93F90">
            <w:pPr>
              <w:spacing w:after="0" w:line="240" w:lineRule="auto"/>
              <w:jc w:val="center"/>
              <w:rPr>
                <w:rFonts w:ascii="Calibri" w:eastAsia="Times New Roman" w:hAnsi="Calibri" w:cs="Times New Roman"/>
                <w:b/>
                <w:bCs/>
                <w:sz w:val="20"/>
                <w:szCs w:val="20"/>
              </w:rPr>
            </w:pPr>
            <w:r w:rsidRPr="00F93F90">
              <w:rPr>
                <w:rFonts w:ascii="Calibri" w:eastAsia="Times New Roman" w:hAnsi="Calibri" w:cs="Times New Roman"/>
                <w:b/>
                <w:bCs/>
                <w:sz w:val="20"/>
                <w:szCs w:val="20"/>
              </w:rPr>
              <w:t>Physical Description</w:t>
            </w:r>
          </w:p>
        </w:tc>
      </w:tr>
      <w:tr w:rsidR="00F93F90" w:rsidRPr="00F93F90" w:rsidTr="00A34905">
        <w:trPr>
          <w:trHeight w:val="1275"/>
          <w:jc w:val="center"/>
        </w:trPr>
        <w:tc>
          <w:tcPr>
            <w:tcW w:w="1318" w:type="dxa"/>
            <w:tcBorders>
              <w:top w:val="nil"/>
              <w:left w:val="nil"/>
              <w:bottom w:val="nil"/>
              <w:right w:val="nil"/>
            </w:tcBorders>
            <w:shd w:val="clear" w:color="auto" w:fill="auto"/>
            <w:noWrap/>
            <w:vAlign w:val="center"/>
            <w:hideMark/>
          </w:tcPr>
          <w:p w:rsidR="00F93F90" w:rsidRPr="00F93F90" w:rsidRDefault="00F93F90" w:rsidP="00F93F90">
            <w:pPr>
              <w:spacing w:after="0" w:line="240" w:lineRule="auto"/>
              <w:jc w:val="center"/>
              <w:rPr>
                <w:rFonts w:ascii="Calibri" w:eastAsia="Times New Roman" w:hAnsi="Calibri" w:cs="Times New Roman"/>
                <w:color w:val="000000"/>
                <w:sz w:val="20"/>
                <w:szCs w:val="20"/>
              </w:rPr>
            </w:pPr>
            <w:r w:rsidRPr="00F93F90">
              <w:rPr>
                <w:rFonts w:ascii="Calibri" w:eastAsia="Times New Roman" w:hAnsi="Calibri" w:cs="Times New Roman"/>
                <w:color w:val="000000"/>
                <w:sz w:val="20"/>
                <w:szCs w:val="20"/>
              </w:rPr>
              <w:t>Medium</w:t>
            </w:r>
          </w:p>
        </w:tc>
        <w:tc>
          <w:tcPr>
            <w:tcW w:w="863" w:type="dxa"/>
            <w:tcBorders>
              <w:top w:val="nil"/>
              <w:left w:val="nil"/>
              <w:bottom w:val="nil"/>
              <w:right w:val="nil"/>
            </w:tcBorders>
            <w:shd w:val="clear" w:color="auto" w:fill="auto"/>
            <w:vAlign w:val="center"/>
            <w:hideMark/>
          </w:tcPr>
          <w:p w:rsidR="00F93F90" w:rsidRPr="00F93F90" w:rsidRDefault="00F93F90" w:rsidP="00F93F90">
            <w:pPr>
              <w:spacing w:after="0" w:line="240" w:lineRule="auto"/>
              <w:jc w:val="center"/>
              <w:rPr>
                <w:rFonts w:ascii="Calibri" w:eastAsia="Times New Roman" w:hAnsi="Calibri" w:cs="Times New Roman"/>
                <w:color w:val="000000"/>
                <w:sz w:val="20"/>
                <w:szCs w:val="20"/>
              </w:rPr>
            </w:pPr>
            <w:r w:rsidRPr="00F93F90">
              <w:rPr>
                <w:rFonts w:ascii="Calibri" w:eastAsia="Times New Roman" w:hAnsi="Calibri" w:cs="Times New Roman"/>
                <w:color w:val="000000"/>
                <w:sz w:val="20"/>
                <w:szCs w:val="20"/>
              </w:rPr>
              <w:t>4</w:t>
            </w:r>
          </w:p>
        </w:tc>
        <w:tc>
          <w:tcPr>
            <w:tcW w:w="1225" w:type="dxa"/>
            <w:tcBorders>
              <w:top w:val="nil"/>
              <w:left w:val="nil"/>
              <w:bottom w:val="nil"/>
              <w:right w:val="nil"/>
            </w:tcBorders>
            <w:shd w:val="clear" w:color="auto" w:fill="auto"/>
            <w:vAlign w:val="center"/>
            <w:hideMark/>
          </w:tcPr>
          <w:p w:rsidR="00F93F90" w:rsidRPr="00F93F90" w:rsidRDefault="00F93F90" w:rsidP="00F93F90">
            <w:pPr>
              <w:spacing w:after="0" w:line="240" w:lineRule="auto"/>
              <w:jc w:val="center"/>
              <w:rPr>
                <w:rFonts w:ascii="Calibri" w:eastAsia="Times New Roman" w:hAnsi="Calibri" w:cs="Times New Roman"/>
                <w:color w:val="000000"/>
                <w:sz w:val="20"/>
                <w:szCs w:val="20"/>
              </w:rPr>
            </w:pPr>
            <w:r w:rsidRPr="00F93F90">
              <w:rPr>
                <w:rFonts w:ascii="Calibri" w:eastAsia="Times New Roman" w:hAnsi="Calibri" w:cs="Times New Roman"/>
                <w:color w:val="000000"/>
                <w:sz w:val="20"/>
                <w:szCs w:val="20"/>
              </w:rPr>
              <w:t>K</w:t>
            </w:r>
            <w:r w:rsidRPr="00F93F90">
              <w:rPr>
                <w:rFonts w:ascii="Calibri" w:eastAsia="Times New Roman" w:hAnsi="Calibri" w:cs="Times New Roman"/>
                <w:color w:val="000000"/>
                <w:sz w:val="20"/>
                <w:szCs w:val="20"/>
                <w:vertAlign w:val="subscript"/>
              </w:rPr>
              <w:t xml:space="preserve">Mod4F,16 </w:t>
            </w:r>
            <w:r w:rsidRPr="00F93F90">
              <w:rPr>
                <w:rFonts w:ascii="Calibri" w:eastAsia="Times New Roman" w:hAnsi="Calibri" w:cs="Times New Roman"/>
                <w:color w:val="000000"/>
                <w:sz w:val="20"/>
                <w:szCs w:val="20"/>
              </w:rPr>
              <w:t>and K</w:t>
            </w:r>
            <w:r w:rsidRPr="00F93F90">
              <w:rPr>
                <w:rFonts w:ascii="Calibri" w:eastAsia="Times New Roman" w:hAnsi="Calibri" w:cs="Times New Roman"/>
                <w:color w:val="000000"/>
                <w:sz w:val="20"/>
                <w:szCs w:val="20"/>
                <w:vertAlign w:val="subscript"/>
              </w:rPr>
              <w:t>Mod4F,17</w:t>
            </w:r>
          </w:p>
        </w:tc>
        <w:tc>
          <w:tcPr>
            <w:tcW w:w="1297" w:type="dxa"/>
            <w:tcBorders>
              <w:top w:val="nil"/>
              <w:left w:val="nil"/>
              <w:bottom w:val="nil"/>
              <w:right w:val="nil"/>
            </w:tcBorders>
            <w:shd w:val="clear" w:color="auto" w:fill="auto"/>
            <w:vAlign w:val="center"/>
            <w:hideMark/>
          </w:tcPr>
          <w:p w:rsidR="00F93F90" w:rsidRPr="00F93F90" w:rsidRDefault="00F93F90" w:rsidP="00F93F90">
            <w:pPr>
              <w:spacing w:after="0" w:line="240" w:lineRule="auto"/>
              <w:jc w:val="center"/>
              <w:rPr>
                <w:rFonts w:ascii="Calibri" w:eastAsia="Times New Roman" w:hAnsi="Calibri" w:cs="Times New Roman"/>
                <w:color w:val="000000"/>
                <w:sz w:val="20"/>
                <w:szCs w:val="20"/>
              </w:rPr>
            </w:pPr>
            <w:r w:rsidRPr="00F93F90">
              <w:rPr>
                <w:rFonts w:ascii="Calibri" w:eastAsia="Times New Roman" w:hAnsi="Calibri" w:cs="Times New Roman"/>
                <w:color w:val="000000"/>
                <w:sz w:val="20"/>
                <w:szCs w:val="20"/>
              </w:rPr>
              <w:t>0.00001; 0.001</w:t>
            </w:r>
          </w:p>
        </w:tc>
        <w:tc>
          <w:tcPr>
            <w:tcW w:w="1171" w:type="dxa"/>
            <w:tcBorders>
              <w:top w:val="nil"/>
              <w:left w:val="nil"/>
              <w:bottom w:val="nil"/>
              <w:right w:val="nil"/>
            </w:tcBorders>
            <w:shd w:val="clear" w:color="auto" w:fill="auto"/>
            <w:vAlign w:val="center"/>
            <w:hideMark/>
          </w:tcPr>
          <w:p w:rsidR="00F93F90" w:rsidRPr="00F93F90" w:rsidRDefault="00F93F90" w:rsidP="00F93F90">
            <w:pPr>
              <w:spacing w:after="0" w:line="240" w:lineRule="auto"/>
              <w:jc w:val="center"/>
              <w:rPr>
                <w:rFonts w:ascii="Calibri" w:eastAsia="Times New Roman" w:hAnsi="Calibri" w:cs="Times New Roman"/>
                <w:color w:val="000000"/>
                <w:sz w:val="20"/>
                <w:szCs w:val="20"/>
              </w:rPr>
            </w:pPr>
            <w:r w:rsidRPr="00F93F90">
              <w:rPr>
                <w:rFonts w:ascii="Calibri" w:eastAsia="Times New Roman" w:hAnsi="Calibri" w:cs="Times New Roman"/>
                <w:color w:val="000000"/>
                <w:sz w:val="20"/>
                <w:szCs w:val="20"/>
              </w:rPr>
              <w:t>0.0001; 0.01</w:t>
            </w:r>
          </w:p>
        </w:tc>
        <w:tc>
          <w:tcPr>
            <w:tcW w:w="2340" w:type="dxa"/>
            <w:tcBorders>
              <w:top w:val="nil"/>
              <w:left w:val="nil"/>
              <w:bottom w:val="nil"/>
              <w:right w:val="nil"/>
            </w:tcBorders>
            <w:shd w:val="clear" w:color="auto" w:fill="auto"/>
            <w:vAlign w:val="center"/>
            <w:hideMark/>
          </w:tcPr>
          <w:p w:rsidR="00F93F90" w:rsidRPr="00F93F90" w:rsidRDefault="00F93F90" w:rsidP="00F93F90">
            <w:pPr>
              <w:spacing w:after="0" w:line="240" w:lineRule="auto"/>
              <w:rPr>
                <w:rFonts w:ascii="Calibri" w:eastAsia="Times New Roman" w:hAnsi="Calibri" w:cs="Times New Roman"/>
                <w:color w:val="000000"/>
                <w:sz w:val="20"/>
                <w:szCs w:val="20"/>
              </w:rPr>
            </w:pPr>
            <w:r w:rsidRPr="00F93F90">
              <w:rPr>
                <w:rFonts w:ascii="Calibri" w:eastAsia="Times New Roman" w:hAnsi="Calibri" w:cs="Times New Roman"/>
                <w:color w:val="000000"/>
                <w:sz w:val="20"/>
                <w:szCs w:val="20"/>
              </w:rPr>
              <w:t xml:space="preserve">Inefficient separation downstream of the </w:t>
            </w:r>
            <w:proofErr w:type="spellStart"/>
            <w:r w:rsidRPr="00F93F90">
              <w:rPr>
                <w:rFonts w:ascii="Calibri" w:eastAsia="Times New Roman" w:hAnsi="Calibri" w:cs="Times New Roman"/>
                <w:color w:val="000000"/>
                <w:sz w:val="20"/>
                <w:szCs w:val="20"/>
              </w:rPr>
              <w:t>hydrofluorination</w:t>
            </w:r>
            <w:proofErr w:type="spellEnd"/>
            <w:r w:rsidRPr="00F93F90">
              <w:rPr>
                <w:rFonts w:ascii="Calibri" w:eastAsia="Times New Roman" w:hAnsi="Calibri" w:cs="Times New Roman"/>
                <w:color w:val="000000"/>
                <w:sz w:val="20"/>
                <w:szCs w:val="20"/>
              </w:rPr>
              <w:t xml:space="preserve"> reaction results in more U in Module 4 waste</w:t>
            </w:r>
          </w:p>
        </w:tc>
      </w:tr>
      <w:tr w:rsidR="00F93F90" w:rsidRPr="00F93F90" w:rsidTr="00A34905">
        <w:trPr>
          <w:trHeight w:val="255"/>
          <w:jc w:val="center"/>
        </w:trPr>
        <w:tc>
          <w:tcPr>
            <w:tcW w:w="8214" w:type="dxa"/>
            <w:gridSpan w:val="6"/>
            <w:tcBorders>
              <w:top w:val="single" w:sz="4" w:space="0" w:color="auto"/>
              <w:left w:val="nil"/>
              <w:bottom w:val="nil"/>
              <w:right w:val="nil"/>
            </w:tcBorders>
            <w:shd w:val="clear" w:color="auto" w:fill="auto"/>
            <w:noWrap/>
            <w:vAlign w:val="center"/>
            <w:hideMark/>
          </w:tcPr>
          <w:p w:rsidR="00F93F90" w:rsidRPr="00F93F90" w:rsidRDefault="00F93F90" w:rsidP="00F93F90">
            <w:pPr>
              <w:spacing w:after="0" w:line="240" w:lineRule="auto"/>
              <w:jc w:val="center"/>
              <w:rPr>
                <w:rFonts w:ascii="Calibri" w:eastAsia="Times New Roman" w:hAnsi="Calibri" w:cs="Times New Roman"/>
                <w:b/>
                <w:bCs/>
                <w:color w:val="000000"/>
                <w:sz w:val="20"/>
                <w:szCs w:val="20"/>
              </w:rPr>
            </w:pPr>
            <w:r w:rsidRPr="00F93F90">
              <w:rPr>
                <w:rFonts w:ascii="Calibri" w:eastAsia="Times New Roman" w:hAnsi="Calibri" w:cs="Times New Roman"/>
                <w:b/>
                <w:bCs/>
                <w:color w:val="000000"/>
                <w:sz w:val="20"/>
                <w:szCs w:val="20"/>
              </w:rPr>
              <w:t>Summary of Results</w:t>
            </w:r>
          </w:p>
        </w:tc>
      </w:tr>
      <w:tr w:rsidR="00F93F90" w:rsidRPr="00F93F90" w:rsidTr="00A34905">
        <w:trPr>
          <w:trHeight w:val="255"/>
          <w:jc w:val="center"/>
        </w:trPr>
        <w:tc>
          <w:tcPr>
            <w:tcW w:w="1318" w:type="dxa"/>
            <w:tcBorders>
              <w:top w:val="nil"/>
              <w:left w:val="nil"/>
              <w:bottom w:val="single" w:sz="4" w:space="0" w:color="auto"/>
              <w:right w:val="nil"/>
            </w:tcBorders>
            <w:shd w:val="clear" w:color="auto" w:fill="auto"/>
            <w:noWrap/>
            <w:vAlign w:val="center"/>
            <w:hideMark/>
          </w:tcPr>
          <w:p w:rsidR="00F93F90" w:rsidRPr="00F93F90" w:rsidRDefault="00F93F90" w:rsidP="00F93F90">
            <w:pPr>
              <w:spacing w:after="0" w:line="240" w:lineRule="auto"/>
              <w:jc w:val="center"/>
              <w:rPr>
                <w:rFonts w:ascii="Calibri" w:eastAsia="Times New Roman" w:hAnsi="Calibri" w:cs="Times New Roman"/>
                <w:color w:val="000000"/>
                <w:sz w:val="20"/>
                <w:szCs w:val="20"/>
              </w:rPr>
            </w:pPr>
            <w:r w:rsidRPr="00F93F90">
              <w:rPr>
                <w:rFonts w:ascii="Calibri" w:eastAsia="Times New Roman" w:hAnsi="Calibri" w:cs="Times New Roman"/>
                <w:color w:val="000000"/>
                <w:sz w:val="20"/>
                <w:szCs w:val="20"/>
              </w:rPr>
              <w:t> </w:t>
            </w:r>
          </w:p>
        </w:tc>
        <w:tc>
          <w:tcPr>
            <w:tcW w:w="863" w:type="dxa"/>
            <w:tcBorders>
              <w:top w:val="nil"/>
              <w:left w:val="nil"/>
              <w:bottom w:val="single" w:sz="4" w:space="0" w:color="auto"/>
              <w:right w:val="nil"/>
            </w:tcBorders>
            <w:shd w:val="clear" w:color="auto" w:fill="auto"/>
            <w:vAlign w:val="center"/>
            <w:hideMark/>
          </w:tcPr>
          <w:p w:rsidR="00F93F90" w:rsidRDefault="00F93F90" w:rsidP="00F93F90">
            <w:pPr>
              <w:spacing w:after="0" w:line="240" w:lineRule="auto"/>
              <w:jc w:val="center"/>
              <w:rPr>
                <w:rFonts w:ascii="Calibri" w:eastAsia="Times New Roman" w:hAnsi="Calibri" w:cs="Times New Roman"/>
                <w:b/>
                <w:bCs/>
                <w:sz w:val="20"/>
                <w:szCs w:val="20"/>
              </w:rPr>
            </w:pPr>
            <w:r w:rsidRPr="00F93F90">
              <w:rPr>
                <w:rFonts w:ascii="Calibri" w:eastAsia="Times New Roman" w:hAnsi="Calibri" w:cs="Times New Roman"/>
                <w:b/>
                <w:bCs/>
                <w:sz w:val="20"/>
                <w:szCs w:val="20"/>
              </w:rPr>
              <w:t>PC1</w:t>
            </w:r>
          </w:p>
          <w:p w:rsidR="00AC7D91" w:rsidRPr="00F93F90" w:rsidRDefault="00AC7D91" w:rsidP="00F93F90">
            <w:pPr>
              <w:spacing w:after="0" w:line="240" w:lineRule="auto"/>
              <w:jc w:val="center"/>
              <w:rPr>
                <w:rFonts w:ascii="Calibri" w:eastAsia="Times New Roman" w:hAnsi="Calibri" w:cs="Times New Roman"/>
                <w:b/>
                <w:bCs/>
                <w:sz w:val="20"/>
                <w:szCs w:val="20"/>
              </w:rPr>
            </w:pPr>
            <w:r>
              <w:rPr>
                <w:rFonts w:ascii="Calibri" w:eastAsia="Times New Roman" w:hAnsi="Calibri" w:cs="Times New Roman"/>
                <w:b/>
                <w:bCs/>
                <w:sz w:val="20"/>
                <w:szCs w:val="20"/>
              </w:rPr>
              <w:t>Scores</w:t>
            </w:r>
          </w:p>
        </w:tc>
        <w:tc>
          <w:tcPr>
            <w:tcW w:w="1225" w:type="dxa"/>
            <w:tcBorders>
              <w:top w:val="nil"/>
              <w:left w:val="nil"/>
              <w:bottom w:val="single" w:sz="4" w:space="0" w:color="auto"/>
              <w:right w:val="nil"/>
            </w:tcBorders>
            <w:shd w:val="clear" w:color="auto" w:fill="auto"/>
            <w:vAlign w:val="center"/>
            <w:hideMark/>
          </w:tcPr>
          <w:p w:rsidR="00F93F90" w:rsidRDefault="00F93F90" w:rsidP="00F93F90">
            <w:pPr>
              <w:spacing w:after="0" w:line="240" w:lineRule="auto"/>
              <w:jc w:val="center"/>
              <w:rPr>
                <w:rFonts w:ascii="Calibri" w:eastAsia="Times New Roman" w:hAnsi="Calibri" w:cs="Times New Roman"/>
                <w:b/>
                <w:bCs/>
                <w:color w:val="000000"/>
                <w:sz w:val="20"/>
                <w:szCs w:val="20"/>
              </w:rPr>
            </w:pPr>
            <w:r w:rsidRPr="00F93F90">
              <w:rPr>
                <w:rFonts w:ascii="Calibri" w:eastAsia="Times New Roman" w:hAnsi="Calibri" w:cs="Times New Roman"/>
                <w:b/>
                <w:bCs/>
                <w:color w:val="000000"/>
                <w:sz w:val="20"/>
                <w:szCs w:val="20"/>
              </w:rPr>
              <w:t>PC2</w:t>
            </w:r>
          </w:p>
          <w:p w:rsidR="00AC7D91" w:rsidRPr="00F93F90" w:rsidRDefault="00AC7D91" w:rsidP="00F93F90">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1297" w:type="dxa"/>
            <w:tcBorders>
              <w:top w:val="nil"/>
              <w:left w:val="nil"/>
              <w:bottom w:val="single" w:sz="4" w:space="0" w:color="auto"/>
              <w:right w:val="nil"/>
            </w:tcBorders>
            <w:shd w:val="clear" w:color="auto" w:fill="auto"/>
            <w:vAlign w:val="center"/>
            <w:hideMark/>
          </w:tcPr>
          <w:p w:rsidR="00F93F90" w:rsidRDefault="00F93F90" w:rsidP="00F93F90">
            <w:pPr>
              <w:spacing w:after="0" w:line="240" w:lineRule="auto"/>
              <w:jc w:val="center"/>
              <w:rPr>
                <w:rFonts w:ascii="Calibri" w:eastAsia="Times New Roman" w:hAnsi="Calibri" w:cs="Times New Roman"/>
                <w:b/>
                <w:bCs/>
                <w:color w:val="000000"/>
                <w:sz w:val="20"/>
                <w:szCs w:val="20"/>
              </w:rPr>
            </w:pPr>
            <w:r w:rsidRPr="00F93F90">
              <w:rPr>
                <w:rFonts w:ascii="Calibri" w:eastAsia="Times New Roman" w:hAnsi="Calibri" w:cs="Times New Roman"/>
                <w:b/>
                <w:bCs/>
                <w:color w:val="000000"/>
                <w:sz w:val="20"/>
                <w:szCs w:val="20"/>
              </w:rPr>
              <w:t>PC3</w:t>
            </w:r>
          </w:p>
          <w:p w:rsidR="00AC7D91" w:rsidRPr="00F93F90" w:rsidRDefault="00AC7D91" w:rsidP="00F93F90">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1171" w:type="dxa"/>
            <w:tcBorders>
              <w:top w:val="nil"/>
              <w:left w:val="nil"/>
              <w:bottom w:val="single" w:sz="4" w:space="0" w:color="auto"/>
              <w:right w:val="nil"/>
            </w:tcBorders>
            <w:shd w:val="clear" w:color="auto" w:fill="auto"/>
            <w:vAlign w:val="center"/>
            <w:hideMark/>
          </w:tcPr>
          <w:p w:rsidR="00F93F90" w:rsidRPr="00F93F90" w:rsidRDefault="00F93F90" w:rsidP="00F93F90">
            <w:pPr>
              <w:spacing w:after="0" w:line="240" w:lineRule="auto"/>
              <w:jc w:val="center"/>
              <w:rPr>
                <w:rFonts w:ascii="Calibri" w:eastAsia="Times New Roman" w:hAnsi="Calibri" w:cs="Times New Roman"/>
                <w:b/>
                <w:bCs/>
                <w:color w:val="000000"/>
                <w:sz w:val="20"/>
                <w:szCs w:val="20"/>
              </w:rPr>
            </w:pPr>
            <w:r w:rsidRPr="00F93F90">
              <w:rPr>
                <w:rFonts w:ascii="Calibri" w:eastAsia="Times New Roman" w:hAnsi="Calibri" w:cs="Times New Roman"/>
                <w:b/>
                <w:bCs/>
                <w:color w:val="000000"/>
                <w:sz w:val="20"/>
                <w:szCs w:val="20"/>
              </w:rPr>
              <w:t>T2</w:t>
            </w:r>
          </w:p>
        </w:tc>
        <w:tc>
          <w:tcPr>
            <w:tcW w:w="2340" w:type="dxa"/>
            <w:tcBorders>
              <w:top w:val="nil"/>
              <w:left w:val="nil"/>
              <w:bottom w:val="single" w:sz="4" w:space="0" w:color="auto"/>
              <w:right w:val="nil"/>
            </w:tcBorders>
            <w:shd w:val="clear" w:color="auto" w:fill="auto"/>
            <w:vAlign w:val="center"/>
            <w:hideMark/>
          </w:tcPr>
          <w:p w:rsidR="00F93F90" w:rsidRPr="00F93F90" w:rsidRDefault="00F93F90" w:rsidP="00F93F90">
            <w:pPr>
              <w:spacing w:after="0" w:line="240" w:lineRule="auto"/>
              <w:jc w:val="center"/>
              <w:rPr>
                <w:rFonts w:ascii="Calibri" w:eastAsia="Times New Roman" w:hAnsi="Calibri" w:cs="Times New Roman"/>
                <w:b/>
                <w:bCs/>
                <w:color w:val="000000"/>
                <w:sz w:val="20"/>
                <w:szCs w:val="20"/>
              </w:rPr>
            </w:pPr>
            <w:r w:rsidRPr="00F93F90">
              <w:rPr>
                <w:rFonts w:ascii="Calibri" w:eastAsia="Times New Roman" w:hAnsi="Calibri" w:cs="Times New Roman"/>
                <w:b/>
                <w:bCs/>
                <w:color w:val="000000"/>
                <w:sz w:val="20"/>
                <w:szCs w:val="20"/>
              </w:rPr>
              <w:t>Q</w:t>
            </w:r>
          </w:p>
        </w:tc>
      </w:tr>
      <w:tr w:rsidR="00F93F90" w:rsidRPr="00F93F90" w:rsidTr="00A34905">
        <w:trPr>
          <w:trHeight w:val="255"/>
          <w:jc w:val="center"/>
        </w:trPr>
        <w:tc>
          <w:tcPr>
            <w:tcW w:w="1318" w:type="dxa"/>
            <w:tcBorders>
              <w:top w:val="nil"/>
              <w:left w:val="nil"/>
              <w:bottom w:val="nil"/>
              <w:right w:val="nil"/>
            </w:tcBorders>
            <w:shd w:val="clear" w:color="auto" w:fill="auto"/>
            <w:noWrap/>
            <w:vAlign w:val="center"/>
            <w:hideMark/>
          </w:tcPr>
          <w:p w:rsidR="00F93F90" w:rsidRPr="00F93F90" w:rsidRDefault="00F93F90" w:rsidP="00F93F90">
            <w:pPr>
              <w:spacing w:after="0" w:line="240" w:lineRule="auto"/>
              <w:jc w:val="center"/>
              <w:rPr>
                <w:rFonts w:ascii="Calibri" w:eastAsia="Times New Roman" w:hAnsi="Calibri" w:cs="Times New Roman"/>
                <w:b/>
                <w:bCs/>
                <w:color w:val="000000"/>
                <w:sz w:val="20"/>
                <w:szCs w:val="20"/>
              </w:rPr>
            </w:pPr>
            <w:r w:rsidRPr="00F93F90">
              <w:rPr>
                <w:rFonts w:ascii="Calibri" w:eastAsia="Times New Roman" w:hAnsi="Calibri" w:cs="Times New Roman"/>
                <w:b/>
                <w:bCs/>
                <w:color w:val="000000"/>
                <w:sz w:val="20"/>
                <w:szCs w:val="20"/>
              </w:rPr>
              <w:t>Direction</w:t>
            </w:r>
          </w:p>
        </w:tc>
        <w:tc>
          <w:tcPr>
            <w:tcW w:w="863" w:type="dxa"/>
            <w:tcBorders>
              <w:top w:val="nil"/>
              <w:left w:val="nil"/>
              <w:bottom w:val="nil"/>
              <w:right w:val="nil"/>
            </w:tcBorders>
            <w:shd w:val="clear" w:color="auto" w:fill="auto"/>
            <w:noWrap/>
            <w:vAlign w:val="center"/>
            <w:hideMark/>
          </w:tcPr>
          <w:p w:rsidR="00F93F90" w:rsidRPr="00F93F90" w:rsidRDefault="00F93F90" w:rsidP="00F93F90">
            <w:pPr>
              <w:spacing w:after="0" w:line="240" w:lineRule="auto"/>
              <w:jc w:val="center"/>
              <w:rPr>
                <w:rFonts w:ascii="Calibri" w:eastAsia="Times New Roman" w:hAnsi="Calibri" w:cs="Times New Roman"/>
                <w:color w:val="000000"/>
                <w:sz w:val="20"/>
                <w:szCs w:val="20"/>
              </w:rPr>
            </w:pPr>
            <w:r w:rsidRPr="00F93F90">
              <w:rPr>
                <w:rFonts w:ascii="Calibri" w:eastAsia="Times New Roman" w:hAnsi="Calibri" w:cs="Times New Roman"/>
                <w:color w:val="000000"/>
                <w:sz w:val="20"/>
                <w:szCs w:val="20"/>
              </w:rPr>
              <w:t>-</w:t>
            </w:r>
          </w:p>
        </w:tc>
        <w:tc>
          <w:tcPr>
            <w:tcW w:w="1225" w:type="dxa"/>
            <w:tcBorders>
              <w:top w:val="nil"/>
              <w:left w:val="nil"/>
              <w:bottom w:val="nil"/>
              <w:right w:val="nil"/>
            </w:tcBorders>
            <w:shd w:val="clear" w:color="auto" w:fill="auto"/>
            <w:noWrap/>
            <w:vAlign w:val="center"/>
            <w:hideMark/>
          </w:tcPr>
          <w:p w:rsidR="00F93F90" w:rsidRPr="00F93F90" w:rsidRDefault="00F93F90" w:rsidP="00F93F90">
            <w:pPr>
              <w:spacing w:after="0" w:line="240" w:lineRule="auto"/>
              <w:jc w:val="center"/>
              <w:rPr>
                <w:rFonts w:ascii="Calibri" w:eastAsia="Times New Roman" w:hAnsi="Calibri" w:cs="Times New Roman"/>
                <w:color w:val="000000"/>
                <w:sz w:val="20"/>
                <w:szCs w:val="20"/>
              </w:rPr>
            </w:pPr>
            <w:r w:rsidRPr="00F93F90">
              <w:rPr>
                <w:rFonts w:ascii="Calibri" w:eastAsia="Times New Roman" w:hAnsi="Calibri" w:cs="Times New Roman"/>
                <w:color w:val="000000"/>
                <w:sz w:val="20"/>
                <w:szCs w:val="20"/>
              </w:rPr>
              <w:t>-</w:t>
            </w:r>
          </w:p>
        </w:tc>
        <w:tc>
          <w:tcPr>
            <w:tcW w:w="1297" w:type="dxa"/>
            <w:tcBorders>
              <w:top w:val="nil"/>
              <w:left w:val="nil"/>
              <w:bottom w:val="nil"/>
              <w:right w:val="nil"/>
            </w:tcBorders>
            <w:shd w:val="clear" w:color="auto" w:fill="auto"/>
            <w:noWrap/>
            <w:vAlign w:val="center"/>
            <w:hideMark/>
          </w:tcPr>
          <w:p w:rsidR="00F93F90" w:rsidRPr="00F93F90" w:rsidRDefault="00F93F90" w:rsidP="00F93F90">
            <w:pPr>
              <w:spacing w:after="0" w:line="240" w:lineRule="auto"/>
              <w:jc w:val="center"/>
              <w:rPr>
                <w:rFonts w:ascii="Calibri" w:eastAsia="Times New Roman" w:hAnsi="Calibri" w:cs="Times New Roman"/>
                <w:color w:val="000000"/>
                <w:sz w:val="20"/>
                <w:szCs w:val="20"/>
              </w:rPr>
            </w:pPr>
            <w:r w:rsidRPr="00F93F90">
              <w:rPr>
                <w:rFonts w:ascii="Calibri" w:eastAsia="Times New Roman" w:hAnsi="Calibri" w:cs="Times New Roman"/>
                <w:color w:val="000000"/>
                <w:sz w:val="20"/>
                <w:szCs w:val="20"/>
              </w:rPr>
              <w:t>+</w:t>
            </w:r>
          </w:p>
        </w:tc>
        <w:tc>
          <w:tcPr>
            <w:tcW w:w="1171" w:type="dxa"/>
            <w:tcBorders>
              <w:top w:val="nil"/>
              <w:left w:val="nil"/>
              <w:bottom w:val="nil"/>
              <w:right w:val="nil"/>
            </w:tcBorders>
            <w:shd w:val="clear" w:color="auto" w:fill="auto"/>
            <w:noWrap/>
            <w:vAlign w:val="center"/>
            <w:hideMark/>
          </w:tcPr>
          <w:p w:rsidR="00F93F90" w:rsidRPr="00F93F90" w:rsidRDefault="00F93F90" w:rsidP="00F93F90">
            <w:pPr>
              <w:spacing w:after="0" w:line="240" w:lineRule="auto"/>
              <w:jc w:val="center"/>
              <w:rPr>
                <w:rFonts w:ascii="Calibri" w:eastAsia="Times New Roman" w:hAnsi="Calibri" w:cs="Times New Roman"/>
                <w:color w:val="000000"/>
                <w:sz w:val="20"/>
                <w:szCs w:val="20"/>
              </w:rPr>
            </w:pPr>
            <w:r w:rsidRPr="00F93F90">
              <w:rPr>
                <w:rFonts w:ascii="Calibri" w:eastAsia="Times New Roman" w:hAnsi="Calibri" w:cs="Times New Roman"/>
                <w:color w:val="000000"/>
                <w:sz w:val="20"/>
                <w:szCs w:val="20"/>
              </w:rPr>
              <w:t>+</w:t>
            </w:r>
          </w:p>
        </w:tc>
        <w:tc>
          <w:tcPr>
            <w:tcW w:w="2340" w:type="dxa"/>
            <w:tcBorders>
              <w:top w:val="nil"/>
              <w:left w:val="nil"/>
              <w:bottom w:val="nil"/>
              <w:right w:val="nil"/>
            </w:tcBorders>
            <w:shd w:val="clear" w:color="auto" w:fill="auto"/>
            <w:noWrap/>
            <w:vAlign w:val="center"/>
            <w:hideMark/>
          </w:tcPr>
          <w:p w:rsidR="00F93F90" w:rsidRPr="00F93F90" w:rsidRDefault="00F93F90" w:rsidP="00F93F90">
            <w:pPr>
              <w:spacing w:after="0" w:line="240" w:lineRule="auto"/>
              <w:jc w:val="center"/>
              <w:rPr>
                <w:rFonts w:ascii="Calibri" w:eastAsia="Times New Roman" w:hAnsi="Calibri" w:cs="Times New Roman"/>
                <w:color w:val="000000"/>
                <w:sz w:val="20"/>
                <w:szCs w:val="20"/>
              </w:rPr>
            </w:pPr>
            <w:r w:rsidRPr="00F93F90">
              <w:rPr>
                <w:rFonts w:ascii="Calibri" w:eastAsia="Times New Roman" w:hAnsi="Calibri" w:cs="Times New Roman"/>
                <w:color w:val="000000"/>
                <w:sz w:val="20"/>
                <w:szCs w:val="20"/>
              </w:rPr>
              <w:t>+</w:t>
            </w:r>
          </w:p>
        </w:tc>
      </w:tr>
      <w:tr w:rsidR="00F93F90" w:rsidRPr="00F93F90" w:rsidTr="00A34905">
        <w:trPr>
          <w:trHeight w:val="270"/>
          <w:jc w:val="center"/>
        </w:trPr>
        <w:tc>
          <w:tcPr>
            <w:tcW w:w="1318" w:type="dxa"/>
            <w:tcBorders>
              <w:top w:val="nil"/>
              <w:left w:val="nil"/>
              <w:bottom w:val="single" w:sz="8" w:space="0" w:color="auto"/>
              <w:right w:val="nil"/>
            </w:tcBorders>
            <w:shd w:val="clear" w:color="auto" w:fill="auto"/>
            <w:noWrap/>
            <w:vAlign w:val="center"/>
            <w:hideMark/>
          </w:tcPr>
          <w:p w:rsidR="00F93F90" w:rsidRPr="00F93F90" w:rsidRDefault="00F93F90" w:rsidP="00F93F90">
            <w:pPr>
              <w:spacing w:after="0" w:line="240" w:lineRule="auto"/>
              <w:jc w:val="center"/>
              <w:rPr>
                <w:rFonts w:ascii="Calibri" w:eastAsia="Times New Roman" w:hAnsi="Calibri" w:cs="Times New Roman"/>
                <w:b/>
                <w:bCs/>
                <w:color w:val="000000"/>
                <w:sz w:val="20"/>
                <w:szCs w:val="20"/>
              </w:rPr>
            </w:pPr>
            <w:r w:rsidRPr="00F93F90">
              <w:rPr>
                <w:rFonts w:ascii="Calibri" w:eastAsia="Times New Roman" w:hAnsi="Calibri" w:cs="Times New Roman"/>
                <w:b/>
                <w:bCs/>
                <w:color w:val="000000"/>
                <w:sz w:val="20"/>
                <w:szCs w:val="20"/>
              </w:rPr>
              <w:t>Detectability</w:t>
            </w:r>
          </w:p>
        </w:tc>
        <w:tc>
          <w:tcPr>
            <w:tcW w:w="863" w:type="dxa"/>
            <w:tcBorders>
              <w:top w:val="nil"/>
              <w:left w:val="nil"/>
              <w:bottom w:val="single" w:sz="8" w:space="0" w:color="auto"/>
              <w:right w:val="nil"/>
            </w:tcBorders>
            <w:shd w:val="clear" w:color="auto" w:fill="auto"/>
            <w:vAlign w:val="center"/>
            <w:hideMark/>
          </w:tcPr>
          <w:p w:rsidR="00F93F90" w:rsidRPr="00F93F90" w:rsidRDefault="00F93F90" w:rsidP="00F93F90">
            <w:pPr>
              <w:spacing w:after="0" w:line="240" w:lineRule="auto"/>
              <w:jc w:val="center"/>
              <w:rPr>
                <w:rFonts w:ascii="Calibri" w:eastAsia="Times New Roman" w:hAnsi="Calibri" w:cs="Times New Roman"/>
                <w:color w:val="000000"/>
                <w:sz w:val="20"/>
                <w:szCs w:val="20"/>
              </w:rPr>
            </w:pPr>
            <w:r w:rsidRPr="00F93F90">
              <w:rPr>
                <w:rFonts w:ascii="Calibri" w:eastAsia="Times New Roman" w:hAnsi="Calibri" w:cs="Times New Roman"/>
                <w:color w:val="000000"/>
                <w:sz w:val="20"/>
                <w:szCs w:val="20"/>
              </w:rPr>
              <w:t>No</w:t>
            </w:r>
          </w:p>
        </w:tc>
        <w:tc>
          <w:tcPr>
            <w:tcW w:w="1225" w:type="dxa"/>
            <w:tcBorders>
              <w:top w:val="nil"/>
              <w:left w:val="nil"/>
              <w:bottom w:val="single" w:sz="8" w:space="0" w:color="auto"/>
              <w:right w:val="nil"/>
            </w:tcBorders>
            <w:shd w:val="clear" w:color="auto" w:fill="auto"/>
            <w:noWrap/>
            <w:vAlign w:val="center"/>
            <w:hideMark/>
          </w:tcPr>
          <w:p w:rsidR="00F93F90" w:rsidRPr="00F93F90" w:rsidRDefault="00F93F90" w:rsidP="00F93F90">
            <w:pPr>
              <w:spacing w:after="0" w:line="240" w:lineRule="auto"/>
              <w:jc w:val="center"/>
              <w:rPr>
                <w:rFonts w:ascii="Calibri" w:eastAsia="Times New Roman" w:hAnsi="Calibri" w:cs="Times New Roman"/>
                <w:color w:val="000000"/>
                <w:sz w:val="20"/>
                <w:szCs w:val="20"/>
              </w:rPr>
            </w:pPr>
            <w:r w:rsidRPr="00F93F90">
              <w:rPr>
                <w:rFonts w:ascii="Calibri" w:eastAsia="Times New Roman" w:hAnsi="Calibri" w:cs="Times New Roman"/>
                <w:color w:val="000000"/>
                <w:sz w:val="20"/>
                <w:szCs w:val="20"/>
              </w:rPr>
              <w:t>No</w:t>
            </w:r>
          </w:p>
        </w:tc>
        <w:tc>
          <w:tcPr>
            <w:tcW w:w="1297" w:type="dxa"/>
            <w:tcBorders>
              <w:top w:val="nil"/>
              <w:left w:val="nil"/>
              <w:bottom w:val="single" w:sz="8" w:space="0" w:color="auto"/>
              <w:right w:val="nil"/>
            </w:tcBorders>
            <w:shd w:val="clear" w:color="auto" w:fill="auto"/>
            <w:noWrap/>
            <w:vAlign w:val="center"/>
            <w:hideMark/>
          </w:tcPr>
          <w:p w:rsidR="00F93F90" w:rsidRPr="00F93F90" w:rsidRDefault="00F93F90" w:rsidP="00F93F90">
            <w:pPr>
              <w:spacing w:after="0" w:line="240" w:lineRule="auto"/>
              <w:jc w:val="center"/>
              <w:rPr>
                <w:rFonts w:ascii="Calibri" w:eastAsia="Times New Roman" w:hAnsi="Calibri" w:cs="Times New Roman"/>
                <w:color w:val="000000"/>
                <w:sz w:val="20"/>
                <w:szCs w:val="20"/>
              </w:rPr>
            </w:pPr>
            <w:r w:rsidRPr="00F93F90">
              <w:rPr>
                <w:rFonts w:ascii="Calibri" w:eastAsia="Times New Roman" w:hAnsi="Calibri" w:cs="Times New Roman"/>
                <w:color w:val="000000"/>
                <w:sz w:val="20"/>
                <w:szCs w:val="20"/>
              </w:rPr>
              <w:t>No</w:t>
            </w:r>
          </w:p>
        </w:tc>
        <w:tc>
          <w:tcPr>
            <w:tcW w:w="1171" w:type="dxa"/>
            <w:tcBorders>
              <w:top w:val="nil"/>
              <w:left w:val="nil"/>
              <w:bottom w:val="single" w:sz="8" w:space="0" w:color="auto"/>
              <w:right w:val="nil"/>
            </w:tcBorders>
            <w:shd w:val="clear" w:color="auto" w:fill="auto"/>
            <w:noWrap/>
            <w:vAlign w:val="center"/>
            <w:hideMark/>
          </w:tcPr>
          <w:p w:rsidR="00F93F90" w:rsidRPr="00F93F90" w:rsidRDefault="00F93F90" w:rsidP="00F93F90">
            <w:pPr>
              <w:spacing w:after="0" w:line="240" w:lineRule="auto"/>
              <w:jc w:val="center"/>
              <w:rPr>
                <w:rFonts w:ascii="Calibri" w:eastAsia="Times New Roman" w:hAnsi="Calibri" w:cs="Times New Roman"/>
                <w:color w:val="000000"/>
                <w:sz w:val="20"/>
                <w:szCs w:val="20"/>
              </w:rPr>
            </w:pPr>
            <w:r w:rsidRPr="00F93F90">
              <w:rPr>
                <w:rFonts w:ascii="Calibri" w:eastAsia="Times New Roman" w:hAnsi="Calibri" w:cs="Times New Roman"/>
                <w:color w:val="000000"/>
                <w:sz w:val="20"/>
                <w:szCs w:val="20"/>
              </w:rPr>
              <w:t>Not Likely</w:t>
            </w:r>
          </w:p>
        </w:tc>
        <w:tc>
          <w:tcPr>
            <w:tcW w:w="2340" w:type="dxa"/>
            <w:tcBorders>
              <w:top w:val="nil"/>
              <w:left w:val="nil"/>
              <w:bottom w:val="single" w:sz="8" w:space="0" w:color="auto"/>
              <w:right w:val="nil"/>
            </w:tcBorders>
            <w:shd w:val="clear" w:color="auto" w:fill="auto"/>
            <w:noWrap/>
            <w:vAlign w:val="center"/>
            <w:hideMark/>
          </w:tcPr>
          <w:p w:rsidR="00F93F90" w:rsidRPr="00F93F90" w:rsidRDefault="00F93F90" w:rsidP="00F93F90">
            <w:pPr>
              <w:spacing w:after="0" w:line="240" w:lineRule="auto"/>
              <w:jc w:val="center"/>
              <w:rPr>
                <w:rFonts w:ascii="Calibri" w:eastAsia="Times New Roman" w:hAnsi="Calibri" w:cs="Times New Roman"/>
                <w:color w:val="000000"/>
                <w:sz w:val="20"/>
                <w:szCs w:val="20"/>
              </w:rPr>
            </w:pPr>
            <w:r w:rsidRPr="00F93F90">
              <w:rPr>
                <w:rFonts w:ascii="Calibri" w:eastAsia="Times New Roman" w:hAnsi="Calibri" w:cs="Times New Roman"/>
                <w:color w:val="000000"/>
                <w:sz w:val="20"/>
                <w:szCs w:val="20"/>
              </w:rPr>
              <w:t>Yes</w:t>
            </w:r>
          </w:p>
        </w:tc>
      </w:tr>
    </w:tbl>
    <w:p w:rsidR="007E61E6" w:rsidRDefault="007E61E6" w:rsidP="00E664E4"/>
    <w:p w:rsidR="007E61E6" w:rsidRDefault="007E61E6" w:rsidP="00E664E4"/>
    <w:p w:rsidR="007E61E6" w:rsidRDefault="007E61E6" w:rsidP="00E664E4"/>
    <w:p w:rsidR="00E664E4" w:rsidRPr="00EE2556" w:rsidRDefault="00FB33A7" w:rsidP="00E664E4">
      <w:pPr>
        <w:jc w:val="center"/>
        <w:rPr>
          <w:i/>
          <w:sz w:val="20"/>
          <w:szCs w:val="20"/>
        </w:rPr>
      </w:pPr>
      <w:r>
        <w:rPr>
          <w:noProof/>
        </w:rPr>
        <w:lastRenderedPageBreak/>
        <w:drawing>
          <wp:inline distT="0" distB="0" distL="0" distR="0" wp14:anchorId="2416E808" wp14:editId="1DD036B4">
            <wp:extent cx="5943600" cy="44577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9"/>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8965CA">
        <w:rPr>
          <w:b/>
          <w:sz w:val="20"/>
          <w:szCs w:val="20"/>
        </w:rPr>
        <w:t>4.8</w:t>
      </w:r>
      <w:r w:rsidR="00F93F90">
        <w:rPr>
          <w:b/>
          <w:sz w:val="20"/>
          <w:szCs w:val="20"/>
        </w:rPr>
        <w:t>1</w:t>
      </w:r>
      <w:r>
        <w:rPr>
          <w:b/>
          <w:sz w:val="20"/>
          <w:szCs w:val="20"/>
        </w:rPr>
        <w:t xml:space="preserve">. Faulty Case 8 Mahalanobis Distance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shift, but the fault may not be detectable under most operating conditions.</w:t>
      </w:r>
    </w:p>
    <w:p w:rsidR="00E664E4" w:rsidRDefault="00E664E4" w:rsidP="00E664E4">
      <w:pPr>
        <w:rPr>
          <w:i/>
          <w:sz w:val="20"/>
          <w:szCs w:val="20"/>
        </w:rPr>
      </w:pPr>
    </w:p>
    <w:p w:rsidR="00E664E4" w:rsidRPr="00EE2556" w:rsidRDefault="004C4191" w:rsidP="00E664E4">
      <w:pPr>
        <w:jc w:val="center"/>
        <w:rPr>
          <w:i/>
          <w:sz w:val="20"/>
          <w:szCs w:val="20"/>
        </w:rPr>
      </w:pPr>
      <w:r>
        <w:rPr>
          <w:noProof/>
        </w:rPr>
        <w:lastRenderedPageBreak/>
        <w:drawing>
          <wp:inline distT="0" distB="0" distL="0" distR="0" wp14:anchorId="57CF48EB" wp14:editId="462D3BAF">
            <wp:extent cx="5943600" cy="44577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0"/>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BE36F0">
        <w:rPr>
          <w:b/>
          <w:sz w:val="20"/>
          <w:szCs w:val="20"/>
        </w:rPr>
        <w:t>4</w:t>
      </w:r>
      <w:r w:rsidR="00F93F90">
        <w:rPr>
          <w:b/>
          <w:sz w:val="20"/>
          <w:szCs w:val="20"/>
        </w:rPr>
        <w:t>.82</w:t>
      </w:r>
      <w:r>
        <w:rPr>
          <w:b/>
          <w:sz w:val="20"/>
          <w:szCs w:val="20"/>
        </w:rPr>
        <w:t xml:space="preserve">. Faulty Case 8 </w:t>
      </w:r>
      <m:oMath>
        <m:r>
          <m:rPr>
            <m:sty m:val="bi"/>
          </m:rPr>
          <w:rPr>
            <w:rFonts w:ascii="Cambria Math" w:hAnsi="Cambria Math"/>
            <w:sz w:val="20"/>
            <w:szCs w:val="20"/>
          </w:rPr>
          <m:t>Q</m:t>
        </m:r>
      </m:oMath>
      <w:r>
        <w:rPr>
          <w:b/>
          <w:sz w:val="20"/>
          <w:szCs w:val="20"/>
        </w:rPr>
        <w:t xml:space="preserve">-Statistic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a detectable fault</w:t>
      </w:r>
      <w:r>
        <w:rPr>
          <w:rFonts w:eastAsiaTheme="minorEastAsia"/>
          <w:i/>
          <w:sz w:val="20"/>
          <w:szCs w:val="20"/>
        </w:rPr>
        <w:t>.</w:t>
      </w:r>
    </w:p>
    <w:p w:rsidR="00E664E4" w:rsidRDefault="00E664E4" w:rsidP="00E664E4">
      <w:pPr>
        <w:rPr>
          <w:i/>
          <w:sz w:val="20"/>
          <w:szCs w:val="20"/>
        </w:rPr>
      </w:pPr>
    </w:p>
    <w:p w:rsidR="00E664E4" w:rsidRPr="00EE2556" w:rsidRDefault="00F93F90" w:rsidP="00E664E4">
      <w:pPr>
        <w:jc w:val="center"/>
        <w:rPr>
          <w:i/>
          <w:sz w:val="20"/>
          <w:szCs w:val="20"/>
        </w:rPr>
      </w:pPr>
      <w:r>
        <w:rPr>
          <w:noProof/>
        </w:rPr>
        <w:lastRenderedPageBreak/>
        <w:drawing>
          <wp:inline distT="0" distB="0" distL="0" distR="0" wp14:anchorId="50577A05" wp14:editId="46F0FCAA">
            <wp:extent cx="5943600" cy="445770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1"/>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F93F90">
        <w:rPr>
          <w:b/>
          <w:sz w:val="20"/>
          <w:szCs w:val="20"/>
        </w:rPr>
        <w:t>4.83</w:t>
      </w:r>
      <w:r>
        <w:rPr>
          <w:b/>
          <w:sz w:val="20"/>
          <w:szCs w:val="20"/>
        </w:rPr>
        <w:t xml:space="preserve">. Faulty Case 8 PC1, PC2, and </w:t>
      </w:r>
      <m:oMath>
        <m:r>
          <m:rPr>
            <m:sty m:val="bi"/>
          </m:rPr>
          <w:rPr>
            <w:rFonts w:ascii="Cambria Math" w:hAnsi="Cambria Math"/>
            <w:sz w:val="20"/>
            <w:szCs w:val="20"/>
          </w:rPr>
          <m:t>Q</m:t>
        </m:r>
      </m:oMath>
      <w:r>
        <w:rPr>
          <w:b/>
          <w:sz w:val="20"/>
          <w:szCs w:val="20"/>
        </w:rPr>
        <w:t xml:space="preserve">-Statistic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 xml:space="preserve">a detectable fault in the </w:t>
      </w:r>
      <m:oMath>
        <m:r>
          <w:rPr>
            <w:rFonts w:ascii="Cambria Math" w:hAnsi="Cambria Math"/>
            <w:sz w:val="20"/>
            <w:szCs w:val="20"/>
          </w:rPr>
          <m:t>Q</m:t>
        </m:r>
      </m:oMath>
      <w:r>
        <w:rPr>
          <w:rFonts w:eastAsiaTheme="minorEastAsia"/>
          <w:i/>
          <w:sz w:val="20"/>
          <w:szCs w:val="20"/>
        </w:rPr>
        <w:t>-statistic.</w:t>
      </w:r>
    </w:p>
    <w:p w:rsidR="00E664E4" w:rsidRDefault="00E664E4" w:rsidP="00E664E4"/>
    <w:p w:rsidR="00567A68" w:rsidRDefault="00567A68" w:rsidP="00E664E4"/>
    <w:p w:rsidR="001B675F" w:rsidRDefault="001B675F">
      <w:pPr>
        <w:rPr>
          <w:rFonts w:asciiTheme="majorHAnsi" w:hAnsiTheme="majorHAnsi"/>
          <w:b/>
        </w:rPr>
      </w:pPr>
      <w:r>
        <w:rPr>
          <w:rFonts w:asciiTheme="majorHAnsi" w:hAnsiTheme="majorHAnsi"/>
          <w:b/>
        </w:rPr>
        <w:br w:type="page"/>
      </w:r>
    </w:p>
    <w:p w:rsidR="00E664E4" w:rsidRDefault="00E664E4" w:rsidP="00E664E4">
      <w:pPr>
        <w:rPr>
          <w:rFonts w:asciiTheme="majorHAnsi" w:hAnsiTheme="majorHAnsi"/>
          <w:b/>
        </w:rPr>
      </w:pPr>
      <w:r>
        <w:rPr>
          <w:rFonts w:asciiTheme="majorHAnsi" w:hAnsiTheme="majorHAnsi"/>
          <w:b/>
        </w:rPr>
        <w:lastRenderedPageBreak/>
        <w:t>4.3.9 Case 9</w:t>
      </w:r>
    </w:p>
    <w:p w:rsidR="00B80840" w:rsidRDefault="00E664E4" w:rsidP="00E664E4">
      <w:pPr>
        <w:rPr>
          <w:rFonts w:eastAsiaTheme="minorEastAsia"/>
        </w:rPr>
      </w:pPr>
      <w:r w:rsidRPr="00BA45D9">
        <w:t>The ninth faulty case tested the ability of the model to detect the diversion of UF</w:t>
      </w:r>
      <w:r w:rsidRPr="00BA45D9">
        <w:rPr>
          <w:vertAlign w:val="subscript"/>
        </w:rPr>
        <w:t>6</w:t>
      </w:r>
      <w:r w:rsidRPr="00BA45D9">
        <w:t xml:space="preserve"> from the secondary fluorination process in Module 5. In this case, the model was modified to allow for UF</w:t>
      </w:r>
      <w:r w:rsidRPr="00BA45D9">
        <w:rPr>
          <w:vertAlign w:val="subscript"/>
        </w:rPr>
        <w:t>6</w:t>
      </w:r>
      <w:r w:rsidRPr="00BA45D9">
        <w:t xml:space="preserve"> to exit the process at the gas separator in Module 5F. </w:t>
      </w:r>
      <w:r>
        <w:t xml:space="preserve">Several percentages of diversion were tested to reach a detectable scenario; only the 75% diversion results are presented below. This appears to be a very large diversion but since only 10% of the incoming uranium to Module 5 was diverted to the secondary reactor this diversion was not significant. Therefore, this corresponded to an overall diversion of </w:t>
      </w:r>
      <w:r w:rsidR="008A38B9">
        <w:t>approximately 8</w:t>
      </w:r>
      <w:r>
        <w:t>%.</w:t>
      </w:r>
      <w:r w:rsidR="00B80840">
        <w:t xml:space="preserve"> This fault was only detectable in the </w:t>
      </w:r>
      <m:oMath>
        <m:r>
          <w:rPr>
            <w:rFonts w:ascii="Cambria Math" w:hAnsi="Cambria Math"/>
          </w:rPr>
          <m:t>Q</m:t>
        </m:r>
      </m:oMath>
      <w:r w:rsidR="00B80840">
        <w:rPr>
          <w:rFonts w:eastAsiaTheme="minorEastAsia"/>
        </w:rPr>
        <w:t>-statistic</w:t>
      </w:r>
      <w:r w:rsidR="008E6F8C">
        <w:rPr>
          <w:rFonts w:eastAsiaTheme="minorEastAsia"/>
        </w:rPr>
        <w:t xml:space="preserve">. </w:t>
      </w:r>
    </w:p>
    <w:p w:rsidR="008A38B9" w:rsidRDefault="008A38B9" w:rsidP="00E664E4">
      <w:pPr>
        <w:rPr>
          <w:rFonts w:eastAsiaTheme="minorEastAsia"/>
        </w:rPr>
      </w:pPr>
      <w:r>
        <w:rPr>
          <w:rFonts w:eastAsiaTheme="minorEastAsia"/>
        </w:rPr>
        <w:t>Equation 4.3.9.1 shows the UF</w:t>
      </w:r>
      <w:r w:rsidRPr="008A38B9">
        <w:rPr>
          <w:rFonts w:eastAsiaTheme="minorEastAsia"/>
          <w:vertAlign w:val="subscript"/>
        </w:rPr>
        <w:t>6</w:t>
      </w:r>
      <w:r>
        <w:rPr>
          <w:rFonts w:eastAsiaTheme="minorEastAsia"/>
        </w:rPr>
        <w:t xml:space="preserve"> balance for the gas separator, where </w:t>
      </w:r>
      <w:proofErr w:type="spellStart"/>
      <w:proofErr w:type="gramStart"/>
      <w:r>
        <w:rPr>
          <w:rFonts w:eastAsiaTheme="minorEastAsia"/>
        </w:rPr>
        <w:t>Xss</w:t>
      </w:r>
      <w:proofErr w:type="spellEnd"/>
      <w:r>
        <w:rPr>
          <w:rFonts w:eastAsiaTheme="minorEastAsia"/>
        </w:rPr>
        <w:t>(</w:t>
      </w:r>
      <w:proofErr w:type="gramEnd"/>
      <w:r>
        <w:rPr>
          <w:rFonts w:eastAsiaTheme="minorEastAsia"/>
        </w:rPr>
        <w:t>281) represents the UF</w:t>
      </w:r>
      <w:r w:rsidRPr="008A38B9">
        <w:rPr>
          <w:rFonts w:eastAsiaTheme="minorEastAsia"/>
          <w:vertAlign w:val="subscript"/>
        </w:rPr>
        <w:t>6</w:t>
      </w:r>
      <w:r>
        <w:rPr>
          <w:rFonts w:eastAsiaTheme="minorEastAsia"/>
        </w:rPr>
        <w:t xml:space="preserve"> in Stream 56.</w:t>
      </w:r>
    </w:p>
    <w:p w:rsidR="008A38B9" w:rsidRDefault="008A38B9" w:rsidP="008A38B9">
      <w:pPr>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Mod5F,1</m:t>
            </m:r>
          </m:sub>
        </m:sSub>
        <m:r>
          <w:rPr>
            <w:rFonts w:ascii="Cambria Math" w:eastAsiaTheme="minorEastAsia" w:hAnsi="Cambria Math"/>
          </w:rPr>
          <m:t>*Xss</m:t>
        </m:r>
        <m:d>
          <m:dPr>
            <m:ctrlPr>
              <w:rPr>
                <w:rFonts w:ascii="Cambria Math" w:eastAsiaTheme="minorEastAsia" w:hAnsi="Cambria Math"/>
                <w:i/>
              </w:rPr>
            </m:ctrlPr>
          </m:dPr>
          <m:e>
            <m:r>
              <w:rPr>
                <w:rFonts w:ascii="Cambria Math" w:eastAsiaTheme="minorEastAsia" w:hAnsi="Cambria Math"/>
              </w:rPr>
              <m:t>259</m:t>
            </m:r>
          </m:e>
        </m:d>
        <m:r>
          <w:rPr>
            <w:rFonts w:ascii="Cambria Math" w:eastAsiaTheme="minorEastAsia" w:hAnsi="Cambria Math"/>
          </w:rPr>
          <m:t>-Xss</m:t>
        </m:r>
        <m:d>
          <m:dPr>
            <m:ctrlPr>
              <w:rPr>
                <w:rFonts w:ascii="Cambria Math" w:eastAsiaTheme="minorEastAsia" w:hAnsi="Cambria Math"/>
                <w:i/>
              </w:rPr>
            </m:ctrlPr>
          </m:dPr>
          <m:e>
            <m:r>
              <w:rPr>
                <w:rFonts w:ascii="Cambria Math" w:eastAsiaTheme="minorEastAsia" w:hAnsi="Cambria Math"/>
              </w:rPr>
              <m:t>281</m:t>
            </m:r>
          </m:e>
        </m:d>
        <m:r>
          <w:rPr>
            <w:rFonts w:ascii="Cambria Math" w:eastAsiaTheme="minorEastAsia" w:hAnsi="Cambria Math"/>
          </w:rPr>
          <m:t>=0</m:t>
        </m:r>
      </m:oMath>
      <w:r>
        <w:rPr>
          <w:rFonts w:eastAsiaTheme="minorEastAsia"/>
        </w:rPr>
        <w:tab/>
      </w:r>
      <w:r>
        <w:rPr>
          <w:rFonts w:eastAsiaTheme="minorEastAsia"/>
        </w:rPr>
        <w:tab/>
      </w:r>
      <w:r>
        <w:rPr>
          <w:rFonts w:eastAsiaTheme="minorEastAsia"/>
        </w:rPr>
        <w:tab/>
      </w:r>
      <w:r>
        <w:rPr>
          <w:rFonts w:eastAsiaTheme="minorEastAsia"/>
        </w:rPr>
        <w:tab/>
        <w:t>Eq. (4.3.9.1)</w:t>
      </w:r>
    </w:p>
    <w:p w:rsidR="008A38B9" w:rsidRDefault="008A38B9" w:rsidP="008A38B9">
      <w:pPr>
        <w:jc w:val="right"/>
        <w:rPr>
          <w:rFonts w:eastAsiaTheme="minorEastAsia"/>
        </w:rPr>
      </w:pPr>
      <m:oMath>
        <m:r>
          <w:rPr>
            <w:rFonts w:ascii="Cambria Math" w:eastAsiaTheme="minorEastAsia" w:hAnsi="Cambria Math"/>
          </w:rPr>
          <m:t>Xss</m:t>
        </m:r>
        <m:d>
          <m:dPr>
            <m:ctrlPr>
              <w:rPr>
                <w:rFonts w:ascii="Cambria Math" w:eastAsiaTheme="minorEastAsia" w:hAnsi="Cambria Math"/>
                <w:i/>
              </w:rPr>
            </m:ctrlPr>
          </m:dPr>
          <m:e>
            <m:r>
              <w:rPr>
                <w:rFonts w:ascii="Cambria Math" w:eastAsiaTheme="minorEastAsia" w:hAnsi="Cambria Math"/>
              </w:rPr>
              <m:t>259</m:t>
            </m:r>
          </m:e>
        </m:d>
        <m:r>
          <w:rPr>
            <w:rFonts w:ascii="Cambria Math" w:eastAsiaTheme="minorEastAsia" w:hAnsi="Cambria Math"/>
          </w:rPr>
          <m:t>-Xss</m:t>
        </m:r>
        <m:d>
          <m:dPr>
            <m:ctrlPr>
              <w:rPr>
                <w:rFonts w:ascii="Cambria Math" w:eastAsiaTheme="minorEastAsia" w:hAnsi="Cambria Math"/>
                <w:i/>
              </w:rPr>
            </m:ctrlPr>
          </m:dPr>
          <m:e>
            <m:r>
              <w:rPr>
                <w:rFonts w:ascii="Cambria Math" w:eastAsiaTheme="minorEastAsia" w:hAnsi="Cambria Math"/>
              </w:rPr>
              <m:t>265</m:t>
            </m:r>
          </m:e>
        </m:d>
        <m:r>
          <w:rPr>
            <w:rFonts w:ascii="Cambria Math" w:eastAsiaTheme="minorEastAsia" w:hAnsi="Cambria Math"/>
          </w:rPr>
          <m:t>-Xss</m:t>
        </m:r>
        <m:d>
          <m:dPr>
            <m:ctrlPr>
              <w:rPr>
                <w:rFonts w:ascii="Cambria Math" w:eastAsiaTheme="minorEastAsia" w:hAnsi="Cambria Math"/>
                <w:i/>
              </w:rPr>
            </m:ctrlPr>
          </m:dPr>
          <m:e>
            <m:r>
              <w:rPr>
                <w:rFonts w:ascii="Cambria Math" w:eastAsiaTheme="minorEastAsia" w:hAnsi="Cambria Math"/>
              </w:rPr>
              <m:t>281</m:t>
            </m:r>
          </m:e>
        </m:d>
        <m:r>
          <w:rPr>
            <w:rFonts w:ascii="Cambria Math" w:eastAsiaTheme="minorEastAsia" w:hAnsi="Cambria Math"/>
          </w:rPr>
          <m:t>=0</m:t>
        </m:r>
      </m:oMath>
      <w:r>
        <w:rPr>
          <w:rFonts w:eastAsiaTheme="minorEastAsia"/>
        </w:rPr>
        <w:tab/>
      </w:r>
      <w:r>
        <w:rPr>
          <w:rFonts w:eastAsiaTheme="minorEastAsia"/>
        </w:rPr>
        <w:tab/>
      </w:r>
      <w:r>
        <w:rPr>
          <w:rFonts w:eastAsiaTheme="minorEastAsia"/>
        </w:rPr>
        <w:tab/>
        <w:t>Eq. (4.3.9.2)</w:t>
      </w:r>
    </w:p>
    <w:p w:rsidR="008A38B9" w:rsidRPr="008A38B9" w:rsidRDefault="008A38B9" w:rsidP="008A38B9">
      <w:pPr>
        <w:jc w:val="right"/>
      </w:pPr>
      <m:oMath>
        <m:r>
          <w:rPr>
            <w:rFonts w:ascii="Cambria Math" w:hAnsi="Cambria Math"/>
          </w:rPr>
          <m:t>Xss</m:t>
        </m:r>
        <m:d>
          <m:dPr>
            <m:ctrlPr>
              <w:rPr>
                <w:rFonts w:ascii="Cambria Math" w:hAnsi="Cambria Math"/>
              </w:rPr>
            </m:ctrlPr>
          </m:dPr>
          <m:e>
            <m:r>
              <m:rPr>
                <m:sty m:val="p"/>
              </m:rPr>
              <w:rPr>
                <w:rFonts w:ascii="Cambria Math" w:hAnsi="Cambria Math"/>
              </w:rPr>
              <m:t>265</m:t>
            </m:r>
          </m:e>
        </m:d>
        <m:r>
          <m:rPr>
            <m:sty m:val="p"/>
          </m:rPr>
          <w:rPr>
            <w:rFonts w:ascii="Cambria Math" w:hAnsi="Cambria Math"/>
          </w:rPr>
          <m:t>-</m:t>
        </m:r>
        <m:r>
          <w:rPr>
            <w:rFonts w:ascii="Cambria Math" w:hAnsi="Cambria Math"/>
          </w:rPr>
          <m:t>Xss</m:t>
        </m:r>
        <m:d>
          <m:dPr>
            <m:ctrlPr>
              <w:rPr>
                <w:rFonts w:ascii="Cambria Math" w:hAnsi="Cambria Math"/>
              </w:rPr>
            </m:ctrlPr>
          </m:dPr>
          <m:e>
            <m:r>
              <m:rPr>
                <m:sty m:val="p"/>
              </m:rPr>
              <w:rPr>
                <w:rFonts w:ascii="Cambria Math" w:hAnsi="Cambria Math"/>
              </w:rPr>
              <m:t>272</m:t>
            </m:r>
          </m:e>
        </m:d>
        <m:r>
          <m:rPr>
            <m:sty m:val="p"/>
          </m:rPr>
          <w:rPr>
            <w:rFonts w:ascii="Cambria Math" w:hAnsi="Cambria Math"/>
          </w:rPr>
          <m:t>=0</m:t>
        </m:r>
      </m:oMath>
      <w:r w:rsidRPr="008A38B9">
        <w:tab/>
      </w:r>
      <w:r w:rsidRPr="008A38B9">
        <w:tab/>
      </w:r>
      <w:r w:rsidRPr="008A38B9">
        <w:tab/>
      </w:r>
      <w:r w:rsidRPr="008A38B9">
        <w:tab/>
        <w:t>Eq. (4.3.9.3)</w:t>
      </w:r>
    </w:p>
    <w:p w:rsidR="008A38B9" w:rsidRPr="008A38B9" w:rsidRDefault="008A38B9" w:rsidP="008A38B9">
      <w:r>
        <w:t>In this faulty case, b</w:t>
      </w:r>
      <w:r w:rsidRPr="008A38B9">
        <w:t xml:space="preserve">oth </w:t>
      </w:r>
      <w:proofErr w:type="spellStart"/>
      <w:proofErr w:type="gramStart"/>
      <w:r>
        <w:t>Xss</w:t>
      </w:r>
      <w:proofErr w:type="spellEnd"/>
      <w:r>
        <w:t>(</w:t>
      </w:r>
      <w:proofErr w:type="gramEnd"/>
      <w:r>
        <w:t xml:space="preserve">265) and </w:t>
      </w:r>
      <w:proofErr w:type="spellStart"/>
      <w:r>
        <w:t>Xss</w:t>
      </w:r>
      <w:proofErr w:type="spellEnd"/>
      <w:r>
        <w:t>(272) result in a reduction of 75% in comparison to the base case nominal values as expected. The final product [</w:t>
      </w:r>
      <w:proofErr w:type="spellStart"/>
      <w:proofErr w:type="gramStart"/>
      <w:r>
        <w:t>Xss</w:t>
      </w:r>
      <w:proofErr w:type="spellEnd"/>
      <w:r>
        <w:t>(</w:t>
      </w:r>
      <w:proofErr w:type="gramEnd"/>
      <w:r>
        <w:t>273)] results in an 8% reduction in comparison to the base case nominal values which would be within the range of normal operation.</w:t>
      </w:r>
    </w:p>
    <w:p w:rsidR="00E664E4" w:rsidRDefault="00B80840" w:rsidP="008A38B9">
      <w:r w:rsidRPr="008A38B9">
        <w:t>There was no detectable fault in any of the scores plots. It was expected that there would be no fault in</w:t>
      </w:r>
      <w:r>
        <w:t xml:space="preserve"> the scores because the primary state variables [</w:t>
      </w:r>
      <w:proofErr w:type="spellStart"/>
      <w:proofErr w:type="gramStart"/>
      <w:r>
        <w:t>Xss</w:t>
      </w:r>
      <w:proofErr w:type="spellEnd"/>
      <w:r>
        <w:t>(</w:t>
      </w:r>
      <w:proofErr w:type="gramEnd"/>
      <w:r>
        <w:t xml:space="preserve">265), </w:t>
      </w:r>
      <w:proofErr w:type="spellStart"/>
      <w:r>
        <w:t>Xss</w:t>
      </w:r>
      <w:proofErr w:type="spellEnd"/>
      <w:r>
        <w:t xml:space="preserve">(269), </w:t>
      </w:r>
      <w:proofErr w:type="spellStart"/>
      <w:r>
        <w:t>Xss</w:t>
      </w:r>
      <w:proofErr w:type="spellEnd"/>
      <w:r>
        <w:t xml:space="preserve">(270), and </w:t>
      </w:r>
      <w:proofErr w:type="spellStart"/>
      <w:r>
        <w:t>Xss</w:t>
      </w:r>
      <w:proofErr w:type="spellEnd"/>
      <w:r>
        <w:t xml:space="preserve">(272)] that were most directly affected by this fault contributed only slightly if at all to the first four principal components. There was also no detectable change in the Mahalanobis distance. It was expected that there would not be a fault in the Mahalanobis distance since this reduced the final uranium product by only </w:t>
      </w:r>
      <w:r w:rsidR="008A38B9">
        <w:t>8</w:t>
      </w:r>
      <w:r>
        <w:t>% which should be within the allowed ±10% variation of the base case model.</w:t>
      </w:r>
      <w:r w:rsidR="00854861">
        <w:t xml:space="preserve"> There was a</w:t>
      </w:r>
      <w:r w:rsidR="007063C2">
        <w:t xml:space="preserve">n increase </w:t>
      </w:r>
      <w:r w:rsidR="00854861">
        <w:t xml:space="preserve">in the </w:t>
      </w:r>
      <m:oMath>
        <m:r>
          <w:rPr>
            <w:rFonts w:ascii="Cambria Math" w:hAnsi="Cambria Math"/>
          </w:rPr>
          <m:t>Q</m:t>
        </m:r>
      </m:oMath>
      <w:r w:rsidR="00854861">
        <w:t xml:space="preserve">-statistic (Figures 4.84–4.85). The </w:t>
      </w:r>
      <m:oMath>
        <m:r>
          <w:rPr>
            <w:rFonts w:ascii="Cambria Math" w:hAnsi="Cambria Math"/>
          </w:rPr>
          <m:t>Q</m:t>
        </m:r>
      </m:oMath>
      <w:r w:rsidR="00854861">
        <w:t xml:space="preserve">-statistic fault was expected since this changed a parameter and therefore </w:t>
      </w:r>
      <w:r w:rsidR="006F1843">
        <w:t>the relative relationship between the state variables</w:t>
      </w:r>
      <w:r w:rsidR="00854861">
        <w:t xml:space="preserve">. </w:t>
      </w:r>
      <w:r w:rsidR="00E664E4">
        <w:t xml:space="preserve">The fault in the </w:t>
      </w:r>
      <m:oMath>
        <m:r>
          <w:rPr>
            <w:rFonts w:ascii="Cambria Math" w:hAnsi="Cambria Math"/>
          </w:rPr>
          <m:t>Q</m:t>
        </m:r>
      </m:oMath>
      <w:r w:rsidR="00E664E4">
        <w:noBreakHyphen/>
        <w:t>statistic was detectable at this percentage of diversion but may not be detectable at lower percentages of diversion.</w:t>
      </w:r>
      <w:r w:rsidR="00854861">
        <w:t xml:space="preserve"> </w:t>
      </w:r>
      <w:r w:rsidR="003C7150">
        <w:t xml:space="preserve">It is highly recommended that the final product from the NUCP be monitored and correlated to the uranium feed to the plant. </w:t>
      </w:r>
      <w:r w:rsidR="00854861">
        <w:t>Table 4.29 summarizes this faulty case.</w:t>
      </w:r>
    </w:p>
    <w:p w:rsidR="001B675F" w:rsidRDefault="001B675F" w:rsidP="00E664E4"/>
    <w:p w:rsidR="008A38B9" w:rsidRDefault="008A38B9">
      <w:r>
        <w:br w:type="page"/>
      </w:r>
    </w:p>
    <w:tbl>
      <w:tblPr>
        <w:tblW w:w="7920" w:type="dxa"/>
        <w:jc w:val="center"/>
        <w:tblInd w:w="93" w:type="dxa"/>
        <w:tblLook w:val="04A0" w:firstRow="1" w:lastRow="0" w:firstColumn="1" w:lastColumn="0" w:noHBand="0" w:noVBand="1"/>
      </w:tblPr>
      <w:tblGrid>
        <w:gridCol w:w="1404"/>
        <w:gridCol w:w="906"/>
        <w:gridCol w:w="1306"/>
        <w:gridCol w:w="1230"/>
        <w:gridCol w:w="1062"/>
        <w:gridCol w:w="2012"/>
      </w:tblGrid>
      <w:tr w:rsidR="00854861" w:rsidRPr="00854861" w:rsidTr="00854861">
        <w:trPr>
          <w:trHeight w:val="270"/>
          <w:jc w:val="center"/>
        </w:trPr>
        <w:tc>
          <w:tcPr>
            <w:tcW w:w="7920" w:type="dxa"/>
            <w:gridSpan w:val="6"/>
            <w:tcBorders>
              <w:top w:val="nil"/>
              <w:left w:val="nil"/>
              <w:bottom w:val="single" w:sz="8" w:space="0" w:color="auto"/>
              <w:right w:val="nil"/>
            </w:tcBorders>
            <w:shd w:val="clear" w:color="auto" w:fill="auto"/>
            <w:noWrap/>
            <w:vAlign w:val="center"/>
            <w:hideMark/>
          </w:tcPr>
          <w:p w:rsidR="00854861" w:rsidRPr="00854861" w:rsidRDefault="00854861" w:rsidP="00854861">
            <w:pPr>
              <w:spacing w:after="0" w:line="240" w:lineRule="auto"/>
              <w:jc w:val="center"/>
              <w:rPr>
                <w:rFonts w:ascii="Calibri" w:eastAsia="Times New Roman" w:hAnsi="Calibri" w:cs="Times New Roman"/>
                <w:b/>
                <w:bCs/>
                <w:color w:val="000000"/>
                <w:sz w:val="20"/>
                <w:szCs w:val="20"/>
              </w:rPr>
            </w:pPr>
            <w:r w:rsidRPr="00854861">
              <w:rPr>
                <w:rFonts w:ascii="Calibri" w:eastAsia="Times New Roman" w:hAnsi="Calibri" w:cs="Times New Roman"/>
                <w:b/>
                <w:bCs/>
                <w:color w:val="000000"/>
                <w:sz w:val="20"/>
                <w:szCs w:val="20"/>
              </w:rPr>
              <w:lastRenderedPageBreak/>
              <w:t>Table 4.29. Summary of Faulty Case 9</w:t>
            </w:r>
          </w:p>
        </w:tc>
      </w:tr>
      <w:tr w:rsidR="00854861" w:rsidRPr="00854861" w:rsidTr="00854861">
        <w:trPr>
          <w:trHeight w:val="255"/>
          <w:jc w:val="center"/>
        </w:trPr>
        <w:tc>
          <w:tcPr>
            <w:tcW w:w="7920" w:type="dxa"/>
            <w:gridSpan w:val="6"/>
            <w:tcBorders>
              <w:top w:val="nil"/>
              <w:left w:val="nil"/>
              <w:bottom w:val="nil"/>
              <w:right w:val="nil"/>
            </w:tcBorders>
            <w:shd w:val="clear" w:color="auto" w:fill="auto"/>
            <w:noWrap/>
            <w:vAlign w:val="center"/>
            <w:hideMark/>
          </w:tcPr>
          <w:p w:rsidR="00854861" w:rsidRPr="00854861" w:rsidRDefault="00854861" w:rsidP="00854861">
            <w:pPr>
              <w:spacing w:after="0" w:line="240" w:lineRule="auto"/>
              <w:jc w:val="center"/>
              <w:rPr>
                <w:rFonts w:ascii="Calibri" w:eastAsia="Times New Roman" w:hAnsi="Calibri" w:cs="Times New Roman"/>
                <w:b/>
                <w:bCs/>
                <w:color w:val="000000"/>
                <w:sz w:val="20"/>
                <w:szCs w:val="20"/>
              </w:rPr>
            </w:pPr>
            <w:r w:rsidRPr="00854861">
              <w:rPr>
                <w:rFonts w:ascii="Calibri" w:eastAsia="Times New Roman" w:hAnsi="Calibri" w:cs="Times New Roman"/>
                <w:b/>
                <w:bCs/>
                <w:color w:val="000000"/>
                <w:sz w:val="20"/>
                <w:szCs w:val="20"/>
              </w:rPr>
              <w:t>Summary of Faulty Case</w:t>
            </w:r>
          </w:p>
        </w:tc>
      </w:tr>
      <w:tr w:rsidR="00854861" w:rsidRPr="00854861" w:rsidTr="00854861">
        <w:trPr>
          <w:trHeight w:val="255"/>
          <w:jc w:val="center"/>
        </w:trPr>
        <w:tc>
          <w:tcPr>
            <w:tcW w:w="1404" w:type="dxa"/>
            <w:tcBorders>
              <w:top w:val="nil"/>
              <w:left w:val="nil"/>
              <w:bottom w:val="single" w:sz="4" w:space="0" w:color="auto"/>
              <w:right w:val="nil"/>
            </w:tcBorders>
            <w:shd w:val="clear" w:color="auto" w:fill="auto"/>
            <w:noWrap/>
            <w:vAlign w:val="center"/>
            <w:hideMark/>
          </w:tcPr>
          <w:p w:rsidR="00854861" w:rsidRPr="00854861" w:rsidRDefault="00854861" w:rsidP="00854861">
            <w:pPr>
              <w:spacing w:after="0" w:line="240" w:lineRule="auto"/>
              <w:jc w:val="center"/>
              <w:rPr>
                <w:rFonts w:ascii="Calibri" w:eastAsia="Times New Roman" w:hAnsi="Calibri" w:cs="Times New Roman"/>
                <w:b/>
                <w:bCs/>
                <w:color w:val="000000"/>
                <w:sz w:val="20"/>
                <w:szCs w:val="20"/>
              </w:rPr>
            </w:pPr>
            <w:r w:rsidRPr="00854861">
              <w:rPr>
                <w:rFonts w:ascii="Calibri" w:eastAsia="Times New Roman" w:hAnsi="Calibri" w:cs="Times New Roman"/>
                <w:b/>
                <w:bCs/>
                <w:color w:val="000000"/>
                <w:sz w:val="20"/>
                <w:szCs w:val="20"/>
              </w:rPr>
              <w:t>Priority</w:t>
            </w:r>
          </w:p>
        </w:tc>
        <w:tc>
          <w:tcPr>
            <w:tcW w:w="906" w:type="dxa"/>
            <w:tcBorders>
              <w:top w:val="nil"/>
              <w:left w:val="nil"/>
              <w:bottom w:val="single" w:sz="4" w:space="0" w:color="auto"/>
              <w:right w:val="nil"/>
            </w:tcBorders>
            <w:shd w:val="clear" w:color="auto" w:fill="auto"/>
            <w:vAlign w:val="center"/>
            <w:hideMark/>
          </w:tcPr>
          <w:p w:rsidR="00854861" w:rsidRPr="00854861" w:rsidRDefault="00854861" w:rsidP="00854861">
            <w:pPr>
              <w:spacing w:after="0" w:line="240" w:lineRule="auto"/>
              <w:jc w:val="center"/>
              <w:rPr>
                <w:rFonts w:ascii="Calibri" w:eastAsia="Times New Roman" w:hAnsi="Calibri" w:cs="Times New Roman"/>
                <w:b/>
                <w:bCs/>
                <w:sz w:val="20"/>
                <w:szCs w:val="20"/>
              </w:rPr>
            </w:pPr>
            <w:r w:rsidRPr="00854861">
              <w:rPr>
                <w:rFonts w:ascii="Calibri" w:eastAsia="Times New Roman" w:hAnsi="Calibri" w:cs="Times New Roman"/>
                <w:b/>
                <w:bCs/>
                <w:sz w:val="20"/>
                <w:szCs w:val="20"/>
              </w:rPr>
              <w:t>Module</w:t>
            </w:r>
          </w:p>
        </w:tc>
        <w:tc>
          <w:tcPr>
            <w:tcW w:w="1306" w:type="dxa"/>
            <w:tcBorders>
              <w:top w:val="nil"/>
              <w:left w:val="nil"/>
              <w:bottom w:val="single" w:sz="4" w:space="0" w:color="auto"/>
              <w:right w:val="nil"/>
            </w:tcBorders>
            <w:shd w:val="clear" w:color="auto" w:fill="auto"/>
            <w:vAlign w:val="center"/>
            <w:hideMark/>
          </w:tcPr>
          <w:p w:rsidR="00854861" w:rsidRPr="00854861" w:rsidRDefault="00854861" w:rsidP="00854861">
            <w:pPr>
              <w:spacing w:after="0" w:line="240" w:lineRule="auto"/>
              <w:jc w:val="center"/>
              <w:rPr>
                <w:rFonts w:ascii="Calibri" w:eastAsia="Times New Roman" w:hAnsi="Calibri" w:cs="Times New Roman"/>
                <w:b/>
                <w:bCs/>
                <w:sz w:val="20"/>
                <w:szCs w:val="20"/>
              </w:rPr>
            </w:pPr>
            <w:r w:rsidRPr="00854861">
              <w:rPr>
                <w:rFonts w:ascii="Calibri" w:eastAsia="Times New Roman" w:hAnsi="Calibri" w:cs="Times New Roman"/>
                <w:b/>
                <w:bCs/>
                <w:sz w:val="20"/>
                <w:szCs w:val="20"/>
              </w:rPr>
              <w:t>Faulty Variable</w:t>
            </w:r>
          </w:p>
        </w:tc>
        <w:tc>
          <w:tcPr>
            <w:tcW w:w="1230" w:type="dxa"/>
            <w:tcBorders>
              <w:top w:val="nil"/>
              <w:left w:val="nil"/>
              <w:bottom w:val="single" w:sz="4" w:space="0" w:color="auto"/>
              <w:right w:val="nil"/>
            </w:tcBorders>
            <w:shd w:val="clear" w:color="auto" w:fill="auto"/>
            <w:vAlign w:val="center"/>
            <w:hideMark/>
          </w:tcPr>
          <w:p w:rsidR="00854861" w:rsidRPr="00854861" w:rsidRDefault="00854861" w:rsidP="00854861">
            <w:pPr>
              <w:spacing w:after="0" w:line="240" w:lineRule="auto"/>
              <w:jc w:val="center"/>
              <w:rPr>
                <w:rFonts w:ascii="Calibri" w:eastAsia="Times New Roman" w:hAnsi="Calibri" w:cs="Times New Roman"/>
                <w:b/>
                <w:bCs/>
                <w:color w:val="000000"/>
                <w:sz w:val="20"/>
                <w:szCs w:val="20"/>
              </w:rPr>
            </w:pPr>
            <w:r w:rsidRPr="00854861">
              <w:rPr>
                <w:rFonts w:ascii="Calibri" w:eastAsia="Times New Roman" w:hAnsi="Calibri" w:cs="Times New Roman"/>
                <w:b/>
                <w:bCs/>
                <w:color w:val="000000"/>
                <w:sz w:val="20"/>
                <w:szCs w:val="20"/>
              </w:rPr>
              <w:t>Base Case Value</w:t>
            </w:r>
          </w:p>
        </w:tc>
        <w:tc>
          <w:tcPr>
            <w:tcW w:w="1062" w:type="dxa"/>
            <w:tcBorders>
              <w:top w:val="nil"/>
              <w:left w:val="nil"/>
              <w:bottom w:val="single" w:sz="4" w:space="0" w:color="auto"/>
              <w:right w:val="nil"/>
            </w:tcBorders>
            <w:shd w:val="clear" w:color="auto" w:fill="auto"/>
            <w:vAlign w:val="center"/>
            <w:hideMark/>
          </w:tcPr>
          <w:p w:rsidR="00854861" w:rsidRPr="00854861" w:rsidRDefault="00854861" w:rsidP="00854861">
            <w:pPr>
              <w:spacing w:after="0" w:line="240" w:lineRule="auto"/>
              <w:jc w:val="center"/>
              <w:rPr>
                <w:rFonts w:ascii="Calibri" w:eastAsia="Times New Roman" w:hAnsi="Calibri" w:cs="Times New Roman"/>
                <w:b/>
                <w:bCs/>
                <w:color w:val="000000"/>
                <w:sz w:val="20"/>
                <w:szCs w:val="20"/>
              </w:rPr>
            </w:pPr>
            <w:r w:rsidRPr="00854861">
              <w:rPr>
                <w:rFonts w:ascii="Calibri" w:eastAsia="Times New Roman" w:hAnsi="Calibri" w:cs="Times New Roman"/>
                <w:b/>
                <w:bCs/>
                <w:color w:val="000000"/>
                <w:sz w:val="20"/>
                <w:szCs w:val="20"/>
              </w:rPr>
              <w:t>Faulty Value</w:t>
            </w:r>
          </w:p>
        </w:tc>
        <w:tc>
          <w:tcPr>
            <w:tcW w:w="2012" w:type="dxa"/>
            <w:tcBorders>
              <w:top w:val="nil"/>
              <w:left w:val="nil"/>
              <w:bottom w:val="single" w:sz="4" w:space="0" w:color="auto"/>
              <w:right w:val="nil"/>
            </w:tcBorders>
            <w:shd w:val="clear" w:color="auto" w:fill="auto"/>
            <w:vAlign w:val="center"/>
            <w:hideMark/>
          </w:tcPr>
          <w:p w:rsidR="00854861" w:rsidRPr="00854861" w:rsidRDefault="00854861" w:rsidP="00854861">
            <w:pPr>
              <w:spacing w:after="0" w:line="240" w:lineRule="auto"/>
              <w:jc w:val="center"/>
              <w:rPr>
                <w:rFonts w:ascii="Calibri" w:eastAsia="Times New Roman" w:hAnsi="Calibri" w:cs="Times New Roman"/>
                <w:b/>
                <w:bCs/>
                <w:sz w:val="20"/>
                <w:szCs w:val="20"/>
              </w:rPr>
            </w:pPr>
            <w:r w:rsidRPr="00854861">
              <w:rPr>
                <w:rFonts w:ascii="Calibri" w:eastAsia="Times New Roman" w:hAnsi="Calibri" w:cs="Times New Roman"/>
                <w:b/>
                <w:bCs/>
                <w:sz w:val="20"/>
                <w:szCs w:val="20"/>
              </w:rPr>
              <w:t>Physical Description</w:t>
            </w:r>
          </w:p>
        </w:tc>
      </w:tr>
      <w:tr w:rsidR="00854861" w:rsidRPr="00854861" w:rsidTr="00854861">
        <w:trPr>
          <w:trHeight w:val="1050"/>
          <w:jc w:val="center"/>
        </w:trPr>
        <w:tc>
          <w:tcPr>
            <w:tcW w:w="1404" w:type="dxa"/>
            <w:tcBorders>
              <w:top w:val="nil"/>
              <w:left w:val="nil"/>
              <w:bottom w:val="nil"/>
              <w:right w:val="nil"/>
            </w:tcBorders>
            <w:shd w:val="clear" w:color="auto" w:fill="auto"/>
            <w:noWrap/>
            <w:vAlign w:val="center"/>
            <w:hideMark/>
          </w:tcPr>
          <w:p w:rsidR="00854861" w:rsidRPr="00854861" w:rsidRDefault="00854861" w:rsidP="00854861">
            <w:pPr>
              <w:spacing w:after="0" w:line="240" w:lineRule="auto"/>
              <w:jc w:val="center"/>
              <w:rPr>
                <w:rFonts w:ascii="Calibri" w:eastAsia="Times New Roman" w:hAnsi="Calibri" w:cs="Times New Roman"/>
                <w:color w:val="000000"/>
                <w:sz w:val="20"/>
                <w:szCs w:val="20"/>
              </w:rPr>
            </w:pPr>
            <w:r w:rsidRPr="00854861">
              <w:rPr>
                <w:rFonts w:ascii="Calibri" w:eastAsia="Times New Roman" w:hAnsi="Calibri" w:cs="Times New Roman"/>
                <w:color w:val="000000"/>
                <w:sz w:val="20"/>
                <w:szCs w:val="20"/>
              </w:rPr>
              <w:t>Medium</w:t>
            </w:r>
          </w:p>
        </w:tc>
        <w:tc>
          <w:tcPr>
            <w:tcW w:w="906" w:type="dxa"/>
            <w:tcBorders>
              <w:top w:val="nil"/>
              <w:left w:val="nil"/>
              <w:bottom w:val="nil"/>
              <w:right w:val="nil"/>
            </w:tcBorders>
            <w:shd w:val="clear" w:color="auto" w:fill="auto"/>
            <w:vAlign w:val="center"/>
            <w:hideMark/>
          </w:tcPr>
          <w:p w:rsidR="00854861" w:rsidRPr="00854861" w:rsidRDefault="00854861" w:rsidP="00854861">
            <w:pPr>
              <w:spacing w:after="0" w:line="240" w:lineRule="auto"/>
              <w:jc w:val="center"/>
              <w:rPr>
                <w:rFonts w:ascii="Calibri" w:eastAsia="Times New Roman" w:hAnsi="Calibri" w:cs="Times New Roman"/>
                <w:color w:val="000000"/>
                <w:sz w:val="20"/>
                <w:szCs w:val="20"/>
              </w:rPr>
            </w:pPr>
            <w:r w:rsidRPr="00854861">
              <w:rPr>
                <w:rFonts w:ascii="Calibri" w:eastAsia="Times New Roman" w:hAnsi="Calibri" w:cs="Times New Roman"/>
                <w:color w:val="000000"/>
                <w:sz w:val="20"/>
                <w:szCs w:val="20"/>
              </w:rPr>
              <w:t>5</w:t>
            </w:r>
          </w:p>
        </w:tc>
        <w:tc>
          <w:tcPr>
            <w:tcW w:w="1306" w:type="dxa"/>
            <w:tcBorders>
              <w:top w:val="nil"/>
              <w:left w:val="nil"/>
              <w:bottom w:val="nil"/>
              <w:right w:val="nil"/>
            </w:tcBorders>
            <w:shd w:val="clear" w:color="auto" w:fill="auto"/>
            <w:vAlign w:val="center"/>
            <w:hideMark/>
          </w:tcPr>
          <w:p w:rsidR="00854861" w:rsidRPr="00854861" w:rsidRDefault="00854861" w:rsidP="00854861">
            <w:pPr>
              <w:spacing w:after="0" w:line="240" w:lineRule="auto"/>
              <w:jc w:val="center"/>
              <w:rPr>
                <w:rFonts w:ascii="Calibri" w:eastAsia="Times New Roman" w:hAnsi="Calibri" w:cs="Times New Roman"/>
                <w:color w:val="000000"/>
                <w:sz w:val="20"/>
                <w:szCs w:val="20"/>
              </w:rPr>
            </w:pPr>
            <w:r w:rsidRPr="00854861">
              <w:rPr>
                <w:rFonts w:ascii="Calibri" w:eastAsia="Times New Roman" w:hAnsi="Calibri" w:cs="Times New Roman"/>
                <w:color w:val="000000"/>
                <w:sz w:val="20"/>
                <w:szCs w:val="20"/>
              </w:rPr>
              <w:t>S</w:t>
            </w:r>
            <w:r w:rsidRPr="00854861">
              <w:rPr>
                <w:rFonts w:ascii="Calibri" w:eastAsia="Times New Roman" w:hAnsi="Calibri" w:cs="Times New Roman"/>
                <w:color w:val="000000"/>
                <w:sz w:val="20"/>
                <w:szCs w:val="20"/>
                <w:vertAlign w:val="subscript"/>
              </w:rPr>
              <w:t>Mod5F,1</w:t>
            </w:r>
          </w:p>
        </w:tc>
        <w:tc>
          <w:tcPr>
            <w:tcW w:w="1230" w:type="dxa"/>
            <w:tcBorders>
              <w:top w:val="nil"/>
              <w:left w:val="nil"/>
              <w:bottom w:val="nil"/>
              <w:right w:val="nil"/>
            </w:tcBorders>
            <w:shd w:val="clear" w:color="auto" w:fill="auto"/>
            <w:vAlign w:val="center"/>
            <w:hideMark/>
          </w:tcPr>
          <w:p w:rsidR="00854861" w:rsidRPr="00854861" w:rsidRDefault="00854861" w:rsidP="00854861">
            <w:pPr>
              <w:spacing w:after="0" w:line="240" w:lineRule="auto"/>
              <w:jc w:val="center"/>
              <w:rPr>
                <w:rFonts w:ascii="Calibri" w:eastAsia="Times New Roman" w:hAnsi="Calibri" w:cs="Times New Roman"/>
                <w:color w:val="000000"/>
                <w:sz w:val="20"/>
                <w:szCs w:val="20"/>
              </w:rPr>
            </w:pPr>
            <w:r w:rsidRPr="00854861">
              <w:rPr>
                <w:rFonts w:ascii="Calibri" w:eastAsia="Times New Roman" w:hAnsi="Calibri" w:cs="Times New Roman"/>
                <w:color w:val="000000"/>
                <w:sz w:val="20"/>
                <w:szCs w:val="20"/>
              </w:rPr>
              <w:t>N/A</w:t>
            </w:r>
          </w:p>
        </w:tc>
        <w:tc>
          <w:tcPr>
            <w:tcW w:w="1062" w:type="dxa"/>
            <w:tcBorders>
              <w:top w:val="nil"/>
              <w:left w:val="nil"/>
              <w:bottom w:val="nil"/>
              <w:right w:val="nil"/>
            </w:tcBorders>
            <w:shd w:val="clear" w:color="auto" w:fill="auto"/>
            <w:vAlign w:val="center"/>
            <w:hideMark/>
          </w:tcPr>
          <w:p w:rsidR="00854861" w:rsidRPr="00854861" w:rsidRDefault="00854861" w:rsidP="00854861">
            <w:pPr>
              <w:spacing w:after="0" w:line="240" w:lineRule="auto"/>
              <w:jc w:val="center"/>
              <w:rPr>
                <w:rFonts w:ascii="Calibri" w:eastAsia="Times New Roman" w:hAnsi="Calibri" w:cs="Times New Roman"/>
                <w:color w:val="000000"/>
                <w:sz w:val="20"/>
                <w:szCs w:val="20"/>
              </w:rPr>
            </w:pPr>
            <w:r w:rsidRPr="00854861">
              <w:rPr>
                <w:rFonts w:ascii="Calibri" w:eastAsia="Times New Roman" w:hAnsi="Calibri" w:cs="Times New Roman"/>
                <w:color w:val="000000"/>
                <w:sz w:val="20"/>
                <w:szCs w:val="20"/>
              </w:rPr>
              <w:t>0.75</w:t>
            </w:r>
          </w:p>
        </w:tc>
        <w:tc>
          <w:tcPr>
            <w:tcW w:w="2012" w:type="dxa"/>
            <w:tcBorders>
              <w:top w:val="nil"/>
              <w:left w:val="nil"/>
              <w:bottom w:val="nil"/>
              <w:right w:val="nil"/>
            </w:tcBorders>
            <w:shd w:val="clear" w:color="auto" w:fill="auto"/>
            <w:vAlign w:val="center"/>
            <w:hideMark/>
          </w:tcPr>
          <w:p w:rsidR="00854861" w:rsidRPr="00854861" w:rsidRDefault="00854861" w:rsidP="00854861">
            <w:pPr>
              <w:spacing w:after="0" w:line="240" w:lineRule="auto"/>
              <w:rPr>
                <w:rFonts w:ascii="Calibri" w:eastAsia="Times New Roman" w:hAnsi="Calibri" w:cs="Times New Roman"/>
                <w:color w:val="000000"/>
                <w:sz w:val="20"/>
                <w:szCs w:val="20"/>
              </w:rPr>
            </w:pPr>
            <w:r w:rsidRPr="00854861">
              <w:rPr>
                <w:rFonts w:ascii="Calibri" w:eastAsia="Times New Roman" w:hAnsi="Calibri" w:cs="Times New Roman"/>
                <w:color w:val="000000"/>
                <w:sz w:val="20"/>
                <w:szCs w:val="20"/>
              </w:rPr>
              <w:t>Diversion of UF</w:t>
            </w:r>
            <w:r w:rsidRPr="00854861">
              <w:rPr>
                <w:rFonts w:ascii="Calibri" w:eastAsia="Times New Roman" w:hAnsi="Calibri" w:cs="Times New Roman"/>
                <w:color w:val="000000"/>
                <w:sz w:val="20"/>
                <w:szCs w:val="20"/>
                <w:vertAlign w:val="subscript"/>
              </w:rPr>
              <w:t>6</w:t>
            </w:r>
            <w:r w:rsidRPr="00854861">
              <w:rPr>
                <w:rFonts w:ascii="Calibri" w:eastAsia="Times New Roman" w:hAnsi="Calibri" w:cs="Times New Roman"/>
                <w:color w:val="000000"/>
                <w:sz w:val="20"/>
                <w:szCs w:val="20"/>
              </w:rPr>
              <w:t xml:space="preserve"> through the off-gas of the secondary fluorination process in Module 5</w:t>
            </w:r>
          </w:p>
        </w:tc>
      </w:tr>
      <w:tr w:rsidR="00854861" w:rsidRPr="00854861" w:rsidTr="00854861">
        <w:trPr>
          <w:trHeight w:val="255"/>
          <w:jc w:val="center"/>
        </w:trPr>
        <w:tc>
          <w:tcPr>
            <w:tcW w:w="7920" w:type="dxa"/>
            <w:gridSpan w:val="6"/>
            <w:tcBorders>
              <w:top w:val="single" w:sz="4" w:space="0" w:color="auto"/>
              <w:left w:val="nil"/>
              <w:bottom w:val="nil"/>
              <w:right w:val="nil"/>
            </w:tcBorders>
            <w:shd w:val="clear" w:color="auto" w:fill="auto"/>
            <w:noWrap/>
            <w:vAlign w:val="center"/>
            <w:hideMark/>
          </w:tcPr>
          <w:p w:rsidR="00854861" w:rsidRPr="00854861" w:rsidRDefault="00854861" w:rsidP="00854861">
            <w:pPr>
              <w:spacing w:after="0" w:line="240" w:lineRule="auto"/>
              <w:jc w:val="center"/>
              <w:rPr>
                <w:rFonts w:ascii="Calibri" w:eastAsia="Times New Roman" w:hAnsi="Calibri" w:cs="Times New Roman"/>
                <w:b/>
                <w:bCs/>
                <w:color w:val="000000"/>
                <w:sz w:val="20"/>
                <w:szCs w:val="20"/>
              </w:rPr>
            </w:pPr>
            <w:r w:rsidRPr="00854861">
              <w:rPr>
                <w:rFonts w:ascii="Calibri" w:eastAsia="Times New Roman" w:hAnsi="Calibri" w:cs="Times New Roman"/>
                <w:b/>
                <w:bCs/>
                <w:color w:val="000000"/>
                <w:sz w:val="20"/>
                <w:szCs w:val="20"/>
              </w:rPr>
              <w:t>Summary of Results</w:t>
            </w:r>
          </w:p>
        </w:tc>
      </w:tr>
      <w:tr w:rsidR="00854861" w:rsidRPr="00854861" w:rsidTr="00854861">
        <w:trPr>
          <w:trHeight w:val="255"/>
          <w:jc w:val="center"/>
        </w:trPr>
        <w:tc>
          <w:tcPr>
            <w:tcW w:w="1404" w:type="dxa"/>
            <w:tcBorders>
              <w:top w:val="nil"/>
              <w:left w:val="nil"/>
              <w:bottom w:val="single" w:sz="4" w:space="0" w:color="auto"/>
              <w:right w:val="nil"/>
            </w:tcBorders>
            <w:shd w:val="clear" w:color="auto" w:fill="auto"/>
            <w:noWrap/>
            <w:vAlign w:val="center"/>
            <w:hideMark/>
          </w:tcPr>
          <w:p w:rsidR="00854861" w:rsidRPr="00854861" w:rsidRDefault="00854861" w:rsidP="00854861">
            <w:pPr>
              <w:spacing w:after="0" w:line="240" w:lineRule="auto"/>
              <w:jc w:val="center"/>
              <w:rPr>
                <w:rFonts w:ascii="Calibri" w:eastAsia="Times New Roman" w:hAnsi="Calibri" w:cs="Times New Roman"/>
                <w:color w:val="000000"/>
                <w:sz w:val="20"/>
                <w:szCs w:val="20"/>
              </w:rPr>
            </w:pPr>
            <w:r w:rsidRPr="00854861">
              <w:rPr>
                <w:rFonts w:ascii="Calibri" w:eastAsia="Times New Roman" w:hAnsi="Calibri" w:cs="Times New Roman"/>
                <w:color w:val="000000"/>
                <w:sz w:val="20"/>
                <w:szCs w:val="20"/>
              </w:rPr>
              <w:t> </w:t>
            </w:r>
          </w:p>
        </w:tc>
        <w:tc>
          <w:tcPr>
            <w:tcW w:w="906" w:type="dxa"/>
            <w:tcBorders>
              <w:top w:val="nil"/>
              <w:left w:val="nil"/>
              <w:bottom w:val="single" w:sz="4" w:space="0" w:color="auto"/>
              <w:right w:val="nil"/>
            </w:tcBorders>
            <w:shd w:val="clear" w:color="auto" w:fill="auto"/>
            <w:vAlign w:val="center"/>
            <w:hideMark/>
          </w:tcPr>
          <w:p w:rsidR="00854861" w:rsidRDefault="00854861" w:rsidP="00854861">
            <w:pPr>
              <w:spacing w:after="0" w:line="240" w:lineRule="auto"/>
              <w:jc w:val="center"/>
              <w:rPr>
                <w:rFonts w:ascii="Calibri" w:eastAsia="Times New Roman" w:hAnsi="Calibri" w:cs="Times New Roman"/>
                <w:b/>
                <w:bCs/>
                <w:sz w:val="20"/>
                <w:szCs w:val="20"/>
              </w:rPr>
            </w:pPr>
            <w:r w:rsidRPr="00854861">
              <w:rPr>
                <w:rFonts w:ascii="Calibri" w:eastAsia="Times New Roman" w:hAnsi="Calibri" w:cs="Times New Roman"/>
                <w:b/>
                <w:bCs/>
                <w:sz w:val="20"/>
                <w:szCs w:val="20"/>
              </w:rPr>
              <w:t>PC1</w:t>
            </w:r>
          </w:p>
          <w:p w:rsidR="00AC7D91" w:rsidRPr="00854861" w:rsidRDefault="00AC7D91" w:rsidP="00854861">
            <w:pPr>
              <w:spacing w:after="0" w:line="240" w:lineRule="auto"/>
              <w:jc w:val="center"/>
              <w:rPr>
                <w:rFonts w:ascii="Calibri" w:eastAsia="Times New Roman" w:hAnsi="Calibri" w:cs="Times New Roman"/>
                <w:b/>
                <w:bCs/>
                <w:sz w:val="20"/>
                <w:szCs w:val="20"/>
              </w:rPr>
            </w:pPr>
            <w:r>
              <w:rPr>
                <w:rFonts w:ascii="Calibri" w:eastAsia="Times New Roman" w:hAnsi="Calibri" w:cs="Times New Roman"/>
                <w:b/>
                <w:bCs/>
                <w:sz w:val="20"/>
                <w:szCs w:val="20"/>
              </w:rPr>
              <w:t>Scores</w:t>
            </w:r>
          </w:p>
        </w:tc>
        <w:tc>
          <w:tcPr>
            <w:tcW w:w="1306" w:type="dxa"/>
            <w:tcBorders>
              <w:top w:val="nil"/>
              <w:left w:val="nil"/>
              <w:bottom w:val="single" w:sz="4" w:space="0" w:color="auto"/>
              <w:right w:val="nil"/>
            </w:tcBorders>
            <w:shd w:val="clear" w:color="auto" w:fill="auto"/>
            <w:vAlign w:val="center"/>
            <w:hideMark/>
          </w:tcPr>
          <w:p w:rsidR="00854861" w:rsidRDefault="00854861" w:rsidP="00854861">
            <w:pPr>
              <w:spacing w:after="0" w:line="240" w:lineRule="auto"/>
              <w:jc w:val="center"/>
              <w:rPr>
                <w:rFonts w:ascii="Calibri" w:eastAsia="Times New Roman" w:hAnsi="Calibri" w:cs="Times New Roman"/>
                <w:b/>
                <w:bCs/>
                <w:color w:val="000000"/>
                <w:sz w:val="20"/>
                <w:szCs w:val="20"/>
              </w:rPr>
            </w:pPr>
            <w:r w:rsidRPr="00854861">
              <w:rPr>
                <w:rFonts w:ascii="Calibri" w:eastAsia="Times New Roman" w:hAnsi="Calibri" w:cs="Times New Roman"/>
                <w:b/>
                <w:bCs/>
                <w:color w:val="000000"/>
                <w:sz w:val="20"/>
                <w:szCs w:val="20"/>
              </w:rPr>
              <w:t>PC2</w:t>
            </w:r>
          </w:p>
          <w:p w:rsidR="00AC7D91" w:rsidRPr="00854861" w:rsidRDefault="00AC7D91" w:rsidP="00854861">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1230" w:type="dxa"/>
            <w:tcBorders>
              <w:top w:val="nil"/>
              <w:left w:val="nil"/>
              <w:bottom w:val="single" w:sz="4" w:space="0" w:color="auto"/>
              <w:right w:val="nil"/>
            </w:tcBorders>
            <w:shd w:val="clear" w:color="auto" w:fill="auto"/>
            <w:vAlign w:val="center"/>
            <w:hideMark/>
          </w:tcPr>
          <w:p w:rsidR="00854861" w:rsidRDefault="00854861" w:rsidP="00854861">
            <w:pPr>
              <w:spacing w:after="0" w:line="240" w:lineRule="auto"/>
              <w:jc w:val="center"/>
              <w:rPr>
                <w:rFonts w:ascii="Calibri" w:eastAsia="Times New Roman" w:hAnsi="Calibri" w:cs="Times New Roman"/>
                <w:b/>
                <w:bCs/>
                <w:color w:val="000000"/>
                <w:sz w:val="20"/>
                <w:szCs w:val="20"/>
              </w:rPr>
            </w:pPr>
            <w:r w:rsidRPr="00854861">
              <w:rPr>
                <w:rFonts w:ascii="Calibri" w:eastAsia="Times New Roman" w:hAnsi="Calibri" w:cs="Times New Roman"/>
                <w:b/>
                <w:bCs/>
                <w:color w:val="000000"/>
                <w:sz w:val="20"/>
                <w:szCs w:val="20"/>
              </w:rPr>
              <w:t>PC3</w:t>
            </w:r>
          </w:p>
          <w:p w:rsidR="00AC7D91" w:rsidRPr="00854861" w:rsidRDefault="00AC7D91" w:rsidP="00854861">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1062" w:type="dxa"/>
            <w:tcBorders>
              <w:top w:val="nil"/>
              <w:left w:val="nil"/>
              <w:bottom w:val="single" w:sz="4" w:space="0" w:color="auto"/>
              <w:right w:val="nil"/>
            </w:tcBorders>
            <w:shd w:val="clear" w:color="auto" w:fill="auto"/>
            <w:vAlign w:val="center"/>
            <w:hideMark/>
          </w:tcPr>
          <w:p w:rsidR="00854861" w:rsidRPr="00854861" w:rsidRDefault="00854861" w:rsidP="00854861">
            <w:pPr>
              <w:spacing w:after="0" w:line="240" w:lineRule="auto"/>
              <w:jc w:val="center"/>
              <w:rPr>
                <w:rFonts w:ascii="Calibri" w:eastAsia="Times New Roman" w:hAnsi="Calibri" w:cs="Times New Roman"/>
                <w:b/>
                <w:bCs/>
                <w:color w:val="000000"/>
                <w:sz w:val="20"/>
                <w:szCs w:val="20"/>
              </w:rPr>
            </w:pPr>
            <w:r w:rsidRPr="00854861">
              <w:rPr>
                <w:rFonts w:ascii="Calibri" w:eastAsia="Times New Roman" w:hAnsi="Calibri" w:cs="Times New Roman"/>
                <w:b/>
                <w:bCs/>
                <w:color w:val="000000"/>
                <w:sz w:val="20"/>
                <w:szCs w:val="20"/>
              </w:rPr>
              <w:t>T2</w:t>
            </w:r>
          </w:p>
        </w:tc>
        <w:tc>
          <w:tcPr>
            <w:tcW w:w="2012" w:type="dxa"/>
            <w:tcBorders>
              <w:top w:val="nil"/>
              <w:left w:val="nil"/>
              <w:bottom w:val="single" w:sz="4" w:space="0" w:color="auto"/>
              <w:right w:val="nil"/>
            </w:tcBorders>
            <w:shd w:val="clear" w:color="auto" w:fill="auto"/>
            <w:vAlign w:val="center"/>
            <w:hideMark/>
          </w:tcPr>
          <w:p w:rsidR="00854861" w:rsidRPr="00854861" w:rsidRDefault="00854861" w:rsidP="00854861">
            <w:pPr>
              <w:spacing w:after="0" w:line="240" w:lineRule="auto"/>
              <w:jc w:val="center"/>
              <w:rPr>
                <w:rFonts w:ascii="Calibri" w:eastAsia="Times New Roman" w:hAnsi="Calibri" w:cs="Times New Roman"/>
                <w:b/>
                <w:bCs/>
                <w:color w:val="000000"/>
                <w:sz w:val="20"/>
                <w:szCs w:val="20"/>
              </w:rPr>
            </w:pPr>
            <w:r w:rsidRPr="00854861">
              <w:rPr>
                <w:rFonts w:ascii="Calibri" w:eastAsia="Times New Roman" w:hAnsi="Calibri" w:cs="Times New Roman"/>
                <w:b/>
                <w:bCs/>
                <w:color w:val="000000"/>
                <w:sz w:val="20"/>
                <w:szCs w:val="20"/>
              </w:rPr>
              <w:t>Q</w:t>
            </w:r>
          </w:p>
        </w:tc>
      </w:tr>
      <w:tr w:rsidR="00854861" w:rsidRPr="00854861" w:rsidTr="00854861">
        <w:trPr>
          <w:trHeight w:val="255"/>
          <w:jc w:val="center"/>
        </w:trPr>
        <w:tc>
          <w:tcPr>
            <w:tcW w:w="1404" w:type="dxa"/>
            <w:tcBorders>
              <w:top w:val="nil"/>
              <w:left w:val="nil"/>
              <w:bottom w:val="nil"/>
              <w:right w:val="nil"/>
            </w:tcBorders>
            <w:shd w:val="clear" w:color="auto" w:fill="auto"/>
            <w:noWrap/>
            <w:vAlign w:val="center"/>
            <w:hideMark/>
          </w:tcPr>
          <w:p w:rsidR="00854861" w:rsidRPr="00854861" w:rsidRDefault="00854861" w:rsidP="00854861">
            <w:pPr>
              <w:spacing w:after="0" w:line="240" w:lineRule="auto"/>
              <w:jc w:val="center"/>
              <w:rPr>
                <w:rFonts w:ascii="Calibri" w:eastAsia="Times New Roman" w:hAnsi="Calibri" w:cs="Times New Roman"/>
                <w:b/>
                <w:bCs/>
                <w:color w:val="000000"/>
                <w:sz w:val="20"/>
                <w:szCs w:val="20"/>
              </w:rPr>
            </w:pPr>
            <w:r w:rsidRPr="00854861">
              <w:rPr>
                <w:rFonts w:ascii="Calibri" w:eastAsia="Times New Roman" w:hAnsi="Calibri" w:cs="Times New Roman"/>
                <w:b/>
                <w:bCs/>
                <w:color w:val="000000"/>
                <w:sz w:val="20"/>
                <w:szCs w:val="20"/>
              </w:rPr>
              <w:t>Direction</w:t>
            </w:r>
          </w:p>
        </w:tc>
        <w:tc>
          <w:tcPr>
            <w:tcW w:w="906" w:type="dxa"/>
            <w:tcBorders>
              <w:top w:val="nil"/>
              <w:left w:val="nil"/>
              <w:bottom w:val="nil"/>
              <w:right w:val="nil"/>
            </w:tcBorders>
            <w:shd w:val="clear" w:color="auto" w:fill="auto"/>
            <w:noWrap/>
            <w:vAlign w:val="center"/>
            <w:hideMark/>
          </w:tcPr>
          <w:p w:rsidR="00854861" w:rsidRPr="00854861" w:rsidRDefault="00854861" w:rsidP="00854861">
            <w:pPr>
              <w:spacing w:after="0" w:line="240" w:lineRule="auto"/>
              <w:jc w:val="center"/>
              <w:rPr>
                <w:rFonts w:ascii="Calibri" w:eastAsia="Times New Roman" w:hAnsi="Calibri" w:cs="Times New Roman"/>
                <w:color w:val="000000"/>
                <w:sz w:val="20"/>
                <w:szCs w:val="20"/>
              </w:rPr>
            </w:pPr>
            <w:r w:rsidRPr="00854861">
              <w:rPr>
                <w:rFonts w:ascii="Calibri" w:eastAsia="Times New Roman" w:hAnsi="Calibri" w:cs="Times New Roman"/>
                <w:color w:val="000000"/>
                <w:sz w:val="20"/>
                <w:szCs w:val="20"/>
              </w:rPr>
              <w:t>0</w:t>
            </w:r>
          </w:p>
        </w:tc>
        <w:tc>
          <w:tcPr>
            <w:tcW w:w="1306" w:type="dxa"/>
            <w:tcBorders>
              <w:top w:val="nil"/>
              <w:left w:val="nil"/>
              <w:bottom w:val="nil"/>
              <w:right w:val="nil"/>
            </w:tcBorders>
            <w:shd w:val="clear" w:color="auto" w:fill="auto"/>
            <w:noWrap/>
            <w:vAlign w:val="center"/>
            <w:hideMark/>
          </w:tcPr>
          <w:p w:rsidR="00854861" w:rsidRPr="00854861" w:rsidRDefault="00854861" w:rsidP="00854861">
            <w:pPr>
              <w:spacing w:after="0" w:line="240" w:lineRule="auto"/>
              <w:jc w:val="center"/>
              <w:rPr>
                <w:rFonts w:ascii="Calibri" w:eastAsia="Times New Roman" w:hAnsi="Calibri" w:cs="Times New Roman"/>
                <w:color w:val="000000"/>
                <w:sz w:val="20"/>
                <w:szCs w:val="20"/>
              </w:rPr>
            </w:pPr>
            <w:r w:rsidRPr="00854861">
              <w:rPr>
                <w:rFonts w:ascii="Calibri" w:eastAsia="Times New Roman" w:hAnsi="Calibri" w:cs="Times New Roman"/>
                <w:color w:val="000000"/>
                <w:sz w:val="20"/>
                <w:szCs w:val="20"/>
              </w:rPr>
              <w:t>0</w:t>
            </w:r>
          </w:p>
        </w:tc>
        <w:tc>
          <w:tcPr>
            <w:tcW w:w="1230" w:type="dxa"/>
            <w:tcBorders>
              <w:top w:val="nil"/>
              <w:left w:val="nil"/>
              <w:bottom w:val="nil"/>
              <w:right w:val="nil"/>
            </w:tcBorders>
            <w:shd w:val="clear" w:color="auto" w:fill="auto"/>
            <w:noWrap/>
            <w:vAlign w:val="center"/>
            <w:hideMark/>
          </w:tcPr>
          <w:p w:rsidR="00854861" w:rsidRPr="00854861" w:rsidRDefault="00854861" w:rsidP="00854861">
            <w:pPr>
              <w:spacing w:after="0" w:line="240" w:lineRule="auto"/>
              <w:jc w:val="center"/>
              <w:rPr>
                <w:rFonts w:ascii="Calibri" w:eastAsia="Times New Roman" w:hAnsi="Calibri" w:cs="Times New Roman"/>
                <w:color w:val="000000"/>
                <w:sz w:val="20"/>
                <w:szCs w:val="20"/>
              </w:rPr>
            </w:pPr>
            <w:r w:rsidRPr="00854861">
              <w:rPr>
                <w:rFonts w:ascii="Calibri" w:eastAsia="Times New Roman" w:hAnsi="Calibri" w:cs="Times New Roman"/>
                <w:color w:val="000000"/>
                <w:sz w:val="20"/>
                <w:szCs w:val="20"/>
              </w:rPr>
              <w:t>0</w:t>
            </w:r>
          </w:p>
        </w:tc>
        <w:tc>
          <w:tcPr>
            <w:tcW w:w="1062" w:type="dxa"/>
            <w:tcBorders>
              <w:top w:val="nil"/>
              <w:left w:val="nil"/>
              <w:bottom w:val="nil"/>
              <w:right w:val="nil"/>
            </w:tcBorders>
            <w:shd w:val="clear" w:color="auto" w:fill="auto"/>
            <w:noWrap/>
            <w:vAlign w:val="center"/>
            <w:hideMark/>
          </w:tcPr>
          <w:p w:rsidR="00854861" w:rsidRPr="00854861" w:rsidRDefault="00854861" w:rsidP="00854861">
            <w:pPr>
              <w:spacing w:after="0" w:line="240" w:lineRule="auto"/>
              <w:jc w:val="center"/>
              <w:rPr>
                <w:rFonts w:ascii="Calibri" w:eastAsia="Times New Roman" w:hAnsi="Calibri" w:cs="Times New Roman"/>
                <w:color w:val="000000"/>
                <w:sz w:val="20"/>
                <w:szCs w:val="20"/>
              </w:rPr>
            </w:pPr>
            <w:r w:rsidRPr="00854861">
              <w:rPr>
                <w:rFonts w:ascii="Calibri" w:eastAsia="Times New Roman" w:hAnsi="Calibri" w:cs="Times New Roman"/>
                <w:color w:val="000000"/>
                <w:sz w:val="20"/>
                <w:szCs w:val="20"/>
              </w:rPr>
              <w:t>0</w:t>
            </w:r>
          </w:p>
        </w:tc>
        <w:tc>
          <w:tcPr>
            <w:tcW w:w="2012" w:type="dxa"/>
            <w:tcBorders>
              <w:top w:val="nil"/>
              <w:left w:val="nil"/>
              <w:bottom w:val="nil"/>
              <w:right w:val="nil"/>
            </w:tcBorders>
            <w:shd w:val="clear" w:color="auto" w:fill="auto"/>
            <w:noWrap/>
            <w:vAlign w:val="center"/>
            <w:hideMark/>
          </w:tcPr>
          <w:p w:rsidR="00854861" w:rsidRPr="00854861" w:rsidRDefault="00854861" w:rsidP="00854861">
            <w:pPr>
              <w:spacing w:after="0" w:line="240" w:lineRule="auto"/>
              <w:jc w:val="center"/>
              <w:rPr>
                <w:rFonts w:ascii="Calibri" w:eastAsia="Times New Roman" w:hAnsi="Calibri" w:cs="Times New Roman"/>
                <w:color w:val="000000"/>
                <w:sz w:val="20"/>
                <w:szCs w:val="20"/>
              </w:rPr>
            </w:pPr>
            <w:r w:rsidRPr="00854861">
              <w:rPr>
                <w:rFonts w:ascii="Calibri" w:eastAsia="Times New Roman" w:hAnsi="Calibri" w:cs="Times New Roman"/>
                <w:color w:val="000000"/>
                <w:sz w:val="20"/>
                <w:szCs w:val="20"/>
              </w:rPr>
              <w:t>+</w:t>
            </w:r>
          </w:p>
        </w:tc>
      </w:tr>
      <w:tr w:rsidR="00854861" w:rsidRPr="00854861" w:rsidTr="00854861">
        <w:trPr>
          <w:trHeight w:val="270"/>
          <w:jc w:val="center"/>
        </w:trPr>
        <w:tc>
          <w:tcPr>
            <w:tcW w:w="1404" w:type="dxa"/>
            <w:tcBorders>
              <w:top w:val="nil"/>
              <w:left w:val="nil"/>
              <w:bottom w:val="single" w:sz="8" w:space="0" w:color="auto"/>
              <w:right w:val="nil"/>
            </w:tcBorders>
            <w:shd w:val="clear" w:color="auto" w:fill="auto"/>
            <w:noWrap/>
            <w:vAlign w:val="center"/>
            <w:hideMark/>
          </w:tcPr>
          <w:p w:rsidR="00854861" w:rsidRPr="00854861" w:rsidRDefault="00854861" w:rsidP="00854861">
            <w:pPr>
              <w:spacing w:after="0" w:line="240" w:lineRule="auto"/>
              <w:jc w:val="center"/>
              <w:rPr>
                <w:rFonts w:ascii="Calibri" w:eastAsia="Times New Roman" w:hAnsi="Calibri" w:cs="Times New Roman"/>
                <w:b/>
                <w:bCs/>
                <w:color w:val="000000"/>
                <w:sz w:val="20"/>
                <w:szCs w:val="20"/>
              </w:rPr>
            </w:pPr>
            <w:r w:rsidRPr="00854861">
              <w:rPr>
                <w:rFonts w:ascii="Calibri" w:eastAsia="Times New Roman" w:hAnsi="Calibri" w:cs="Times New Roman"/>
                <w:b/>
                <w:bCs/>
                <w:color w:val="000000"/>
                <w:sz w:val="20"/>
                <w:szCs w:val="20"/>
              </w:rPr>
              <w:t>Detectability</w:t>
            </w:r>
          </w:p>
        </w:tc>
        <w:tc>
          <w:tcPr>
            <w:tcW w:w="906" w:type="dxa"/>
            <w:tcBorders>
              <w:top w:val="nil"/>
              <w:left w:val="nil"/>
              <w:bottom w:val="single" w:sz="8" w:space="0" w:color="auto"/>
              <w:right w:val="nil"/>
            </w:tcBorders>
            <w:shd w:val="clear" w:color="auto" w:fill="auto"/>
            <w:vAlign w:val="center"/>
            <w:hideMark/>
          </w:tcPr>
          <w:p w:rsidR="00854861" w:rsidRPr="00854861" w:rsidRDefault="00854861" w:rsidP="00854861">
            <w:pPr>
              <w:spacing w:after="0" w:line="240" w:lineRule="auto"/>
              <w:jc w:val="center"/>
              <w:rPr>
                <w:rFonts w:ascii="Calibri" w:eastAsia="Times New Roman" w:hAnsi="Calibri" w:cs="Times New Roman"/>
                <w:color w:val="000000"/>
                <w:sz w:val="20"/>
                <w:szCs w:val="20"/>
              </w:rPr>
            </w:pPr>
            <w:r w:rsidRPr="00854861">
              <w:rPr>
                <w:rFonts w:ascii="Calibri" w:eastAsia="Times New Roman" w:hAnsi="Calibri" w:cs="Times New Roman"/>
                <w:color w:val="000000"/>
                <w:sz w:val="20"/>
                <w:szCs w:val="20"/>
              </w:rPr>
              <w:t>No</w:t>
            </w:r>
          </w:p>
        </w:tc>
        <w:tc>
          <w:tcPr>
            <w:tcW w:w="1306" w:type="dxa"/>
            <w:tcBorders>
              <w:top w:val="nil"/>
              <w:left w:val="nil"/>
              <w:bottom w:val="single" w:sz="8" w:space="0" w:color="auto"/>
              <w:right w:val="nil"/>
            </w:tcBorders>
            <w:shd w:val="clear" w:color="auto" w:fill="auto"/>
            <w:noWrap/>
            <w:vAlign w:val="center"/>
            <w:hideMark/>
          </w:tcPr>
          <w:p w:rsidR="00854861" w:rsidRPr="00854861" w:rsidRDefault="00854861" w:rsidP="00854861">
            <w:pPr>
              <w:spacing w:after="0" w:line="240" w:lineRule="auto"/>
              <w:jc w:val="center"/>
              <w:rPr>
                <w:rFonts w:ascii="Calibri" w:eastAsia="Times New Roman" w:hAnsi="Calibri" w:cs="Times New Roman"/>
                <w:color w:val="000000"/>
                <w:sz w:val="20"/>
                <w:szCs w:val="20"/>
              </w:rPr>
            </w:pPr>
            <w:r w:rsidRPr="00854861">
              <w:rPr>
                <w:rFonts w:ascii="Calibri" w:eastAsia="Times New Roman" w:hAnsi="Calibri" w:cs="Times New Roman"/>
                <w:color w:val="000000"/>
                <w:sz w:val="20"/>
                <w:szCs w:val="20"/>
              </w:rPr>
              <w:t>No</w:t>
            </w:r>
          </w:p>
        </w:tc>
        <w:tc>
          <w:tcPr>
            <w:tcW w:w="1230" w:type="dxa"/>
            <w:tcBorders>
              <w:top w:val="nil"/>
              <w:left w:val="nil"/>
              <w:bottom w:val="single" w:sz="8" w:space="0" w:color="auto"/>
              <w:right w:val="nil"/>
            </w:tcBorders>
            <w:shd w:val="clear" w:color="auto" w:fill="auto"/>
            <w:noWrap/>
            <w:vAlign w:val="center"/>
            <w:hideMark/>
          </w:tcPr>
          <w:p w:rsidR="00854861" w:rsidRPr="00854861" w:rsidRDefault="00854861" w:rsidP="00854861">
            <w:pPr>
              <w:spacing w:after="0" w:line="240" w:lineRule="auto"/>
              <w:jc w:val="center"/>
              <w:rPr>
                <w:rFonts w:ascii="Calibri" w:eastAsia="Times New Roman" w:hAnsi="Calibri" w:cs="Times New Roman"/>
                <w:color w:val="000000"/>
                <w:sz w:val="20"/>
                <w:szCs w:val="20"/>
              </w:rPr>
            </w:pPr>
            <w:r w:rsidRPr="00854861">
              <w:rPr>
                <w:rFonts w:ascii="Calibri" w:eastAsia="Times New Roman" w:hAnsi="Calibri" w:cs="Times New Roman"/>
                <w:color w:val="000000"/>
                <w:sz w:val="20"/>
                <w:szCs w:val="20"/>
              </w:rPr>
              <w:t>No</w:t>
            </w:r>
          </w:p>
        </w:tc>
        <w:tc>
          <w:tcPr>
            <w:tcW w:w="1062" w:type="dxa"/>
            <w:tcBorders>
              <w:top w:val="nil"/>
              <w:left w:val="nil"/>
              <w:bottom w:val="single" w:sz="8" w:space="0" w:color="auto"/>
              <w:right w:val="nil"/>
            </w:tcBorders>
            <w:shd w:val="clear" w:color="auto" w:fill="auto"/>
            <w:noWrap/>
            <w:vAlign w:val="center"/>
            <w:hideMark/>
          </w:tcPr>
          <w:p w:rsidR="00854861" w:rsidRPr="00854861" w:rsidRDefault="00854861" w:rsidP="00854861">
            <w:pPr>
              <w:spacing w:after="0" w:line="240" w:lineRule="auto"/>
              <w:jc w:val="center"/>
              <w:rPr>
                <w:rFonts w:ascii="Calibri" w:eastAsia="Times New Roman" w:hAnsi="Calibri" w:cs="Times New Roman"/>
                <w:color w:val="000000"/>
                <w:sz w:val="20"/>
                <w:szCs w:val="20"/>
              </w:rPr>
            </w:pPr>
            <w:r w:rsidRPr="00854861">
              <w:rPr>
                <w:rFonts w:ascii="Calibri" w:eastAsia="Times New Roman" w:hAnsi="Calibri" w:cs="Times New Roman"/>
                <w:color w:val="000000"/>
                <w:sz w:val="20"/>
                <w:szCs w:val="20"/>
              </w:rPr>
              <w:t>No</w:t>
            </w:r>
          </w:p>
        </w:tc>
        <w:tc>
          <w:tcPr>
            <w:tcW w:w="2012" w:type="dxa"/>
            <w:tcBorders>
              <w:top w:val="nil"/>
              <w:left w:val="nil"/>
              <w:bottom w:val="single" w:sz="8" w:space="0" w:color="auto"/>
              <w:right w:val="nil"/>
            </w:tcBorders>
            <w:shd w:val="clear" w:color="auto" w:fill="auto"/>
            <w:noWrap/>
            <w:vAlign w:val="center"/>
            <w:hideMark/>
          </w:tcPr>
          <w:p w:rsidR="00854861" w:rsidRPr="00854861" w:rsidRDefault="00854861" w:rsidP="00854861">
            <w:pPr>
              <w:spacing w:after="0" w:line="240" w:lineRule="auto"/>
              <w:jc w:val="center"/>
              <w:rPr>
                <w:rFonts w:ascii="Calibri" w:eastAsia="Times New Roman" w:hAnsi="Calibri" w:cs="Times New Roman"/>
                <w:color w:val="000000"/>
                <w:sz w:val="20"/>
                <w:szCs w:val="20"/>
              </w:rPr>
            </w:pPr>
            <w:r w:rsidRPr="00854861">
              <w:rPr>
                <w:rFonts w:ascii="Calibri" w:eastAsia="Times New Roman" w:hAnsi="Calibri" w:cs="Times New Roman"/>
                <w:color w:val="000000"/>
                <w:sz w:val="20"/>
                <w:szCs w:val="20"/>
              </w:rPr>
              <w:t>Yes</w:t>
            </w:r>
          </w:p>
        </w:tc>
      </w:tr>
    </w:tbl>
    <w:p w:rsidR="00854861" w:rsidRDefault="00854861" w:rsidP="00E664E4"/>
    <w:p w:rsidR="00E664E4" w:rsidRDefault="00E664E4" w:rsidP="00E664E4">
      <w:pPr>
        <w:jc w:val="center"/>
      </w:pPr>
    </w:p>
    <w:p w:rsidR="008A38B9" w:rsidRDefault="008A38B9" w:rsidP="00E664E4">
      <w:pPr>
        <w:jc w:val="center"/>
      </w:pPr>
    </w:p>
    <w:p w:rsidR="008A38B9" w:rsidRDefault="008A38B9" w:rsidP="00E664E4">
      <w:pPr>
        <w:jc w:val="center"/>
      </w:pPr>
    </w:p>
    <w:p w:rsidR="00E664E4" w:rsidRDefault="00854861" w:rsidP="00E664E4">
      <w:pPr>
        <w:jc w:val="center"/>
        <w:rPr>
          <w:i/>
          <w:sz w:val="20"/>
          <w:szCs w:val="20"/>
        </w:rPr>
      </w:pPr>
      <w:r>
        <w:rPr>
          <w:noProof/>
        </w:rPr>
        <w:lastRenderedPageBreak/>
        <w:drawing>
          <wp:inline distT="0" distB="0" distL="0" distR="0" wp14:anchorId="6DF59725" wp14:editId="01B45F9B">
            <wp:extent cx="5943600" cy="445770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2"/>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854861">
        <w:rPr>
          <w:b/>
          <w:sz w:val="20"/>
          <w:szCs w:val="20"/>
        </w:rPr>
        <w:t>4.84</w:t>
      </w:r>
      <w:r>
        <w:rPr>
          <w:b/>
          <w:sz w:val="20"/>
          <w:szCs w:val="20"/>
        </w:rPr>
        <w:t xml:space="preserve">. Faulty Case 9 </w:t>
      </w:r>
      <m:oMath>
        <m:r>
          <m:rPr>
            <m:sty m:val="bi"/>
          </m:rPr>
          <w:rPr>
            <w:rFonts w:ascii="Cambria Math" w:hAnsi="Cambria Math"/>
            <w:sz w:val="20"/>
            <w:szCs w:val="20"/>
          </w:rPr>
          <m:t>Q</m:t>
        </m:r>
      </m:oMath>
      <w:r>
        <w:rPr>
          <w:b/>
          <w:sz w:val="20"/>
          <w:szCs w:val="20"/>
        </w:rPr>
        <w:t xml:space="preserve">-Statistic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a detectable fault.</w:t>
      </w:r>
    </w:p>
    <w:p w:rsidR="00E664E4" w:rsidRDefault="00E664E4" w:rsidP="00E664E4">
      <w:pPr>
        <w:rPr>
          <w:i/>
          <w:sz w:val="20"/>
          <w:szCs w:val="20"/>
        </w:rPr>
      </w:pPr>
    </w:p>
    <w:p w:rsidR="00E664E4" w:rsidRPr="00EE2556" w:rsidRDefault="00854861" w:rsidP="00E664E4">
      <w:pPr>
        <w:jc w:val="center"/>
        <w:rPr>
          <w:i/>
          <w:sz w:val="20"/>
          <w:szCs w:val="20"/>
        </w:rPr>
      </w:pPr>
      <w:r>
        <w:rPr>
          <w:noProof/>
        </w:rPr>
        <w:lastRenderedPageBreak/>
        <w:drawing>
          <wp:inline distT="0" distB="0" distL="0" distR="0" wp14:anchorId="7FC465D7" wp14:editId="2C83F394">
            <wp:extent cx="5943600" cy="4457700"/>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3"/>
                    <a:stretch>
                      <a:fillRect/>
                    </a:stretch>
                  </pic:blipFill>
                  <pic:spPr>
                    <a:xfrm>
                      <a:off x="0" y="0"/>
                      <a:ext cx="5943600" cy="4457700"/>
                    </a:xfrm>
                    <a:prstGeom prst="rect">
                      <a:avLst/>
                    </a:prstGeom>
                  </pic:spPr>
                </pic:pic>
              </a:graphicData>
            </a:graphic>
          </wp:inline>
        </w:drawing>
      </w:r>
    </w:p>
    <w:p w:rsidR="00E664E4" w:rsidRPr="00EE2556" w:rsidRDefault="00E664E4" w:rsidP="00E664E4">
      <w:pPr>
        <w:rPr>
          <w:i/>
          <w:sz w:val="20"/>
          <w:szCs w:val="20"/>
        </w:rPr>
      </w:pPr>
      <w:r>
        <w:rPr>
          <w:b/>
          <w:sz w:val="20"/>
          <w:szCs w:val="20"/>
        </w:rPr>
        <w:t xml:space="preserve">Figure </w:t>
      </w:r>
      <w:r w:rsidR="00854861">
        <w:rPr>
          <w:b/>
          <w:sz w:val="20"/>
          <w:szCs w:val="20"/>
        </w:rPr>
        <w:t>4.85</w:t>
      </w:r>
      <w:r>
        <w:rPr>
          <w:b/>
          <w:sz w:val="20"/>
          <w:szCs w:val="20"/>
        </w:rPr>
        <w:t xml:space="preserve">. Faulty Case 9 PC1, PC2, and </w:t>
      </w:r>
      <m:oMath>
        <m:r>
          <m:rPr>
            <m:sty m:val="bi"/>
          </m:rPr>
          <w:rPr>
            <w:rFonts w:ascii="Cambria Math" w:hAnsi="Cambria Math"/>
            <w:sz w:val="20"/>
            <w:szCs w:val="20"/>
          </w:rPr>
          <m:t>Q</m:t>
        </m:r>
      </m:oMath>
      <w:r>
        <w:rPr>
          <w:b/>
          <w:sz w:val="20"/>
          <w:szCs w:val="20"/>
        </w:rPr>
        <w:t>-Statistic Plot.</w:t>
      </w:r>
      <w:r w:rsidRPr="00AA6C47">
        <w:rPr>
          <w:i/>
          <w:sz w:val="20"/>
          <w:szCs w:val="20"/>
        </w:rPr>
        <w:t xml:space="preserve">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 xml:space="preserve">a detectable fault in the </w:t>
      </w:r>
      <m:oMath>
        <m:r>
          <w:rPr>
            <w:rFonts w:ascii="Cambria Math" w:hAnsi="Cambria Math"/>
            <w:sz w:val="20"/>
            <w:szCs w:val="20"/>
          </w:rPr>
          <m:t>Q</m:t>
        </m:r>
      </m:oMath>
      <w:r>
        <w:rPr>
          <w:rFonts w:eastAsiaTheme="minorEastAsia"/>
          <w:i/>
          <w:sz w:val="20"/>
          <w:szCs w:val="20"/>
        </w:rPr>
        <w:t>-statistic.</w:t>
      </w:r>
    </w:p>
    <w:p w:rsidR="00E664E4" w:rsidRDefault="00E664E4" w:rsidP="00E664E4"/>
    <w:p w:rsidR="00567A68" w:rsidRPr="00BA45D9" w:rsidRDefault="00567A68" w:rsidP="00E664E4"/>
    <w:p w:rsidR="001B675F" w:rsidRDefault="001B675F">
      <w:pPr>
        <w:rPr>
          <w:rFonts w:asciiTheme="majorHAnsi" w:hAnsiTheme="majorHAnsi"/>
          <w:b/>
        </w:rPr>
      </w:pPr>
      <w:r>
        <w:rPr>
          <w:rFonts w:asciiTheme="majorHAnsi" w:hAnsiTheme="majorHAnsi"/>
          <w:b/>
        </w:rPr>
        <w:br w:type="page"/>
      </w:r>
    </w:p>
    <w:p w:rsidR="00E664E4" w:rsidRDefault="00E664E4" w:rsidP="00E664E4">
      <w:pPr>
        <w:rPr>
          <w:rFonts w:asciiTheme="majorHAnsi" w:hAnsiTheme="majorHAnsi"/>
          <w:b/>
        </w:rPr>
      </w:pPr>
      <w:r>
        <w:rPr>
          <w:rFonts w:asciiTheme="majorHAnsi" w:hAnsiTheme="majorHAnsi"/>
          <w:b/>
        </w:rPr>
        <w:lastRenderedPageBreak/>
        <w:t>4.3.10 Case 10</w:t>
      </w:r>
    </w:p>
    <w:p w:rsidR="005B10C7" w:rsidRDefault="00E664E4" w:rsidP="005B10C7">
      <w:pPr>
        <w:rPr>
          <w:rFonts w:eastAsiaTheme="minorEastAsia"/>
        </w:rPr>
      </w:pPr>
      <w:r>
        <w:t xml:space="preserve">The tenth faulty case tested the ability of the model to detect inefficient operations of the fluorination processes in Module 5. In this case, the extents of reaction for both the primary and secondary fluorination reactions were changed from 0.999 to 0.95. </w:t>
      </w:r>
      <w:r>
        <w:rPr>
          <w:rFonts w:eastAsiaTheme="minorEastAsia"/>
        </w:rPr>
        <w:t xml:space="preserve">During the sensitivity analysis, </w:t>
      </w:r>
      <w:r w:rsidR="0098784E">
        <w:rPr>
          <w:rFonts w:eastAsiaTheme="minorEastAsia"/>
        </w:rPr>
        <w:t>s</w:t>
      </w:r>
      <w:r>
        <w:rPr>
          <w:rFonts w:eastAsiaTheme="minorEastAsia"/>
        </w:rPr>
        <w:t xml:space="preserve">even variables were identified as being artificially sensitive to changes in these parameters. Those state variables were </w:t>
      </w:r>
      <w:proofErr w:type="spellStart"/>
      <w:r>
        <w:rPr>
          <w:rFonts w:eastAsiaTheme="minorEastAsia"/>
        </w:rPr>
        <w:t>Xss</w:t>
      </w:r>
      <w:proofErr w:type="spellEnd"/>
      <w:r>
        <w:rPr>
          <w:rFonts w:eastAsiaTheme="minorEastAsia"/>
        </w:rPr>
        <w:t xml:space="preserve">(236), </w:t>
      </w:r>
      <w:proofErr w:type="spellStart"/>
      <w:r>
        <w:rPr>
          <w:rFonts w:eastAsiaTheme="minorEastAsia"/>
        </w:rPr>
        <w:t>Xss</w:t>
      </w:r>
      <w:proofErr w:type="spellEnd"/>
      <w:r>
        <w:rPr>
          <w:rFonts w:eastAsiaTheme="minorEastAsia"/>
        </w:rPr>
        <w:t xml:space="preserve">(239), </w:t>
      </w:r>
      <w:proofErr w:type="spellStart"/>
      <w:r>
        <w:rPr>
          <w:rFonts w:eastAsiaTheme="minorEastAsia"/>
        </w:rPr>
        <w:t>Xss</w:t>
      </w:r>
      <w:proofErr w:type="spellEnd"/>
      <w:r>
        <w:rPr>
          <w:rFonts w:eastAsiaTheme="minorEastAsia"/>
        </w:rPr>
        <w:t xml:space="preserve">(245), </w:t>
      </w:r>
      <w:proofErr w:type="spellStart"/>
      <w:r>
        <w:rPr>
          <w:rFonts w:eastAsiaTheme="minorEastAsia"/>
        </w:rPr>
        <w:t>Xss</w:t>
      </w:r>
      <w:proofErr w:type="spellEnd"/>
      <w:r>
        <w:rPr>
          <w:rFonts w:eastAsiaTheme="minorEastAsia"/>
        </w:rPr>
        <w:t xml:space="preserve">(250), </w:t>
      </w:r>
      <w:proofErr w:type="spellStart"/>
      <w:r>
        <w:rPr>
          <w:rFonts w:eastAsiaTheme="minorEastAsia"/>
        </w:rPr>
        <w:t>Xss</w:t>
      </w:r>
      <w:proofErr w:type="spellEnd"/>
      <w:r>
        <w:rPr>
          <w:rFonts w:eastAsiaTheme="minorEastAsia"/>
        </w:rPr>
        <w:t xml:space="preserve">(260), </w:t>
      </w:r>
      <w:proofErr w:type="spellStart"/>
      <w:r>
        <w:rPr>
          <w:rFonts w:eastAsiaTheme="minorEastAsia"/>
        </w:rPr>
        <w:t>Xss</w:t>
      </w:r>
      <w:proofErr w:type="spellEnd"/>
      <w:r>
        <w:rPr>
          <w:rFonts w:eastAsiaTheme="minorEastAsia"/>
        </w:rPr>
        <w:t xml:space="preserve">(266), and </w:t>
      </w:r>
      <w:proofErr w:type="spellStart"/>
      <w:r>
        <w:rPr>
          <w:rFonts w:eastAsiaTheme="minorEastAsia"/>
        </w:rPr>
        <w:t>Xss</w:t>
      </w:r>
      <w:proofErr w:type="spellEnd"/>
      <w:r>
        <w:rPr>
          <w:rFonts w:eastAsiaTheme="minorEastAsia"/>
        </w:rPr>
        <w:t>(269) which correspond to the UF</w:t>
      </w:r>
      <w:r w:rsidRPr="00457C8F">
        <w:rPr>
          <w:rFonts w:eastAsiaTheme="minorEastAsia"/>
          <w:vertAlign w:val="subscript"/>
        </w:rPr>
        <w:t>4</w:t>
      </w:r>
      <w:r>
        <w:rPr>
          <w:rFonts w:eastAsiaTheme="minorEastAsia"/>
        </w:rPr>
        <w:t xml:space="preserve"> in Streams 49, 50, 51, 53, 55, 57, and 58, respectively. In order to get a realistic response from the PCA model, these state variables were removed from the faulty case analysis.</w:t>
      </w:r>
      <w:r w:rsidR="005B10C7">
        <w:rPr>
          <w:rFonts w:eastAsiaTheme="minorEastAsia"/>
        </w:rPr>
        <w:t xml:space="preserve"> </w:t>
      </w:r>
      <w:r w:rsidR="005B10C7">
        <w:t xml:space="preserve">This fault was only detectable in the </w:t>
      </w:r>
      <m:oMath>
        <m:r>
          <w:rPr>
            <w:rFonts w:ascii="Cambria Math" w:hAnsi="Cambria Math"/>
          </w:rPr>
          <m:t>Q</m:t>
        </m:r>
      </m:oMath>
      <w:r w:rsidR="005B10C7">
        <w:rPr>
          <w:rFonts w:eastAsiaTheme="minorEastAsia"/>
        </w:rPr>
        <w:t>-statistic</w:t>
      </w:r>
      <w:r w:rsidR="008E6F8C">
        <w:rPr>
          <w:rFonts w:eastAsiaTheme="minorEastAsia"/>
        </w:rPr>
        <w:t xml:space="preserve">. </w:t>
      </w:r>
    </w:p>
    <w:p w:rsidR="00B93462" w:rsidRDefault="00B93462" w:rsidP="005B10C7">
      <w:pPr>
        <w:rPr>
          <w:rFonts w:eastAsiaTheme="minorEastAsia"/>
        </w:rPr>
      </w:pPr>
      <w:r>
        <w:t>The extents of reaction for both the primary and secondary fluorination reactions appear in the model as shown in Equations 3.2.5.17–19 and 3.2.5.41–43 which are restated here in terms of state variable numbers.</w:t>
      </w:r>
    </w:p>
    <w:p w:rsidR="00B93462" w:rsidRPr="008650A7" w:rsidRDefault="00B93462" w:rsidP="00B93462">
      <w:pPr>
        <w:jc w:val="right"/>
      </w:pPr>
      <m:oMath>
        <m:r>
          <w:rPr>
            <w:rFonts w:ascii="Cambria Math" w:hAnsi="Cambria Math"/>
          </w:rPr>
          <m:t>Xss(229)+</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Mod5B,7</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Mod5B</m:t>
                </m:r>
              </m:sub>
            </m:sSub>
            <m:r>
              <w:rPr>
                <w:rFonts w:ascii="Cambria Math" w:hAnsi="Cambria Math"/>
              </w:rPr>
              <m:t>*Xss</m:t>
            </m:r>
            <m:d>
              <m:dPr>
                <m:ctrlPr>
                  <w:rPr>
                    <w:rFonts w:ascii="Cambria Math" w:hAnsi="Cambria Math"/>
                    <w:i/>
                  </w:rPr>
                </m:ctrlPr>
              </m:dPr>
              <m:e>
                <m:r>
                  <w:rPr>
                    <w:rFonts w:ascii="Cambria Math" w:hAnsi="Cambria Math"/>
                  </w:rPr>
                  <m:t>230</m:t>
                </m:r>
              </m:e>
            </m:d>
          </m:e>
        </m:d>
        <m:r>
          <w:rPr>
            <w:rFonts w:ascii="Cambria Math" w:hAnsi="Cambria Math"/>
          </w:rPr>
          <m:t>-Xss(234)=0</m:t>
        </m:r>
      </m:oMath>
      <w:r w:rsidRPr="008650A7">
        <w:t xml:space="preserve"> </w:t>
      </w:r>
      <w:r w:rsidRPr="008650A7">
        <w:tab/>
      </w:r>
      <w:r>
        <w:tab/>
        <w:t>Eq. (4.3.10.1</w:t>
      </w:r>
      <w:r w:rsidRPr="008650A7">
        <w:t>)</w:t>
      </w:r>
    </w:p>
    <w:p w:rsidR="00B93462" w:rsidRPr="008650A7" w:rsidRDefault="00B93462" w:rsidP="00B93462">
      <w:pPr>
        <w:jc w:val="right"/>
      </w:pPr>
      <m:oMath>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Mod5B,15</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Mod5B</m:t>
                </m:r>
              </m:sub>
            </m:sSub>
            <m:r>
              <w:rPr>
                <w:rFonts w:ascii="Cambria Math" w:hAnsi="Cambria Math"/>
              </w:rPr>
              <m:t>*Xss(230)</m:t>
            </m:r>
          </m:e>
        </m:d>
        <m:r>
          <w:rPr>
            <w:rFonts w:ascii="Cambria Math" w:hAnsi="Cambria Math"/>
          </w:rPr>
          <m:t>-Xss(235)=0</m:t>
        </m:r>
      </m:oMath>
      <w:r w:rsidRPr="008650A7">
        <w:t xml:space="preserve"> </w:t>
      </w:r>
      <w:r>
        <w:tab/>
      </w:r>
      <w:r>
        <w:tab/>
      </w:r>
      <w:r>
        <w:tab/>
        <w:t>Eq. (4.3.10.2</w:t>
      </w:r>
      <w:r w:rsidRPr="008650A7">
        <w:t>)</w:t>
      </w:r>
    </w:p>
    <w:p w:rsidR="00B93462" w:rsidRPr="008650A7" w:rsidRDefault="00B93462" w:rsidP="00B93462">
      <w:pPr>
        <w:jc w:val="right"/>
      </w:pPr>
      <m:oMath>
        <m:r>
          <w:rPr>
            <w:rFonts w:ascii="Cambria Math" w:hAnsi="Cambria Math"/>
          </w:rPr>
          <m:t>Xss(230)+</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Mod5B,16</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Mod5B</m:t>
                </m:r>
              </m:sub>
            </m:sSub>
            <m:r>
              <w:rPr>
                <w:rFonts w:ascii="Cambria Math" w:hAnsi="Cambria Math"/>
              </w:rPr>
              <m:t>*Xss</m:t>
            </m:r>
            <m:d>
              <m:dPr>
                <m:ctrlPr>
                  <w:rPr>
                    <w:rFonts w:ascii="Cambria Math" w:hAnsi="Cambria Math"/>
                    <w:i/>
                  </w:rPr>
                </m:ctrlPr>
              </m:dPr>
              <m:e>
                <m:r>
                  <w:rPr>
                    <w:rFonts w:ascii="Cambria Math" w:hAnsi="Cambria Math"/>
                  </w:rPr>
                  <m:t>230</m:t>
                </m:r>
              </m:e>
            </m:d>
          </m:e>
        </m:d>
        <m:r>
          <w:rPr>
            <w:rFonts w:ascii="Cambria Math" w:hAnsi="Cambria Math"/>
          </w:rPr>
          <m:t>-Xss(236)=0</m:t>
        </m:r>
      </m:oMath>
      <w:r w:rsidRPr="008650A7">
        <w:t xml:space="preserve"> </w:t>
      </w:r>
      <w:r w:rsidRPr="008650A7">
        <w:tab/>
      </w:r>
      <w:r>
        <w:tab/>
        <w:t>Eq. (4.3.10.3</w:t>
      </w:r>
      <w:r w:rsidRPr="008650A7">
        <w:t>)</w:t>
      </w:r>
    </w:p>
    <w:p w:rsidR="00B93462" w:rsidRDefault="00B93462" w:rsidP="00B93462">
      <w:pPr>
        <w:jc w:val="right"/>
      </w:pPr>
      <m:oMath>
        <m:r>
          <w:rPr>
            <w:rFonts w:ascii="Cambria Math" w:hAnsi="Cambria Math"/>
          </w:rPr>
          <m:t>Xss(252)+</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Mod5E,7</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Mod5E</m:t>
                </m:r>
              </m:sub>
            </m:sSub>
            <m:r>
              <w:rPr>
                <w:rFonts w:ascii="Cambria Math" w:hAnsi="Cambria Math"/>
              </w:rPr>
              <m:t>*Xss</m:t>
            </m:r>
            <m:d>
              <m:dPr>
                <m:ctrlPr>
                  <w:rPr>
                    <w:rFonts w:ascii="Cambria Math" w:hAnsi="Cambria Math"/>
                    <w:i/>
                  </w:rPr>
                </m:ctrlPr>
              </m:dPr>
              <m:e>
                <m:r>
                  <w:rPr>
                    <w:rFonts w:ascii="Cambria Math" w:hAnsi="Cambria Math"/>
                  </w:rPr>
                  <m:t>254</m:t>
                </m:r>
              </m:e>
            </m:d>
          </m:e>
        </m:d>
        <m:r>
          <w:rPr>
            <w:rFonts w:ascii="Cambria Math" w:hAnsi="Cambria Math"/>
          </w:rPr>
          <m:t>-Xss(258)=0</m:t>
        </m:r>
      </m:oMath>
      <w:r w:rsidRPr="008D25AA">
        <w:t xml:space="preserve"> </w:t>
      </w:r>
      <w:r>
        <w:tab/>
      </w:r>
      <w:r>
        <w:tab/>
        <w:t>Eq. (4.3.10.4</w:t>
      </w:r>
      <w:r w:rsidRPr="008D25AA">
        <w:t>)</w:t>
      </w:r>
    </w:p>
    <w:p w:rsidR="00B93462" w:rsidRDefault="00B93462" w:rsidP="00B93462">
      <w:pPr>
        <w:jc w:val="right"/>
      </w:pPr>
      <m:oMath>
        <m:r>
          <w:rPr>
            <w:rFonts w:ascii="Cambria Math" w:hAnsi="Cambria Math"/>
          </w:rPr>
          <m:t>Xss(253)+</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Mod5E,15</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Mod5E</m:t>
                </m:r>
              </m:sub>
            </m:sSub>
            <m:r>
              <w:rPr>
                <w:rFonts w:ascii="Cambria Math" w:hAnsi="Cambria Math"/>
              </w:rPr>
              <m:t>*Xss</m:t>
            </m:r>
            <m:d>
              <m:dPr>
                <m:ctrlPr>
                  <w:rPr>
                    <w:rFonts w:ascii="Cambria Math" w:hAnsi="Cambria Math"/>
                    <w:i/>
                  </w:rPr>
                </m:ctrlPr>
              </m:dPr>
              <m:e>
                <m:r>
                  <w:rPr>
                    <w:rFonts w:ascii="Cambria Math" w:hAnsi="Cambria Math"/>
                  </w:rPr>
                  <m:t>254</m:t>
                </m:r>
              </m:e>
            </m:d>
          </m:e>
        </m:d>
        <m:r>
          <w:rPr>
            <w:rFonts w:ascii="Cambria Math" w:hAnsi="Cambria Math"/>
          </w:rPr>
          <m:t>-Xss(259)=0</m:t>
        </m:r>
      </m:oMath>
      <w:r w:rsidRPr="008D25AA">
        <w:t xml:space="preserve"> </w:t>
      </w:r>
      <w:r w:rsidRPr="008D25AA">
        <w:tab/>
      </w:r>
      <w:r>
        <w:tab/>
        <w:t>Eq. (4.3.10.5</w:t>
      </w:r>
      <w:r w:rsidRPr="008D25AA">
        <w:t>)</w:t>
      </w:r>
    </w:p>
    <w:p w:rsidR="00B93462" w:rsidRPr="008D25AA" w:rsidRDefault="00B93462" w:rsidP="00B93462">
      <w:pPr>
        <w:jc w:val="right"/>
      </w:pPr>
      <m:oMath>
        <m:r>
          <w:rPr>
            <w:rFonts w:ascii="Cambria Math" w:hAnsi="Cambria Math"/>
          </w:rPr>
          <m:t>Xss(254)+</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Mod5E,16</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Mod5E</m:t>
                </m:r>
              </m:sub>
            </m:sSub>
            <m:r>
              <w:rPr>
                <w:rFonts w:ascii="Cambria Math" w:hAnsi="Cambria Math"/>
              </w:rPr>
              <m:t>*Xss</m:t>
            </m:r>
            <m:d>
              <m:dPr>
                <m:ctrlPr>
                  <w:rPr>
                    <w:rFonts w:ascii="Cambria Math" w:hAnsi="Cambria Math"/>
                    <w:i/>
                  </w:rPr>
                </m:ctrlPr>
              </m:dPr>
              <m:e>
                <m:r>
                  <w:rPr>
                    <w:rFonts w:ascii="Cambria Math" w:hAnsi="Cambria Math"/>
                  </w:rPr>
                  <m:t>254</m:t>
                </m:r>
              </m:e>
            </m:d>
          </m:e>
        </m:d>
        <m:r>
          <w:rPr>
            <w:rFonts w:ascii="Cambria Math" w:hAnsi="Cambria Math"/>
          </w:rPr>
          <m:t>-Xss(260)=0</m:t>
        </m:r>
      </m:oMath>
      <w:r w:rsidRPr="008D25AA">
        <w:t xml:space="preserve"> </w:t>
      </w:r>
      <w:r w:rsidRPr="008D25AA">
        <w:tab/>
      </w:r>
      <w:r>
        <w:tab/>
        <w:t>Eq. (4.3.10.6</w:t>
      </w:r>
      <w:r w:rsidRPr="008D25AA">
        <w:t>)</w:t>
      </w:r>
    </w:p>
    <w:p w:rsidR="00B93462" w:rsidRPr="008650A7" w:rsidRDefault="00E20919" w:rsidP="00E20919">
      <w:r>
        <w:t xml:space="preserve">Both </w:t>
      </w:r>
      <w:proofErr w:type="spellStart"/>
      <w:r>
        <w:t>Xss</w:t>
      </w:r>
      <w:proofErr w:type="spellEnd"/>
      <w:r>
        <w:t xml:space="preserve">(258) and </w:t>
      </w:r>
      <w:proofErr w:type="spellStart"/>
      <w:r>
        <w:t>Xss</w:t>
      </w:r>
      <w:proofErr w:type="spellEnd"/>
      <w:r>
        <w:t>(264) which was the fluorine in Streams 55 and 56, respectively, increased by 48% over the base case nominal value due to this change in the extent of reaction. Another nine state variables decreased between 4.5% and 4.9% in comparison to the base case nominal values as well. These were the UF</w:t>
      </w:r>
      <w:r w:rsidRPr="00E20919">
        <w:rPr>
          <w:vertAlign w:val="subscript"/>
        </w:rPr>
        <w:t>6</w:t>
      </w:r>
      <w:r>
        <w:t xml:space="preserve"> in Streams 49, 51–55, 57, 59, and 60. </w:t>
      </w:r>
    </w:p>
    <w:p w:rsidR="005B10C7" w:rsidRDefault="005B10C7" w:rsidP="005B10C7">
      <w:r>
        <w:t xml:space="preserve">There was no detectable fault in any of the scores plots. It was expected that there would be no fault in the scores because the primary state variables in Module 5 with the exception of </w:t>
      </w:r>
      <w:proofErr w:type="spellStart"/>
      <w:r>
        <w:t>Xss</w:t>
      </w:r>
      <w:proofErr w:type="spellEnd"/>
      <w:r>
        <w:t>(273) contributed at most moderately and in most cases only slightly if at all to the first four principal components. There was also no detectable change in the Mahalanobis distance. It was expected that there would not be a fault in the Mahalanobis distance since this was only approximately a 5% reduction in the final uranium product which would be within the allowed ±10% variation of the base case model. There was a</w:t>
      </w:r>
      <w:r w:rsidR="007063C2">
        <w:t>n increase</w:t>
      </w:r>
      <w:r>
        <w:t xml:space="preserve"> in the </w:t>
      </w:r>
      <m:oMath>
        <m:r>
          <w:rPr>
            <w:rFonts w:ascii="Cambria Math" w:hAnsi="Cambria Math"/>
          </w:rPr>
          <m:t>Q</m:t>
        </m:r>
      </m:oMath>
      <w:r>
        <w:rPr>
          <w:rFonts w:eastAsiaTheme="minorEastAsia"/>
        </w:rPr>
        <w:t xml:space="preserve">-statistic (Figures 4.86–4.87). The </w:t>
      </w:r>
      <m:oMath>
        <m:r>
          <w:rPr>
            <w:rFonts w:ascii="Cambria Math" w:hAnsi="Cambria Math"/>
          </w:rPr>
          <m:t>Q</m:t>
        </m:r>
      </m:oMath>
      <w:r>
        <w:rPr>
          <w:rFonts w:eastAsiaTheme="minorEastAsia"/>
        </w:rPr>
        <w:t xml:space="preserve">-statistic fault was expected since this changed parameters and therefore </w:t>
      </w:r>
      <w:r w:rsidR="006F1843">
        <w:t>the relative relationship between the state variables</w:t>
      </w:r>
      <w:r>
        <w:rPr>
          <w:rFonts w:eastAsiaTheme="minorEastAsia"/>
        </w:rPr>
        <w:t xml:space="preserve">. </w:t>
      </w:r>
      <w:r>
        <w:t xml:space="preserve">The fault in the </w:t>
      </w:r>
      <m:oMath>
        <m:r>
          <w:rPr>
            <w:rFonts w:ascii="Cambria Math" w:hAnsi="Cambria Math"/>
          </w:rPr>
          <w:lastRenderedPageBreak/>
          <m:t>Q</m:t>
        </m:r>
      </m:oMath>
      <w:r>
        <w:rPr>
          <w:rFonts w:eastAsiaTheme="minorEastAsia"/>
        </w:rPr>
        <w:noBreakHyphen/>
      </w:r>
      <w:r>
        <w:t>statistic was easily detectable.</w:t>
      </w:r>
      <w:r w:rsidR="00A109A5">
        <w:t xml:space="preserve"> It is recommended that the feed, product, and waste streams in the fluorination process area be monitored for flow rate and uranium content. </w:t>
      </w:r>
      <w:r>
        <w:t>Table 4.30 summarizes this faulty case.</w:t>
      </w:r>
    </w:p>
    <w:p w:rsidR="001B675F" w:rsidRDefault="001B675F" w:rsidP="005B10C7"/>
    <w:p w:rsidR="00DD216A" w:rsidRDefault="00DD216A" w:rsidP="005B10C7"/>
    <w:tbl>
      <w:tblPr>
        <w:tblW w:w="7900" w:type="dxa"/>
        <w:jc w:val="center"/>
        <w:tblInd w:w="93" w:type="dxa"/>
        <w:tblLook w:val="04A0" w:firstRow="1" w:lastRow="0" w:firstColumn="1" w:lastColumn="0" w:noHBand="0" w:noVBand="1"/>
      </w:tblPr>
      <w:tblGrid>
        <w:gridCol w:w="1403"/>
        <w:gridCol w:w="905"/>
        <w:gridCol w:w="1305"/>
        <w:gridCol w:w="1229"/>
        <w:gridCol w:w="1061"/>
        <w:gridCol w:w="1997"/>
      </w:tblGrid>
      <w:tr w:rsidR="005B10C7" w:rsidRPr="005B10C7" w:rsidTr="005B10C7">
        <w:trPr>
          <w:trHeight w:val="270"/>
          <w:jc w:val="center"/>
        </w:trPr>
        <w:tc>
          <w:tcPr>
            <w:tcW w:w="7900" w:type="dxa"/>
            <w:gridSpan w:val="6"/>
            <w:tcBorders>
              <w:top w:val="nil"/>
              <w:left w:val="nil"/>
              <w:bottom w:val="single" w:sz="8" w:space="0" w:color="auto"/>
              <w:right w:val="nil"/>
            </w:tcBorders>
            <w:shd w:val="clear" w:color="auto" w:fill="auto"/>
            <w:noWrap/>
            <w:vAlign w:val="center"/>
            <w:hideMark/>
          </w:tcPr>
          <w:p w:rsidR="005B10C7" w:rsidRPr="005B10C7" w:rsidRDefault="005B10C7" w:rsidP="005B10C7">
            <w:pPr>
              <w:spacing w:after="0" w:line="240" w:lineRule="auto"/>
              <w:jc w:val="center"/>
              <w:rPr>
                <w:rFonts w:ascii="Calibri" w:eastAsia="Times New Roman" w:hAnsi="Calibri" w:cs="Times New Roman"/>
                <w:b/>
                <w:bCs/>
                <w:color w:val="000000"/>
                <w:sz w:val="20"/>
                <w:szCs w:val="20"/>
              </w:rPr>
            </w:pPr>
            <w:r w:rsidRPr="005B10C7">
              <w:rPr>
                <w:rFonts w:ascii="Calibri" w:eastAsia="Times New Roman" w:hAnsi="Calibri" w:cs="Times New Roman"/>
                <w:b/>
                <w:bCs/>
                <w:color w:val="000000"/>
                <w:sz w:val="20"/>
                <w:szCs w:val="20"/>
              </w:rPr>
              <w:t>Table 4.30. Summary of Faulty Case 10</w:t>
            </w:r>
          </w:p>
        </w:tc>
      </w:tr>
      <w:tr w:rsidR="005B10C7" w:rsidRPr="005B10C7" w:rsidTr="005B10C7">
        <w:trPr>
          <w:trHeight w:val="255"/>
          <w:jc w:val="center"/>
        </w:trPr>
        <w:tc>
          <w:tcPr>
            <w:tcW w:w="7900" w:type="dxa"/>
            <w:gridSpan w:val="6"/>
            <w:tcBorders>
              <w:top w:val="nil"/>
              <w:left w:val="nil"/>
              <w:bottom w:val="nil"/>
              <w:right w:val="nil"/>
            </w:tcBorders>
            <w:shd w:val="clear" w:color="auto" w:fill="auto"/>
            <w:noWrap/>
            <w:vAlign w:val="center"/>
            <w:hideMark/>
          </w:tcPr>
          <w:p w:rsidR="005B10C7" w:rsidRPr="005B10C7" w:rsidRDefault="005B10C7" w:rsidP="005B10C7">
            <w:pPr>
              <w:spacing w:after="0" w:line="240" w:lineRule="auto"/>
              <w:jc w:val="center"/>
              <w:rPr>
                <w:rFonts w:ascii="Calibri" w:eastAsia="Times New Roman" w:hAnsi="Calibri" w:cs="Times New Roman"/>
                <w:b/>
                <w:bCs/>
                <w:color w:val="000000"/>
                <w:sz w:val="20"/>
                <w:szCs w:val="20"/>
              </w:rPr>
            </w:pPr>
            <w:r w:rsidRPr="005B10C7">
              <w:rPr>
                <w:rFonts w:ascii="Calibri" w:eastAsia="Times New Roman" w:hAnsi="Calibri" w:cs="Times New Roman"/>
                <w:b/>
                <w:bCs/>
                <w:color w:val="000000"/>
                <w:sz w:val="20"/>
                <w:szCs w:val="20"/>
              </w:rPr>
              <w:t>Summary of Faulty Case</w:t>
            </w:r>
          </w:p>
        </w:tc>
      </w:tr>
      <w:tr w:rsidR="005B10C7" w:rsidRPr="005B10C7" w:rsidTr="005B10C7">
        <w:trPr>
          <w:trHeight w:val="255"/>
          <w:jc w:val="center"/>
        </w:trPr>
        <w:tc>
          <w:tcPr>
            <w:tcW w:w="1403" w:type="dxa"/>
            <w:tcBorders>
              <w:top w:val="nil"/>
              <w:left w:val="nil"/>
              <w:bottom w:val="single" w:sz="4" w:space="0" w:color="auto"/>
              <w:right w:val="nil"/>
            </w:tcBorders>
            <w:shd w:val="clear" w:color="auto" w:fill="auto"/>
            <w:noWrap/>
            <w:vAlign w:val="center"/>
            <w:hideMark/>
          </w:tcPr>
          <w:p w:rsidR="005B10C7" w:rsidRPr="005B10C7" w:rsidRDefault="005B10C7" w:rsidP="005B10C7">
            <w:pPr>
              <w:spacing w:after="0" w:line="240" w:lineRule="auto"/>
              <w:jc w:val="center"/>
              <w:rPr>
                <w:rFonts w:ascii="Calibri" w:eastAsia="Times New Roman" w:hAnsi="Calibri" w:cs="Times New Roman"/>
                <w:b/>
                <w:bCs/>
                <w:color w:val="000000"/>
                <w:sz w:val="20"/>
                <w:szCs w:val="20"/>
              </w:rPr>
            </w:pPr>
            <w:r w:rsidRPr="005B10C7">
              <w:rPr>
                <w:rFonts w:ascii="Calibri" w:eastAsia="Times New Roman" w:hAnsi="Calibri" w:cs="Times New Roman"/>
                <w:b/>
                <w:bCs/>
                <w:color w:val="000000"/>
                <w:sz w:val="20"/>
                <w:szCs w:val="20"/>
              </w:rPr>
              <w:t>Priority</w:t>
            </w:r>
          </w:p>
        </w:tc>
        <w:tc>
          <w:tcPr>
            <w:tcW w:w="905" w:type="dxa"/>
            <w:tcBorders>
              <w:top w:val="nil"/>
              <w:left w:val="nil"/>
              <w:bottom w:val="single" w:sz="4" w:space="0" w:color="auto"/>
              <w:right w:val="nil"/>
            </w:tcBorders>
            <w:shd w:val="clear" w:color="auto" w:fill="auto"/>
            <w:vAlign w:val="center"/>
            <w:hideMark/>
          </w:tcPr>
          <w:p w:rsidR="005B10C7" w:rsidRPr="005B10C7" w:rsidRDefault="005B10C7" w:rsidP="005B10C7">
            <w:pPr>
              <w:spacing w:after="0" w:line="240" w:lineRule="auto"/>
              <w:jc w:val="center"/>
              <w:rPr>
                <w:rFonts w:ascii="Calibri" w:eastAsia="Times New Roman" w:hAnsi="Calibri" w:cs="Times New Roman"/>
                <w:b/>
                <w:bCs/>
                <w:sz w:val="20"/>
                <w:szCs w:val="20"/>
              </w:rPr>
            </w:pPr>
            <w:r w:rsidRPr="005B10C7">
              <w:rPr>
                <w:rFonts w:ascii="Calibri" w:eastAsia="Times New Roman" w:hAnsi="Calibri" w:cs="Times New Roman"/>
                <w:b/>
                <w:bCs/>
                <w:sz w:val="20"/>
                <w:szCs w:val="20"/>
              </w:rPr>
              <w:t>Module</w:t>
            </w:r>
          </w:p>
        </w:tc>
        <w:tc>
          <w:tcPr>
            <w:tcW w:w="1305" w:type="dxa"/>
            <w:tcBorders>
              <w:top w:val="nil"/>
              <w:left w:val="nil"/>
              <w:bottom w:val="single" w:sz="4" w:space="0" w:color="auto"/>
              <w:right w:val="nil"/>
            </w:tcBorders>
            <w:shd w:val="clear" w:color="auto" w:fill="auto"/>
            <w:vAlign w:val="center"/>
            <w:hideMark/>
          </w:tcPr>
          <w:p w:rsidR="005B10C7" w:rsidRPr="005B10C7" w:rsidRDefault="005B10C7" w:rsidP="005B10C7">
            <w:pPr>
              <w:spacing w:after="0" w:line="240" w:lineRule="auto"/>
              <w:jc w:val="center"/>
              <w:rPr>
                <w:rFonts w:ascii="Calibri" w:eastAsia="Times New Roman" w:hAnsi="Calibri" w:cs="Times New Roman"/>
                <w:b/>
                <w:bCs/>
                <w:sz w:val="20"/>
                <w:szCs w:val="20"/>
              </w:rPr>
            </w:pPr>
            <w:r w:rsidRPr="005B10C7">
              <w:rPr>
                <w:rFonts w:ascii="Calibri" w:eastAsia="Times New Roman" w:hAnsi="Calibri" w:cs="Times New Roman"/>
                <w:b/>
                <w:bCs/>
                <w:sz w:val="20"/>
                <w:szCs w:val="20"/>
              </w:rPr>
              <w:t>Faulty Variable</w:t>
            </w:r>
          </w:p>
        </w:tc>
        <w:tc>
          <w:tcPr>
            <w:tcW w:w="1229" w:type="dxa"/>
            <w:tcBorders>
              <w:top w:val="nil"/>
              <w:left w:val="nil"/>
              <w:bottom w:val="single" w:sz="4" w:space="0" w:color="auto"/>
              <w:right w:val="nil"/>
            </w:tcBorders>
            <w:shd w:val="clear" w:color="auto" w:fill="auto"/>
            <w:vAlign w:val="center"/>
            <w:hideMark/>
          </w:tcPr>
          <w:p w:rsidR="005B10C7" w:rsidRPr="005B10C7" w:rsidRDefault="005B10C7" w:rsidP="005B10C7">
            <w:pPr>
              <w:spacing w:after="0" w:line="240" w:lineRule="auto"/>
              <w:jc w:val="center"/>
              <w:rPr>
                <w:rFonts w:ascii="Calibri" w:eastAsia="Times New Roman" w:hAnsi="Calibri" w:cs="Times New Roman"/>
                <w:b/>
                <w:bCs/>
                <w:color w:val="000000"/>
                <w:sz w:val="20"/>
                <w:szCs w:val="20"/>
              </w:rPr>
            </w:pPr>
            <w:r w:rsidRPr="005B10C7">
              <w:rPr>
                <w:rFonts w:ascii="Calibri" w:eastAsia="Times New Roman" w:hAnsi="Calibri" w:cs="Times New Roman"/>
                <w:b/>
                <w:bCs/>
                <w:color w:val="000000"/>
                <w:sz w:val="20"/>
                <w:szCs w:val="20"/>
              </w:rPr>
              <w:t>Base Case Value</w:t>
            </w:r>
          </w:p>
        </w:tc>
        <w:tc>
          <w:tcPr>
            <w:tcW w:w="1061" w:type="dxa"/>
            <w:tcBorders>
              <w:top w:val="nil"/>
              <w:left w:val="nil"/>
              <w:bottom w:val="single" w:sz="4" w:space="0" w:color="auto"/>
              <w:right w:val="nil"/>
            </w:tcBorders>
            <w:shd w:val="clear" w:color="auto" w:fill="auto"/>
            <w:vAlign w:val="center"/>
            <w:hideMark/>
          </w:tcPr>
          <w:p w:rsidR="005B10C7" w:rsidRPr="005B10C7" w:rsidRDefault="005B10C7" w:rsidP="005B10C7">
            <w:pPr>
              <w:spacing w:after="0" w:line="240" w:lineRule="auto"/>
              <w:jc w:val="center"/>
              <w:rPr>
                <w:rFonts w:ascii="Calibri" w:eastAsia="Times New Roman" w:hAnsi="Calibri" w:cs="Times New Roman"/>
                <w:b/>
                <w:bCs/>
                <w:color w:val="000000"/>
                <w:sz w:val="20"/>
                <w:szCs w:val="20"/>
              </w:rPr>
            </w:pPr>
            <w:r w:rsidRPr="005B10C7">
              <w:rPr>
                <w:rFonts w:ascii="Calibri" w:eastAsia="Times New Roman" w:hAnsi="Calibri" w:cs="Times New Roman"/>
                <w:b/>
                <w:bCs/>
                <w:color w:val="000000"/>
                <w:sz w:val="20"/>
                <w:szCs w:val="20"/>
              </w:rPr>
              <w:t>Faulty Value</w:t>
            </w:r>
          </w:p>
        </w:tc>
        <w:tc>
          <w:tcPr>
            <w:tcW w:w="1997" w:type="dxa"/>
            <w:tcBorders>
              <w:top w:val="nil"/>
              <w:left w:val="nil"/>
              <w:bottom w:val="single" w:sz="4" w:space="0" w:color="auto"/>
              <w:right w:val="nil"/>
            </w:tcBorders>
            <w:shd w:val="clear" w:color="auto" w:fill="auto"/>
            <w:vAlign w:val="center"/>
            <w:hideMark/>
          </w:tcPr>
          <w:p w:rsidR="005B10C7" w:rsidRPr="005B10C7" w:rsidRDefault="005B10C7" w:rsidP="005B10C7">
            <w:pPr>
              <w:spacing w:after="0" w:line="240" w:lineRule="auto"/>
              <w:jc w:val="center"/>
              <w:rPr>
                <w:rFonts w:ascii="Calibri" w:eastAsia="Times New Roman" w:hAnsi="Calibri" w:cs="Times New Roman"/>
                <w:b/>
                <w:bCs/>
                <w:sz w:val="20"/>
                <w:szCs w:val="20"/>
              </w:rPr>
            </w:pPr>
            <w:r w:rsidRPr="005B10C7">
              <w:rPr>
                <w:rFonts w:ascii="Calibri" w:eastAsia="Times New Roman" w:hAnsi="Calibri" w:cs="Times New Roman"/>
                <w:b/>
                <w:bCs/>
                <w:sz w:val="20"/>
                <w:szCs w:val="20"/>
              </w:rPr>
              <w:t>Physical Description</w:t>
            </w:r>
          </w:p>
        </w:tc>
      </w:tr>
      <w:tr w:rsidR="005B10C7" w:rsidRPr="005B10C7" w:rsidTr="005B10C7">
        <w:trPr>
          <w:trHeight w:val="1845"/>
          <w:jc w:val="center"/>
        </w:trPr>
        <w:tc>
          <w:tcPr>
            <w:tcW w:w="1403" w:type="dxa"/>
            <w:tcBorders>
              <w:top w:val="nil"/>
              <w:left w:val="nil"/>
              <w:bottom w:val="nil"/>
              <w:right w:val="nil"/>
            </w:tcBorders>
            <w:shd w:val="clear" w:color="auto" w:fill="auto"/>
            <w:noWrap/>
            <w:vAlign w:val="center"/>
            <w:hideMark/>
          </w:tcPr>
          <w:p w:rsidR="005B10C7" w:rsidRPr="005B10C7" w:rsidRDefault="005B10C7" w:rsidP="005B10C7">
            <w:pPr>
              <w:spacing w:after="0" w:line="240" w:lineRule="auto"/>
              <w:jc w:val="center"/>
              <w:rPr>
                <w:rFonts w:ascii="Calibri" w:eastAsia="Times New Roman" w:hAnsi="Calibri" w:cs="Times New Roman"/>
                <w:color w:val="000000"/>
                <w:sz w:val="20"/>
                <w:szCs w:val="20"/>
              </w:rPr>
            </w:pPr>
            <w:r w:rsidRPr="005B10C7">
              <w:rPr>
                <w:rFonts w:ascii="Calibri" w:eastAsia="Times New Roman" w:hAnsi="Calibri" w:cs="Times New Roman"/>
                <w:color w:val="000000"/>
                <w:sz w:val="20"/>
                <w:szCs w:val="20"/>
              </w:rPr>
              <w:t>High</w:t>
            </w:r>
          </w:p>
        </w:tc>
        <w:tc>
          <w:tcPr>
            <w:tcW w:w="905" w:type="dxa"/>
            <w:tcBorders>
              <w:top w:val="nil"/>
              <w:left w:val="nil"/>
              <w:bottom w:val="nil"/>
              <w:right w:val="nil"/>
            </w:tcBorders>
            <w:shd w:val="clear" w:color="auto" w:fill="auto"/>
            <w:vAlign w:val="center"/>
            <w:hideMark/>
          </w:tcPr>
          <w:p w:rsidR="005B10C7" w:rsidRPr="005B10C7" w:rsidRDefault="005B10C7" w:rsidP="005B10C7">
            <w:pPr>
              <w:spacing w:after="0" w:line="240" w:lineRule="auto"/>
              <w:jc w:val="center"/>
              <w:rPr>
                <w:rFonts w:ascii="Calibri" w:eastAsia="Times New Roman" w:hAnsi="Calibri" w:cs="Times New Roman"/>
                <w:color w:val="000000"/>
                <w:sz w:val="20"/>
                <w:szCs w:val="20"/>
              </w:rPr>
            </w:pPr>
            <w:r w:rsidRPr="005B10C7">
              <w:rPr>
                <w:rFonts w:ascii="Calibri" w:eastAsia="Times New Roman" w:hAnsi="Calibri" w:cs="Times New Roman"/>
                <w:color w:val="000000"/>
                <w:sz w:val="20"/>
                <w:szCs w:val="20"/>
              </w:rPr>
              <w:t>5</w:t>
            </w:r>
          </w:p>
        </w:tc>
        <w:tc>
          <w:tcPr>
            <w:tcW w:w="1305" w:type="dxa"/>
            <w:tcBorders>
              <w:top w:val="nil"/>
              <w:left w:val="nil"/>
              <w:bottom w:val="nil"/>
              <w:right w:val="nil"/>
            </w:tcBorders>
            <w:shd w:val="clear" w:color="auto" w:fill="auto"/>
            <w:vAlign w:val="center"/>
            <w:hideMark/>
          </w:tcPr>
          <w:p w:rsidR="005B10C7" w:rsidRPr="005B10C7" w:rsidRDefault="005B10C7" w:rsidP="005B10C7">
            <w:pPr>
              <w:spacing w:after="0" w:line="240" w:lineRule="auto"/>
              <w:jc w:val="center"/>
              <w:rPr>
                <w:rFonts w:ascii="Calibri" w:eastAsia="Times New Roman" w:hAnsi="Calibri" w:cs="Times New Roman"/>
                <w:color w:val="000000"/>
                <w:sz w:val="20"/>
                <w:szCs w:val="20"/>
              </w:rPr>
            </w:pPr>
            <w:r w:rsidRPr="005B10C7">
              <w:rPr>
                <w:rFonts w:ascii="Calibri" w:eastAsia="Times New Roman" w:hAnsi="Calibri" w:cs="Times New Roman"/>
                <w:color w:val="000000"/>
                <w:sz w:val="20"/>
                <w:szCs w:val="20"/>
              </w:rPr>
              <w:t>X</w:t>
            </w:r>
            <w:r w:rsidRPr="005B10C7">
              <w:rPr>
                <w:rFonts w:ascii="Calibri" w:eastAsia="Times New Roman" w:hAnsi="Calibri" w:cs="Times New Roman"/>
                <w:color w:val="000000"/>
                <w:sz w:val="20"/>
                <w:szCs w:val="20"/>
                <w:vertAlign w:val="subscript"/>
              </w:rPr>
              <w:t>Mod5B</w:t>
            </w:r>
            <w:r w:rsidRPr="005B10C7">
              <w:rPr>
                <w:rFonts w:ascii="Calibri" w:eastAsia="Times New Roman" w:hAnsi="Calibri" w:cs="Times New Roman"/>
                <w:color w:val="000000"/>
                <w:sz w:val="20"/>
                <w:szCs w:val="20"/>
              </w:rPr>
              <w:t xml:space="preserve"> and X</w:t>
            </w:r>
            <w:r w:rsidRPr="005B10C7">
              <w:rPr>
                <w:rFonts w:ascii="Calibri" w:eastAsia="Times New Roman" w:hAnsi="Calibri" w:cs="Times New Roman"/>
                <w:color w:val="000000"/>
                <w:sz w:val="20"/>
                <w:szCs w:val="20"/>
                <w:vertAlign w:val="subscript"/>
              </w:rPr>
              <w:t>Mod5E</w:t>
            </w:r>
          </w:p>
        </w:tc>
        <w:tc>
          <w:tcPr>
            <w:tcW w:w="1229" w:type="dxa"/>
            <w:tcBorders>
              <w:top w:val="nil"/>
              <w:left w:val="nil"/>
              <w:bottom w:val="nil"/>
              <w:right w:val="nil"/>
            </w:tcBorders>
            <w:shd w:val="clear" w:color="auto" w:fill="auto"/>
            <w:vAlign w:val="center"/>
            <w:hideMark/>
          </w:tcPr>
          <w:p w:rsidR="005B10C7" w:rsidRPr="005B10C7" w:rsidRDefault="005B10C7" w:rsidP="005B10C7">
            <w:pPr>
              <w:spacing w:after="0" w:line="240" w:lineRule="auto"/>
              <w:jc w:val="center"/>
              <w:rPr>
                <w:rFonts w:ascii="Calibri" w:eastAsia="Times New Roman" w:hAnsi="Calibri" w:cs="Times New Roman"/>
                <w:color w:val="000000"/>
                <w:sz w:val="20"/>
                <w:szCs w:val="20"/>
              </w:rPr>
            </w:pPr>
            <w:r w:rsidRPr="005B10C7">
              <w:rPr>
                <w:rFonts w:ascii="Calibri" w:eastAsia="Times New Roman" w:hAnsi="Calibri" w:cs="Times New Roman"/>
                <w:color w:val="000000"/>
                <w:sz w:val="20"/>
                <w:szCs w:val="20"/>
              </w:rPr>
              <w:t>0.999</w:t>
            </w:r>
          </w:p>
        </w:tc>
        <w:tc>
          <w:tcPr>
            <w:tcW w:w="1061" w:type="dxa"/>
            <w:tcBorders>
              <w:top w:val="nil"/>
              <w:left w:val="nil"/>
              <w:bottom w:val="nil"/>
              <w:right w:val="nil"/>
            </w:tcBorders>
            <w:shd w:val="clear" w:color="auto" w:fill="auto"/>
            <w:vAlign w:val="center"/>
            <w:hideMark/>
          </w:tcPr>
          <w:p w:rsidR="005B10C7" w:rsidRPr="005B10C7" w:rsidRDefault="005B10C7" w:rsidP="005B10C7">
            <w:pPr>
              <w:spacing w:after="0" w:line="240" w:lineRule="auto"/>
              <w:jc w:val="center"/>
              <w:rPr>
                <w:rFonts w:ascii="Calibri" w:eastAsia="Times New Roman" w:hAnsi="Calibri" w:cs="Times New Roman"/>
                <w:color w:val="000000"/>
                <w:sz w:val="20"/>
                <w:szCs w:val="20"/>
              </w:rPr>
            </w:pPr>
            <w:r w:rsidRPr="005B10C7">
              <w:rPr>
                <w:rFonts w:ascii="Calibri" w:eastAsia="Times New Roman" w:hAnsi="Calibri" w:cs="Times New Roman"/>
                <w:color w:val="000000"/>
                <w:sz w:val="20"/>
                <w:szCs w:val="20"/>
              </w:rPr>
              <w:t>0.95</w:t>
            </w:r>
          </w:p>
        </w:tc>
        <w:tc>
          <w:tcPr>
            <w:tcW w:w="1997" w:type="dxa"/>
            <w:tcBorders>
              <w:top w:val="nil"/>
              <w:left w:val="nil"/>
              <w:bottom w:val="nil"/>
              <w:right w:val="nil"/>
            </w:tcBorders>
            <w:shd w:val="clear" w:color="auto" w:fill="auto"/>
            <w:vAlign w:val="center"/>
            <w:hideMark/>
          </w:tcPr>
          <w:p w:rsidR="005B10C7" w:rsidRPr="005B10C7" w:rsidRDefault="005B10C7" w:rsidP="005B10C7">
            <w:pPr>
              <w:spacing w:after="0" w:line="240" w:lineRule="auto"/>
              <w:rPr>
                <w:rFonts w:ascii="Calibri" w:eastAsia="Times New Roman" w:hAnsi="Calibri" w:cs="Times New Roman"/>
                <w:color w:val="000000"/>
                <w:sz w:val="20"/>
                <w:szCs w:val="20"/>
              </w:rPr>
            </w:pPr>
            <w:r w:rsidRPr="005B10C7">
              <w:rPr>
                <w:rFonts w:ascii="Calibri" w:eastAsia="Times New Roman" w:hAnsi="Calibri" w:cs="Times New Roman"/>
                <w:color w:val="000000"/>
                <w:sz w:val="20"/>
                <w:szCs w:val="20"/>
              </w:rPr>
              <w:t>Inefficient operations of the fluorination processes in Module 5 results in less UF</w:t>
            </w:r>
            <w:r w:rsidRPr="005B10C7">
              <w:rPr>
                <w:rFonts w:ascii="Calibri" w:eastAsia="Times New Roman" w:hAnsi="Calibri" w:cs="Times New Roman"/>
                <w:color w:val="000000"/>
                <w:sz w:val="20"/>
                <w:szCs w:val="20"/>
                <w:vertAlign w:val="subscript"/>
              </w:rPr>
              <w:t>4</w:t>
            </w:r>
            <w:r w:rsidRPr="005B10C7">
              <w:rPr>
                <w:rFonts w:ascii="Calibri" w:eastAsia="Times New Roman" w:hAnsi="Calibri" w:cs="Times New Roman"/>
                <w:color w:val="000000"/>
                <w:sz w:val="20"/>
                <w:szCs w:val="20"/>
              </w:rPr>
              <w:t xml:space="preserve"> converted to UF</w:t>
            </w:r>
            <w:r w:rsidRPr="005B10C7">
              <w:rPr>
                <w:rFonts w:ascii="Calibri" w:eastAsia="Times New Roman" w:hAnsi="Calibri" w:cs="Times New Roman"/>
                <w:color w:val="000000"/>
                <w:sz w:val="20"/>
                <w:szCs w:val="20"/>
                <w:vertAlign w:val="subscript"/>
              </w:rPr>
              <w:t>6</w:t>
            </w:r>
            <w:r w:rsidRPr="005B10C7">
              <w:rPr>
                <w:rFonts w:ascii="Calibri" w:eastAsia="Times New Roman" w:hAnsi="Calibri" w:cs="Times New Roman"/>
                <w:color w:val="000000"/>
                <w:sz w:val="20"/>
                <w:szCs w:val="20"/>
              </w:rPr>
              <w:t xml:space="preserve"> and more U in the waste streams</w:t>
            </w:r>
          </w:p>
        </w:tc>
      </w:tr>
      <w:tr w:rsidR="005B10C7" w:rsidRPr="005B10C7" w:rsidTr="005B10C7">
        <w:trPr>
          <w:trHeight w:val="255"/>
          <w:jc w:val="center"/>
        </w:trPr>
        <w:tc>
          <w:tcPr>
            <w:tcW w:w="7900" w:type="dxa"/>
            <w:gridSpan w:val="6"/>
            <w:tcBorders>
              <w:top w:val="single" w:sz="4" w:space="0" w:color="auto"/>
              <w:left w:val="nil"/>
              <w:bottom w:val="nil"/>
              <w:right w:val="nil"/>
            </w:tcBorders>
            <w:shd w:val="clear" w:color="auto" w:fill="auto"/>
            <w:noWrap/>
            <w:vAlign w:val="center"/>
            <w:hideMark/>
          </w:tcPr>
          <w:p w:rsidR="005B10C7" w:rsidRPr="005B10C7" w:rsidRDefault="005B10C7" w:rsidP="005B10C7">
            <w:pPr>
              <w:spacing w:after="0" w:line="240" w:lineRule="auto"/>
              <w:jc w:val="center"/>
              <w:rPr>
                <w:rFonts w:ascii="Calibri" w:eastAsia="Times New Roman" w:hAnsi="Calibri" w:cs="Times New Roman"/>
                <w:b/>
                <w:bCs/>
                <w:color w:val="000000"/>
                <w:sz w:val="20"/>
                <w:szCs w:val="20"/>
              </w:rPr>
            </w:pPr>
            <w:r w:rsidRPr="005B10C7">
              <w:rPr>
                <w:rFonts w:ascii="Calibri" w:eastAsia="Times New Roman" w:hAnsi="Calibri" w:cs="Times New Roman"/>
                <w:b/>
                <w:bCs/>
                <w:color w:val="000000"/>
                <w:sz w:val="20"/>
                <w:szCs w:val="20"/>
              </w:rPr>
              <w:t>Summary of Results</w:t>
            </w:r>
          </w:p>
        </w:tc>
      </w:tr>
      <w:tr w:rsidR="005B10C7" w:rsidRPr="005B10C7" w:rsidTr="005B10C7">
        <w:trPr>
          <w:trHeight w:val="255"/>
          <w:jc w:val="center"/>
        </w:trPr>
        <w:tc>
          <w:tcPr>
            <w:tcW w:w="1403" w:type="dxa"/>
            <w:tcBorders>
              <w:top w:val="nil"/>
              <w:left w:val="nil"/>
              <w:bottom w:val="single" w:sz="4" w:space="0" w:color="auto"/>
              <w:right w:val="nil"/>
            </w:tcBorders>
            <w:shd w:val="clear" w:color="auto" w:fill="auto"/>
            <w:noWrap/>
            <w:vAlign w:val="center"/>
            <w:hideMark/>
          </w:tcPr>
          <w:p w:rsidR="005B10C7" w:rsidRPr="005B10C7" w:rsidRDefault="005B10C7" w:rsidP="005B10C7">
            <w:pPr>
              <w:spacing w:after="0" w:line="240" w:lineRule="auto"/>
              <w:jc w:val="center"/>
              <w:rPr>
                <w:rFonts w:ascii="Calibri" w:eastAsia="Times New Roman" w:hAnsi="Calibri" w:cs="Times New Roman"/>
                <w:color w:val="000000"/>
                <w:sz w:val="20"/>
                <w:szCs w:val="20"/>
              </w:rPr>
            </w:pPr>
            <w:r w:rsidRPr="005B10C7">
              <w:rPr>
                <w:rFonts w:ascii="Calibri" w:eastAsia="Times New Roman" w:hAnsi="Calibri" w:cs="Times New Roman"/>
                <w:color w:val="000000"/>
                <w:sz w:val="20"/>
                <w:szCs w:val="20"/>
              </w:rPr>
              <w:t> </w:t>
            </w:r>
          </w:p>
        </w:tc>
        <w:tc>
          <w:tcPr>
            <w:tcW w:w="905" w:type="dxa"/>
            <w:tcBorders>
              <w:top w:val="nil"/>
              <w:left w:val="nil"/>
              <w:bottom w:val="single" w:sz="4" w:space="0" w:color="auto"/>
              <w:right w:val="nil"/>
            </w:tcBorders>
            <w:shd w:val="clear" w:color="auto" w:fill="auto"/>
            <w:vAlign w:val="center"/>
            <w:hideMark/>
          </w:tcPr>
          <w:p w:rsidR="005B10C7" w:rsidRDefault="005B10C7" w:rsidP="005B10C7">
            <w:pPr>
              <w:spacing w:after="0" w:line="240" w:lineRule="auto"/>
              <w:jc w:val="center"/>
              <w:rPr>
                <w:rFonts w:ascii="Calibri" w:eastAsia="Times New Roman" w:hAnsi="Calibri" w:cs="Times New Roman"/>
                <w:b/>
                <w:bCs/>
                <w:sz w:val="20"/>
                <w:szCs w:val="20"/>
              </w:rPr>
            </w:pPr>
            <w:r w:rsidRPr="005B10C7">
              <w:rPr>
                <w:rFonts w:ascii="Calibri" w:eastAsia="Times New Roman" w:hAnsi="Calibri" w:cs="Times New Roman"/>
                <w:b/>
                <w:bCs/>
                <w:sz w:val="20"/>
                <w:szCs w:val="20"/>
              </w:rPr>
              <w:t>PC1</w:t>
            </w:r>
          </w:p>
          <w:p w:rsidR="00AC7D91" w:rsidRPr="005B10C7" w:rsidRDefault="00AC7D91" w:rsidP="005B10C7">
            <w:pPr>
              <w:spacing w:after="0" w:line="240" w:lineRule="auto"/>
              <w:jc w:val="center"/>
              <w:rPr>
                <w:rFonts w:ascii="Calibri" w:eastAsia="Times New Roman" w:hAnsi="Calibri" w:cs="Times New Roman"/>
                <w:b/>
                <w:bCs/>
                <w:sz w:val="20"/>
                <w:szCs w:val="20"/>
              </w:rPr>
            </w:pPr>
            <w:r>
              <w:rPr>
                <w:rFonts w:ascii="Calibri" w:eastAsia="Times New Roman" w:hAnsi="Calibri" w:cs="Times New Roman"/>
                <w:b/>
                <w:bCs/>
                <w:sz w:val="20"/>
                <w:szCs w:val="20"/>
              </w:rPr>
              <w:t>Scores</w:t>
            </w:r>
          </w:p>
        </w:tc>
        <w:tc>
          <w:tcPr>
            <w:tcW w:w="1305" w:type="dxa"/>
            <w:tcBorders>
              <w:top w:val="nil"/>
              <w:left w:val="nil"/>
              <w:bottom w:val="single" w:sz="4" w:space="0" w:color="auto"/>
              <w:right w:val="nil"/>
            </w:tcBorders>
            <w:shd w:val="clear" w:color="auto" w:fill="auto"/>
            <w:vAlign w:val="center"/>
            <w:hideMark/>
          </w:tcPr>
          <w:p w:rsidR="005B10C7" w:rsidRDefault="005B10C7" w:rsidP="005B10C7">
            <w:pPr>
              <w:spacing w:after="0" w:line="240" w:lineRule="auto"/>
              <w:jc w:val="center"/>
              <w:rPr>
                <w:rFonts w:ascii="Calibri" w:eastAsia="Times New Roman" w:hAnsi="Calibri" w:cs="Times New Roman"/>
                <w:b/>
                <w:bCs/>
                <w:color w:val="000000"/>
                <w:sz w:val="20"/>
                <w:szCs w:val="20"/>
              </w:rPr>
            </w:pPr>
            <w:r w:rsidRPr="005B10C7">
              <w:rPr>
                <w:rFonts w:ascii="Calibri" w:eastAsia="Times New Roman" w:hAnsi="Calibri" w:cs="Times New Roman"/>
                <w:b/>
                <w:bCs/>
                <w:color w:val="000000"/>
                <w:sz w:val="20"/>
                <w:szCs w:val="20"/>
              </w:rPr>
              <w:t>PC2</w:t>
            </w:r>
          </w:p>
          <w:p w:rsidR="00AC7D91" w:rsidRPr="005B10C7" w:rsidRDefault="00AC7D91" w:rsidP="005B10C7">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1229" w:type="dxa"/>
            <w:tcBorders>
              <w:top w:val="nil"/>
              <w:left w:val="nil"/>
              <w:bottom w:val="single" w:sz="4" w:space="0" w:color="auto"/>
              <w:right w:val="nil"/>
            </w:tcBorders>
            <w:shd w:val="clear" w:color="auto" w:fill="auto"/>
            <w:vAlign w:val="center"/>
            <w:hideMark/>
          </w:tcPr>
          <w:p w:rsidR="005B10C7" w:rsidRDefault="005B10C7" w:rsidP="005B10C7">
            <w:pPr>
              <w:spacing w:after="0" w:line="240" w:lineRule="auto"/>
              <w:jc w:val="center"/>
              <w:rPr>
                <w:rFonts w:ascii="Calibri" w:eastAsia="Times New Roman" w:hAnsi="Calibri" w:cs="Times New Roman"/>
                <w:b/>
                <w:bCs/>
                <w:color w:val="000000"/>
                <w:sz w:val="20"/>
                <w:szCs w:val="20"/>
              </w:rPr>
            </w:pPr>
            <w:r w:rsidRPr="005B10C7">
              <w:rPr>
                <w:rFonts w:ascii="Calibri" w:eastAsia="Times New Roman" w:hAnsi="Calibri" w:cs="Times New Roman"/>
                <w:b/>
                <w:bCs/>
                <w:color w:val="000000"/>
                <w:sz w:val="20"/>
                <w:szCs w:val="20"/>
              </w:rPr>
              <w:t>PC3</w:t>
            </w:r>
          </w:p>
          <w:p w:rsidR="00AC7D91" w:rsidRPr="005B10C7" w:rsidRDefault="00AC7D91" w:rsidP="005B10C7">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1061" w:type="dxa"/>
            <w:tcBorders>
              <w:top w:val="nil"/>
              <w:left w:val="nil"/>
              <w:bottom w:val="single" w:sz="4" w:space="0" w:color="auto"/>
              <w:right w:val="nil"/>
            </w:tcBorders>
            <w:shd w:val="clear" w:color="auto" w:fill="auto"/>
            <w:vAlign w:val="center"/>
            <w:hideMark/>
          </w:tcPr>
          <w:p w:rsidR="005B10C7" w:rsidRPr="005B10C7" w:rsidRDefault="005B10C7" w:rsidP="005B10C7">
            <w:pPr>
              <w:spacing w:after="0" w:line="240" w:lineRule="auto"/>
              <w:jc w:val="center"/>
              <w:rPr>
                <w:rFonts w:ascii="Calibri" w:eastAsia="Times New Roman" w:hAnsi="Calibri" w:cs="Times New Roman"/>
                <w:b/>
                <w:bCs/>
                <w:color w:val="000000"/>
                <w:sz w:val="20"/>
                <w:szCs w:val="20"/>
              </w:rPr>
            </w:pPr>
            <w:r w:rsidRPr="005B10C7">
              <w:rPr>
                <w:rFonts w:ascii="Calibri" w:eastAsia="Times New Roman" w:hAnsi="Calibri" w:cs="Times New Roman"/>
                <w:b/>
                <w:bCs/>
                <w:color w:val="000000"/>
                <w:sz w:val="20"/>
                <w:szCs w:val="20"/>
              </w:rPr>
              <w:t>T2</w:t>
            </w:r>
          </w:p>
        </w:tc>
        <w:tc>
          <w:tcPr>
            <w:tcW w:w="1997" w:type="dxa"/>
            <w:tcBorders>
              <w:top w:val="nil"/>
              <w:left w:val="nil"/>
              <w:bottom w:val="single" w:sz="4" w:space="0" w:color="auto"/>
              <w:right w:val="nil"/>
            </w:tcBorders>
            <w:shd w:val="clear" w:color="auto" w:fill="auto"/>
            <w:vAlign w:val="center"/>
            <w:hideMark/>
          </w:tcPr>
          <w:p w:rsidR="005B10C7" w:rsidRPr="005B10C7" w:rsidRDefault="005B10C7" w:rsidP="005B10C7">
            <w:pPr>
              <w:spacing w:after="0" w:line="240" w:lineRule="auto"/>
              <w:jc w:val="center"/>
              <w:rPr>
                <w:rFonts w:ascii="Calibri" w:eastAsia="Times New Roman" w:hAnsi="Calibri" w:cs="Times New Roman"/>
                <w:b/>
                <w:bCs/>
                <w:color w:val="000000"/>
                <w:sz w:val="20"/>
                <w:szCs w:val="20"/>
              </w:rPr>
            </w:pPr>
            <w:r w:rsidRPr="005B10C7">
              <w:rPr>
                <w:rFonts w:ascii="Calibri" w:eastAsia="Times New Roman" w:hAnsi="Calibri" w:cs="Times New Roman"/>
                <w:b/>
                <w:bCs/>
                <w:color w:val="000000"/>
                <w:sz w:val="20"/>
                <w:szCs w:val="20"/>
              </w:rPr>
              <w:t>Q</w:t>
            </w:r>
          </w:p>
        </w:tc>
      </w:tr>
      <w:tr w:rsidR="005B10C7" w:rsidRPr="005B10C7" w:rsidTr="005B10C7">
        <w:trPr>
          <w:trHeight w:val="255"/>
          <w:jc w:val="center"/>
        </w:trPr>
        <w:tc>
          <w:tcPr>
            <w:tcW w:w="1403" w:type="dxa"/>
            <w:tcBorders>
              <w:top w:val="nil"/>
              <w:left w:val="nil"/>
              <w:bottom w:val="nil"/>
              <w:right w:val="nil"/>
            </w:tcBorders>
            <w:shd w:val="clear" w:color="auto" w:fill="auto"/>
            <w:noWrap/>
            <w:vAlign w:val="center"/>
            <w:hideMark/>
          </w:tcPr>
          <w:p w:rsidR="005B10C7" w:rsidRPr="005B10C7" w:rsidRDefault="005B10C7" w:rsidP="005B10C7">
            <w:pPr>
              <w:spacing w:after="0" w:line="240" w:lineRule="auto"/>
              <w:jc w:val="center"/>
              <w:rPr>
                <w:rFonts w:ascii="Calibri" w:eastAsia="Times New Roman" w:hAnsi="Calibri" w:cs="Times New Roman"/>
                <w:b/>
                <w:bCs/>
                <w:color w:val="000000"/>
                <w:sz w:val="20"/>
                <w:szCs w:val="20"/>
              </w:rPr>
            </w:pPr>
            <w:r w:rsidRPr="005B10C7">
              <w:rPr>
                <w:rFonts w:ascii="Calibri" w:eastAsia="Times New Roman" w:hAnsi="Calibri" w:cs="Times New Roman"/>
                <w:b/>
                <w:bCs/>
                <w:color w:val="000000"/>
                <w:sz w:val="20"/>
                <w:szCs w:val="20"/>
              </w:rPr>
              <w:t>Direction</w:t>
            </w:r>
          </w:p>
        </w:tc>
        <w:tc>
          <w:tcPr>
            <w:tcW w:w="905" w:type="dxa"/>
            <w:tcBorders>
              <w:top w:val="nil"/>
              <w:left w:val="nil"/>
              <w:bottom w:val="nil"/>
              <w:right w:val="nil"/>
            </w:tcBorders>
            <w:shd w:val="clear" w:color="auto" w:fill="auto"/>
            <w:noWrap/>
            <w:vAlign w:val="center"/>
            <w:hideMark/>
          </w:tcPr>
          <w:p w:rsidR="005B10C7" w:rsidRPr="005B10C7" w:rsidRDefault="005B10C7" w:rsidP="005B10C7">
            <w:pPr>
              <w:spacing w:after="0" w:line="240" w:lineRule="auto"/>
              <w:jc w:val="center"/>
              <w:rPr>
                <w:rFonts w:ascii="Calibri" w:eastAsia="Times New Roman" w:hAnsi="Calibri" w:cs="Times New Roman"/>
                <w:color w:val="000000"/>
                <w:sz w:val="20"/>
                <w:szCs w:val="20"/>
              </w:rPr>
            </w:pPr>
            <w:r w:rsidRPr="005B10C7">
              <w:rPr>
                <w:rFonts w:ascii="Calibri" w:eastAsia="Times New Roman" w:hAnsi="Calibri" w:cs="Times New Roman"/>
                <w:color w:val="000000"/>
                <w:sz w:val="20"/>
                <w:szCs w:val="20"/>
              </w:rPr>
              <w:t>0</w:t>
            </w:r>
          </w:p>
        </w:tc>
        <w:tc>
          <w:tcPr>
            <w:tcW w:w="1305" w:type="dxa"/>
            <w:tcBorders>
              <w:top w:val="nil"/>
              <w:left w:val="nil"/>
              <w:bottom w:val="nil"/>
              <w:right w:val="nil"/>
            </w:tcBorders>
            <w:shd w:val="clear" w:color="auto" w:fill="auto"/>
            <w:noWrap/>
            <w:vAlign w:val="center"/>
            <w:hideMark/>
          </w:tcPr>
          <w:p w:rsidR="005B10C7" w:rsidRPr="005B10C7" w:rsidRDefault="005B10C7" w:rsidP="005B10C7">
            <w:pPr>
              <w:spacing w:after="0" w:line="240" w:lineRule="auto"/>
              <w:jc w:val="center"/>
              <w:rPr>
                <w:rFonts w:ascii="Calibri" w:eastAsia="Times New Roman" w:hAnsi="Calibri" w:cs="Times New Roman"/>
                <w:color w:val="000000"/>
                <w:sz w:val="20"/>
                <w:szCs w:val="20"/>
              </w:rPr>
            </w:pPr>
            <w:r w:rsidRPr="005B10C7">
              <w:rPr>
                <w:rFonts w:ascii="Calibri" w:eastAsia="Times New Roman" w:hAnsi="Calibri" w:cs="Times New Roman"/>
                <w:color w:val="000000"/>
                <w:sz w:val="20"/>
                <w:szCs w:val="20"/>
              </w:rPr>
              <w:t>0</w:t>
            </w:r>
          </w:p>
        </w:tc>
        <w:tc>
          <w:tcPr>
            <w:tcW w:w="1229" w:type="dxa"/>
            <w:tcBorders>
              <w:top w:val="nil"/>
              <w:left w:val="nil"/>
              <w:bottom w:val="nil"/>
              <w:right w:val="nil"/>
            </w:tcBorders>
            <w:shd w:val="clear" w:color="auto" w:fill="auto"/>
            <w:noWrap/>
            <w:vAlign w:val="center"/>
            <w:hideMark/>
          </w:tcPr>
          <w:p w:rsidR="005B10C7" w:rsidRPr="005B10C7" w:rsidRDefault="005B10C7" w:rsidP="005B10C7">
            <w:pPr>
              <w:spacing w:after="0" w:line="240" w:lineRule="auto"/>
              <w:jc w:val="center"/>
              <w:rPr>
                <w:rFonts w:ascii="Calibri" w:eastAsia="Times New Roman" w:hAnsi="Calibri" w:cs="Times New Roman"/>
                <w:color w:val="000000"/>
                <w:sz w:val="20"/>
                <w:szCs w:val="20"/>
              </w:rPr>
            </w:pPr>
            <w:r w:rsidRPr="005B10C7">
              <w:rPr>
                <w:rFonts w:ascii="Calibri" w:eastAsia="Times New Roman" w:hAnsi="Calibri" w:cs="Times New Roman"/>
                <w:color w:val="000000"/>
                <w:sz w:val="20"/>
                <w:szCs w:val="20"/>
              </w:rPr>
              <w:t>0</w:t>
            </w:r>
          </w:p>
        </w:tc>
        <w:tc>
          <w:tcPr>
            <w:tcW w:w="1061" w:type="dxa"/>
            <w:tcBorders>
              <w:top w:val="nil"/>
              <w:left w:val="nil"/>
              <w:bottom w:val="nil"/>
              <w:right w:val="nil"/>
            </w:tcBorders>
            <w:shd w:val="clear" w:color="auto" w:fill="auto"/>
            <w:noWrap/>
            <w:vAlign w:val="center"/>
            <w:hideMark/>
          </w:tcPr>
          <w:p w:rsidR="005B10C7" w:rsidRPr="005B10C7" w:rsidRDefault="005B10C7" w:rsidP="005B10C7">
            <w:pPr>
              <w:spacing w:after="0" w:line="240" w:lineRule="auto"/>
              <w:jc w:val="center"/>
              <w:rPr>
                <w:rFonts w:ascii="Calibri" w:eastAsia="Times New Roman" w:hAnsi="Calibri" w:cs="Times New Roman"/>
                <w:color w:val="000000"/>
                <w:sz w:val="20"/>
                <w:szCs w:val="20"/>
              </w:rPr>
            </w:pPr>
            <w:r w:rsidRPr="005B10C7">
              <w:rPr>
                <w:rFonts w:ascii="Calibri" w:eastAsia="Times New Roman" w:hAnsi="Calibri" w:cs="Times New Roman"/>
                <w:color w:val="000000"/>
                <w:sz w:val="20"/>
                <w:szCs w:val="20"/>
              </w:rPr>
              <w:t>0</w:t>
            </w:r>
          </w:p>
        </w:tc>
        <w:tc>
          <w:tcPr>
            <w:tcW w:w="1997" w:type="dxa"/>
            <w:tcBorders>
              <w:top w:val="nil"/>
              <w:left w:val="nil"/>
              <w:bottom w:val="nil"/>
              <w:right w:val="nil"/>
            </w:tcBorders>
            <w:shd w:val="clear" w:color="auto" w:fill="auto"/>
            <w:noWrap/>
            <w:vAlign w:val="center"/>
            <w:hideMark/>
          </w:tcPr>
          <w:p w:rsidR="005B10C7" w:rsidRPr="005B10C7" w:rsidRDefault="005B10C7" w:rsidP="005B10C7">
            <w:pPr>
              <w:spacing w:after="0" w:line="240" w:lineRule="auto"/>
              <w:jc w:val="center"/>
              <w:rPr>
                <w:rFonts w:ascii="Calibri" w:eastAsia="Times New Roman" w:hAnsi="Calibri" w:cs="Times New Roman"/>
                <w:color w:val="000000"/>
                <w:sz w:val="20"/>
                <w:szCs w:val="20"/>
              </w:rPr>
            </w:pPr>
            <w:r w:rsidRPr="005B10C7">
              <w:rPr>
                <w:rFonts w:ascii="Calibri" w:eastAsia="Times New Roman" w:hAnsi="Calibri" w:cs="Times New Roman"/>
                <w:color w:val="000000"/>
                <w:sz w:val="20"/>
                <w:szCs w:val="20"/>
              </w:rPr>
              <w:t>+</w:t>
            </w:r>
          </w:p>
        </w:tc>
      </w:tr>
      <w:tr w:rsidR="005B10C7" w:rsidRPr="005B10C7" w:rsidTr="005B10C7">
        <w:trPr>
          <w:trHeight w:val="270"/>
          <w:jc w:val="center"/>
        </w:trPr>
        <w:tc>
          <w:tcPr>
            <w:tcW w:w="1403" w:type="dxa"/>
            <w:tcBorders>
              <w:top w:val="nil"/>
              <w:left w:val="nil"/>
              <w:bottom w:val="single" w:sz="8" w:space="0" w:color="auto"/>
              <w:right w:val="nil"/>
            </w:tcBorders>
            <w:shd w:val="clear" w:color="auto" w:fill="auto"/>
            <w:noWrap/>
            <w:vAlign w:val="center"/>
            <w:hideMark/>
          </w:tcPr>
          <w:p w:rsidR="005B10C7" w:rsidRPr="005B10C7" w:rsidRDefault="005B10C7" w:rsidP="005B10C7">
            <w:pPr>
              <w:spacing w:after="0" w:line="240" w:lineRule="auto"/>
              <w:jc w:val="center"/>
              <w:rPr>
                <w:rFonts w:ascii="Calibri" w:eastAsia="Times New Roman" w:hAnsi="Calibri" w:cs="Times New Roman"/>
                <w:b/>
                <w:bCs/>
                <w:color w:val="000000"/>
                <w:sz w:val="20"/>
                <w:szCs w:val="20"/>
              </w:rPr>
            </w:pPr>
            <w:r w:rsidRPr="005B10C7">
              <w:rPr>
                <w:rFonts w:ascii="Calibri" w:eastAsia="Times New Roman" w:hAnsi="Calibri" w:cs="Times New Roman"/>
                <w:b/>
                <w:bCs/>
                <w:color w:val="000000"/>
                <w:sz w:val="20"/>
                <w:szCs w:val="20"/>
              </w:rPr>
              <w:t>Detectability</w:t>
            </w:r>
          </w:p>
        </w:tc>
        <w:tc>
          <w:tcPr>
            <w:tcW w:w="905" w:type="dxa"/>
            <w:tcBorders>
              <w:top w:val="nil"/>
              <w:left w:val="nil"/>
              <w:bottom w:val="single" w:sz="8" w:space="0" w:color="auto"/>
              <w:right w:val="nil"/>
            </w:tcBorders>
            <w:shd w:val="clear" w:color="auto" w:fill="auto"/>
            <w:vAlign w:val="center"/>
            <w:hideMark/>
          </w:tcPr>
          <w:p w:rsidR="005B10C7" w:rsidRPr="005B10C7" w:rsidRDefault="005B10C7" w:rsidP="005B10C7">
            <w:pPr>
              <w:spacing w:after="0" w:line="240" w:lineRule="auto"/>
              <w:jc w:val="center"/>
              <w:rPr>
                <w:rFonts w:ascii="Calibri" w:eastAsia="Times New Roman" w:hAnsi="Calibri" w:cs="Times New Roman"/>
                <w:color w:val="000000"/>
                <w:sz w:val="20"/>
                <w:szCs w:val="20"/>
              </w:rPr>
            </w:pPr>
            <w:r w:rsidRPr="005B10C7">
              <w:rPr>
                <w:rFonts w:ascii="Calibri" w:eastAsia="Times New Roman" w:hAnsi="Calibri" w:cs="Times New Roman"/>
                <w:color w:val="000000"/>
                <w:sz w:val="20"/>
                <w:szCs w:val="20"/>
              </w:rPr>
              <w:t>No</w:t>
            </w:r>
          </w:p>
        </w:tc>
        <w:tc>
          <w:tcPr>
            <w:tcW w:w="1305" w:type="dxa"/>
            <w:tcBorders>
              <w:top w:val="nil"/>
              <w:left w:val="nil"/>
              <w:bottom w:val="single" w:sz="8" w:space="0" w:color="auto"/>
              <w:right w:val="nil"/>
            </w:tcBorders>
            <w:shd w:val="clear" w:color="auto" w:fill="auto"/>
            <w:noWrap/>
            <w:vAlign w:val="center"/>
            <w:hideMark/>
          </w:tcPr>
          <w:p w:rsidR="005B10C7" w:rsidRPr="005B10C7" w:rsidRDefault="005B10C7" w:rsidP="005B10C7">
            <w:pPr>
              <w:spacing w:after="0" w:line="240" w:lineRule="auto"/>
              <w:jc w:val="center"/>
              <w:rPr>
                <w:rFonts w:ascii="Calibri" w:eastAsia="Times New Roman" w:hAnsi="Calibri" w:cs="Times New Roman"/>
                <w:color w:val="000000"/>
                <w:sz w:val="20"/>
                <w:szCs w:val="20"/>
              </w:rPr>
            </w:pPr>
            <w:r w:rsidRPr="005B10C7">
              <w:rPr>
                <w:rFonts w:ascii="Calibri" w:eastAsia="Times New Roman" w:hAnsi="Calibri" w:cs="Times New Roman"/>
                <w:color w:val="000000"/>
                <w:sz w:val="20"/>
                <w:szCs w:val="20"/>
              </w:rPr>
              <w:t>No</w:t>
            </w:r>
          </w:p>
        </w:tc>
        <w:tc>
          <w:tcPr>
            <w:tcW w:w="1229" w:type="dxa"/>
            <w:tcBorders>
              <w:top w:val="nil"/>
              <w:left w:val="nil"/>
              <w:bottom w:val="single" w:sz="8" w:space="0" w:color="auto"/>
              <w:right w:val="nil"/>
            </w:tcBorders>
            <w:shd w:val="clear" w:color="auto" w:fill="auto"/>
            <w:noWrap/>
            <w:vAlign w:val="center"/>
            <w:hideMark/>
          </w:tcPr>
          <w:p w:rsidR="005B10C7" w:rsidRPr="005B10C7" w:rsidRDefault="005B10C7" w:rsidP="005B10C7">
            <w:pPr>
              <w:spacing w:after="0" w:line="240" w:lineRule="auto"/>
              <w:jc w:val="center"/>
              <w:rPr>
                <w:rFonts w:ascii="Calibri" w:eastAsia="Times New Roman" w:hAnsi="Calibri" w:cs="Times New Roman"/>
                <w:color w:val="000000"/>
                <w:sz w:val="20"/>
                <w:szCs w:val="20"/>
              </w:rPr>
            </w:pPr>
            <w:r w:rsidRPr="005B10C7">
              <w:rPr>
                <w:rFonts w:ascii="Calibri" w:eastAsia="Times New Roman" w:hAnsi="Calibri" w:cs="Times New Roman"/>
                <w:color w:val="000000"/>
                <w:sz w:val="20"/>
                <w:szCs w:val="20"/>
              </w:rPr>
              <w:t>No</w:t>
            </w:r>
          </w:p>
        </w:tc>
        <w:tc>
          <w:tcPr>
            <w:tcW w:w="1061" w:type="dxa"/>
            <w:tcBorders>
              <w:top w:val="nil"/>
              <w:left w:val="nil"/>
              <w:bottom w:val="single" w:sz="8" w:space="0" w:color="auto"/>
              <w:right w:val="nil"/>
            </w:tcBorders>
            <w:shd w:val="clear" w:color="auto" w:fill="auto"/>
            <w:noWrap/>
            <w:vAlign w:val="center"/>
            <w:hideMark/>
          </w:tcPr>
          <w:p w:rsidR="005B10C7" w:rsidRPr="005B10C7" w:rsidRDefault="005B10C7" w:rsidP="005B10C7">
            <w:pPr>
              <w:spacing w:after="0" w:line="240" w:lineRule="auto"/>
              <w:jc w:val="center"/>
              <w:rPr>
                <w:rFonts w:ascii="Calibri" w:eastAsia="Times New Roman" w:hAnsi="Calibri" w:cs="Times New Roman"/>
                <w:color w:val="000000"/>
                <w:sz w:val="20"/>
                <w:szCs w:val="20"/>
              </w:rPr>
            </w:pPr>
            <w:r w:rsidRPr="005B10C7">
              <w:rPr>
                <w:rFonts w:ascii="Calibri" w:eastAsia="Times New Roman" w:hAnsi="Calibri" w:cs="Times New Roman"/>
                <w:color w:val="000000"/>
                <w:sz w:val="20"/>
                <w:szCs w:val="20"/>
              </w:rPr>
              <w:t>No</w:t>
            </w:r>
          </w:p>
        </w:tc>
        <w:tc>
          <w:tcPr>
            <w:tcW w:w="1997" w:type="dxa"/>
            <w:tcBorders>
              <w:top w:val="nil"/>
              <w:left w:val="nil"/>
              <w:bottom w:val="single" w:sz="8" w:space="0" w:color="auto"/>
              <w:right w:val="nil"/>
            </w:tcBorders>
            <w:shd w:val="clear" w:color="auto" w:fill="auto"/>
            <w:noWrap/>
            <w:vAlign w:val="center"/>
            <w:hideMark/>
          </w:tcPr>
          <w:p w:rsidR="005B10C7" w:rsidRPr="005B10C7" w:rsidRDefault="005B10C7" w:rsidP="005B10C7">
            <w:pPr>
              <w:spacing w:after="0" w:line="240" w:lineRule="auto"/>
              <w:jc w:val="center"/>
              <w:rPr>
                <w:rFonts w:ascii="Calibri" w:eastAsia="Times New Roman" w:hAnsi="Calibri" w:cs="Times New Roman"/>
                <w:color w:val="000000"/>
                <w:sz w:val="20"/>
                <w:szCs w:val="20"/>
              </w:rPr>
            </w:pPr>
            <w:r w:rsidRPr="005B10C7">
              <w:rPr>
                <w:rFonts w:ascii="Calibri" w:eastAsia="Times New Roman" w:hAnsi="Calibri" w:cs="Times New Roman"/>
                <w:color w:val="000000"/>
                <w:sz w:val="20"/>
                <w:szCs w:val="20"/>
              </w:rPr>
              <w:t>Yes</w:t>
            </w:r>
          </w:p>
        </w:tc>
      </w:tr>
    </w:tbl>
    <w:p w:rsidR="00E664E4" w:rsidRDefault="001E21F9" w:rsidP="00E664E4">
      <w:pPr>
        <w:jc w:val="center"/>
        <w:rPr>
          <w:i/>
          <w:sz w:val="20"/>
          <w:szCs w:val="20"/>
        </w:rPr>
      </w:pPr>
      <w:r>
        <w:rPr>
          <w:noProof/>
        </w:rPr>
        <w:lastRenderedPageBreak/>
        <w:drawing>
          <wp:inline distT="0" distB="0" distL="0" distR="0" wp14:anchorId="160D7398" wp14:editId="1D1852B5">
            <wp:extent cx="5943600" cy="44577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4"/>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1E21F9">
        <w:rPr>
          <w:b/>
          <w:sz w:val="20"/>
          <w:szCs w:val="20"/>
        </w:rPr>
        <w:t>4.86</w:t>
      </w:r>
      <w:r>
        <w:rPr>
          <w:b/>
          <w:sz w:val="20"/>
          <w:szCs w:val="20"/>
        </w:rPr>
        <w:t xml:space="preserve">. Faulty Case 10 </w:t>
      </w:r>
      <m:oMath>
        <m:r>
          <m:rPr>
            <m:sty m:val="bi"/>
          </m:rPr>
          <w:rPr>
            <w:rFonts w:ascii="Cambria Math" w:hAnsi="Cambria Math"/>
            <w:sz w:val="20"/>
            <w:szCs w:val="20"/>
          </w:rPr>
          <m:t>Q</m:t>
        </m:r>
      </m:oMath>
      <w:r>
        <w:rPr>
          <w:b/>
          <w:sz w:val="20"/>
          <w:szCs w:val="20"/>
        </w:rPr>
        <w:t xml:space="preserve">-Statistic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a detectable fault.</w:t>
      </w:r>
    </w:p>
    <w:p w:rsidR="00E664E4" w:rsidRDefault="00E664E4" w:rsidP="00E664E4">
      <w:pPr>
        <w:rPr>
          <w:i/>
          <w:sz w:val="20"/>
          <w:szCs w:val="20"/>
        </w:rPr>
      </w:pPr>
    </w:p>
    <w:p w:rsidR="00E664E4" w:rsidRDefault="005B10C7" w:rsidP="00E664E4">
      <w:pPr>
        <w:jc w:val="center"/>
        <w:rPr>
          <w:i/>
          <w:sz w:val="20"/>
          <w:szCs w:val="20"/>
        </w:rPr>
      </w:pPr>
      <w:r>
        <w:rPr>
          <w:noProof/>
        </w:rPr>
        <w:lastRenderedPageBreak/>
        <w:drawing>
          <wp:inline distT="0" distB="0" distL="0" distR="0" wp14:anchorId="49299DFB" wp14:editId="5C9E70D0">
            <wp:extent cx="5943600" cy="4457700"/>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5"/>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1E21F9">
        <w:rPr>
          <w:b/>
          <w:sz w:val="20"/>
          <w:szCs w:val="20"/>
        </w:rPr>
        <w:t>4.87</w:t>
      </w:r>
      <w:r>
        <w:rPr>
          <w:b/>
          <w:sz w:val="20"/>
          <w:szCs w:val="20"/>
        </w:rPr>
        <w:t xml:space="preserve">. Faulty Case 10 PC1, PC2, and </w:t>
      </w:r>
      <m:oMath>
        <m:r>
          <m:rPr>
            <m:sty m:val="bi"/>
          </m:rPr>
          <w:rPr>
            <w:rFonts w:ascii="Cambria Math" w:hAnsi="Cambria Math"/>
            <w:sz w:val="20"/>
            <w:szCs w:val="20"/>
          </w:rPr>
          <m:t>Q</m:t>
        </m:r>
      </m:oMath>
      <w:r>
        <w:rPr>
          <w:b/>
          <w:sz w:val="20"/>
          <w:szCs w:val="20"/>
        </w:rPr>
        <w:t xml:space="preserve">-Statistic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 xml:space="preserve">a detectable fault in the </w:t>
      </w:r>
      <m:oMath>
        <m:r>
          <w:rPr>
            <w:rFonts w:ascii="Cambria Math" w:hAnsi="Cambria Math"/>
            <w:sz w:val="20"/>
            <w:szCs w:val="20"/>
          </w:rPr>
          <m:t>Q</m:t>
        </m:r>
      </m:oMath>
      <w:r>
        <w:rPr>
          <w:rFonts w:eastAsiaTheme="minorEastAsia"/>
          <w:i/>
          <w:sz w:val="20"/>
          <w:szCs w:val="20"/>
        </w:rPr>
        <w:t>-statistic.</w:t>
      </w:r>
    </w:p>
    <w:p w:rsidR="00E664E4" w:rsidRDefault="00E664E4" w:rsidP="00E664E4"/>
    <w:p w:rsidR="00567A68" w:rsidRDefault="00567A68" w:rsidP="00E664E4"/>
    <w:p w:rsidR="001B675F" w:rsidRDefault="001B675F">
      <w:pPr>
        <w:rPr>
          <w:rFonts w:asciiTheme="majorHAnsi" w:hAnsiTheme="majorHAnsi"/>
          <w:b/>
        </w:rPr>
      </w:pPr>
      <w:r>
        <w:rPr>
          <w:rFonts w:asciiTheme="majorHAnsi" w:hAnsiTheme="majorHAnsi"/>
          <w:b/>
        </w:rPr>
        <w:br w:type="page"/>
      </w:r>
    </w:p>
    <w:p w:rsidR="00E664E4" w:rsidRDefault="00E664E4" w:rsidP="00E664E4">
      <w:pPr>
        <w:rPr>
          <w:rFonts w:asciiTheme="majorHAnsi" w:hAnsiTheme="majorHAnsi"/>
          <w:b/>
        </w:rPr>
      </w:pPr>
      <w:r>
        <w:rPr>
          <w:rFonts w:asciiTheme="majorHAnsi" w:hAnsiTheme="majorHAnsi"/>
          <w:b/>
        </w:rPr>
        <w:lastRenderedPageBreak/>
        <w:t>4.3.11 Case 11</w:t>
      </w:r>
    </w:p>
    <w:p w:rsidR="00E664E4" w:rsidRDefault="00E664E4" w:rsidP="00E664E4">
      <w:pPr>
        <w:rPr>
          <w:rFonts w:eastAsiaTheme="minorEastAsia"/>
        </w:rPr>
      </w:pPr>
      <w:r>
        <w:t>For the eleventh faulty case, a percentage of the UF</w:t>
      </w:r>
      <w:r w:rsidRPr="00C85CDC">
        <w:rPr>
          <w:vertAlign w:val="subscript"/>
        </w:rPr>
        <w:t>6</w:t>
      </w:r>
      <w:r>
        <w:t xml:space="preserve"> product was diverted from the final mixer in Module 5. Streams 52 and 59 were pure UF</w:t>
      </w:r>
      <w:r w:rsidRPr="00C85CDC">
        <w:rPr>
          <w:vertAlign w:val="subscript"/>
        </w:rPr>
        <w:t>6</w:t>
      </w:r>
      <w:r>
        <w:t xml:space="preserve"> that were mixed to form the final product of the process. In this case, a new stream (61) was formed by diverting a percentage of Stream</w:t>
      </w:r>
      <w:r w:rsidR="0074736D">
        <w:t>s</w:t>
      </w:r>
      <w:r>
        <w:t xml:space="preserve"> 52 and 59. Several percentages were tested; the diversion of 20% is presented below. </w:t>
      </w:r>
      <w:r w:rsidR="0074736D">
        <w:t xml:space="preserve">This fault was only detectable in the </w:t>
      </w:r>
      <m:oMath>
        <m:r>
          <w:rPr>
            <w:rFonts w:ascii="Cambria Math" w:hAnsi="Cambria Math"/>
          </w:rPr>
          <m:t>Q</m:t>
        </m:r>
      </m:oMath>
      <w:r w:rsidR="0074736D">
        <w:rPr>
          <w:rFonts w:eastAsiaTheme="minorEastAsia"/>
        </w:rPr>
        <w:t>-statistic</w:t>
      </w:r>
      <w:r w:rsidR="008E6F8C">
        <w:rPr>
          <w:rFonts w:eastAsiaTheme="minorEastAsia"/>
        </w:rPr>
        <w:t xml:space="preserve">. </w:t>
      </w:r>
    </w:p>
    <w:p w:rsidR="009A3480" w:rsidRDefault="001057C8" w:rsidP="00E664E4">
      <w:pPr>
        <w:rPr>
          <w:rFonts w:eastAsiaTheme="minorEastAsia"/>
        </w:rPr>
      </w:pPr>
      <w:r>
        <w:rPr>
          <w:rFonts w:eastAsiaTheme="minorEastAsia"/>
        </w:rPr>
        <w:t>Equation 4.3.11.1 and 4.3.11.2 show the material balance for the UF</w:t>
      </w:r>
      <w:r w:rsidRPr="001057C8">
        <w:rPr>
          <w:rFonts w:eastAsiaTheme="minorEastAsia"/>
          <w:vertAlign w:val="subscript"/>
        </w:rPr>
        <w:t>6</w:t>
      </w:r>
      <w:r>
        <w:rPr>
          <w:rFonts w:eastAsiaTheme="minorEastAsia"/>
        </w:rPr>
        <w:t xml:space="preserve"> in Streams 60 and 61, where </w:t>
      </w:r>
      <w:proofErr w:type="spellStart"/>
      <w:proofErr w:type="gramStart"/>
      <w:r>
        <w:rPr>
          <w:rFonts w:eastAsiaTheme="minorEastAsia"/>
        </w:rPr>
        <w:t>Xss</w:t>
      </w:r>
      <w:proofErr w:type="spellEnd"/>
      <w:r>
        <w:rPr>
          <w:rFonts w:eastAsiaTheme="minorEastAsia"/>
        </w:rPr>
        <w:t>(</w:t>
      </w:r>
      <w:proofErr w:type="gramEnd"/>
      <w:r>
        <w:rPr>
          <w:rFonts w:eastAsiaTheme="minorEastAsia"/>
        </w:rPr>
        <w:t>281) represents the UF</w:t>
      </w:r>
      <w:r w:rsidRPr="001057C8">
        <w:rPr>
          <w:rFonts w:eastAsiaTheme="minorEastAsia"/>
          <w:vertAlign w:val="subscript"/>
        </w:rPr>
        <w:t>6</w:t>
      </w:r>
      <w:r>
        <w:rPr>
          <w:rFonts w:eastAsiaTheme="minorEastAsia"/>
        </w:rPr>
        <w:t xml:space="preserve"> in Stream 61.</w:t>
      </w:r>
    </w:p>
    <w:p w:rsidR="001057C8" w:rsidRDefault="001057C8" w:rsidP="001057C8">
      <w:pPr>
        <w:jc w:val="right"/>
        <w:rPr>
          <w:rFonts w:eastAsiaTheme="minorEastAsia"/>
        </w:rPr>
      </w:pPr>
      <m:oMath>
        <m:r>
          <w:rPr>
            <w:rFonts w:ascii="Cambria Math" w:eastAsiaTheme="minorEastAsia" w:hAnsi="Cambria Math"/>
          </w:rPr>
          <m:t>Xss</m:t>
        </m:r>
        <m:d>
          <m:dPr>
            <m:ctrlPr>
              <w:rPr>
                <w:rFonts w:ascii="Cambria Math" w:eastAsiaTheme="minorEastAsia" w:hAnsi="Cambria Math"/>
                <w:i/>
              </w:rPr>
            </m:ctrlPr>
          </m:dPr>
          <m:e>
            <m:r>
              <w:rPr>
                <w:rFonts w:ascii="Cambria Math" w:eastAsiaTheme="minorEastAsia" w:hAnsi="Cambria Math"/>
              </w:rPr>
              <m:t>246</m:t>
            </m:r>
          </m:e>
        </m:d>
        <m:r>
          <w:rPr>
            <w:rFonts w:ascii="Cambria Math" w:eastAsiaTheme="minorEastAsia" w:hAnsi="Cambria Math"/>
          </w:rPr>
          <m:t>+Xss</m:t>
        </m:r>
        <m:d>
          <m:dPr>
            <m:ctrlPr>
              <w:rPr>
                <w:rFonts w:ascii="Cambria Math" w:eastAsiaTheme="minorEastAsia" w:hAnsi="Cambria Math"/>
                <w:i/>
              </w:rPr>
            </m:ctrlPr>
          </m:dPr>
          <m:e>
            <m:r>
              <w:rPr>
                <w:rFonts w:ascii="Cambria Math" w:eastAsiaTheme="minorEastAsia" w:hAnsi="Cambria Math"/>
              </w:rPr>
              <m:t>272</m:t>
            </m:r>
          </m:e>
        </m:d>
        <m:r>
          <w:rPr>
            <w:rFonts w:ascii="Cambria Math" w:eastAsiaTheme="minorEastAsia" w:hAnsi="Cambria Math"/>
          </w:rPr>
          <m:t>-Xss</m:t>
        </m:r>
        <m:d>
          <m:dPr>
            <m:ctrlPr>
              <w:rPr>
                <w:rFonts w:ascii="Cambria Math" w:eastAsiaTheme="minorEastAsia" w:hAnsi="Cambria Math"/>
                <w:i/>
              </w:rPr>
            </m:ctrlPr>
          </m:dPr>
          <m:e>
            <m:r>
              <w:rPr>
                <w:rFonts w:ascii="Cambria Math" w:eastAsiaTheme="minorEastAsia" w:hAnsi="Cambria Math"/>
              </w:rPr>
              <m:t>273</m:t>
            </m:r>
          </m:e>
        </m:d>
        <m:r>
          <w:rPr>
            <w:rFonts w:ascii="Cambria Math" w:eastAsiaTheme="minorEastAsia" w:hAnsi="Cambria Math"/>
          </w:rPr>
          <m:t>-Xss</m:t>
        </m:r>
        <m:d>
          <m:dPr>
            <m:ctrlPr>
              <w:rPr>
                <w:rFonts w:ascii="Cambria Math" w:eastAsiaTheme="minorEastAsia" w:hAnsi="Cambria Math"/>
                <w:i/>
              </w:rPr>
            </m:ctrlPr>
          </m:dPr>
          <m:e>
            <m:r>
              <w:rPr>
                <w:rFonts w:ascii="Cambria Math" w:eastAsiaTheme="minorEastAsia" w:hAnsi="Cambria Math"/>
              </w:rPr>
              <m:t>281</m:t>
            </m:r>
          </m:e>
        </m:d>
        <m:r>
          <w:rPr>
            <w:rFonts w:ascii="Cambria Math" w:eastAsiaTheme="minorEastAsia" w:hAnsi="Cambria Math"/>
          </w:rPr>
          <m:t>=0</m:t>
        </m:r>
      </m:oMath>
      <w:r>
        <w:rPr>
          <w:rFonts w:eastAsiaTheme="minorEastAsia"/>
        </w:rPr>
        <w:t xml:space="preserve"> </w:t>
      </w:r>
      <w:r>
        <w:rPr>
          <w:rFonts w:eastAsiaTheme="minorEastAsia"/>
        </w:rPr>
        <w:tab/>
      </w:r>
      <w:r>
        <w:rPr>
          <w:rFonts w:eastAsiaTheme="minorEastAsia"/>
        </w:rPr>
        <w:tab/>
        <w:t>Eq. (4.3.11.1)</w:t>
      </w:r>
    </w:p>
    <w:p w:rsidR="001057C8" w:rsidRDefault="001057C8" w:rsidP="001057C8">
      <w:pPr>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Mod5F,2</m:t>
            </m:r>
          </m:sub>
        </m:sSub>
        <m:r>
          <w:rPr>
            <w:rFonts w:ascii="Cambria Math" w:eastAsiaTheme="minorEastAsia" w:hAnsi="Cambria Math"/>
          </w:rPr>
          <m:t>*</m:t>
        </m:r>
        <m:d>
          <m:dPr>
            <m:begChr m:val="["/>
            <m:endChr m:val="]"/>
            <m:ctrlPr>
              <w:rPr>
                <w:rFonts w:ascii="Cambria Math" w:eastAsiaTheme="minorEastAsia" w:hAnsi="Cambria Math"/>
                <w:i/>
              </w:rPr>
            </m:ctrlPr>
          </m:dPr>
          <m:e>
            <m:r>
              <w:rPr>
                <w:rFonts w:ascii="Cambria Math" w:eastAsiaTheme="minorEastAsia" w:hAnsi="Cambria Math"/>
              </w:rPr>
              <m:t>Xss</m:t>
            </m:r>
            <m:d>
              <m:dPr>
                <m:ctrlPr>
                  <w:rPr>
                    <w:rFonts w:ascii="Cambria Math" w:eastAsiaTheme="minorEastAsia" w:hAnsi="Cambria Math"/>
                    <w:i/>
                  </w:rPr>
                </m:ctrlPr>
              </m:dPr>
              <m:e>
                <m:r>
                  <w:rPr>
                    <w:rFonts w:ascii="Cambria Math" w:eastAsiaTheme="minorEastAsia" w:hAnsi="Cambria Math"/>
                  </w:rPr>
                  <m:t>246</m:t>
                </m:r>
              </m:e>
            </m:d>
            <m:r>
              <w:rPr>
                <w:rFonts w:ascii="Cambria Math" w:eastAsiaTheme="minorEastAsia" w:hAnsi="Cambria Math"/>
              </w:rPr>
              <m:t>+Xs</m:t>
            </m:r>
            <m:r>
              <w:rPr>
                <w:rFonts w:ascii="Cambria Math" w:eastAsiaTheme="minorEastAsia" w:hAnsi="Cambria Math"/>
              </w:rPr>
              <m:t>s</m:t>
            </m:r>
            <m:d>
              <m:dPr>
                <m:ctrlPr>
                  <w:rPr>
                    <w:rFonts w:ascii="Cambria Math" w:eastAsiaTheme="minorEastAsia" w:hAnsi="Cambria Math"/>
                    <w:i/>
                  </w:rPr>
                </m:ctrlPr>
              </m:dPr>
              <m:e>
                <m:r>
                  <w:rPr>
                    <w:rFonts w:ascii="Cambria Math" w:eastAsiaTheme="minorEastAsia" w:hAnsi="Cambria Math"/>
                  </w:rPr>
                  <m:t>272</m:t>
                </m:r>
              </m:e>
            </m:d>
          </m:e>
        </m:d>
        <m:r>
          <w:rPr>
            <w:rFonts w:ascii="Cambria Math" w:eastAsiaTheme="minorEastAsia" w:hAnsi="Cambria Math"/>
          </w:rPr>
          <m:t>-Xss</m:t>
        </m:r>
        <m:d>
          <m:dPr>
            <m:ctrlPr>
              <w:rPr>
                <w:rFonts w:ascii="Cambria Math" w:eastAsiaTheme="minorEastAsia" w:hAnsi="Cambria Math"/>
                <w:i/>
              </w:rPr>
            </m:ctrlPr>
          </m:dPr>
          <m:e>
            <m:r>
              <w:rPr>
                <w:rFonts w:ascii="Cambria Math" w:eastAsiaTheme="minorEastAsia" w:hAnsi="Cambria Math"/>
              </w:rPr>
              <m:t>281</m:t>
            </m:r>
          </m:e>
        </m:d>
        <m:r>
          <w:rPr>
            <w:rFonts w:ascii="Cambria Math" w:eastAsiaTheme="minorEastAsia" w:hAnsi="Cambria Math"/>
          </w:rPr>
          <m:t>=0</m:t>
        </m:r>
      </m:oMath>
      <w:r>
        <w:rPr>
          <w:rFonts w:eastAsiaTheme="minorEastAsia"/>
        </w:rPr>
        <w:t xml:space="preserve"> </w:t>
      </w:r>
      <w:r>
        <w:rPr>
          <w:rFonts w:eastAsiaTheme="minorEastAsia"/>
        </w:rPr>
        <w:tab/>
      </w:r>
      <w:r>
        <w:rPr>
          <w:rFonts w:eastAsiaTheme="minorEastAsia"/>
        </w:rPr>
        <w:tab/>
        <w:t>Eq. (4.3.11.2)</w:t>
      </w:r>
    </w:p>
    <w:p w:rsidR="00E664E4" w:rsidRDefault="0074736D" w:rsidP="00E664E4">
      <w:r>
        <w:t>There was no detectable fault in any of the scores plots. It was expected that there would be no fault in the scores because the diversion stream and the final product [</w:t>
      </w:r>
      <w:proofErr w:type="spellStart"/>
      <w:r>
        <w:t>Xss</w:t>
      </w:r>
      <w:proofErr w:type="spellEnd"/>
      <w:r>
        <w:t xml:space="preserve">(273)] both exit the plant and have no additional interaction with the model. Even though </w:t>
      </w:r>
      <w:proofErr w:type="spellStart"/>
      <w:r>
        <w:t>Xss</w:t>
      </w:r>
      <w:proofErr w:type="spellEnd"/>
      <w:r>
        <w:t>(273) was a heavy contributor to both PC1 and PC3, it was the only primary state variable affected by this diversion and the diversion was not significant enough to result in a fault in the scores plots. There was also no detectable change in the Mahalanobis distance. It was expected that there would not be a fault in the Mahalanobis distance since only one primary state variable was affected even though the diversion was above the 10% allowed variation. There was a</w:t>
      </w:r>
      <w:r w:rsidR="007063C2">
        <w:t>n increase</w:t>
      </w:r>
      <w:r>
        <w:t xml:space="preserve"> in the </w:t>
      </w:r>
      <m:oMath>
        <m:r>
          <w:rPr>
            <w:rFonts w:ascii="Cambria Math" w:hAnsi="Cambria Math"/>
          </w:rPr>
          <m:t>Q</m:t>
        </m:r>
      </m:oMath>
      <w:r>
        <w:rPr>
          <w:rFonts w:eastAsiaTheme="minorEastAsia"/>
        </w:rPr>
        <w:t xml:space="preserve">-statistic (Figures 4.88–4.89). The </w:t>
      </w:r>
      <m:oMath>
        <m:r>
          <w:rPr>
            <w:rFonts w:ascii="Cambria Math" w:hAnsi="Cambria Math"/>
          </w:rPr>
          <m:t>Q</m:t>
        </m:r>
      </m:oMath>
      <w:r>
        <w:rPr>
          <w:rFonts w:eastAsiaTheme="minorEastAsia"/>
        </w:rPr>
        <w:t xml:space="preserve">-statistic fault was expected since this changed </w:t>
      </w:r>
      <w:r w:rsidR="006F1843">
        <w:t>the relative relationship between the state variables</w:t>
      </w:r>
      <w:r>
        <w:rPr>
          <w:rFonts w:eastAsiaTheme="minorEastAsia"/>
        </w:rPr>
        <w:t>.</w:t>
      </w:r>
      <w:r>
        <w:t xml:space="preserve"> </w:t>
      </w:r>
      <w:r w:rsidR="00E664E4">
        <w:t xml:space="preserve">This case is of extremely high concern for safeguards and the goal </w:t>
      </w:r>
      <w:r>
        <w:t xml:space="preserve">of this detection framework </w:t>
      </w:r>
      <w:r w:rsidR="00E664E4">
        <w:t>was to be able to detect 10% diversion which was possible since this case represents 10% over the maximum of the base case allowed variation in uranium of ±10%.</w:t>
      </w:r>
      <w:r>
        <w:t xml:space="preserve"> </w:t>
      </w:r>
      <w:r w:rsidR="0072226F">
        <w:t xml:space="preserve">It is highly recommended that the final product from the NUCP be monitored and correlated to the uranium feed to the plant. </w:t>
      </w:r>
      <w:r>
        <w:t>Table 4.31 summarizes this faulty case.</w:t>
      </w:r>
    </w:p>
    <w:p w:rsidR="001B675F" w:rsidRDefault="001B675F" w:rsidP="00E664E4"/>
    <w:tbl>
      <w:tblPr>
        <w:tblW w:w="7800" w:type="dxa"/>
        <w:jc w:val="center"/>
        <w:tblInd w:w="93" w:type="dxa"/>
        <w:tblLook w:val="04A0" w:firstRow="1" w:lastRow="0" w:firstColumn="1" w:lastColumn="0" w:noHBand="0" w:noVBand="1"/>
      </w:tblPr>
      <w:tblGrid>
        <w:gridCol w:w="1396"/>
        <w:gridCol w:w="901"/>
        <w:gridCol w:w="1300"/>
        <w:gridCol w:w="1224"/>
        <w:gridCol w:w="1057"/>
        <w:gridCol w:w="1922"/>
      </w:tblGrid>
      <w:tr w:rsidR="0074736D" w:rsidRPr="0074736D" w:rsidTr="0074736D">
        <w:trPr>
          <w:trHeight w:val="270"/>
          <w:jc w:val="center"/>
        </w:trPr>
        <w:tc>
          <w:tcPr>
            <w:tcW w:w="7800" w:type="dxa"/>
            <w:gridSpan w:val="6"/>
            <w:tcBorders>
              <w:top w:val="nil"/>
              <w:left w:val="nil"/>
              <w:bottom w:val="single" w:sz="8" w:space="0" w:color="auto"/>
              <w:right w:val="nil"/>
            </w:tcBorders>
            <w:shd w:val="clear" w:color="auto" w:fill="auto"/>
            <w:noWrap/>
            <w:vAlign w:val="center"/>
            <w:hideMark/>
          </w:tcPr>
          <w:p w:rsidR="0074736D" w:rsidRPr="0074736D" w:rsidRDefault="0074736D" w:rsidP="0074736D">
            <w:pPr>
              <w:spacing w:after="0" w:line="240" w:lineRule="auto"/>
              <w:jc w:val="center"/>
              <w:rPr>
                <w:rFonts w:ascii="Calibri" w:eastAsia="Times New Roman" w:hAnsi="Calibri" w:cs="Times New Roman"/>
                <w:b/>
                <w:bCs/>
                <w:color w:val="000000"/>
                <w:sz w:val="20"/>
                <w:szCs w:val="20"/>
              </w:rPr>
            </w:pPr>
            <w:r w:rsidRPr="0074736D">
              <w:rPr>
                <w:rFonts w:ascii="Calibri" w:eastAsia="Times New Roman" w:hAnsi="Calibri" w:cs="Times New Roman"/>
                <w:b/>
                <w:bCs/>
                <w:color w:val="000000"/>
                <w:sz w:val="20"/>
                <w:szCs w:val="20"/>
              </w:rPr>
              <w:t>Table 4.31. Summary of Faulty Case 11</w:t>
            </w:r>
          </w:p>
        </w:tc>
      </w:tr>
      <w:tr w:rsidR="0074736D" w:rsidRPr="0074736D" w:rsidTr="0074736D">
        <w:trPr>
          <w:trHeight w:val="255"/>
          <w:jc w:val="center"/>
        </w:trPr>
        <w:tc>
          <w:tcPr>
            <w:tcW w:w="7800" w:type="dxa"/>
            <w:gridSpan w:val="6"/>
            <w:tcBorders>
              <w:top w:val="nil"/>
              <w:left w:val="nil"/>
              <w:bottom w:val="nil"/>
              <w:right w:val="nil"/>
            </w:tcBorders>
            <w:shd w:val="clear" w:color="auto" w:fill="auto"/>
            <w:noWrap/>
            <w:vAlign w:val="center"/>
            <w:hideMark/>
          </w:tcPr>
          <w:p w:rsidR="0074736D" w:rsidRPr="0074736D" w:rsidRDefault="0074736D" w:rsidP="0074736D">
            <w:pPr>
              <w:spacing w:after="0" w:line="240" w:lineRule="auto"/>
              <w:jc w:val="center"/>
              <w:rPr>
                <w:rFonts w:ascii="Calibri" w:eastAsia="Times New Roman" w:hAnsi="Calibri" w:cs="Times New Roman"/>
                <w:b/>
                <w:bCs/>
                <w:color w:val="000000"/>
                <w:sz w:val="20"/>
                <w:szCs w:val="20"/>
              </w:rPr>
            </w:pPr>
            <w:r w:rsidRPr="0074736D">
              <w:rPr>
                <w:rFonts w:ascii="Calibri" w:eastAsia="Times New Roman" w:hAnsi="Calibri" w:cs="Times New Roman"/>
                <w:b/>
                <w:bCs/>
                <w:color w:val="000000"/>
                <w:sz w:val="20"/>
                <w:szCs w:val="20"/>
              </w:rPr>
              <w:t>Summary of Faulty Case</w:t>
            </w:r>
          </w:p>
        </w:tc>
      </w:tr>
      <w:tr w:rsidR="0074736D" w:rsidRPr="0074736D" w:rsidTr="0074736D">
        <w:trPr>
          <w:trHeight w:val="255"/>
          <w:jc w:val="center"/>
        </w:trPr>
        <w:tc>
          <w:tcPr>
            <w:tcW w:w="1396" w:type="dxa"/>
            <w:tcBorders>
              <w:top w:val="nil"/>
              <w:left w:val="nil"/>
              <w:bottom w:val="single" w:sz="4" w:space="0" w:color="auto"/>
              <w:right w:val="nil"/>
            </w:tcBorders>
            <w:shd w:val="clear" w:color="auto" w:fill="auto"/>
            <w:noWrap/>
            <w:vAlign w:val="center"/>
            <w:hideMark/>
          </w:tcPr>
          <w:p w:rsidR="0074736D" w:rsidRPr="0074736D" w:rsidRDefault="0074736D" w:rsidP="0074736D">
            <w:pPr>
              <w:spacing w:after="0" w:line="240" w:lineRule="auto"/>
              <w:jc w:val="center"/>
              <w:rPr>
                <w:rFonts w:ascii="Calibri" w:eastAsia="Times New Roman" w:hAnsi="Calibri" w:cs="Times New Roman"/>
                <w:b/>
                <w:bCs/>
                <w:color w:val="000000"/>
                <w:sz w:val="20"/>
                <w:szCs w:val="20"/>
              </w:rPr>
            </w:pPr>
            <w:r w:rsidRPr="0074736D">
              <w:rPr>
                <w:rFonts w:ascii="Calibri" w:eastAsia="Times New Roman" w:hAnsi="Calibri" w:cs="Times New Roman"/>
                <w:b/>
                <w:bCs/>
                <w:color w:val="000000"/>
                <w:sz w:val="20"/>
                <w:szCs w:val="20"/>
              </w:rPr>
              <w:t>Priority</w:t>
            </w:r>
          </w:p>
        </w:tc>
        <w:tc>
          <w:tcPr>
            <w:tcW w:w="901" w:type="dxa"/>
            <w:tcBorders>
              <w:top w:val="nil"/>
              <w:left w:val="nil"/>
              <w:bottom w:val="single" w:sz="4" w:space="0" w:color="auto"/>
              <w:right w:val="nil"/>
            </w:tcBorders>
            <w:shd w:val="clear" w:color="auto" w:fill="auto"/>
            <w:vAlign w:val="center"/>
            <w:hideMark/>
          </w:tcPr>
          <w:p w:rsidR="0074736D" w:rsidRPr="0074736D" w:rsidRDefault="0074736D" w:rsidP="0074736D">
            <w:pPr>
              <w:spacing w:after="0" w:line="240" w:lineRule="auto"/>
              <w:jc w:val="center"/>
              <w:rPr>
                <w:rFonts w:ascii="Calibri" w:eastAsia="Times New Roman" w:hAnsi="Calibri" w:cs="Times New Roman"/>
                <w:b/>
                <w:bCs/>
                <w:sz w:val="20"/>
                <w:szCs w:val="20"/>
              </w:rPr>
            </w:pPr>
            <w:r w:rsidRPr="0074736D">
              <w:rPr>
                <w:rFonts w:ascii="Calibri" w:eastAsia="Times New Roman" w:hAnsi="Calibri" w:cs="Times New Roman"/>
                <w:b/>
                <w:bCs/>
                <w:sz w:val="20"/>
                <w:szCs w:val="20"/>
              </w:rPr>
              <w:t>Module</w:t>
            </w:r>
          </w:p>
        </w:tc>
        <w:tc>
          <w:tcPr>
            <w:tcW w:w="1300" w:type="dxa"/>
            <w:tcBorders>
              <w:top w:val="nil"/>
              <w:left w:val="nil"/>
              <w:bottom w:val="single" w:sz="4" w:space="0" w:color="auto"/>
              <w:right w:val="nil"/>
            </w:tcBorders>
            <w:shd w:val="clear" w:color="auto" w:fill="auto"/>
            <w:vAlign w:val="center"/>
            <w:hideMark/>
          </w:tcPr>
          <w:p w:rsidR="0074736D" w:rsidRPr="0074736D" w:rsidRDefault="0074736D" w:rsidP="0074736D">
            <w:pPr>
              <w:spacing w:after="0" w:line="240" w:lineRule="auto"/>
              <w:jc w:val="center"/>
              <w:rPr>
                <w:rFonts w:ascii="Calibri" w:eastAsia="Times New Roman" w:hAnsi="Calibri" w:cs="Times New Roman"/>
                <w:b/>
                <w:bCs/>
                <w:sz w:val="20"/>
                <w:szCs w:val="20"/>
              </w:rPr>
            </w:pPr>
            <w:r w:rsidRPr="0074736D">
              <w:rPr>
                <w:rFonts w:ascii="Calibri" w:eastAsia="Times New Roman" w:hAnsi="Calibri" w:cs="Times New Roman"/>
                <w:b/>
                <w:bCs/>
                <w:sz w:val="20"/>
                <w:szCs w:val="20"/>
              </w:rPr>
              <w:t>Faulty Variable</w:t>
            </w:r>
          </w:p>
        </w:tc>
        <w:tc>
          <w:tcPr>
            <w:tcW w:w="1224" w:type="dxa"/>
            <w:tcBorders>
              <w:top w:val="nil"/>
              <w:left w:val="nil"/>
              <w:bottom w:val="single" w:sz="4" w:space="0" w:color="auto"/>
              <w:right w:val="nil"/>
            </w:tcBorders>
            <w:shd w:val="clear" w:color="auto" w:fill="auto"/>
            <w:vAlign w:val="center"/>
            <w:hideMark/>
          </w:tcPr>
          <w:p w:rsidR="0074736D" w:rsidRPr="0074736D" w:rsidRDefault="0074736D" w:rsidP="0074736D">
            <w:pPr>
              <w:spacing w:after="0" w:line="240" w:lineRule="auto"/>
              <w:jc w:val="center"/>
              <w:rPr>
                <w:rFonts w:ascii="Calibri" w:eastAsia="Times New Roman" w:hAnsi="Calibri" w:cs="Times New Roman"/>
                <w:b/>
                <w:bCs/>
                <w:color w:val="000000"/>
                <w:sz w:val="20"/>
                <w:szCs w:val="20"/>
              </w:rPr>
            </w:pPr>
            <w:r w:rsidRPr="0074736D">
              <w:rPr>
                <w:rFonts w:ascii="Calibri" w:eastAsia="Times New Roman" w:hAnsi="Calibri" w:cs="Times New Roman"/>
                <w:b/>
                <w:bCs/>
                <w:color w:val="000000"/>
                <w:sz w:val="20"/>
                <w:szCs w:val="20"/>
              </w:rPr>
              <w:t>Base Case Value</w:t>
            </w:r>
          </w:p>
        </w:tc>
        <w:tc>
          <w:tcPr>
            <w:tcW w:w="1057" w:type="dxa"/>
            <w:tcBorders>
              <w:top w:val="nil"/>
              <w:left w:val="nil"/>
              <w:bottom w:val="single" w:sz="4" w:space="0" w:color="auto"/>
              <w:right w:val="nil"/>
            </w:tcBorders>
            <w:shd w:val="clear" w:color="auto" w:fill="auto"/>
            <w:vAlign w:val="center"/>
            <w:hideMark/>
          </w:tcPr>
          <w:p w:rsidR="0074736D" w:rsidRPr="0074736D" w:rsidRDefault="0074736D" w:rsidP="0074736D">
            <w:pPr>
              <w:spacing w:after="0" w:line="240" w:lineRule="auto"/>
              <w:jc w:val="center"/>
              <w:rPr>
                <w:rFonts w:ascii="Calibri" w:eastAsia="Times New Roman" w:hAnsi="Calibri" w:cs="Times New Roman"/>
                <w:b/>
                <w:bCs/>
                <w:color w:val="000000"/>
                <w:sz w:val="20"/>
                <w:szCs w:val="20"/>
              </w:rPr>
            </w:pPr>
            <w:r w:rsidRPr="0074736D">
              <w:rPr>
                <w:rFonts w:ascii="Calibri" w:eastAsia="Times New Roman" w:hAnsi="Calibri" w:cs="Times New Roman"/>
                <w:b/>
                <w:bCs/>
                <w:color w:val="000000"/>
                <w:sz w:val="20"/>
                <w:szCs w:val="20"/>
              </w:rPr>
              <w:t>Faulty Value</w:t>
            </w:r>
          </w:p>
        </w:tc>
        <w:tc>
          <w:tcPr>
            <w:tcW w:w="1922" w:type="dxa"/>
            <w:tcBorders>
              <w:top w:val="nil"/>
              <w:left w:val="nil"/>
              <w:bottom w:val="single" w:sz="4" w:space="0" w:color="auto"/>
              <w:right w:val="nil"/>
            </w:tcBorders>
            <w:shd w:val="clear" w:color="auto" w:fill="auto"/>
            <w:vAlign w:val="center"/>
            <w:hideMark/>
          </w:tcPr>
          <w:p w:rsidR="0074736D" w:rsidRPr="0074736D" w:rsidRDefault="0074736D" w:rsidP="0074736D">
            <w:pPr>
              <w:spacing w:after="0" w:line="240" w:lineRule="auto"/>
              <w:jc w:val="center"/>
              <w:rPr>
                <w:rFonts w:ascii="Calibri" w:eastAsia="Times New Roman" w:hAnsi="Calibri" w:cs="Times New Roman"/>
                <w:b/>
                <w:bCs/>
                <w:sz w:val="20"/>
                <w:szCs w:val="20"/>
              </w:rPr>
            </w:pPr>
            <w:r w:rsidRPr="0074736D">
              <w:rPr>
                <w:rFonts w:ascii="Calibri" w:eastAsia="Times New Roman" w:hAnsi="Calibri" w:cs="Times New Roman"/>
                <w:b/>
                <w:bCs/>
                <w:sz w:val="20"/>
                <w:szCs w:val="20"/>
              </w:rPr>
              <w:t>Physical Description</w:t>
            </w:r>
          </w:p>
        </w:tc>
      </w:tr>
      <w:tr w:rsidR="0074736D" w:rsidRPr="0074736D" w:rsidTr="0074736D">
        <w:trPr>
          <w:trHeight w:val="540"/>
          <w:jc w:val="center"/>
        </w:trPr>
        <w:tc>
          <w:tcPr>
            <w:tcW w:w="1396" w:type="dxa"/>
            <w:tcBorders>
              <w:top w:val="nil"/>
              <w:left w:val="nil"/>
              <w:bottom w:val="nil"/>
              <w:right w:val="nil"/>
            </w:tcBorders>
            <w:shd w:val="clear" w:color="auto" w:fill="auto"/>
            <w:noWrap/>
            <w:vAlign w:val="center"/>
            <w:hideMark/>
          </w:tcPr>
          <w:p w:rsidR="0074736D" w:rsidRPr="0074736D" w:rsidRDefault="0074736D" w:rsidP="0074736D">
            <w:pPr>
              <w:spacing w:after="0" w:line="240" w:lineRule="auto"/>
              <w:jc w:val="center"/>
              <w:rPr>
                <w:rFonts w:ascii="Calibri" w:eastAsia="Times New Roman" w:hAnsi="Calibri" w:cs="Times New Roman"/>
                <w:color w:val="000000"/>
                <w:sz w:val="20"/>
                <w:szCs w:val="20"/>
              </w:rPr>
            </w:pPr>
            <w:r w:rsidRPr="0074736D">
              <w:rPr>
                <w:rFonts w:ascii="Calibri" w:eastAsia="Times New Roman" w:hAnsi="Calibri" w:cs="Times New Roman"/>
                <w:color w:val="000000"/>
                <w:sz w:val="20"/>
                <w:szCs w:val="20"/>
              </w:rPr>
              <w:t>High</w:t>
            </w:r>
          </w:p>
        </w:tc>
        <w:tc>
          <w:tcPr>
            <w:tcW w:w="901" w:type="dxa"/>
            <w:tcBorders>
              <w:top w:val="nil"/>
              <w:left w:val="nil"/>
              <w:bottom w:val="nil"/>
              <w:right w:val="nil"/>
            </w:tcBorders>
            <w:shd w:val="clear" w:color="auto" w:fill="auto"/>
            <w:vAlign w:val="center"/>
            <w:hideMark/>
          </w:tcPr>
          <w:p w:rsidR="0074736D" w:rsidRPr="0074736D" w:rsidRDefault="0074736D" w:rsidP="0074736D">
            <w:pPr>
              <w:spacing w:after="0" w:line="240" w:lineRule="auto"/>
              <w:jc w:val="center"/>
              <w:rPr>
                <w:rFonts w:ascii="Calibri" w:eastAsia="Times New Roman" w:hAnsi="Calibri" w:cs="Times New Roman"/>
                <w:color w:val="000000"/>
                <w:sz w:val="20"/>
                <w:szCs w:val="20"/>
              </w:rPr>
            </w:pPr>
            <w:r w:rsidRPr="0074736D">
              <w:rPr>
                <w:rFonts w:ascii="Calibri" w:eastAsia="Times New Roman" w:hAnsi="Calibri" w:cs="Times New Roman"/>
                <w:color w:val="000000"/>
                <w:sz w:val="20"/>
                <w:szCs w:val="20"/>
              </w:rPr>
              <w:t>5</w:t>
            </w:r>
          </w:p>
        </w:tc>
        <w:tc>
          <w:tcPr>
            <w:tcW w:w="1300" w:type="dxa"/>
            <w:tcBorders>
              <w:top w:val="nil"/>
              <w:left w:val="nil"/>
              <w:bottom w:val="nil"/>
              <w:right w:val="nil"/>
            </w:tcBorders>
            <w:shd w:val="clear" w:color="auto" w:fill="auto"/>
            <w:vAlign w:val="center"/>
            <w:hideMark/>
          </w:tcPr>
          <w:p w:rsidR="0074736D" w:rsidRPr="0074736D" w:rsidRDefault="0074736D" w:rsidP="0074736D">
            <w:pPr>
              <w:spacing w:after="0" w:line="240" w:lineRule="auto"/>
              <w:jc w:val="center"/>
              <w:rPr>
                <w:rFonts w:ascii="Calibri" w:eastAsia="Times New Roman" w:hAnsi="Calibri" w:cs="Times New Roman"/>
                <w:color w:val="000000"/>
                <w:sz w:val="20"/>
                <w:szCs w:val="20"/>
              </w:rPr>
            </w:pPr>
            <w:r w:rsidRPr="0074736D">
              <w:rPr>
                <w:rFonts w:ascii="Calibri" w:eastAsia="Times New Roman" w:hAnsi="Calibri" w:cs="Times New Roman"/>
                <w:color w:val="000000"/>
                <w:sz w:val="20"/>
                <w:szCs w:val="20"/>
              </w:rPr>
              <w:t>S</w:t>
            </w:r>
            <w:r w:rsidRPr="0074736D">
              <w:rPr>
                <w:rFonts w:ascii="Calibri" w:eastAsia="Times New Roman" w:hAnsi="Calibri" w:cs="Times New Roman"/>
                <w:color w:val="000000"/>
                <w:sz w:val="20"/>
                <w:szCs w:val="20"/>
                <w:vertAlign w:val="subscript"/>
              </w:rPr>
              <w:t>Mod5F,2</w:t>
            </w:r>
          </w:p>
        </w:tc>
        <w:tc>
          <w:tcPr>
            <w:tcW w:w="1224" w:type="dxa"/>
            <w:tcBorders>
              <w:top w:val="nil"/>
              <w:left w:val="nil"/>
              <w:bottom w:val="nil"/>
              <w:right w:val="nil"/>
            </w:tcBorders>
            <w:shd w:val="clear" w:color="auto" w:fill="auto"/>
            <w:vAlign w:val="center"/>
            <w:hideMark/>
          </w:tcPr>
          <w:p w:rsidR="0074736D" w:rsidRPr="0074736D" w:rsidRDefault="0074736D" w:rsidP="0074736D">
            <w:pPr>
              <w:spacing w:after="0" w:line="240" w:lineRule="auto"/>
              <w:jc w:val="center"/>
              <w:rPr>
                <w:rFonts w:ascii="Calibri" w:eastAsia="Times New Roman" w:hAnsi="Calibri" w:cs="Times New Roman"/>
                <w:color w:val="000000"/>
                <w:sz w:val="20"/>
                <w:szCs w:val="20"/>
              </w:rPr>
            </w:pPr>
            <w:r w:rsidRPr="0074736D">
              <w:rPr>
                <w:rFonts w:ascii="Calibri" w:eastAsia="Times New Roman" w:hAnsi="Calibri" w:cs="Times New Roman"/>
                <w:color w:val="000000"/>
                <w:sz w:val="20"/>
                <w:szCs w:val="20"/>
              </w:rPr>
              <w:t>N/A</w:t>
            </w:r>
          </w:p>
        </w:tc>
        <w:tc>
          <w:tcPr>
            <w:tcW w:w="1057" w:type="dxa"/>
            <w:tcBorders>
              <w:top w:val="nil"/>
              <w:left w:val="nil"/>
              <w:bottom w:val="nil"/>
              <w:right w:val="nil"/>
            </w:tcBorders>
            <w:shd w:val="clear" w:color="auto" w:fill="auto"/>
            <w:vAlign w:val="center"/>
            <w:hideMark/>
          </w:tcPr>
          <w:p w:rsidR="0074736D" w:rsidRPr="0074736D" w:rsidRDefault="0074736D" w:rsidP="0074736D">
            <w:pPr>
              <w:spacing w:after="0" w:line="240" w:lineRule="auto"/>
              <w:jc w:val="center"/>
              <w:rPr>
                <w:rFonts w:ascii="Calibri" w:eastAsia="Times New Roman" w:hAnsi="Calibri" w:cs="Times New Roman"/>
                <w:color w:val="000000"/>
                <w:sz w:val="20"/>
                <w:szCs w:val="20"/>
              </w:rPr>
            </w:pPr>
            <w:r w:rsidRPr="0074736D">
              <w:rPr>
                <w:rFonts w:ascii="Calibri" w:eastAsia="Times New Roman" w:hAnsi="Calibri" w:cs="Times New Roman"/>
                <w:color w:val="000000"/>
                <w:sz w:val="20"/>
                <w:szCs w:val="20"/>
              </w:rPr>
              <w:t>0.2</w:t>
            </w:r>
          </w:p>
        </w:tc>
        <w:tc>
          <w:tcPr>
            <w:tcW w:w="1922" w:type="dxa"/>
            <w:tcBorders>
              <w:top w:val="nil"/>
              <w:left w:val="nil"/>
              <w:bottom w:val="nil"/>
              <w:right w:val="nil"/>
            </w:tcBorders>
            <w:shd w:val="clear" w:color="auto" w:fill="auto"/>
            <w:vAlign w:val="center"/>
            <w:hideMark/>
          </w:tcPr>
          <w:p w:rsidR="0074736D" w:rsidRPr="0074736D" w:rsidRDefault="0074736D" w:rsidP="0074736D">
            <w:pPr>
              <w:spacing w:after="0" w:line="240" w:lineRule="auto"/>
              <w:rPr>
                <w:rFonts w:ascii="Calibri" w:eastAsia="Times New Roman" w:hAnsi="Calibri" w:cs="Times New Roman"/>
                <w:color w:val="000000"/>
                <w:sz w:val="20"/>
                <w:szCs w:val="20"/>
              </w:rPr>
            </w:pPr>
            <w:r w:rsidRPr="0074736D">
              <w:rPr>
                <w:rFonts w:ascii="Calibri" w:eastAsia="Times New Roman" w:hAnsi="Calibri" w:cs="Times New Roman"/>
                <w:color w:val="000000"/>
                <w:sz w:val="20"/>
                <w:szCs w:val="20"/>
              </w:rPr>
              <w:t>Diversion of 20% of the purified UF</w:t>
            </w:r>
            <w:r w:rsidRPr="0074736D">
              <w:rPr>
                <w:rFonts w:ascii="Calibri" w:eastAsia="Times New Roman" w:hAnsi="Calibri" w:cs="Times New Roman"/>
                <w:color w:val="000000"/>
                <w:sz w:val="20"/>
                <w:szCs w:val="20"/>
                <w:vertAlign w:val="subscript"/>
              </w:rPr>
              <w:t>6</w:t>
            </w:r>
            <w:r w:rsidRPr="0074736D">
              <w:rPr>
                <w:rFonts w:ascii="Calibri" w:eastAsia="Times New Roman" w:hAnsi="Calibri" w:cs="Times New Roman"/>
                <w:color w:val="000000"/>
                <w:sz w:val="20"/>
                <w:szCs w:val="20"/>
              </w:rPr>
              <w:t xml:space="preserve"> </w:t>
            </w:r>
          </w:p>
        </w:tc>
      </w:tr>
      <w:tr w:rsidR="0074736D" w:rsidRPr="0074736D" w:rsidTr="0074736D">
        <w:trPr>
          <w:trHeight w:val="255"/>
          <w:jc w:val="center"/>
        </w:trPr>
        <w:tc>
          <w:tcPr>
            <w:tcW w:w="7800" w:type="dxa"/>
            <w:gridSpan w:val="6"/>
            <w:tcBorders>
              <w:top w:val="single" w:sz="4" w:space="0" w:color="auto"/>
              <w:left w:val="nil"/>
              <w:bottom w:val="nil"/>
              <w:right w:val="nil"/>
            </w:tcBorders>
            <w:shd w:val="clear" w:color="auto" w:fill="auto"/>
            <w:noWrap/>
            <w:vAlign w:val="center"/>
            <w:hideMark/>
          </w:tcPr>
          <w:p w:rsidR="0074736D" w:rsidRPr="0074736D" w:rsidRDefault="0074736D" w:rsidP="0074736D">
            <w:pPr>
              <w:spacing w:after="0" w:line="240" w:lineRule="auto"/>
              <w:jc w:val="center"/>
              <w:rPr>
                <w:rFonts w:ascii="Calibri" w:eastAsia="Times New Roman" w:hAnsi="Calibri" w:cs="Times New Roman"/>
                <w:b/>
                <w:bCs/>
                <w:color w:val="000000"/>
                <w:sz w:val="20"/>
                <w:szCs w:val="20"/>
              </w:rPr>
            </w:pPr>
            <w:r w:rsidRPr="0074736D">
              <w:rPr>
                <w:rFonts w:ascii="Calibri" w:eastAsia="Times New Roman" w:hAnsi="Calibri" w:cs="Times New Roman"/>
                <w:b/>
                <w:bCs/>
                <w:color w:val="000000"/>
                <w:sz w:val="20"/>
                <w:szCs w:val="20"/>
              </w:rPr>
              <w:t>Summary of Results</w:t>
            </w:r>
          </w:p>
        </w:tc>
      </w:tr>
      <w:tr w:rsidR="0074736D" w:rsidRPr="0074736D" w:rsidTr="0074736D">
        <w:trPr>
          <w:trHeight w:val="255"/>
          <w:jc w:val="center"/>
        </w:trPr>
        <w:tc>
          <w:tcPr>
            <w:tcW w:w="1396" w:type="dxa"/>
            <w:tcBorders>
              <w:top w:val="nil"/>
              <w:left w:val="nil"/>
              <w:bottom w:val="single" w:sz="4" w:space="0" w:color="auto"/>
              <w:right w:val="nil"/>
            </w:tcBorders>
            <w:shd w:val="clear" w:color="auto" w:fill="auto"/>
            <w:noWrap/>
            <w:vAlign w:val="center"/>
            <w:hideMark/>
          </w:tcPr>
          <w:p w:rsidR="0074736D" w:rsidRPr="0074736D" w:rsidRDefault="0074736D" w:rsidP="0074736D">
            <w:pPr>
              <w:spacing w:after="0" w:line="240" w:lineRule="auto"/>
              <w:jc w:val="center"/>
              <w:rPr>
                <w:rFonts w:ascii="Calibri" w:eastAsia="Times New Roman" w:hAnsi="Calibri" w:cs="Times New Roman"/>
                <w:color w:val="000000"/>
                <w:sz w:val="20"/>
                <w:szCs w:val="20"/>
              </w:rPr>
            </w:pPr>
            <w:r w:rsidRPr="0074736D">
              <w:rPr>
                <w:rFonts w:ascii="Calibri" w:eastAsia="Times New Roman" w:hAnsi="Calibri" w:cs="Times New Roman"/>
                <w:color w:val="000000"/>
                <w:sz w:val="20"/>
                <w:szCs w:val="20"/>
              </w:rPr>
              <w:t> </w:t>
            </w:r>
          </w:p>
        </w:tc>
        <w:tc>
          <w:tcPr>
            <w:tcW w:w="901" w:type="dxa"/>
            <w:tcBorders>
              <w:top w:val="nil"/>
              <w:left w:val="nil"/>
              <w:bottom w:val="single" w:sz="4" w:space="0" w:color="auto"/>
              <w:right w:val="nil"/>
            </w:tcBorders>
            <w:shd w:val="clear" w:color="auto" w:fill="auto"/>
            <w:vAlign w:val="center"/>
            <w:hideMark/>
          </w:tcPr>
          <w:p w:rsidR="0074736D" w:rsidRDefault="0074736D" w:rsidP="0074736D">
            <w:pPr>
              <w:spacing w:after="0" w:line="240" w:lineRule="auto"/>
              <w:jc w:val="center"/>
              <w:rPr>
                <w:rFonts w:ascii="Calibri" w:eastAsia="Times New Roman" w:hAnsi="Calibri" w:cs="Times New Roman"/>
                <w:b/>
                <w:bCs/>
                <w:sz w:val="20"/>
                <w:szCs w:val="20"/>
              </w:rPr>
            </w:pPr>
            <w:r w:rsidRPr="0074736D">
              <w:rPr>
                <w:rFonts w:ascii="Calibri" w:eastAsia="Times New Roman" w:hAnsi="Calibri" w:cs="Times New Roman"/>
                <w:b/>
                <w:bCs/>
                <w:sz w:val="20"/>
                <w:szCs w:val="20"/>
              </w:rPr>
              <w:t>PC1</w:t>
            </w:r>
          </w:p>
          <w:p w:rsidR="00AC7D91" w:rsidRPr="0074736D" w:rsidRDefault="00AC7D91" w:rsidP="0074736D">
            <w:pPr>
              <w:spacing w:after="0" w:line="240" w:lineRule="auto"/>
              <w:jc w:val="center"/>
              <w:rPr>
                <w:rFonts w:ascii="Calibri" w:eastAsia="Times New Roman" w:hAnsi="Calibri" w:cs="Times New Roman"/>
                <w:b/>
                <w:bCs/>
                <w:sz w:val="20"/>
                <w:szCs w:val="20"/>
              </w:rPr>
            </w:pPr>
            <w:r>
              <w:rPr>
                <w:rFonts w:ascii="Calibri" w:eastAsia="Times New Roman" w:hAnsi="Calibri" w:cs="Times New Roman"/>
                <w:b/>
                <w:bCs/>
                <w:sz w:val="20"/>
                <w:szCs w:val="20"/>
              </w:rPr>
              <w:t>Scores</w:t>
            </w:r>
          </w:p>
        </w:tc>
        <w:tc>
          <w:tcPr>
            <w:tcW w:w="1300" w:type="dxa"/>
            <w:tcBorders>
              <w:top w:val="nil"/>
              <w:left w:val="nil"/>
              <w:bottom w:val="single" w:sz="4" w:space="0" w:color="auto"/>
              <w:right w:val="nil"/>
            </w:tcBorders>
            <w:shd w:val="clear" w:color="auto" w:fill="auto"/>
            <w:vAlign w:val="center"/>
            <w:hideMark/>
          </w:tcPr>
          <w:p w:rsidR="0074736D" w:rsidRDefault="0074736D" w:rsidP="0074736D">
            <w:pPr>
              <w:spacing w:after="0" w:line="240" w:lineRule="auto"/>
              <w:jc w:val="center"/>
              <w:rPr>
                <w:rFonts w:ascii="Calibri" w:eastAsia="Times New Roman" w:hAnsi="Calibri" w:cs="Times New Roman"/>
                <w:b/>
                <w:bCs/>
                <w:color w:val="000000"/>
                <w:sz w:val="20"/>
                <w:szCs w:val="20"/>
              </w:rPr>
            </w:pPr>
            <w:r w:rsidRPr="0074736D">
              <w:rPr>
                <w:rFonts w:ascii="Calibri" w:eastAsia="Times New Roman" w:hAnsi="Calibri" w:cs="Times New Roman"/>
                <w:b/>
                <w:bCs/>
                <w:color w:val="000000"/>
                <w:sz w:val="20"/>
                <w:szCs w:val="20"/>
              </w:rPr>
              <w:t>PC2</w:t>
            </w:r>
          </w:p>
          <w:p w:rsidR="00AC7D91" w:rsidRPr="0074736D" w:rsidRDefault="00AC7D91" w:rsidP="0074736D">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1224" w:type="dxa"/>
            <w:tcBorders>
              <w:top w:val="nil"/>
              <w:left w:val="nil"/>
              <w:bottom w:val="single" w:sz="4" w:space="0" w:color="auto"/>
              <w:right w:val="nil"/>
            </w:tcBorders>
            <w:shd w:val="clear" w:color="auto" w:fill="auto"/>
            <w:vAlign w:val="center"/>
            <w:hideMark/>
          </w:tcPr>
          <w:p w:rsidR="0074736D" w:rsidRDefault="0074736D" w:rsidP="0074736D">
            <w:pPr>
              <w:spacing w:after="0" w:line="240" w:lineRule="auto"/>
              <w:jc w:val="center"/>
              <w:rPr>
                <w:rFonts w:ascii="Calibri" w:eastAsia="Times New Roman" w:hAnsi="Calibri" w:cs="Times New Roman"/>
                <w:b/>
                <w:bCs/>
                <w:color w:val="000000"/>
                <w:sz w:val="20"/>
                <w:szCs w:val="20"/>
              </w:rPr>
            </w:pPr>
            <w:r w:rsidRPr="0074736D">
              <w:rPr>
                <w:rFonts w:ascii="Calibri" w:eastAsia="Times New Roman" w:hAnsi="Calibri" w:cs="Times New Roman"/>
                <w:b/>
                <w:bCs/>
                <w:color w:val="000000"/>
                <w:sz w:val="20"/>
                <w:szCs w:val="20"/>
              </w:rPr>
              <w:t>PC3</w:t>
            </w:r>
          </w:p>
          <w:p w:rsidR="00AC7D91" w:rsidRPr="0074736D" w:rsidRDefault="00AC7D91" w:rsidP="0074736D">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1057" w:type="dxa"/>
            <w:tcBorders>
              <w:top w:val="nil"/>
              <w:left w:val="nil"/>
              <w:bottom w:val="single" w:sz="4" w:space="0" w:color="auto"/>
              <w:right w:val="nil"/>
            </w:tcBorders>
            <w:shd w:val="clear" w:color="auto" w:fill="auto"/>
            <w:vAlign w:val="center"/>
            <w:hideMark/>
          </w:tcPr>
          <w:p w:rsidR="0074736D" w:rsidRPr="0074736D" w:rsidRDefault="0074736D" w:rsidP="0074736D">
            <w:pPr>
              <w:spacing w:after="0" w:line="240" w:lineRule="auto"/>
              <w:jc w:val="center"/>
              <w:rPr>
                <w:rFonts w:ascii="Calibri" w:eastAsia="Times New Roman" w:hAnsi="Calibri" w:cs="Times New Roman"/>
                <w:b/>
                <w:bCs/>
                <w:color w:val="000000"/>
                <w:sz w:val="20"/>
                <w:szCs w:val="20"/>
              </w:rPr>
            </w:pPr>
            <w:r w:rsidRPr="0074736D">
              <w:rPr>
                <w:rFonts w:ascii="Calibri" w:eastAsia="Times New Roman" w:hAnsi="Calibri" w:cs="Times New Roman"/>
                <w:b/>
                <w:bCs/>
                <w:color w:val="000000"/>
                <w:sz w:val="20"/>
                <w:szCs w:val="20"/>
              </w:rPr>
              <w:t>T2</w:t>
            </w:r>
          </w:p>
        </w:tc>
        <w:tc>
          <w:tcPr>
            <w:tcW w:w="1922" w:type="dxa"/>
            <w:tcBorders>
              <w:top w:val="nil"/>
              <w:left w:val="nil"/>
              <w:bottom w:val="single" w:sz="4" w:space="0" w:color="auto"/>
              <w:right w:val="nil"/>
            </w:tcBorders>
            <w:shd w:val="clear" w:color="auto" w:fill="auto"/>
            <w:vAlign w:val="center"/>
            <w:hideMark/>
          </w:tcPr>
          <w:p w:rsidR="0074736D" w:rsidRPr="0074736D" w:rsidRDefault="0074736D" w:rsidP="0074736D">
            <w:pPr>
              <w:spacing w:after="0" w:line="240" w:lineRule="auto"/>
              <w:jc w:val="center"/>
              <w:rPr>
                <w:rFonts w:ascii="Calibri" w:eastAsia="Times New Roman" w:hAnsi="Calibri" w:cs="Times New Roman"/>
                <w:b/>
                <w:bCs/>
                <w:color w:val="000000"/>
                <w:sz w:val="20"/>
                <w:szCs w:val="20"/>
              </w:rPr>
            </w:pPr>
            <w:r w:rsidRPr="0074736D">
              <w:rPr>
                <w:rFonts w:ascii="Calibri" w:eastAsia="Times New Roman" w:hAnsi="Calibri" w:cs="Times New Roman"/>
                <w:b/>
                <w:bCs/>
                <w:color w:val="000000"/>
                <w:sz w:val="20"/>
                <w:szCs w:val="20"/>
              </w:rPr>
              <w:t>Q</w:t>
            </w:r>
          </w:p>
        </w:tc>
      </w:tr>
      <w:tr w:rsidR="0074736D" w:rsidRPr="0074736D" w:rsidTr="0074736D">
        <w:trPr>
          <w:trHeight w:val="255"/>
          <w:jc w:val="center"/>
        </w:trPr>
        <w:tc>
          <w:tcPr>
            <w:tcW w:w="1396" w:type="dxa"/>
            <w:tcBorders>
              <w:top w:val="nil"/>
              <w:left w:val="nil"/>
              <w:bottom w:val="nil"/>
              <w:right w:val="nil"/>
            </w:tcBorders>
            <w:shd w:val="clear" w:color="auto" w:fill="auto"/>
            <w:noWrap/>
            <w:vAlign w:val="center"/>
            <w:hideMark/>
          </w:tcPr>
          <w:p w:rsidR="0074736D" w:rsidRPr="0074736D" w:rsidRDefault="0074736D" w:rsidP="0074736D">
            <w:pPr>
              <w:spacing w:after="0" w:line="240" w:lineRule="auto"/>
              <w:jc w:val="center"/>
              <w:rPr>
                <w:rFonts w:ascii="Calibri" w:eastAsia="Times New Roman" w:hAnsi="Calibri" w:cs="Times New Roman"/>
                <w:b/>
                <w:bCs/>
                <w:color w:val="000000"/>
                <w:sz w:val="20"/>
                <w:szCs w:val="20"/>
              </w:rPr>
            </w:pPr>
            <w:r w:rsidRPr="0074736D">
              <w:rPr>
                <w:rFonts w:ascii="Calibri" w:eastAsia="Times New Roman" w:hAnsi="Calibri" w:cs="Times New Roman"/>
                <w:b/>
                <w:bCs/>
                <w:color w:val="000000"/>
                <w:sz w:val="20"/>
                <w:szCs w:val="20"/>
              </w:rPr>
              <w:t>Direction</w:t>
            </w:r>
          </w:p>
        </w:tc>
        <w:tc>
          <w:tcPr>
            <w:tcW w:w="901" w:type="dxa"/>
            <w:tcBorders>
              <w:top w:val="nil"/>
              <w:left w:val="nil"/>
              <w:bottom w:val="nil"/>
              <w:right w:val="nil"/>
            </w:tcBorders>
            <w:shd w:val="clear" w:color="auto" w:fill="auto"/>
            <w:noWrap/>
            <w:vAlign w:val="center"/>
            <w:hideMark/>
          </w:tcPr>
          <w:p w:rsidR="0074736D" w:rsidRPr="0074736D" w:rsidRDefault="0074736D" w:rsidP="0074736D">
            <w:pPr>
              <w:spacing w:after="0" w:line="240" w:lineRule="auto"/>
              <w:jc w:val="center"/>
              <w:rPr>
                <w:rFonts w:ascii="Calibri" w:eastAsia="Times New Roman" w:hAnsi="Calibri" w:cs="Times New Roman"/>
                <w:color w:val="000000"/>
                <w:sz w:val="20"/>
                <w:szCs w:val="20"/>
              </w:rPr>
            </w:pPr>
            <w:r w:rsidRPr="0074736D">
              <w:rPr>
                <w:rFonts w:ascii="Calibri" w:eastAsia="Times New Roman" w:hAnsi="Calibri" w:cs="Times New Roman"/>
                <w:color w:val="000000"/>
                <w:sz w:val="20"/>
                <w:szCs w:val="20"/>
              </w:rPr>
              <w:t>0</w:t>
            </w:r>
          </w:p>
        </w:tc>
        <w:tc>
          <w:tcPr>
            <w:tcW w:w="1300" w:type="dxa"/>
            <w:tcBorders>
              <w:top w:val="nil"/>
              <w:left w:val="nil"/>
              <w:bottom w:val="nil"/>
              <w:right w:val="nil"/>
            </w:tcBorders>
            <w:shd w:val="clear" w:color="auto" w:fill="auto"/>
            <w:noWrap/>
            <w:vAlign w:val="center"/>
            <w:hideMark/>
          </w:tcPr>
          <w:p w:rsidR="0074736D" w:rsidRPr="0074736D" w:rsidRDefault="0074736D" w:rsidP="0074736D">
            <w:pPr>
              <w:spacing w:after="0" w:line="240" w:lineRule="auto"/>
              <w:jc w:val="center"/>
              <w:rPr>
                <w:rFonts w:ascii="Calibri" w:eastAsia="Times New Roman" w:hAnsi="Calibri" w:cs="Times New Roman"/>
                <w:color w:val="000000"/>
                <w:sz w:val="20"/>
                <w:szCs w:val="20"/>
              </w:rPr>
            </w:pPr>
            <w:r w:rsidRPr="0074736D">
              <w:rPr>
                <w:rFonts w:ascii="Calibri" w:eastAsia="Times New Roman" w:hAnsi="Calibri" w:cs="Times New Roman"/>
                <w:color w:val="000000"/>
                <w:sz w:val="20"/>
                <w:szCs w:val="20"/>
              </w:rPr>
              <w:t>0</w:t>
            </w:r>
          </w:p>
        </w:tc>
        <w:tc>
          <w:tcPr>
            <w:tcW w:w="1224" w:type="dxa"/>
            <w:tcBorders>
              <w:top w:val="nil"/>
              <w:left w:val="nil"/>
              <w:bottom w:val="nil"/>
              <w:right w:val="nil"/>
            </w:tcBorders>
            <w:shd w:val="clear" w:color="auto" w:fill="auto"/>
            <w:noWrap/>
            <w:vAlign w:val="center"/>
            <w:hideMark/>
          </w:tcPr>
          <w:p w:rsidR="0074736D" w:rsidRPr="0074736D" w:rsidRDefault="0074736D" w:rsidP="0074736D">
            <w:pPr>
              <w:spacing w:after="0" w:line="240" w:lineRule="auto"/>
              <w:jc w:val="center"/>
              <w:rPr>
                <w:rFonts w:ascii="Calibri" w:eastAsia="Times New Roman" w:hAnsi="Calibri" w:cs="Times New Roman"/>
                <w:color w:val="000000"/>
                <w:sz w:val="20"/>
                <w:szCs w:val="20"/>
              </w:rPr>
            </w:pPr>
            <w:r w:rsidRPr="0074736D">
              <w:rPr>
                <w:rFonts w:ascii="Calibri" w:eastAsia="Times New Roman" w:hAnsi="Calibri" w:cs="Times New Roman"/>
                <w:color w:val="000000"/>
                <w:sz w:val="20"/>
                <w:szCs w:val="20"/>
              </w:rPr>
              <w:t>0</w:t>
            </w:r>
          </w:p>
        </w:tc>
        <w:tc>
          <w:tcPr>
            <w:tcW w:w="1057" w:type="dxa"/>
            <w:tcBorders>
              <w:top w:val="nil"/>
              <w:left w:val="nil"/>
              <w:bottom w:val="nil"/>
              <w:right w:val="nil"/>
            </w:tcBorders>
            <w:shd w:val="clear" w:color="auto" w:fill="auto"/>
            <w:noWrap/>
            <w:vAlign w:val="center"/>
            <w:hideMark/>
          </w:tcPr>
          <w:p w:rsidR="0074736D" w:rsidRPr="0074736D" w:rsidRDefault="0074736D" w:rsidP="0074736D">
            <w:pPr>
              <w:spacing w:after="0" w:line="240" w:lineRule="auto"/>
              <w:jc w:val="center"/>
              <w:rPr>
                <w:rFonts w:ascii="Calibri" w:eastAsia="Times New Roman" w:hAnsi="Calibri" w:cs="Times New Roman"/>
                <w:color w:val="000000"/>
                <w:sz w:val="20"/>
                <w:szCs w:val="20"/>
              </w:rPr>
            </w:pPr>
            <w:r w:rsidRPr="0074736D">
              <w:rPr>
                <w:rFonts w:ascii="Calibri" w:eastAsia="Times New Roman" w:hAnsi="Calibri" w:cs="Times New Roman"/>
                <w:color w:val="000000"/>
                <w:sz w:val="20"/>
                <w:szCs w:val="20"/>
              </w:rPr>
              <w:t>0</w:t>
            </w:r>
          </w:p>
        </w:tc>
        <w:tc>
          <w:tcPr>
            <w:tcW w:w="1922" w:type="dxa"/>
            <w:tcBorders>
              <w:top w:val="nil"/>
              <w:left w:val="nil"/>
              <w:bottom w:val="nil"/>
              <w:right w:val="nil"/>
            </w:tcBorders>
            <w:shd w:val="clear" w:color="auto" w:fill="auto"/>
            <w:noWrap/>
            <w:vAlign w:val="center"/>
            <w:hideMark/>
          </w:tcPr>
          <w:p w:rsidR="0074736D" w:rsidRPr="0074736D" w:rsidRDefault="0074736D" w:rsidP="0074736D">
            <w:pPr>
              <w:spacing w:after="0" w:line="240" w:lineRule="auto"/>
              <w:jc w:val="center"/>
              <w:rPr>
                <w:rFonts w:ascii="Calibri" w:eastAsia="Times New Roman" w:hAnsi="Calibri" w:cs="Times New Roman"/>
                <w:color w:val="000000"/>
                <w:sz w:val="20"/>
                <w:szCs w:val="20"/>
              </w:rPr>
            </w:pPr>
            <w:r w:rsidRPr="0074736D">
              <w:rPr>
                <w:rFonts w:ascii="Calibri" w:eastAsia="Times New Roman" w:hAnsi="Calibri" w:cs="Times New Roman"/>
                <w:color w:val="000000"/>
                <w:sz w:val="20"/>
                <w:szCs w:val="20"/>
              </w:rPr>
              <w:t>+</w:t>
            </w:r>
          </w:p>
        </w:tc>
      </w:tr>
      <w:tr w:rsidR="0074736D" w:rsidRPr="0074736D" w:rsidTr="0074736D">
        <w:trPr>
          <w:trHeight w:val="270"/>
          <w:jc w:val="center"/>
        </w:trPr>
        <w:tc>
          <w:tcPr>
            <w:tcW w:w="1396" w:type="dxa"/>
            <w:tcBorders>
              <w:top w:val="nil"/>
              <w:left w:val="nil"/>
              <w:bottom w:val="single" w:sz="8" w:space="0" w:color="auto"/>
              <w:right w:val="nil"/>
            </w:tcBorders>
            <w:shd w:val="clear" w:color="auto" w:fill="auto"/>
            <w:noWrap/>
            <w:vAlign w:val="center"/>
            <w:hideMark/>
          </w:tcPr>
          <w:p w:rsidR="0074736D" w:rsidRPr="0074736D" w:rsidRDefault="0074736D" w:rsidP="0074736D">
            <w:pPr>
              <w:spacing w:after="0" w:line="240" w:lineRule="auto"/>
              <w:jc w:val="center"/>
              <w:rPr>
                <w:rFonts w:ascii="Calibri" w:eastAsia="Times New Roman" w:hAnsi="Calibri" w:cs="Times New Roman"/>
                <w:b/>
                <w:bCs/>
                <w:color w:val="000000"/>
                <w:sz w:val="20"/>
                <w:szCs w:val="20"/>
              </w:rPr>
            </w:pPr>
            <w:r w:rsidRPr="0074736D">
              <w:rPr>
                <w:rFonts w:ascii="Calibri" w:eastAsia="Times New Roman" w:hAnsi="Calibri" w:cs="Times New Roman"/>
                <w:b/>
                <w:bCs/>
                <w:color w:val="000000"/>
                <w:sz w:val="20"/>
                <w:szCs w:val="20"/>
              </w:rPr>
              <w:t>Detectability</w:t>
            </w:r>
          </w:p>
        </w:tc>
        <w:tc>
          <w:tcPr>
            <w:tcW w:w="901" w:type="dxa"/>
            <w:tcBorders>
              <w:top w:val="nil"/>
              <w:left w:val="nil"/>
              <w:bottom w:val="single" w:sz="8" w:space="0" w:color="auto"/>
              <w:right w:val="nil"/>
            </w:tcBorders>
            <w:shd w:val="clear" w:color="auto" w:fill="auto"/>
            <w:vAlign w:val="center"/>
            <w:hideMark/>
          </w:tcPr>
          <w:p w:rsidR="0074736D" w:rsidRPr="0074736D" w:rsidRDefault="0074736D" w:rsidP="0074736D">
            <w:pPr>
              <w:spacing w:after="0" w:line="240" w:lineRule="auto"/>
              <w:jc w:val="center"/>
              <w:rPr>
                <w:rFonts w:ascii="Calibri" w:eastAsia="Times New Roman" w:hAnsi="Calibri" w:cs="Times New Roman"/>
                <w:color w:val="000000"/>
                <w:sz w:val="20"/>
                <w:szCs w:val="20"/>
              </w:rPr>
            </w:pPr>
            <w:r w:rsidRPr="0074736D">
              <w:rPr>
                <w:rFonts w:ascii="Calibri" w:eastAsia="Times New Roman" w:hAnsi="Calibri" w:cs="Times New Roman"/>
                <w:color w:val="000000"/>
                <w:sz w:val="20"/>
                <w:szCs w:val="20"/>
              </w:rPr>
              <w:t>No</w:t>
            </w:r>
          </w:p>
        </w:tc>
        <w:tc>
          <w:tcPr>
            <w:tcW w:w="1300" w:type="dxa"/>
            <w:tcBorders>
              <w:top w:val="nil"/>
              <w:left w:val="nil"/>
              <w:bottom w:val="single" w:sz="8" w:space="0" w:color="auto"/>
              <w:right w:val="nil"/>
            </w:tcBorders>
            <w:shd w:val="clear" w:color="auto" w:fill="auto"/>
            <w:noWrap/>
            <w:vAlign w:val="center"/>
            <w:hideMark/>
          </w:tcPr>
          <w:p w:rsidR="0074736D" w:rsidRPr="0074736D" w:rsidRDefault="0074736D" w:rsidP="0074736D">
            <w:pPr>
              <w:spacing w:after="0" w:line="240" w:lineRule="auto"/>
              <w:jc w:val="center"/>
              <w:rPr>
                <w:rFonts w:ascii="Calibri" w:eastAsia="Times New Roman" w:hAnsi="Calibri" w:cs="Times New Roman"/>
                <w:color w:val="000000"/>
                <w:sz w:val="20"/>
                <w:szCs w:val="20"/>
              </w:rPr>
            </w:pPr>
            <w:r w:rsidRPr="0074736D">
              <w:rPr>
                <w:rFonts w:ascii="Calibri" w:eastAsia="Times New Roman" w:hAnsi="Calibri" w:cs="Times New Roman"/>
                <w:color w:val="000000"/>
                <w:sz w:val="20"/>
                <w:szCs w:val="20"/>
              </w:rPr>
              <w:t>No</w:t>
            </w:r>
          </w:p>
        </w:tc>
        <w:tc>
          <w:tcPr>
            <w:tcW w:w="1224" w:type="dxa"/>
            <w:tcBorders>
              <w:top w:val="nil"/>
              <w:left w:val="nil"/>
              <w:bottom w:val="single" w:sz="8" w:space="0" w:color="auto"/>
              <w:right w:val="nil"/>
            </w:tcBorders>
            <w:shd w:val="clear" w:color="auto" w:fill="auto"/>
            <w:noWrap/>
            <w:vAlign w:val="center"/>
            <w:hideMark/>
          </w:tcPr>
          <w:p w:rsidR="0074736D" w:rsidRPr="0074736D" w:rsidRDefault="0074736D" w:rsidP="0074736D">
            <w:pPr>
              <w:spacing w:after="0" w:line="240" w:lineRule="auto"/>
              <w:jc w:val="center"/>
              <w:rPr>
                <w:rFonts w:ascii="Calibri" w:eastAsia="Times New Roman" w:hAnsi="Calibri" w:cs="Times New Roman"/>
                <w:color w:val="000000"/>
                <w:sz w:val="20"/>
                <w:szCs w:val="20"/>
              </w:rPr>
            </w:pPr>
            <w:r w:rsidRPr="0074736D">
              <w:rPr>
                <w:rFonts w:ascii="Calibri" w:eastAsia="Times New Roman" w:hAnsi="Calibri" w:cs="Times New Roman"/>
                <w:color w:val="000000"/>
                <w:sz w:val="20"/>
                <w:szCs w:val="20"/>
              </w:rPr>
              <w:t>No</w:t>
            </w:r>
          </w:p>
        </w:tc>
        <w:tc>
          <w:tcPr>
            <w:tcW w:w="1057" w:type="dxa"/>
            <w:tcBorders>
              <w:top w:val="nil"/>
              <w:left w:val="nil"/>
              <w:bottom w:val="single" w:sz="8" w:space="0" w:color="auto"/>
              <w:right w:val="nil"/>
            </w:tcBorders>
            <w:shd w:val="clear" w:color="auto" w:fill="auto"/>
            <w:noWrap/>
            <w:vAlign w:val="center"/>
            <w:hideMark/>
          </w:tcPr>
          <w:p w:rsidR="0074736D" w:rsidRPr="0074736D" w:rsidRDefault="0074736D" w:rsidP="0074736D">
            <w:pPr>
              <w:spacing w:after="0" w:line="240" w:lineRule="auto"/>
              <w:jc w:val="center"/>
              <w:rPr>
                <w:rFonts w:ascii="Calibri" w:eastAsia="Times New Roman" w:hAnsi="Calibri" w:cs="Times New Roman"/>
                <w:color w:val="000000"/>
                <w:sz w:val="20"/>
                <w:szCs w:val="20"/>
              </w:rPr>
            </w:pPr>
            <w:r w:rsidRPr="0074736D">
              <w:rPr>
                <w:rFonts w:ascii="Calibri" w:eastAsia="Times New Roman" w:hAnsi="Calibri" w:cs="Times New Roman"/>
                <w:color w:val="000000"/>
                <w:sz w:val="20"/>
                <w:szCs w:val="20"/>
              </w:rPr>
              <w:t>No</w:t>
            </w:r>
          </w:p>
        </w:tc>
        <w:tc>
          <w:tcPr>
            <w:tcW w:w="1922" w:type="dxa"/>
            <w:tcBorders>
              <w:top w:val="nil"/>
              <w:left w:val="nil"/>
              <w:bottom w:val="single" w:sz="8" w:space="0" w:color="auto"/>
              <w:right w:val="nil"/>
            </w:tcBorders>
            <w:shd w:val="clear" w:color="auto" w:fill="auto"/>
            <w:noWrap/>
            <w:vAlign w:val="center"/>
            <w:hideMark/>
          </w:tcPr>
          <w:p w:rsidR="0074736D" w:rsidRPr="0074736D" w:rsidRDefault="0074736D" w:rsidP="0074736D">
            <w:pPr>
              <w:spacing w:after="0" w:line="240" w:lineRule="auto"/>
              <w:jc w:val="center"/>
              <w:rPr>
                <w:rFonts w:ascii="Calibri" w:eastAsia="Times New Roman" w:hAnsi="Calibri" w:cs="Times New Roman"/>
                <w:color w:val="000000"/>
                <w:sz w:val="20"/>
                <w:szCs w:val="20"/>
              </w:rPr>
            </w:pPr>
            <w:r w:rsidRPr="0074736D">
              <w:rPr>
                <w:rFonts w:ascii="Calibri" w:eastAsia="Times New Roman" w:hAnsi="Calibri" w:cs="Times New Roman"/>
                <w:color w:val="000000"/>
                <w:sz w:val="20"/>
                <w:szCs w:val="20"/>
              </w:rPr>
              <w:t>Yes</w:t>
            </w:r>
          </w:p>
        </w:tc>
      </w:tr>
    </w:tbl>
    <w:p w:rsidR="0074736D" w:rsidRDefault="0074736D" w:rsidP="00E664E4"/>
    <w:p w:rsidR="00E664E4" w:rsidRDefault="0074736D" w:rsidP="00E664E4">
      <w:pPr>
        <w:jc w:val="center"/>
        <w:rPr>
          <w:i/>
          <w:sz w:val="20"/>
          <w:szCs w:val="20"/>
        </w:rPr>
      </w:pPr>
      <w:r>
        <w:rPr>
          <w:noProof/>
        </w:rPr>
        <w:lastRenderedPageBreak/>
        <w:drawing>
          <wp:inline distT="0" distB="0" distL="0" distR="0" wp14:anchorId="411F5A62" wp14:editId="6ADB493A">
            <wp:extent cx="5943600" cy="44577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6"/>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74736D">
        <w:rPr>
          <w:b/>
          <w:sz w:val="20"/>
          <w:szCs w:val="20"/>
        </w:rPr>
        <w:t>4.88</w:t>
      </w:r>
      <w:r>
        <w:rPr>
          <w:b/>
          <w:sz w:val="20"/>
          <w:szCs w:val="20"/>
        </w:rPr>
        <w:t xml:space="preserve">. Faulty Case 11 </w:t>
      </w:r>
      <m:oMath>
        <m:r>
          <m:rPr>
            <m:sty m:val="bi"/>
          </m:rPr>
          <w:rPr>
            <w:rFonts w:ascii="Cambria Math" w:hAnsi="Cambria Math"/>
            <w:sz w:val="20"/>
            <w:szCs w:val="20"/>
          </w:rPr>
          <m:t>Q</m:t>
        </m:r>
      </m:oMath>
      <w:r>
        <w:rPr>
          <w:b/>
          <w:sz w:val="20"/>
          <w:szCs w:val="20"/>
        </w:rPr>
        <w:t xml:space="preserve">-Statistic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a detectable fault</w:t>
      </w:r>
      <w:r>
        <w:rPr>
          <w:rFonts w:eastAsiaTheme="minorEastAsia"/>
          <w:i/>
          <w:sz w:val="20"/>
          <w:szCs w:val="20"/>
        </w:rPr>
        <w:t>.</w:t>
      </w:r>
    </w:p>
    <w:p w:rsidR="00E664E4" w:rsidRDefault="00E664E4" w:rsidP="00E664E4">
      <w:pPr>
        <w:rPr>
          <w:i/>
          <w:sz w:val="20"/>
          <w:szCs w:val="20"/>
        </w:rPr>
      </w:pPr>
    </w:p>
    <w:p w:rsidR="00E664E4" w:rsidRPr="00EE2556" w:rsidRDefault="0074736D" w:rsidP="00E664E4">
      <w:pPr>
        <w:jc w:val="center"/>
        <w:rPr>
          <w:i/>
          <w:sz w:val="20"/>
          <w:szCs w:val="20"/>
        </w:rPr>
      </w:pPr>
      <w:r>
        <w:rPr>
          <w:noProof/>
        </w:rPr>
        <w:lastRenderedPageBreak/>
        <w:drawing>
          <wp:inline distT="0" distB="0" distL="0" distR="0" wp14:anchorId="799517EC" wp14:editId="67C3C17A">
            <wp:extent cx="5943600" cy="4457700"/>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7"/>
                    <a:stretch>
                      <a:fillRect/>
                    </a:stretch>
                  </pic:blipFill>
                  <pic:spPr>
                    <a:xfrm>
                      <a:off x="0" y="0"/>
                      <a:ext cx="5943600" cy="4457700"/>
                    </a:xfrm>
                    <a:prstGeom prst="rect">
                      <a:avLst/>
                    </a:prstGeom>
                  </pic:spPr>
                </pic:pic>
              </a:graphicData>
            </a:graphic>
          </wp:inline>
        </w:drawing>
      </w:r>
    </w:p>
    <w:p w:rsidR="00E664E4" w:rsidRPr="00EE2556" w:rsidRDefault="00E664E4" w:rsidP="00E664E4">
      <w:pPr>
        <w:rPr>
          <w:i/>
          <w:sz w:val="20"/>
          <w:szCs w:val="20"/>
        </w:rPr>
      </w:pPr>
      <w:r>
        <w:rPr>
          <w:b/>
          <w:sz w:val="20"/>
          <w:szCs w:val="20"/>
        </w:rPr>
        <w:t xml:space="preserve">Figure </w:t>
      </w:r>
      <w:r w:rsidR="0074736D">
        <w:rPr>
          <w:b/>
          <w:sz w:val="20"/>
          <w:szCs w:val="20"/>
        </w:rPr>
        <w:t>4.89</w:t>
      </w:r>
      <w:r>
        <w:rPr>
          <w:b/>
          <w:sz w:val="20"/>
          <w:szCs w:val="20"/>
        </w:rPr>
        <w:t xml:space="preserve">. Faulty Case 11 PC1, PC2, and </w:t>
      </w:r>
      <m:oMath>
        <m:r>
          <m:rPr>
            <m:sty m:val="bi"/>
          </m:rPr>
          <w:rPr>
            <w:rFonts w:ascii="Cambria Math" w:hAnsi="Cambria Math"/>
            <w:sz w:val="20"/>
            <w:szCs w:val="20"/>
          </w:rPr>
          <m:t>Q</m:t>
        </m:r>
      </m:oMath>
      <w:r>
        <w:rPr>
          <w:b/>
          <w:sz w:val="20"/>
          <w:szCs w:val="20"/>
        </w:rPr>
        <w:t xml:space="preserve">-Statistic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 xml:space="preserve">a detectable fault in the </w:t>
      </w:r>
      <m:oMath>
        <m:r>
          <w:rPr>
            <w:rFonts w:ascii="Cambria Math" w:hAnsi="Cambria Math"/>
            <w:sz w:val="20"/>
            <w:szCs w:val="20"/>
          </w:rPr>
          <m:t>Q</m:t>
        </m:r>
      </m:oMath>
      <w:r>
        <w:rPr>
          <w:rFonts w:eastAsiaTheme="minorEastAsia"/>
          <w:i/>
          <w:sz w:val="20"/>
          <w:szCs w:val="20"/>
        </w:rPr>
        <w:t>-statistic.</w:t>
      </w:r>
    </w:p>
    <w:p w:rsidR="00E664E4" w:rsidRDefault="00E664E4" w:rsidP="00E664E4"/>
    <w:p w:rsidR="00567A68" w:rsidRPr="00F71D43" w:rsidRDefault="00567A68" w:rsidP="00E664E4"/>
    <w:p w:rsidR="001B675F" w:rsidRDefault="001B675F">
      <w:pPr>
        <w:rPr>
          <w:rFonts w:asciiTheme="majorHAnsi" w:hAnsiTheme="majorHAnsi"/>
          <w:b/>
        </w:rPr>
      </w:pPr>
      <w:r>
        <w:rPr>
          <w:rFonts w:asciiTheme="majorHAnsi" w:hAnsiTheme="majorHAnsi"/>
          <w:b/>
        </w:rPr>
        <w:br w:type="page"/>
      </w:r>
    </w:p>
    <w:p w:rsidR="00E664E4" w:rsidRDefault="00E664E4" w:rsidP="00E664E4">
      <w:pPr>
        <w:rPr>
          <w:rFonts w:asciiTheme="majorHAnsi" w:hAnsiTheme="majorHAnsi"/>
          <w:b/>
        </w:rPr>
      </w:pPr>
      <w:r>
        <w:rPr>
          <w:rFonts w:asciiTheme="majorHAnsi" w:hAnsiTheme="majorHAnsi"/>
          <w:b/>
        </w:rPr>
        <w:lastRenderedPageBreak/>
        <w:t>4.3.12 Case 12</w:t>
      </w:r>
    </w:p>
    <w:p w:rsidR="00E664E4" w:rsidRDefault="00E664E4" w:rsidP="00E664E4">
      <w:pPr>
        <w:rPr>
          <w:rFonts w:eastAsiaTheme="minorEastAsia"/>
        </w:rPr>
      </w:pPr>
      <w:r>
        <w:t>Faulty Case 12 was the first case used to test the effect of changes to multiple parameters or inputs. It combined two previous cases: Case 1D and Case 11. The uranium input flow rate was increased by 25% in Module 1 for Case 1D and 20% of the UF</w:t>
      </w:r>
      <w:r w:rsidRPr="00B73A82">
        <w:rPr>
          <w:vertAlign w:val="subscript"/>
        </w:rPr>
        <w:t>6</w:t>
      </w:r>
      <w:r>
        <w:t xml:space="preserve"> product was diverted through a new output stream in Module 5 for Case 11. This case models the scenario where additional uranium is fed to the process and then additional purified uranium is diverted before declaration at the end of the process. In Case 1D, the uranium input flow rate was not allowed to vary for data generation but in this case variation was set at ±10% as in the base case.</w:t>
      </w:r>
      <w:r w:rsidR="006F2DD1">
        <w:t xml:space="preserve"> This fault was detectable under all conditions using the </w:t>
      </w:r>
      <m:oMath>
        <m:r>
          <w:rPr>
            <w:rFonts w:ascii="Cambria Math" w:hAnsi="Cambria Math"/>
          </w:rPr>
          <m:t>Q</m:t>
        </m:r>
      </m:oMath>
      <w:r w:rsidR="006F2DD1">
        <w:rPr>
          <w:rFonts w:eastAsiaTheme="minorEastAsia"/>
        </w:rPr>
        <w:t>-statistic. Additionally, under some conditions, this fault was detectable using PC1</w:t>
      </w:r>
      <w:r w:rsidR="00E62112">
        <w:rPr>
          <w:rFonts w:eastAsiaTheme="minorEastAsia"/>
        </w:rPr>
        <w:t xml:space="preserve"> scores</w:t>
      </w:r>
      <w:r w:rsidR="006F2DD1">
        <w:rPr>
          <w:rFonts w:eastAsiaTheme="minorEastAsia"/>
        </w:rPr>
        <w:t xml:space="preserve"> and the Mahalanobis distance.</w:t>
      </w:r>
    </w:p>
    <w:p w:rsidR="001B675F" w:rsidRDefault="006F2DD1" w:rsidP="006F2DD1">
      <w:pPr>
        <w:rPr>
          <w:rFonts w:eastAsiaTheme="minorEastAsia"/>
        </w:rPr>
      </w:pPr>
      <w:r>
        <w:rPr>
          <w:rFonts w:eastAsiaTheme="minorEastAsia"/>
        </w:rPr>
        <w:t>There was a shift in PC1 scores as expected based on Case 1D and since the incoming uranium flow rate [</w:t>
      </w:r>
      <w:proofErr w:type="spellStart"/>
      <w:r>
        <w:rPr>
          <w:rFonts w:eastAsiaTheme="minorEastAsia"/>
        </w:rPr>
        <w:t>Xss</w:t>
      </w:r>
      <w:proofErr w:type="spellEnd"/>
      <w:r>
        <w:rPr>
          <w:rFonts w:eastAsiaTheme="minorEastAsia"/>
        </w:rPr>
        <w:t>(274)] was a heavy contributor to PC1. However, this fault was not detectable under all conditions since approximately 50% of the data points were still within the 95% confidence boundary. There were also very slight shifts in PC2 and PC3</w:t>
      </w:r>
      <w:r w:rsidR="00CE21E4">
        <w:rPr>
          <w:rFonts w:eastAsiaTheme="minorEastAsia"/>
        </w:rPr>
        <w:t xml:space="preserve"> scores</w:t>
      </w:r>
      <w:r>
        <w:rPr>
          <w:rFonts w:eastAsiaTheme="minorEastAsia"/>
        </w:rPr>
        <w:t xml:space="preserve"> but these were not detectable under nearly all conditions. </w:t>
      </w:r>
      <w:r w:rsidR="00E664E4">
        <w:t>The scores plots are shown in Figure</w:t>
      </w:r>
      <w:r>
        <w:t>s</w:t>
      </w:r>
      <w:r w:rsidR="00E664E4">
        <w:t xml:space="preserve"> </w:t>
      </w:r>
      <w:r>
        <w:t>4.90</w:t>
      </w:r>
      <w:r w:rsidR="00E664E4">
        <w:t>–</w:t>
      </w:r>
      <w:r w:rsidR="00BE36F0">
        <w:t>4.</w:t>
      </w:r>
      <w:r>
        <w:t>93</w:t>
      </w:r>
      <w:r w:rsidR="00E664E4">
        <w:t xml:space="preserve">. </w:t>
      </w:r>
      <w:r>
        <w:t>There was a</w:t>
      </w:r>
      <w:r w:rsidR="004E68DC">
        <w:t>n increase</w:t>
      </w:r>
      <w:r>
        <w:t xml:space="preserve"> in the Mahalanobis distance as well (Figure 4.94). However, there are some conditions under which this fault would not be detectable using the Mahalanobis distance since some of the data points were within the 95% confidence boundary. </w:t>
      </w:r>
      <w:r w:rsidR="00546DF6">
        <w:t xml:space="preserve">The shift in the Mahalanobis distance was expected based on Case 1D and because an increase in the throughput by 25% is outside the normal operating conditions of ±10% variation in incoming uranium flow rate. </w:t>
      </w:r>
      <w:r>
        <w:t>There was a</w:t>
      </w:r>
      <w:r w:rsidR="007063C2">
        <w:t>n increase</w:t>
      </w:r>
      <w:r>
        <w:t xml:space="preserve"> in the </w:t>
      </w:r>
      <m:oMath>
        <m:r>
          <w:rPr>
            <w:rFonts w:ascii="Cambria Math" w:hAnsi="Cambria Math"/>
          </w:rPr>
          <m:t>Q</m:t>
        </m:r>
      </m:oMath>
      <w:r>
        <w:rPr>
          <w:rFonts w:eastAsiaTheme="minorEastAsia"/>
        </w:rPr>
        <w:t xml:space="preserve">-statistic (Figures 4.95–4.96). The fault was detectable under all operating conditions using the </w:t>
      </w:r>
      <m:oMath>
        <m:r>
          <w:rPr>
            <w:rFonts w:ascii="Cambria Math" w:hAnsi="Cambria Math"/>
          </w:rPr>
          <m:t>Q</m:t>
        </m:r>
      </m:oMath>
      <w:r>
        <w:rPr>
          <w:rFonts w:eastAsiaTheme="minorEastAsia"/>
        </w:rPr>
        <w:t>-statistic.</w:t>
      </w:r>
      <w:r w:rsidR="00546DF6">
        <w:rPr>
          <w:rFonts w:eastAsiaTheme="minorEastAsia"/>
        </w:rPr>
        <w:t xml:space="preserve"> The fault in the </w:t>
      </w:r>
      <m:oMath>
        <m:r>
          <w:rPr>
            <w:rFonts w:ascii="Cambria Math" w:hAnsi="Cambria Math"/>
          </w:rPr>
          <m:t>Q</m:t>
        </m:r>
      </m:oMath>
      <w:r w:rsidR="00546DF6">
        <w:rPr>
          <w:rFonts w:eastAsiaTheme="minorEastAsia"/>
        </w:rPr>
        <w:t xml:space="preserve">-statistic was expected based on Case 11 and because the diversion was based on a parameter change which changes </w:t>
      </w:r>
      <w:r w:rsidR="006F1843">
        <w:t>the relative relationship between the state variables</w:t>
      </w:r>
      <w:r w:rsidR="00546DF6">
        <w:rPr>
          <w:rFonts w:eastAsiaTheme="minorEastAsia"/>
        </w:rPr>
        <w:t xml:space="preserve">. </w:t>
      </w:r>
      <w:r w:rsidR="000F3EC8">
        <w:t xml:space="preserve">It is recommended that the uranium feed to the plant be monitored for both flow rate and uranium content. Additionally, it is recommended that the streams exiting each major process (e.g., dissolution, solvent extraction, fluorination) as product or waste be monitored for flow rate and uranium content. It is highly recommended that the final product from the NUCP be monitored and correlated to the uranium feed to the plant. </w:t>
      </w:r>
      <w:r w:rsidR="00546DF6">
        <w:rPr>
          <w:rFonts w:eastAsiaTheme="minorEastAsia"/>
        </w:rPr>
        <w:t>This faulty case along with a comparison of the Case 1D and Case 11 results are provided in Table 4.32.</w:t>
      </w:r>
    </w:p>
    <w:p w:rsidR="00DD216A" w:rsidRDefault="00DD216A">
      <w:pPr>
        <w:rPr>
          <w:rFonts w:eastAsiaTheme="minorEastAsia"/>
        </w:rPr>
      </w:pPr>
    </w:p>
    <w:p w:rsidR="001B675F" w:rsidRDefault="001B675F">
      <w:pPr>
        <w:rPr>
          <w:rFonts w:eastAsiaTheme="minorEastAsia"/>
        </w:rPr>
      </w:pPr>
      <w:r>
        <w:rPr>
          <w:rFonts w:eastAsiaTheme="minorEastAsia"/>
        </w:rPr>
        <w:br w:type="page"/>
      </w:r>
    </w:p>
    <w:tbl>
      <w:tblPr>
        <w:tblW w:w="7820" w:type="dxa"/>
        <w:jc w:val="center"/>
        <w:tblInd w:w="93" w:type="dxa"/>
        <w:tblLook w:val="04A0" w:firstRow="1" w:lastRow="0" w:firstColumn="1" w:lastColumn="0" w:noHBand="0" w:noVBand="1"/>
      </w:tblPr>
      <w:tblGrid>
        <w:gridCol w:w="1373"/>
        <w:gridCol w:w="986"/>
        <w:gridCol w:w="1378"/>
        <w:gridCol w:w="1204"/>
        <w:gridCol w:w="1190"/>
        <w:gridCol w:w="1689"/>
      </w:tblGrid>
      <w:tr w:rsidR="00546DF6" w:rsidRPr="00546DF6" w:rsidTr="00546DF6">
        <w:trPr>
          <w:trHeight w:val="270"/>
          <w:jc w:val="center"/>
        </w:trPr>
        <w:tc>
          <w:tcPr>
            <w:tcW w:w="7820" w:type="dxa"/>
            <w:gridSpan w:val="6"/>
            <w:tcBorders>
              <w:top w:val="nil"/>
              <w:left w:val="nil"/>
              <w:bottom w:val="single" w:sz="8" w:space="0" w:color="auto"/>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b/>
                <w:bCs/>
                <w:color w:val="000000"/>
                <w:sz w:val="20"/>
                <w:szCs w:val="20"/>
              </w:rPr>
            </w:pPr>
            <w:r w:rsidRPr="00546DF6">
              <w:rPr>
                <w:rFonts w:ascii="Calibri" w:eastAsia="Times New Roman" w:hAnsi="Calibri" w:cs="Times New Roman"/>
                <w:b/>
                <w:bCs/>
                <w:color w:val="000000"/>
                <w:sz w:val="20"/>
                <w:szCs w:val="20"/>
              </w:rPr>
              <w:lastRenderedPageBreak/>
              <w:t>Table 4.32. Summary of Faulty Case 12</w:t>
            </w:r>
          </w:p>
        </w:tc>
      </w:tr>
      <w:tr w:rsidR="00546DF6" w:rsidRPr="00546DF6" w:rsidTr="00546DF6">
        <w:trPr>
          <w:trHeight w:val="255"/>
          <w:jc w:val="center"/>
        </w:trPr>
        <w:tc>
          <w:tcPr>
            <w:tcW w:w="7820" w:type="dxa"/>
            <w:gridSpan w:val="6"/>
            <w:tcBorders>
              <w:top w:val="nil"/>
              <w:left w:val="nil"/>
              <w:bottom w:val="nil"/>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b/>
                <w:bCs/>
                <w:color w:val="000000"/>
                <w:sz w:val="20"/>
                <w:szCs w:val="20"/>
              </w:rPr>
            </w:pPr>
            <w:r w:rsidRPr="00546DF6">
              <w:rPr>
                <w:rFonts w:ascii="Calibri" w:eastAsia="Times New Roman" w:hAnsi="Calibri" w:cs="Times New Roman"/>
                <w:b/>
                <w:bCs/>
                <w:color w:val="000000"/>
                <w:sz w:val="20"/>
                <w:szCs w:val="20"/>
              </w:rPr>
              <w:t>Summary of Faulty Case</w:t>
            </w:r>
          </w:p>
        </w:tc>
      </w:tr>
      <w:tr w:rsidR="00546DF6" w:rsidRPr="00546DF6" w:rsidTr="00546DF6">
        <w:trPr>
          <w:trHeight w:val="255"/>
          <w:jc w:val="center"/>
        </w:trPr>
        <w:tc>
          <w:tcPr>
            <w:tcW w:w="1373" w:type="dxa"/>
            <w:tcBorders>
              <w:top w:val="nil"/>
              <w:left w:val="nil"/>
              <w:bottom w:val="single" w:sz="4" w:space="0" w:color="auto"/>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b/>
                <w:bCs/>
                <w:color w:val="000000"/>
                <w:sz w:val="20"/>
                <w:szCs w:val="20"/>
              </w:rPr>
            </w:pPr>
            <w:r w:rsidRPr="00546DF6">
              <w:rPr>
                <w:rFonts w:ascii="Calibri" w:eastAsia="Times New Roman" w:hAnsi="Calibri" w:cs="Times New Roman"/>
                <w:b/>
                <w:bCs/>
                <w:color w:val="000000"/>
                <w:sz w:val="20"/>
                <w:szCs w:val="20"/>
              </w:rPr>
              <w:t>Priority</w:t>
            </w:r>
          </w:p>
        </w:tc>
        <w:tc>
          <w:tcPr>
            <w:tcW w:w="986" w:type="dxa"/>
            <w:tcBorders>
              <w:top w:val="nil"/>
              <w:left w:val="nil"/>
              <w:bottom w:val="single" w:sz="4" w:space="0" w:color="auto"/>
              <w:right w:val="nil"/>
            </w:tcBorders>
            <w:shd w:val="clear" w:color="auto" w:fill="auto"/>
            <w:vAlign w:val="center"/>
            <w:hideMark/>
          </w:tcPr>
          <w:p w:rsidR="00546DF6" w:rsidRPr="00546DF6" w:rsidRDefault="00546DF6" w:rsidP="00546DF6">
            <w:pPr>
              <w:spacing w:after="0" w:line="240" w:lineRule="auto"/>
              <w:jc w:val="center"/>
              <w:rPr>
                <w:rFonts w:ascii="Calibri" w:eastAsia="Times New Roman" w:hAnsi="Calibri" w:cs="Times New Roman"/>
                <w:b/>
                <w:bCs/>
                <w:sz w:val="20"/>
                <w:szCs w:val="20"/>
              </w:rPr>
            </w:pPr>
            <w:r w:rsidRPr="00546DF6">
              <w:rPr>
                <w:rFonts w:ascii="Calibri" w:eastAsia="Times New Roman" w:hAnsi="Calibri" w:cs="Times New Roman"/>
                <w:b/>
                <w:bCs/>
                <w:sz w:val="20"/>
                <w:szCs w:val="20"/>
              </w:rPr>
              <w:t>Modules</w:t>
            </w:r>
          </w:p>
        </w:tc>
        <w:tc>
          <w:tcPr>
            <w:tcW w:w="1378" w:type="dxa"/>
            <w:tcBorders>
              <w:top w:val="nil"/>
              <w:left w:val="nil"/>
              <w:bottom w:val="single" w:sz="4" w:space="0" w:color="auto"/>
              <w:right w:val="nil"/>
            </w:tcBorders>
            <w:shd w:val="clear" w:color="auto" w:fill="auto"/>
            <w:vAlign w:val="center"/>
            <w:hideMark/>
          </w:tcPr>
          <w:p w:rsidR="00546DF6" w:rsidRPr="00546DF6" w:rsidRDefault="00546DF6" w:rsidP="00546DF6">
            <w:pPr>
              <w:spacing w:after="0" w:line="240" w:lineRule="auto"/>
              <w:jc w:val="center"/>
              <w:rPr>
                <w:rFonts w:ascii="Calibri" w:eastAsia="Times New Roman" w:hAnsi="Calibri" w:cs="Times New Roman"/>
                <w:b/>
                <w:bCs/>
                <w:sz w:val="20"/>
                <w:szCs w:val="20"/>
              </w:rPr>
            </w:pPr>
            <w:r w:rsidRPr="00546DF6">
              <w:rPr>
                <w:rFonts w:ascii="Calibri" w:eastAsia="Times New Roman" w:hAnsi="Calibri" w:cs="Times New Roman"/>
                <w:b/>
                <w:bCs/>
                <w:sz w:val="20"/>
                <w:szCs w:val="20"/>
              </w:rPr>
              <w:t>Faulty Variable</w:t>
            </w:r>
          </w:p>
        </w:tc>
        <w:tc>
          <w:tcPr>
            <w:tcW w:w="1204" w:type="dxa"/>
            <w:tcBorders>
              <w:top w:val="nil"/>
              <w:left w:val="nil"/>
              <w:bottom w:val="single" w:sz="4" w:space="0" w:color="auto"/>
              <w:right w:val="nil"/>
            </w:tcBorders>
            <w:shd w:val="clear" w:color="auto" w:fill="auto"/>
            <w:vAlign w:val="center"/>
            <w:hideMark/>
          </w:tcPr>
          <w:p w:rsidR="00546DF6" w:rsidRPr="00546DF6" w:rsidRDefault="00546DF6" w:rsidP="00546DF6">
            <w:pPr>
              <w:spacing w:after="0" w:line="240" w:lineRule="auto"/>
              <w:jc w:val="center"/>
              <w:rPr>
                <w:rFonts w:ascii="Calibri" w:eastAsia="Times New Roman" w:hAnsi="Calibri" w:cs="Times New Roman"/>
                <w:b/>
                <w:bCs/>
                <w:color w:val="000000"/>
                <w:sz w:val="20"/>
                <w:szCs w:val="20"/>
              </w:rPr>
            </w:pPr>
            <w:r w:rsidRPr="00546DF6">
              <w:rPr>
                <w:rFonts w:ascii="Calibri" w:eastAsia="Times New Roman" w:hAnsi="Calibri" w:cs="Times New Roman"/>
                <w:b/>
                <w:bCs/>
                <w:color w:val="000000"/>
                <w:sz w:val="20"/>
                <w:szCs w:val="20"/>
              </w:rPr>
              <w:t>Base Case Value</w:t>
            </w:r>
          </w:p>
        </w:tc>
        <w:tc>
          <w:tcPr>
            <w:tcW w:w="1190" w:type="dxa"/>
            <w:tcBorders>
              <w:top w:val="nil"/>
              <w:left w:val="nil"/>
              <w:bottom w:val="single" w:sz="4" w:space="0" w:color="auto"/>
              <w:right w:val="nil"/>
            </w:tcBorders>
            <w:shd w:val="clear" w:color="auto" w:fill="auto"/>
            <w:vAlign w:val="center"/>
            <w:hideMark/>
          </w:tcPr>
          <w:p w:rsidR="00546DF6" w:rsidRPr="00546DF6" w:rsidRDefault="00546DF6" w:rsidP="00546DF6">
            <w:pPr>
              <w:spacing w:after="0" w:line="240" w:lineRule="auto"/>
              <w:jc w:val="center"/>
              <w:rPr>
                <w:rFonts w:ascii="Calibri" w:eastAsia="Times New Roman" w:hAnsi="Calibri" w:cs="Times New Roman"/>
                <w:b/>
                <w:bCs/>
                <w:color w:val="000000"/>
                <w:sz w:val="20"/>
                <w:szCs w:val="20"/>
              </w:rPr>
            </w:pPr>
            <w:r w:rsidRPr="00546DF6">
              <w:rPr>
                <w:rFonts w:ascii="Calibri" w:eastAsia="Times New Roman" w:hAnsi="Calibri" w:cs="Times New Roman"/>
                <w:b/>
                <w:bCs/>
                <w:color w:val="000000"/>
                <w:sz w:val="20"/>
                <w:szCs w:val="20"/>
              </w:rPr>
              <w:t>Faulty Value</w:t>
            </w:r>
          </w:p>
        </w:tc>
        <w:tc>
          <w:tcPr>
            <w:tcW w:w="1689" w:type="dxa"/>
            <w:tcBorders>
              <w:top w:val="nil"/>
              <w:left w:val="nil"/>
              <w:bottom w:val="single" w:sz="4" w:space="0" w:color="auto"/>
              <w:right w:val="nil"/>
            </w:tcBorders>
            <w:shd w:val="clear" w:color="auto" w:fill="auto"/>
            <w:vAlign w:val="center"/>
            <w:hideMark/>
          </w:tcPr>
          <w:p w:rsidR="00546DF6" w:rsidRPr="00546DF6" w:rsidRDefault="00546DF6" w:rsidP="00546DF6">
            <w:pPr>
              <w:spacing w:after="0" w:line="240" w:lineRule="auto"/>
              <w:jc w:val="center"/>
              <w:rPr>
                <w:rFonts w:ascii="Calibri" w:eastAsia="Times New Roman" w:hAnsi="Calibri" w:cs="Times New Roman"/>
                <w:b/>
                <w:bCs/>
                <w:sz w:val="20"/>
                <w:szCs w:val="20"/>
              </w:rPr>
            </w:pPr>
            <w:r w:rsidRPr="00546DF6">
              <w:rPr>
                <w:rFonts w:ascii="Calibri" w:eastAsia="Times New Roman" w:hAnsi="Calibri" w:cs="Times New Roman"/>
                <w:b/>
                <w:bCs/>
                <w:sz w:val="20"/>
                <w:szCs w:val="20"/>
              </w:rPr>
              <w:t>Physical Description</w:t>
            </w:r>
          </w:p>
        </w:tc>
      </w:tr>
      <w:tr w:rsidR="00546DF6" w:rsidRPr="00546DF6" w:rsidTr="00546DF6">
        <w:trPr>
          <w:trHeight w:val="1050"/>
          <w:jc w:val="center"/>
        </w:trPr>
        <w:tc>
          <w:tcPr>
            <w:tcW w:w="1373" w:type="dxa"/>
            <w:tcBorders>
              <w:top w:val="nil"/>
              <w:left w:val="nil"/>
              <w:bottom w:val="nil"/>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sidRPr="00546DF6">
              <w:rPr>
                <w:rFonts w:ascii="Calibri" w:eastAsia="Times New Roman" w:hAnsi="Calibri" w:cs="Times New Roman"/>
                <w:color w:val="000000"/>
                <w:sz w:val="20"/>
                <w:szCs w:val="20"/>
              </w:rPr>
              <w:t>High</w:t>
            </w:r>
          </w:p>
        </w:tc>
        <w:tc>
          <w:tcPr>
            <w:tcW w:w="986" w:type="dxa"/>
            <w:tcBorders>
              <w:top w:val="nil"/>
              <w:left w:val="nil"/>
              <w:bottom w:val="nil"/>
              <w:right w:val="nil"/>
            </w:tcBorders>
            <w:shd w:val="clear" w:color="auto" w:fill="auto"/>
            <w:vAlign w:val="center"/>
            <w:hideMark/>
          </w:tcPr>
          <w:p w:rsidR="00546DF6" w:rsidRPr="00546DF6" w:rsidRDefault="00546DF6" w:rsidP="002A316A">
            <w:pPr>
              <w:spacing w:after="0" w:line="240" w:lineRule="auto"/>
              <w:jc w:val="center"/>
              <w:rPr>
                <w:rFonts w:ascii="Calibri" w:eastAsia="Times New Roman" w:hAnsi="Calibri" w:cs="Times New Roman"/>
                <w:color w:val="000000"/>
                <w:sz w:val="20"/>
                <w:szCs w:val="20"/>
              </w:rPr>
            </w:pPr>
            <w:r w:rsidRPr="00546DF6">
              <w:rPr>
                <w:rFonts w:ascii="Calibri" w:eastAsia="Times New Roman" w:hAnsi="Calibri" w:cs="Times New Roman"/>
                <w:color w:val="000000"/>
                <w:sz w:val="20"/>
                <w:szCs w:val="20"/>
              </w:rPr>
              <w:t xml:space="preserve">1 and </w:t>
            </w:r>
            <w:r w:rsidR="002A316A">
              <w:rPr>
                <w:rFonts w:ascii="Calibri" w:eastAsia="Times New Roman" w:hAnsi="Calibri" w:cs="Times New Roman"/>
                <w:color w:val="000000"/>
                <w:sz w:val="20"/>
                <w:szCs w:val="20"/>
              </w:rPr>
              <w:t>5</w:t>
            </w:r>
          </w:p>
        </w:tc>
        <w:tc>
          <w:tcPr>
            <w:tcW w:w="1378" w:type="dxa"/>
            <w:tcBorders>
              <w:top w:val="nil"/>
              <w:left w:val="nil"/>
              <w:bottom w:val="nil"/>
              <w:right w:val="nil"/>
            </w:tcBorders>
            <w:shd w:val="clear" w:color="auto" w:fill="auto"/>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sidRPr="00546DF6">
              <w:rPr>
                <w:rFonts w:ascii="Calibri" w:eastAsia="Times New Roman" w:hAnsi="Calibri" w:cs="Times New Roman"/>
                <w:color w:val="000000"/>
                <w:sz w:val="20"/>
                <w:szCs w:val="20"/>
              </w:rPr>
              <w:t>F</w:t>
            </w:r>
            <w:r w:rsidRPr="00546DF6">
              <w:rPr>
                <w:rFonts w:ascii="Calibri" w:eastAsia="Times New Roman" w:hAnsi="Calibri" w:cs="Times New Roman"/>
                <w:color w:val="000000"/>
                <w:sz w:val="20"/>
                <w:szCs w:val="20"/>
                <w:vertAlign w:val="subscript"/>
              </w:rPr>
              <w:t>1A,U</w:t>
            </w:r>
            <w:r w:rsidRPr="00546DF6">
              <w:rPr>
                <w:rFonts w:ascii="Calibri" w:eastAsia="Times New Roman" w:hAnsi="Calibri" w:cs="Times New Roman"/>
                <w:color w:val="000000"/>
                <w:sz w:val="20"/>
                <w:szCs w:val="20"/>
              </w:rPr>
              <w:t xml:space="preserve"> and S</w:t>
            </w:r>
            <w:r w:rsidRPr="00546DF6">
              <w:rPr>
                <w:rFonts w:ascii="Calibri" w:eastAsia="Times New Roman" w:hAnsi="Calibri" w:cs="Times New Roman"/>
                <w:color w:val="000000"/>
                <w:sz w:val="20"/>
                <w:szCs w:val="20"/>
                <w:vertAlign w:val="subscript"/>
              </w:rPr>
              <w:t>Mod5F,2</w:t>
            </w:r>
          </w:p>
        </w:tc>
        <w:tc>
          <w:tcPr>
            <w:tcW w:w="1204" w:type="dxa"/>
            <w:tcBorders>
              <w:top w:val="nil"/>
              <w:left w:val="nil"/>
              <w:bottom w:val="nil"/>
              <w:right w:val="nil"/>
            </w:tcBorders>
            <w:shd w:val="clear" w:color="auto" w:fill="auto"/>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sidRPr="00546DF6">
              <w:rPr>
                <w:rFonts w:ascii="Calibri" w:eastAsia="Times New Roman" w:hAnsi="Calibri" w:cs="Times New Roman"/>
                <w:color w:val="000000"/>
                <w:sz w:val="20"/>
                <w:szCs w:val="20"/>
              </w:rPr>
              <w:t>50 kg/h; N/A</w:t>
            </w:r>
          </w:p>
        </w:tc>
        <w:tc>
          <w:tcPr>
            <w:tcW w:w="1190" w:type="dxa"/>
            <w:tcBorders>
              <w:top w:val="nil"/>
              <w:left w:val="nil"/>
              <w:bottom w:val="nil"/>
              <w:right w:val="nil"/>
            </w:tcBorders>
            <w:shd w:val="clear" w:color="auto" w:fill="auto"/>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sidRPr="00546DF6">
              <w:rPr>
                <w:rFonts w:ascii="Calibri" w:eastAsia="Times New Roman" w:hAnsi="Calibri" w:cs="Times New Roman"/>
                <w:color w:val="000000"/>
                <w:sz w:val="20"/>
                <w:szCs w:val="20"/>
              </w:rPr>
              <w:t>62.5 kg/h; 0.2</w:t>
            </w:r>
          </w:p>
        </w:tc>
        <w:tc>
          <w:tcPr>
            <w:tcW w:w="1689" w:type="dxa"/>
            <w:tcBorders>
              <w:top w:val="nil"/>
              <w:left w:val="nil"/>
              <w:bottom w:val="nil"/>
              <w:right w:val="nil"/>
            </w:tcBorders>
            <w:shd w:val="clear" w:color="auto" w:fill="auto"/>
            <w:vAlign w:val="center"/>
            <w:hideMark/>
          </w:tcPr>
          <w:p w:rsidR="00546DF6" w:rsidRPr="00546DF6" w:rsidRDefault="00546DF6" w:rsidP="00546DF6">
            <w:pPr>
              <w:spacing w:after="0" w:line="240" w:lineRule="auto"/>
              <w:rPr>
                <w:rFonts w:ascii="Calibri" w:eastAsia="Times New Roman" w:hAnsi="Calibri" w:cs="Times New Roman"/>
                <w:sz w:val="20"/>
                <w:szCs w:val="20"/>
              </w:rPr>
            </w:pPr>
            <w:r w:rsidRPr="00546DF6">
              <w:rPr>
                <w:rFonts w:ascii="Calibri" w:eastAsia="Times New Roman" w:hAnsi="Calibri" w:cs="Times New Roman"/>
                <w:sz w:val="20"/>
                <w:szCs w:val="20"/>
              </w:rPr>
              <w:t>Increase uranium throughput by 25% then divert 20% of the purified UF</w:t>
            </w:r>
            <w:r w:rsidRPr="00546DF6">
              <w:rPr>
                <w:rFonts w:ascii="Calibri" w:eastAsia="Times New Roman" w:hAnsi="Calibri" w:cs="Times New Roman"/>
                <w:sz w:val="20"/>
                <w:szCs w:val="20"/>
                <w:vertAlign w:val="subscript"/>
              </w:rPr>
              <w:t>6</w:t>
            </w:r>
          </w:p>
        </w:tc>
      </w:tr>
      <w:tr w:rsidR="00546DF6" w:rsidRPr="00546DF6" w:rsidTr="00546DF6">
        <w:trPr>
          <w:trHeight w:val="255"/>
          <w:jc w:val="center"/>
        </w:trPr>
        <w:tc>
          <w:tcPr>
            <w:tcW w:w="7820" w:type="dxa"/>
            <w:gridSpan w:val="6"/>
            <w:tcBorders>
              <w:top w:val="single" w:sz="4" w:space="0" w:color="auto"/>
              <w:left w:val="nil"/>
              <w:bottom w:val="nil"/>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b/>
                <w:bCs/>
                <w:color w:val="000000"/>
                <w:sz w:val="20"/>
                <w:szCs w:val="20"/>
              </w:rPr>
            </w:pPr>
            <w:r w:rsidRPr="00546DF6">
              <w:rPr>
                <w:rFonts w:ascii="Calibri" w:eastAsia="Times New Roman" w:hAnsi="Calibri" w:cs="Times New Roman"/>
                <w:b/>
                <w:bCs/>
                <w:color w:val="000000"/>
                <w:sz w:val="20"/>
                <w:szCs w:val="20"/>
              </w:rPr>
              <w:t>Summary of Results</w:t>
            </w:r>
          </w:p>
        </w:tc>
      </w:tr>
      <w:tr w:rsidR="00546DF6" w:rsidRPr="00546DF6" w:rsidTr="00546DF6">
        <w:trPr>
          <w:trHeight w:val="255"/>
          <w:jc w:val="center"/>
        </w:trPr>
        <w:tc>
          <w:tcPr>
            <w:tcW w:w="1373" w:type="dxa"/>
            <w:tcBorders>
              <w:top w:val="nil"/>
              <w:left w:val="nil"/>
              <w:bottom w:val="single" w:sz="4" w:space="0" w:color="auto"/>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sidRPr="00546DF6">
              <w:rPr>
                <w:rFonts w:ascii="Calibri" w:eastAsia="Times New Roman" w:hAnsi="Calibri" w:cs="Times New Roman"/>
                <w:color w:val="000000"/>
                <w:sz w:val="20"/>
                <w:szCs w:val="20"/>
              </w:rPr>
              <w:t> </w:t>
            </w:r>
          </w:p>
        </w:tc>
        <w:tc>
          <w:tcPr>
            <w:tcW w:w="986" w:type="dxa"/>
            <w:tcBorders>
              <w:top w:val="nil"/>
              <w:left w:val="nil"/>
              <w:bottom w:val="single" w:sz="4" w:space="0" w:color="auto"/>
              <w:right w:val="nil"/>
            </w:tcBorders>
            <w:shd w:val="clear" w:color="auto" w:fill="auto"/>
            <w:vAlign w:val="center"/>
            <w:hideMark/>
          </w:tcPr>
          <w:p w:rsidR="00546DF6" w:rsidRDefault="00546DF6" w:rsidP="00546DF6">
            <w:pPr>
              <w:spacing w:after="0" w:line="240" w:lineRule="auto"/>
              <w:jc w:val="center"/>
              <w:rPr>
                <w:rFonts w:ascii="Calibri" w:eastAsia="Times New Roman" w:hAnsi="Calibri" w:cs="Times New Roman"/>
                <w:b/>
                <w:bCs/>
                <w:sz w:val="20"/>
                <w:szCs w:val="20"/>
              </w:rPr>
            </w:pPr>
            <w:r w:rsidRPr="00546DF6">
              <w:rPr>
                <w:rFonts w:ascii="Calibri" w:eastAsia="Times New Roman" w:hAnsi="Calibri" w:cs="Times New Roman"/>
                <w:b/>
                <w:bCs/>
                <w:sz w:val="20"/>
                <w:szCs w:val="20"/>
              </w:rPr>
              <w:t>PC1</w:t>
            </w:r>
          </w:p>
          <w:p w:rsidR="00AC7D91" w:rsidRPr="00546DF6" w:rsidRDefault="00AC7D91" w:rsidP="00546DF6">
            <w:pPr>
              <w:spacing w:after="0" w:line="240" w:lineRule="auto"/>
              <w:jc w:val="center"/>
              <w:rPr>
                <w:rFonts w:ascii="Calibri" w:eastAsia="Times New Roman" w:hAnsi="Calibri" w:cs="Times New Roman"/>
                <w:b/>
                <w:bCs/>
                <w:sz w:val="20"/>
                <w:szCs w:val="20"/>
              </w:rPr>
            </w:pPr>
            <w:r>
              <w:rPr>
                <w:rFonts w:ascii="Calibri" w:eastAsia="Times New Roman" w:hAnsi="Calibri" w:cs="Times New Roman"/>
                <w:b/>
                <w:bCs/>
                <w:sz w:val="20"/>
                <w:szCs w:val="20"/>
              </w:rPr>
              <w:t>Scores</w:t>
            </w:r>
          </w:p>
        </w:tc>
        <w:tc>
          <w:tcPr>
            <w:tcW w:w="1378" w:type="dxa"/>
            <w:tcBorders>
              <w:top w:val="nil"/>
              <w:left w:val="nil"/>
              <w:bottom w:val="single" w:sz="4" w:space="0" w:color="auto"/>
              <w:right w:val="nil"/>
            </w:tcBorders>
            <w:shd w:val="clear" w:color="auto" w:fill="auto"/>
            <w:vAlign w:val="center"/>
            <w:hideMark/>
          </w:tcPr>
          <w:p w:rsidR="00546DF6" w:rsidRDefault="00546DF6" w:rsidP="00546DF6">
            <w:pPr>
              <w:spacing w:after="0" w:line="240" w:lineRule="auto"/>
              <w:jc w:val="center"/>
              <w:rPr>
                <w:rFonts w:ascii="Calibri" w:eastAsia="Times New Roman" w:hAnsi="Calibri" w:cs="Times New Roman"/>
                <w:b/>
                <w:bCs/>
                <w:color w:val="000000"/>
                <w:sz w:val="20"/>
                <w:szCs w:val="20"/>
              </w:rPr>
            </w:pPr>
            <w:r w:rsidRPr="00546DF6">
              <w:rPr>
                <w:rFonts w:ascii="Calibri" w:eastAsia="Times New Roman" w:hAnsi="Calibri" w:cs="Times New Roman"/>
                <w:b/>
                <w:bCs/>
                <w:color w:val="000000"/>
                <w:sz w:val="20"/>
                <w:szCs w:val="20"/>
              </w:rPr>
              <w:t>PC2</w:t>
            </w:r>
          </w:p>
          <w:p w:rsidR="00AC7D91" w:rsidRPr="00546DF6" w:rsidRDefault="00AC7D91" w:rsidP="00546DF6">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1204" w:type="dxa"/>
            <w:tcBorders>
              <w:top w:val="nil"/>
              <w:left w:val="nil"/>
              <w:bottom w:val="single" w:sz="4" w:space="0" w:color="auto"/>
              <w:right w:val="nil"/>
            </w:tcBorders>
            <w:shd w:val="clear" w:color="auto" w:fill="auto"/>
            <w:vAlign w:val="center"/>
            <w:hideMark/>
          </w:tcPr>
          <w:p w:rsidR="00546DF6" w:rsidRDefault="00546DF6" w:rsidP="00546DF6">
            <w:pPr>
              <w:spacing w:after="0" w:line="240" w:lineRule="auto"/>
              <w:jc w:val="center"/>
              <w:rPr>
                <w:rFonts w:ascii="Calibri" w:eastAsia="Times New Roman" w:hAnsi="Calibri" w:cs="Times New Roman"/>
                <w:b/>
                <w:bCs/>
                <w:color w:val="000000"/>
                <w:sz w:val="20"/>
                <w:szCs w:val="20"/>
              </w:rPr>
            </w:pPr>
            <w:r w:rsidRPr="00546DF6">
              <w:rPr>
                <w:rFonts w:ascii="Calibri" w:eastAsia="Times New Roman" w:hAnsi="Calibri" w:cs="Times New Roman"/>
                <w:b/>
                <w:bCs/>
                <w:color w:val="000000"/>
                <w:sz w:val="20"/>
                <w:szCs w:val="20"/>
              </w:rPr>
              <w:t>PC3</w:t>
            </w:r>
          </w:p>
          <w:p w:rsidR="00AC7D91" w:rsidRPr="00546DF6" w:rsidRDefault="00AC7D91" w:rsidP="00546DF6">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1190" w:type="dxa"/>
            <w:tcBorders>
              <w:top w:val="nil"/>
              <w:left w:val="nil"/>
              <w:bottom w:val="single" w:sz="4" w:space="0" w:color="auto"/>
              <w:right w:val="nil"/>
            </w:tcBorders>
            <w:shd w:val="clear" w:color="auto" w:fill="auto"/>
            <w:vAlign w:val="center"/>
            <w:hideMark/>
          </w:tcPr>
          <w:p w:rsidR="00546DF6" w:rsidRPr="00546DF6" w:rsidRDefault="00546DF6" w:rsidP="00546DF6">
            <w:pPr>
              <w:spacing w:after="0" w:line="240" w:lineRule="auto"/>
              <w:jc w:val="center"/>
              <w:rPr>
                <w:rFonts w:ascii="Calibri" w:eastAsia="Times New Roman" w:hAnsi="Calibri" w:cs="Times New Roman"/>
                <w:b/>
                <w:bCs/>
                <w:color w:val="000000"/>
                <w:sz w:val="20"/>
                <w:szCs w:val="20"/>
              </w:rPr>
            </w:pPr>
            <w:r w:rsidRPr="00546DF6">
              <w:rPr>
                <w:rFonts w:ascii="Calibri" w:eastAsia="Times New Roman" w:hAnsi="Calibri" w:cs="Times New Roman"/>
                <w:b/>
                <w:bCs/>
                <w:color w:val="000000"/>
                <w:sz w:val="20"/>
                <w:szCs w:val="20"/>
              </w:rPr>
              <w:t>T2</w:t>
            </w:r>
          </w:p>
        </w:tc>
        <w:tc>
          <w:tcPr>
            <w:tcW w:w="1689" w:type="dxa"/>
            <w:tcBorders>
              <w:top w:val="nil"/>
              <w:left w:val="nil"/>
              <w:bottom w:val="single" w:sz="4" w:space="0" w:color="auto"/>
              <w:right w:val="nil"/>
            </w:tcBorders>
            <w:shd w:val="clear" w:color="auto" w:fill="auto"/>
            <w:vAlign w:val="center"/>
            <w:hideMark/>
          </w:tcPr>
          <w:p w:rsidR="00546DF6" w:rsidRPr="00546DF6" w:rsidRDefault="00546DF6" w:rsidP="00546DF6">
            <w:pPr>
              <w:spacing w:after="0" w:line="240" w:lineRule="auto"/>
              <w:jc w:val="center"/>
              <w:rPr>
                <w:rFonts w:ascii="Calibri" w:eastAsia="Times New Roman" w:hAnsi="Calibri" w:cs="Times New Roman"/>
                <w:b/>
                <w:bCs/>
                <w:color w:val="000000"/>
                <w:sz w:val="20"/>
                <w:szCs w:val="20"/>
              </w:rPr>
            </w:pPr>
            <w:r w:rsidRPr="00546DF6">
              <w:rPr>
                <w:rFonts w:ascii="Calibri" w:eastAsia="Times New Roman" w:hAnsi="Calibri" w:cs="Times New Roman"/>
                <w:b/>
                <w:bCs/>
                <w:color w:val="000000"/>
                <w:sz w:val="20"/>
                <w:szCs w:val="20"/>
              </w:rPr>
              <w:t>Q</w:t>
            </w:r>
          </w:p>
        </w:tc>
      </w:tr>
      <w:tr w:rsidR="00546DF6" w:rsidRPr="00546DF6" w:rsidTr="00546DF6">
        <w:trPr>
          <w:trHeight w:val="255"/>
          <w:jc w:val="center"/>
        </w:trPr>
        <w:tc>
          <w:tcPr>
            <w:tcW w:w="1373" w:type="dxa"/>
            <w:tcBorders>
              <w:top w:val="nil"/>
              <w:left w:val="nil"/>
              <w:bottom w:val="nil"/>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b/>
                <w:bCs/>
                <w:color w:val="000000"/>
                <w:sz w:val="20"/>
                <w:szCs w:val="20"/>
              </w:rPr>
            </w:pPr>
            <w:r w:rsidRPr="00546DF6">
              <w:rPr>
                <w:rFonts w:ascii="Calibri" w:eastAsia="Times New Roman" w:hAnsi="Calibri" w:cs="Times New Roman"/>
                <w:b/>
                <w:bCs/>
                <w:color w:val="000000"/>
                <w:sz w:val="20"/>
                <w:szCs w:val="20"/>
              </w:rPr>
              <w:t>Direction</w:t>
            </w:r>
          </w:p>
        </w:tc>
        <w:tc>
          <w:tcPr>
            <w:tcW w:w="986" w:type="dxa"/>
            <w:tcBorders>
              <w:top w:val="nil"/>
              <w:left w:val="nil"/>
              <w:bottom w:val="nil"/>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sidRPr="00546DF6">
              <w:rPr>
                <w:rFonts w:ascii="Calibri" w:eastAsia="Times New Roman" w:hAnsi="Calibri" w:cs="Times New Roman"/>
                <w:color w:val="000000"/>
                <w:sz w:val="20"/>
                <w:szCs w:val="20"/>
              </w:rPr>
              <w:t>-</w:t>
            </w:r>
          </w:p>
        </w:tc>
        <w:tc>
          <w:tcPr>
            <w:tcW w:w="1378" w:type="dxa"/>
            <w:tcBorders>
              <w:top w:val="nil"/>
              <w:left w:val="nil"/>
              <w:bottom w:val="nil"/>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0</w:t>
            </w:r>
          </w:p>
        </w:tc>
        <w:tc>
          <w:tcPr>
            <w:tcW w:w="1204" w:type="dxa"/>
            <w:tcBorders>
              <w:top w:val="nil"/>
              <w:left w:val="nil"/>
              <w:bottom w:val="nil"/>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0</w:t>
            </w:r>
          </w:p>
        </w:tc>
        <w:tc>
          <w:tcPr>
            <w:tcW w:w="1190" w:type="dxa"/>
            <w:tcBorders>
              <w:top w:val="nil"/>
              <w:left w:val="nil"/>
              <w:bottom w:val="nil"/>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sidRPr="00546DF6">
              <w:rPr>
                <w:rFonts w:ascii="Calibri" w:eastAsia="Times New Roman" w:hAnsi="Calibri" w:cs="Times New Roman"/>
                <w:color w:val="000000"/>
                <w:sz w:val="20"/>
                <w:szCs w:val="20"/>
              </w:rPr>
              <w:t>+</w:t>
            </w:r>
          </w:p>
        </w:tc>
        <w:tc>
          <w:tcPr>
            <w:tcW w:w="1689" w:type="dxa"/>
            <w:tcBorders>
              <w:top w:val="nil"/>
              <w:left w:val="nil"/>
              <w:bottom w:val="nil"/>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sidRPr="00546DF6">
              <w:rPr>
                <w:rFonts w:ascii="Calibri" w:eastAsia="Times New Roman" w:hAnsi="Calibri" w:cs="Times New Roman"/>
                <w:color w:val="000000"/>
                <w:sz w:val="20"/>
                <w:szCs w:val="20"/>
              </w:rPr>
              <w:t>+</w:t>
            </w:r>
          </w:p>
        </w:tc>
      </w:tr>
      <w:tr w:rsidR="00546DF6" w:rsidRPr="00546DF6" w:rsidTr="00546DF6">
        <w:trPr>
          <w:trHeight w:val="255"/>
          <w:jc w:val="center"/>
        </w:trPr>
        <w:tc>
          <w:tcPr>
            <w:tcW w:w="1373" w:type="dxa"/>
            <w:tcBorders>
              <w:top w:val="nil"/>
              <w:left w:val="nil"/>
              <w:bottom w:val="nil"/>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b/>
                <w:bCs/>
                <w:color w:val="000000"/>
                <w:sz w:val="20"/>
                <w:szCs w:val="20"/>
              </w:rPr>
            </w:pPr>
            <w:r w:rsidRPr="00546DF6">
              <w:rPr>
                <w:rFonts w:ascii="Calibri" w:eastAsia="Times New Roman" w:hAnsi="Calibri" w:cs="Times New Roman"/>
                <w:b/>
                <w:bCs/>
                <w:color w:val="000000"/>
                <w:sz w:val="20"/>
                <w:szCs w:val="20"/>
              </w:rPr>
              <w:t>Detectability</w:t>
            </w:r>
          </w:p>
        </w:tc>
        <w:tc>
          <w:tcPr>
            <w:tcW w:w="986" w:type="dxa"/>
            <w:tcBorders>
              <w:top w:val="nil"/>
              <w:left w:val="nil"/>
              <w:bottom w:val="nil"/>
              <w:right w:val="nil"/>
            </w:tcBorders>
            <w:shd w:val="clear" w:color="auto" w:fill="auto"/>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sidRPr="00546DF6">
              <w:rPr>
                <w:rFonts w:ascii="Calibri" w:eastAsia="Times New Roman" w:hAnsi="Calibri" w:cs="Times New Roman"/>
                <w:color w:val="000000"/>
                <w:sz w:val="20"/>
                <w:szCs w:val="20"/>
              </w:rPr>
              <w:t>Possibly</w:t>
            </w:r>
          </w:p>
        </w:tc>
        <w:tc>
          <w:tcPr>
            <w:tcW w:w="1378" w:type="dxa"/>
            <w:tcBorders>
              <w:top w:val="nil"/>
              <w:left w:val="nil"/>
              <w:bottom w:val="nil"/>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sidRPr="00546DF6">
              <w:rPr>
                <w:rFonts w:ascii="Calibri" w:eastAsia="Times New Roman" w:hAnsi="Calibri" w:cs="Times New Roman"/>
                <w:color w:val="000000"/>
                <w:sz w:val="20"/>
                <w:szCs w:val="20"/>
              </w:rPr>
              <w:t>No</w:t>
            </w:r>
          </w:p>
        </w:tc>
        <w:tc>
          <w:tcPr>
            <w:tcW w:w="1204" w:type="dxa"/>
            <w:tcBorders>
              <w:top w:val="nil"/>
              <w:left w:val="nil"/>
              <w:bottom w:val="nil"/>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sidRPr="00546DF6">
              <w:rPr>
                <w:rFonts w:ascii="Calibri" w:eastAsia="Times New Roman" w:hAnsi="Calibri" w:cs="Times New Roman"/>
                <w:color w:val="000000"/>
                <w:sz w:val="20"/>
                <w:szCs w:val="20"/>
              </w:rPr>
              <w:t>No</w:t>
            </w:r>
          </w:p>
        </w:tc>
        <w:tc>
          <w:tcPr>
            <w:tcW w:w="1190" w:type="dxa"/>
            <w:tcBorders>
              <w:top w:val="nil"/>
              <w:left w:val="nil"/>
              <w:bottom w:val="nil"/>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sidRPr="00546DF6">
              <w:rPr>
                <w:rFonts w:ascii="Calibri" w:eastAsia="Times New Roman" w:hAnsi="Calibri" w:cs="Times New Roman"/>
                <w:color w:val="000000"/>
                <w:sz w:val="20"/>
                <w:szCs w:val="20"/>
              </w:rPr>
              <w:t>Possibly</w:t>
            </w:r>
          </w:p>
        </w:tc>
        <w:tc>
          <w:tcPr>
            <w:tcW w:w="1689" w:type="dxa"/>
            <w:tcBorders>
              <w:top w:val="nil"/>
              <w:left w:val="nil"/>
              <w:bottom w:val="nil"/>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sidRPr="00546DF6">
              <w:rPr>
                <w:rFonts w:ascii="Calibri" w:eastAsia="Times New Roman" w:hAnsi="Calibri" w:cs="Times New Roman"/>
                <w:color w:val="000000"/>
                <w:sz w:val="20"/>
                <w:szCs w:val="20"/>
              </w:rPr>
              <w:t>Yes</w:t>
            </w:r>
          </w:p>
        </w:tc>
      </w:tr>
      <w:tr w:rsidR="00546DF6" w:rsidRPr="00546DF6" w:rsidTr="00546DF6">
        <w:trPr>
          <w:trHeight w:val="255"/>
          <w:jc w:val="center"/>
        </w:trPr>
        <w:tc>
          <w:tcPr>
            <w:tcW w:w="7820" w:type="dxa"/>
            <w:gridSpan w:val="6"/>
            <w:tcBorders>
              <w:top w:val="single" w:sz="4" w:space="0" w:color="auto"/>
              <w:left w:val="nil"/>
              <w:bottom w:val="nil"/>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b/>
                <w:bCs/>
                <w:color w:val="000000"/>
                <w:sz w:val="20"/>
                <w:szCs w:val="20"/>
              </w:rPr>
            </w:pPr>
            <w:r w:rsidRPr="00546DF6">
              <w:rPr>
                <w:rFonts w:ascii="Calibri" w:eastAsia="Times New Roman" w:hAnsi="Calibri" w:cs="Times New Roman"/>
                <w:b/>
                <w:bCs/>
                <w:color w:val="000000"/>
                <w:sz w:val="20"/>
                <w:szCs w:val="20"/>
              </w:rPr>
              <w:t>Comparison to Individual Faulty Case Results</w:t>
            </w:r>
          </w:p>
        </w:tc>
      </w:tr>
      <w:tr w:rsidR="00546DF6" w:rsidRPr="00546DF6" w:rsidTr="00546DF6">
        <w:trPr>
          <w:trHeight w:val="255"/>
          <w:jc w:val="center"/>
        </w:trPr>
        <w:tc>
          <w:tcPr>
            <w:tcW w:w="1373" w:type="dxa"/>
            <w:tcBorders>
              <w:top w:val="nil"/>
              <w:left w:val="nil"/>
              <w:bottom w:val="single" w:sz="4" w:space="0" w:color="auto"/>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b/>
                <w:bCs/>
                <w:i/>
                <w:iCs/>
                <w:color w:val="000000"/>
                <w:sz w:val="20"/>
                <w:szCs w:val="20"/>
              </w:rPr>
            </w:pPr>
            <w:r w:rsidRPr="00546DF6">
              <w:rPr>
                <w:rFonts w:ascii="Calibri" w:eastAsia="Times New Roman" w:hAnsi="Calibri" w:cs="Times New Roman"/>
                <w:b/>
                <w:bCs/>
                <w:i/>
                <w:iCs/>
                <w:color w:val="000000"/>
                <w:sz w:val="20"/>
                <w:szCs w:val="20"/>
              </w:rPr>
              <w:t> </w:t>
            </w:r>
          </w:p>
        </w:tc>
        <w:tc>
          <w:tcPr>
            <w:tcW w:w="986" w:type="dxa"/>
            <w:tcBorders>
              <w:top w:val="nil"/>
              <w:left w:val="nil"/>
              <w:bottom w:val="single" w:sz="4" w:space="0" w:color="auto"/>
              <w:right w:val="nil"/>
            </w:tcBorders>
            <w:shd w:val="clear" w:color="auto" w:fill="auto"/>
            <w:vAlign w:val="center"/>
            <w:hideMark/>
          </w:tcPr>
          <w:p w:rsidR="00546DF6" w:rsidRDefault="00546DF6" w:rsidP="00546DF6">
            <w:pPr>
              <w:spacing w:after="0" w:line="240" w:lineRule="auto"/>
              <w:jc w:val="center"/>
              <w:rPr>
                <w:rFonts w:ascii="Calibri" w:eastAsia="Times New Roman" w:hAnsi="Calibri" w:cs="Times New Roman"/>
                <w:b/>
                <w:bCs/>
                <w:sz w:val="20"/>
                <w:szCs w:val="20"/>
              </w:rPr>
            </w:pPr>
            <w:r w:rsidRPr="00546DF6">
              <w:rPr>
                <w:rFonts w:ascii="Calibri" w:eastAsia="Times New Roman" w:hAnsi="Calibri" w:cs="Times New Roman"/>
                <w:b/>
                <w:bCs/>
                <w:sz w:val="20"/>
                <w:szCs w:val="20"/>
              </w:rPr>
              <w:t>PC1</w:t>
            </w:r>
          </w:p>
          <w:p w:rsidR="00AC7D91" w:rsidRPr="00546DF6" w:rsidRDefault="00AC7D91" w:rsidP="00546DF6">
            <w:pPr>
              <w:spacing w:after="0" w:line="240" w:lineRule="auto"/>
              <w:jc w:val="center"/>
              <w:rPr>
                <w:rFonts w:ascii="Calibri" w:eastAsia="Times New Roman" w:hAnsi="Calibri" w:cs="Times New Roman"/>
                <w:b/>
                <w:bCs/>
                <w:sz w:val="20"/>
                <w:szCs w:val="20"/>
              </w:rPr>
            </w:pPr>
            <w:r>
              <w:rPr>
                <w:rFonts w:ascii="Calibri" w:eastAsia="Times New Roman" w:hAnsi="Calibri" w:cs="Times New Roman"/>
                <w:b/>
                <w:bCs/>
                <w:sz w:val="20"/>
                <w:szCs w:val="20"/>
              </w:rPr>
              <w:t>Scores</w:t>
            </w:r>
          </w:p>
        </w:tc>
        <w:tc>
          <w:tcPr>
            <w:tcW w:w="1378" w:type="dxa"/>
            <w:tcBorders>
              <w:top w:val="nil"/>
              <w:left w:val="nil"/>
              <w:bottom w:val="single" w:sz="4" w:space="0" w:color="auto"/>
              <w:right w:val="nil"/>
            </w:tcBorders>
            <w:shd w:val="clear" w:color="auto" w:fill="auto"/>
            <w:vAlign w:val="center"/>
            <w:hideMark/>
          </w:tcPr>
          <w:p w:rsidR="00546DF6" w:rsidRDefault="00546DF6" w:rsidP="00546DF6">
            <w:pPr>
              <w:spacing w:after="0" w:line="240" w:lineRule="auto"/>
              <w:jc w:val="center"/>
              <w:rPr>
                <w:rFonts w:ascii="Calibri" w:eastAsia="Times New Roman" w:hAnsi="Calibri" w:cs="Times New Roman"/>
                <w:b/>
                <w:bCs/>
                <w:color w:val="000000"/>
                <w:sz w:val="20"/>
                <w:szCs w:val="20"/>
              </w:rPr>
            </w:pPr>
            <w:r w:rsidRPr="00546DF6">
              <w:rPr>
                <w:rFonts w:ascii="Calibri" w:eastAsia="Times New Roman" w:hAnsi="Calibri" w:cs="Times New Roman"/>
                <w:b/>
                <w:bCs/>
                <w:color w:val="000000"/>
                <w:sz w:val="20"/>
                <w:szCs w:val="20"/>
              </w:rPr>
              <w:t>PC2</w:t>
            </w:r>
          </w:p>
          <w:p w:rsidR="00AC7D91" w:rsidRPr="00546DF6" w:rsidRDefault="00AC7D91" w:rsidP="00546DF6">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1204" w:type="dxa"/>
            <w:tcBorders>
              <w:top w:val="nil"/>
              <w:left w:val="nil"/>
              <w:bottom w:val="single" w:sz="4" w:space="0" w:color="auto"/>
              <w:right w:val="nil"/>
            </w:tcBorders>
            <w:shd w:val="clear" w:color="auto" w:fill="auto"/>
            <w:vAlign w:val="center"/>
            <w:hideMark/>
          </w:tcPr>
          <w:p w:rsidR="00546DF6" w:rsidRDefault="00546DF6" w:rsidP="00546DF6">
            <w:pPr>
              <w:spacing w:after="0" w:line="240" w:lineRule="auto"/>
              <w:jc w:val="center"/>
              <w:rPr>
                <w:rFonts w:ascii="Calibri" w:eastAsia="Times New Roman" w:hAnsi="Calibri" w:cs="Times New Roman"/>
                <w:b/>
                <w:bCs/>
                <w:color w:val="000000"/>
                <w:sz w:val="20"/>
                <w:szCs w:val="20"/>
              </w:rPr>
            </w:pPr>
            <w:r w:rsidRPr="00546DF6">
              <w:rPr>
                <w:rFonts w:ascii="Calibri" w:eastAsia="Times New Roman" w:hAnsi="Calibri" w:cs="Times New Roman"/>
                <w:b/>
                <w:bCs/>
                <w:color w:val="000000"/>
                <w:sz w:val="20"/>
                <w:szCs w:val="20"/>
              </w:rPr>
              <w:t>PC3</w:t>
            </w:r>
          </w:p>
          <w:p w:rsidR="00AC7D91" w:rsidRPr="00546DF6" w:rsidRDefault="00AC7D91" w:rsidP="00546DF6">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1190" w:type="dxa"/>
            <w:tcBorders>
              <w:top w:val="nil"/>
              <w:left w:val="nil"/>
              <w:bottom w:val="single" w:sz="4" w:space="0" w:color="auto"/>
              <w:right w:val="nil"/>
            </w:tcBorders>
            <w:shd w:val="clear" w:color="auto" w:fill="auto"/>
            <w:vAlign w:val="center"/>
            <w:hideMark/>
          </w:tcPr>
          <w:p w:rsidR="00546DF6" w:rsidRPr="00546DF6" w:rsidRDefault="00546DF6" w:rsidP="00546DF6">
            <w:pPr>
              <w:spacing w:after="0" w:line="240" w:lineRule="auto"/>
              <w:jc w:val="center"/>
              <w:rPr>
                <w:rFonts w:ascii="Calibri" w:eastAsia="Times New Roman" w:hAnsi="Calibri" w:cs="Times New Roman"/>
                <w:b/>
                <w:bCs/>
                <w:color w:val="000000"/>
                <w:sz w:val="20"/>
                <w:szCs w:val="20"/>
              </w:rPr>
            </w:pPr>
            <w:r w:rsidRPr="00546DF6">
              <w:rPr>
                <w:rFonts w:ascii="Calibri" w:eastAsia="Times New Roman" w:hAnsi="Calibri" w:cs="Times New Roman"/>
                <w:b/>
                <w:bCs/>
                <w:color w:val="000000"/>
                <w:sz w:val="20"/>
                <w:szCs w:val="20"/>
              </w:rPr>
              <w:t>T2</w:t>
            </w:r>
          </w:p>
        </w:tc>
        <w:tc>
          <w:tcPr>
            <w:tcW w:w="1689" w:type="dxa"/>
            <w:tcBorders>
              <w:top w:val="nil"/>
              <w:left w:val="nil"/>
              <w:bottom w:val="single" w:sz="4" w:space="0" w:color="auto"/>
              <w:right w:val="nil"/>
            </w:tcBorders>
            <w:shd w:val="clear" w:color="auto" w:fill="auto"/>
            <w:vAlign w:val="center"/>
            <w:hideMark/>
          </w:tcPr>
          <w:p w:rsidR="00546DF6" w:rsidRPr="00546DF6" w:rsidRDefault="00546DF6" w:rsidP="00546DF6">
            <w:pPr>
              <w:spacing w:after="0" w:line="240" w:lineRule="auto"/>
              <w:jc w:val="center"/>
              <w:rPr>
                <w:rFonts w:ascii="Calibri" w:eastAsia="Times New Roman" w:hAnsi="Calibri" w:cs="Times New Roman"/>
                <w:b/>
                <w:bCs/>
                <w:color w:val="000000"/>
                <w:sz w:val="20"/>
                <w:szCs w:val="20"/>
              </w:rPr>
            </w:pPr>
            <w:r w:rsidRPr="00546DF6">
              <w:rPr>
                <w:rFonts w:ascii="Calibri" w:eastAsia="Times New Roman" w:hAnsi="Calibri" w:cs="Times New Roman"/>
                <w:b/>
                <w:bCs/>
                <w:color w:val="000000"/>
                <w:sz w:val="20"/>
                <w:szCs w:val="20"/>
              </w:rPr>
              <w:t>Q</w:t>
            </w:r>
          </w:p>
        </w:tc>
      </w:tr>
      <w:tr w:rsidR="00546DF6" w:rsidRPr="00546DF6" w:rsidTr="00546DF6">
        <w:trPr>
          <w:trHeight w:val="255"/>
          <w:jc w:val="center"/>
        </w:trPr>
        <w:tc>
          <w:tcPr>
            <w:tcW w:w="7820" w:type="dxa"/>
            <w:gridSpan w:val="6"/>
            <w:tcBorders>
              <w:top w:val="single" w:sz="4" w:space="0" w:color="auto"/>
              <w:left w:val="nil"/>
              <w:bottom w:val="nil"/>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b/>
                <w:bCs/>
                <w:i/>
                <w:iCs/>
                <w:color w:val="000000"/>
                <w:sz w:val="20"/>
                <w:szCs w:val="20"/>
              </w:rPr>
            </w:pPr>
            <w:r w:rsidRPr="00546DF6">
              <w:rPr>
                <w:rFonts w:ascii="Calibri" w:eastAsia="Times New Roman" w:hAnsi="Calibri" w:cs="Times New Roman"/>
                <w:b/>
                <w:bCs/>
                <w:i/>
                <w:iCs/>
                <w:color w:val="000000"/>
                <w:sz w:val="20"/>
                <w:szCs w:val="20"/>
              </w:rPr>
              <w:t>Case 1D</w:t>
            </w:r>
          </w:p>
        </w:tc>
      </w:tr>
      <w:tr w:rsidR="00546DF6" w:rsidRPr="00546DF6" w:rsidTr="00546DF6">
        <w:trPr>
          <w:trHeight w:val="255"/>
          <w:jc w:val="center"/>
        </w:trPr>
        <w:tc>
          <w:tcPr>
            <w:tcW w:w="1373" w:type="dxa"/>
            <w:tcBorders>
              <w:top w:val="nil"/>
              <w:left w:val="nil"/>
              <w:bottom w:val="nil"/>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b/>
                <w:bCs/>
                <w:color w:val="000000"/>
                <w:sz w:val="20"/>
                <w:szCs w:val="20"/>
              </w:rPr>
            </w:pPr>
            <w:r w:rsidRPr="00546DF6">
              <w:rPr>
                <w:rFonts w:ascii="Calibri" w:eastAsia="Times New Roman" w:hAnsi="Calibri" w:cs="Times New Roman"/>
                <w:b/>
                <w:bCs/>
                <w:color w:val="000000"/>
                <w:sz w:val="20"/>
                <w:szCs w:val="20"/>
              </w:rPr>
              <w:t>Direction</w:t>
            </w:r>
          </w:p>
        </w:tc>
        <w:tc>
          <w:tcPr>
            <w:tcW w:w="986" w:type="dxa"/>
            <w:tcBorders>
              <w:top w:val="nil"/>
              <w:left w:val="nil"/>
              <w:bottom w:val="nil"/>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sidRPr="00546DF6">
              <w:rPr>
                <w:rFonts w:ascii="Calibri" w:eastAsia="Times New Roman" w:hAnsi="Calibri" w:cs="Times New Roman"/>
                <w:color w:val="000000"/>
                <w:sz w:val="20"/>
                <w:szCs w:val="20"/>
              </w:rPr>
              <w:t>0</w:t>
            </w:r>
          </w:p>
        </w:tc>
        <w:tc>
          <w:tcPr>
            <w:tcW w:w="1378" w:type="dxa"/>
            <w:tcBorders>
              <w:top w:val="nil"/>
              <w:left w:val="nil"/>
              <w:bottom w:val="nil"/>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sidRPr="00546DF6">
              <w:rPr>
                <w:rFonts w:ascii="Calibri" w:eastAsia="Times New Roman" w:hAnsi="Calibri" w:cs="Times New Roman"/>
                <w:color w:val="000000"/>
                <w:sz w:val="20"/>
                <w:szCs w:val="20"/>
              </w:rPr>
              <w:t>0</w:t>
            </w:r>
          </w:p>
        </w:tc>
        <w:tc>
          <w:tcPr>
            <w:tcW w:w="1204" w:type="dxa"/>
            <w:tcBorders>
              <w:top w:val="nil"/>
              <w:left w:val="nil"/>
              <w:bottom w:val="nil"/>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sidRPr="00546DF6">
              <w:rPr>
                <w:rFonts w:ascii="Calibri" w:eastAsia="Times New Roman" w:hAnsi="Calibri" w:cs="Times New Roman"/>
                <w:color w:val="000000"/>
                <w:sz w:val="20"/>
                <w:szCs w:val="20"/>
              </w:rPr>
              <w:t>0</w:t>
            </w:r>
          </w:p>
        </w:tc>
        <w:tc>
          <w:tcPr>
            <w:tcW w:w="1190" w:type="dxa"/>
            <w:tcBorders>
              <w:top w:val="nil"/>
              <w:left w:val="nil"/>
              <w:bottom w:val="nil"/>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sidRPr="00546DF6">
              <w:rPr>
                <w:rFonts w:ascii="Calibri" w:eastAsia="Times New Roman" w:hAnsi="Calibri" w:cs="Times New Roman"/>
                <w:color w:val="000000"/>
                <w:sz w:val="20"/>
                <w:szCs w:val="20"/>
              </w:rPr>
              <w:t>0</w:t>
            </w:r>
          </w:p>
        </w:tc>
        <w:tc>
          <w:tcPr>
            <w:tcW w:w="1689" w:type="dxa"/>
            <w:tcBorders>
              <w:top w:val="nil"/>
              <w:left w:val="nil"/>
              <w:bottom w:val="nil"/>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sidRPr="00546DF6">
              <w:rPr>
                <w:rFonts w:ascii="Calibri" w:eastAsia="Times New Roman" w:hAnsi="Calibri" w:cs="Times New Roman"/>
                <w:color w:val="000000"/>
                <w:sz w:val="20"/>
                <w:szCs w:val="20"/>
              </w:rPr>
              <w:t>+</w:t>
            </w:r>
          </w:p>
        </w:tc>
      </w:tr>
      <w:tr w:rsidR="00546DF6" w:rsidRPr="00546DF6" w:rsidTr="00546DF6">
        <w:trPr>
          <w:trHeight w:val="255"/>
          <w:jc w:val="center"/>
        </w:trPr>
        <w:tc>
          <w:tcPr>
            <w:tcW w:w="1373" w:type="dxa"/>
            <w:tcBorders>
              <w:top w:val="nil"/>
              <w:left w:val="nil"/>
              <w:bottom w:val="single" w:sz="4" w:space="0" w:color="auto"/>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b/>
                <w:bCs/>
                <w:color w:val="000000"/>
                <w:sz w:val="20"/>
                <w:szCs w:val="20"/>
              </w:rPr>
            </w:pPr>
            <w:r w:rsidRPr="00546DF6">
              <w:rPr>
                <w:rFonts w:ascii="Calibri" w:eastAsia="Times New Roman" w:hAnsi="Calibri" w:cs="Times New Roman"/>
                <w:b/>
                <w:bCs/>
                <w:color w:val="000000"/>
                <w:sz w:val="20"/>
                <w:szCs w:val="20"/>
              </w:rPr>
              <w:t>Detectability</w:t>
            </w:r>
          </w:p>
        </w:tc>
        <w:tc>
          <w:tcPr>
            <w:tcW w:w="986" w:type="dxa"/>
            <w:tcBorders>
              <w:top w:val="nil"/>
              <w:left w:val="nil"/>
              <w:bottom w:val="single" w:sz="4" w:space="0" w:color="auto"/>
              <w:right w:val="nil"/>
            </w:tcBorders>
            <w:shd w:val="clear" w:color="auto" w:fill="auto"/>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sidRPr="00546DF6">
              <w:rPr>
                <w:rFonts w:ascii="Calibri" w:eastAsia="Times New Roman" w:hAnsi="Calibri" w:cs="Times New Roman"/>
                <w:color w:val="000000"/>
                <w:sz w:val="20"/>
                <w:szCs w:val="20"/>
              </w:rPr>
              <w:t>No</w:t>
            </w:r>
          </w:p>
        </w:tc>
        <w:tc>
          <w:tcPr>
            <w:tcW w:w="1378" w:type="dxa"/>
            <w:tcBorders>
              <w:top w:val="nil"/>
              <w:left w:val="nil"/>
              <w:bottom w:val="single" w:sz="4" w:space="0" w:color="auto"/>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sidRPr="00546DF6">
              <w:rPr>
                <w:rFonts w:ascii="Calibri" w:eastAsia="Times New Roman" w:hAnsi="Calibri" w:cs="Times New Roman"/>
                <w:color w:val="000000"/>
                <w:sz w:val="20"/>
                <w:szCs w:val="20"/>
              </w:rPr>
              <w:t>No</w:t>
            </w:r>
          </w:p>
        </w:tc>
        <w:tc>
          <w:tcPr>
            <w:tcW w:w="1204" w:type="dxa"/>
            <w:tcBorders>
              <w:top w:val="nil"/>
              <w:left w:val="nil"/>
              <w:bottom w:val="single" w:sz="4" w:space="0" w:color="auto"/>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sidRPr="00546DF6">
              <w:rPr>
                <w:rFonts w:ascii="Calibri" w:eastAsia="Times New Roman" w:hAnsi="Calibri" w:cs="Times New Roman"/>
                <w:color w:val="000000"/>
                <w:sz w:val="20"/>
                <w:szCs w:val="20"/>
              </w:rPr>
              <w:t>No</w:t>
            </w:r>
          </w:p>
        </w:tc>
        <w:tc>
          <w:tcPr>
            <w:tcW w:w="1190" w:type="dxa"/>
            <w:tcBorders>
              <w:top w:val="nil"/>
              <w:left w:val="nil"/>
              <w:bottom w:val="single" w:sz="4" w:space="0" w:color="auto"/>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sidRPr="00546DF6">
              <w:rPr>
                <w:rFonts w:ascii="Calibri" w:eastAsia="Times New Roman" w:hAnsi="Calibri" w:cs="Times New Roman"/>
                <w:color w:val="000000"/>
                <w:sz w:val="20"/>
                <w:szCs w:val="20"/>
              </w:rPr>
              <w:t>No</w:t>
            </w:r>
          </w:p>
        </w:tc>
        <w:tc>
          <w:tcPr>
            <w:tcW w:w="1689" w:type="dxa"/>
            <w:tcBorders>
              <w:top w:val="nil"/>
              <w:left w:val="nil"/>
              <w:bottom w:val="single" w:sz="4" w:space="0" w:color="auto"/>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sidRPr="00546DF6">
              <w:rPr>
                <w:rFonts w:ascii="Calibri" w:eastAsia="Times New Roman" w:hAnsi="Calibri" w:cs="Times New Roman"/>
                <w:color w:val="000000"/>
                <w:sz w:val="20"/>
                <w:szCs w:val="20"/>
              </w:rPr>
              <w:t>Yes</w:t>
            </w:r>
          </w:p>
        </w:tc>
      </w:tr>
      <w:tr w:rsidR="00546DF6" w:rsidRPr="00546DF6" w:rsidTr="00546DF6">
        <w:trPr>
          <w:trHeight w:val="255"/>
          <w:jc w:val="center"/>
        </w:trPr>
        <w:tc>
          <w:tcPr>
            <w:tcW w:w="7820" w:type="dxa"/>
            <w:gridSpan w:val="6"/>
            <w:tcBorders>
              <w:top w:val="nil"/>
              <w:left w:val="nil"/>
              <w:bottom w:val="nil"/>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b/>
                <w:bCs/>
                <w:i/>
                <w:iCs/>
                <w:color w:val="000000"/>
                <w:sz w:val="20"/>
                <w:szCs w:val="20"/>
              </w:rPr>
            </w:pPr>
            <w:r w:rsidRPr="00546DF6">
              <w:rPr>
                <w:rFonts w:ascii="Calibri" w:eastAsia="Times New Roman" w:hAnsi="Calibri" w:cs="Times New Roman"/>
                <w:b/>
                <w:bCs/>
                <w:i/>
                <w:iCs/>
                <w:color w:val="000000"/>
                <w:sz w:val="20"/>
                <w:szCs w:val="20"/>
              </w:rPr>
              <w:t>Case 11</w:t>
            </w:r>
          </w:p>
        </w:tc>
      </w:tr>
      <w:tr w:rsidR="00546DF6" w:rsidRPr="00546DF6" w:rsidTr="00546DF6">
        <w:trPr>
          <w:trHeight w:val="255"/>
          <w:jc w:val="center"/>
        </w:trPr>
        <w:tc>
          <w:tcPr>
            <w:tcW w:w="1373" w:type="dxa"/>
            <w:tcBorders>
              <w:top w:val="nil"/>
              <w:left w:val="nil"/>
              <w:bottom w:val="nil"/>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b/>
                <w:bCs/>
                <w:color w:val="000000"/>
                <w:sz w:val="20"/>
                <w:szCs w:val="20"/>
              </w:rPr>
            </w:pPr>
            <w:r w:rsidRPr="00546DF6">
              <w:rPr>
                <w:rFonts w:ascii="Calibri" w:eastAsia="Times New Roman" w:hAnsi="Calibri" w:cs="Times New Roman"/>
                <w:b/>
                <w:bCs/>
                <w:color w:val="000000"/>
                <w:sz w:val="20"/>
                <w:szCs w:val="20"/>
              </w:rPr>
              <w:t>Direction</w:t>
            </w:r>
          </w:p>
        </w:tc>
        <w:tc>
          <w:tcPr>
            <w:tcW w:w="986" w:type="dxa"/>
            <w:tcBorders>
              <w:top w:val="nil"/>
              <w:left w:val="nil"/>
              <w:bottom w:val="nil"/>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sidRPr="00546DF6">
              <w:rPr>
                <w:rFonts w:ascii="Calibri" w:eastAsia="Times New Roman" w:hAnsi="Calibri" w:cs="Times New Roman"/>
                <w:color w:val="000000"/>
                <w:sz w:val="20"/>
                <w:szCs w:val="20"/>
              </w:rPr>
              <w:t>-</w:t>
            </w:r>
          </w:p>
        </w:tc>
        <w:tc>
          <w:tcPr>
            <w:tcW w:w="1378" w:type="dxa"/>
            <w:tcBorders>
              <w:top w:val="nil"/>
              <w:left w:val="nil"/>
              <w:bottom w:val="nil"/>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sidRPr="00546DF6">
              <w:rPr>
                <w:rFonts w:ascii="Calibri" w:eastAsia="Times New Roman" w:hAnsi="Calibri" w:cs="Times New Roman"/>
                <w:color w:val="000000"/>
                <w:sz w:val="20"/>
                <w:szCs w:val="20"/>
              </w:rPr>
              <w:t>0</w:t>
            </w:r>
          </w:p>
        </w:tc>
        <w:tc>
          <w:tcPr>
            <w:tcW w:w="1204" w:type="dxa"/>
            <w:tcBorders>
              <w:top w:val="nil"/>
              <w:left w:val="nil"/>
              <w:bottom w:val="nil"/>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sidRPr="00546DF6">
              <w:rPr>
                <w:rFonts w:ascii="Calibri" w:eastAsia="Times New Roman" w:hAnsi="Calibri" w:cs="Times New Roman"/>
                <w:color w:val="000000"/>
                <w:sz w:val="20"/>
                <w:szCs w:val="20"/>
              </w:rPr>
              <w:t>0</w:t>
            </w:r>
          </w:p>
        </w:tc>
        <w:tc>
          <w:tcPr>
            <w:tcW w:w="1190" w:type="dxa"/>
            <w:tcBorders>
              <w:top w:val="nil"/>
              <w:left w:val="nil"/>
              <w:bottom w:val="nil"/>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sidRPr="00546DF6">
              <w:rPr>
                <w:rFonts w:ascii="Calibri" w:eastAsia="Times New Roman" w:hAnsi="Calibri" w:cs="Times New Roman"/>
                <w:color w:val="000000"/>
                <w:sz w:val="20"/>
                <w:szCs w:val="20"/>
              </w:rPr>
              <w:t>+</w:t>
            </w:r>
          </w:p>
        </w:tc>
        <w:tc>
          <w:tcPr>
            <w:tcW w:w="1689" w:type="dxa"/>
            <w:tcBorders>
              <w:top w:val="nil"/>
              <w:left w:val="nil"/>
              <w:bottom w:val="nil"/>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sidRPr="00546DF6">
              <w:rPr>
                <w:rFonts w:ascii="Calibri" w:eastAsia="Times New Roman" w:hAnsi="Calibri" w:cs="Times New Roman"/>
                <w:color w:val="000000"/>
                <w:sz w:val="20"/>
                <w:szCs w:val="20"/>
              </w:rPr>
              <w:t>0</w:t>
            </w:r>
          </w:p>
        </w:tc>
      </w:tr>
      <w:tr w:rsidR="00546DF6" w:rsidRPr="00546DF6" w:rsidTr="00546DF6">
        <w:trPr>
          <w:trHeight w:val="270"/>
          <w:jc w:val="center"/>
        </w:trPr>
        <w:tc>
          <w:tcPr>
            <w:tcW w:w="1373" w:type="dxa"/>
            <w:tcBorders>
              <w:top w:val="nil"/>
              <w:left w:val="nil"/>
              <w:bottom w:val="single" w:sz="8" w:space="0" w:color="auto"/>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b/>
                <w:bCs/>
                <w:color w:val="000000"/>
                <w:sz w:val="20"/>
                <w:szCs w:val="20"/>
              </w:rPr>
            </w:pPr>
            <w:r w:rsidRPr="00546DF6">
              <w:rPr>
                <w:rFonts w:ascii="Calibri" w:eastAsia="Times New Roman" w:hAnsi="Calibri" w:cs="Times New Roman"/>
                <w:b/>
                <w:bCs/>
                <w:color w:val="000000"/>
                <w:sz w:val="20"/>
                <w:szCs w:val="20"/>
              </w:rPr>
              <w:t>Detectability</w:t>
            </w:r>
          </w:p>
        </w:tc>
        <w:tc>
          <w:tcPr>
            <w:tcW w:w="986" w:type="dxa"/>
            <w:tcBorders>
              <w:top w:val="nil"/>
              <w:left w:val="nil"/>
              <w:bottom w:val="single" w:sz="8" w:space="0" w:color="auto"/>
              <w:right w:val="nil"/>
            </w:tcBorders>
            <w:shd w:val="clear" w:color="auto" w:fill="auto"/>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sidRPr="00546DF6">
              <w:rPr>
                <w:rFonts w:ascii="Calibri" w:eastAsia="Times New Roman" w:hAnsi="Calibri" w:cs="Times New Roman"/>
                <w:color w:val="000000"/>
                <w:sz w:val="20"/>
                <w:szCs w:val="20"/>
              </w:rPr>
              <w:t>Possibly</w:t>
            </w:r>
          </w:p>
        </w:tc>
        <w:tc>
          <w:tcPr>
            <w:tcW w:w="1378" w:type="dxa"/>
            <w:tcBorders>
              <w:top w:val="nil"/>
              <w:left w:val="nil"/>
              <w:bottom w:val="single" w:sz="8" w:space="0" w:color="auto"/>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sidRPr="00546DF6">
              <w:rPr>
                <w:rFonts w:ascii="Calibri" w:eastAsia="Times New Roman" w:hAnsi="Calibri" w:cs="Times New Roman"/>
                <w:color w:val="000000"/>
                <w:sz w:val="20"/>
                <w:szCs w:val="20"/>
              </w:rPr>
              <w:t>No</w:t>
            </w:r>
          </w:p>
        </w:tc>
        <w:tc>
          <w:tcPr>
            <w:tcW w:w="1204" w:type="dxa"/>
            <w:tcBorders>
              <w:top w:val="nil"/>
              <w:left w:val="nil"/>
              <w:bottom w:val="single" w:sz="8" w:space="0" w:color="auto"/>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sidRPr="00546DF6">
              <w:rPr>
                <w:rFonts w:ascii="Calibri" w:eastAsia="Times New Roman" w:hAnsi="Calibri" w:cs="Times New Roman"/>
                <w:color w:val="000000"/>
                <w:sz w:val="20"/>
                <w:szCs w:val="20"/>
              </w:rPr>
              <w:t>No</w:t>
            </w:r>
          </w:p>
        </w:tc>
        <w:tc>
          <w:tcPr>
            <w:tcW w:w="1190" w:type="dxa"/>
            <w:tcBorders>
              <w:top w:val="nil"/>
              <w:left w:val="nil"/>
              <w:bottom w:val="single" w:sz="8" w:space="0" w:color="auto"/>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sidRPr="00546DF6">
              <w:rPr>
                <w:rFonts w:ascii="Calibri" w:eastAsia="Times New Roman" w:hAnsi="Calibri" w:cs="Times New Roman"/>
                <w:color w:val="000000"/>
                <w:sz w:val="20"/>
                <w:szCs w:val="20"/>
              </w:rPr>
              <w:t>Yes</w:t>
            </w:r>
          </w:p>
        </w:tc>
        <w:tc>
          <w:tcPr>
            <w:tcW w:w="1689" w:type="dxa"/>
            <w:tcBorders>
              <w:top w:val="nil"/>
              <w:left w:val="nil"/>
              <w:bottom w:val="single" w:sz="8" w:space="0" w:color="auto"/>
              <w:right w:val="nil"/>
            </w:tcBorders>
            <w:shd w:val="clear" w:color="auto" w:fill="auto"/>
            <w:noWrap/>
            <w:vAlign w:val="center"/>
            <w:hideMark/>
          </w:tcPr>
          <w:p w:rsidR="00546DF6" w:rsidRPr="00546DF6" w:rsidRDefault="00546DF6" w:rsidP="00546DF6">
            <w:pPr>
              <w:spacing w:after="0" w:line="240" w:lineRule="auto"/>
              <w:jc w:val="center"/>
              <w:rPr>
                <w:rFonts w:ascii="Calibri" w:eastAsia="Times New Roman" w:hAnsi="Calibri" w:cs="Times New Roman"/>
                <w:color w:val="000000"/>
                <w:sz w:val="20"/>
                <w:szCs w:val="20"/>
              </w:rPr>
            </w:pPr>
            <w:r w:rsidRPr="00546DF6">
              <w:rPr>
                <w:rFonts w:ascii="Calibri" w:eastAsia="Times New Roman" w:hAnsi="Calibri" w:cs="Times New Roman"/>
                <w:color w:val="000000"/>
                <w:sz w:val="20"/>
                <w:szCs w:val="20"/>
              </w:rPr>
              <w:t>No</w:t>
            </w:r>
          </w:p>
        </w:tc>
      </w:tr>
    </w:tbl>
    <w:p w:rsidR="00DD216A" w:rsidRDefault="00DD216A" w:rsidP="006F2DD1">
      <w:pPr>
        <w:rPr>
          <w:rFonts w:eastAsiaTheme="minorEastAsia"/>
        </w:rPr>
      </w:pPr>
    </w:p>
    <w:p w:rsidR="00E664E4" w:rsidRDefault="00546DF6" w:rsidP="00E664E4">
      <w:pPr>
        <w:jc w:val="center"/>
      </w:pPr>
      <w:r>
        <w:rPr>
          <w:noProof/>
        </w:rPr>
        <w:lastRenderedPageBreak/>
        <w:drawing>
          <wp:inline distT="0" distB="0" distL="0" distR="0" wp14:anchorId="5BE25231" wp14:editId="1477F8B8">
            <wp:extent cx="5943600" cy="445770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8"/>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546DF6">
        <w:rPr>
          <w:b/>
          <w:sz w:val="20"/>
          <w:szCs w:val="20"/>
        </w:rPr>
        <w:t>4.90</w:t>
      </w:r>
      <w:r>
        <w:rPr>
          <w:b/>
          <w:sz w:val="20"/>
          <w:szCs w:val="20"/>
        </w:rPr>
        <w:t xml:space="preserve">. Faulty Case 12 Scores Plot for PC1 and PC2.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 xml:space="preserve">a shift in PC1 </w:t>
      </w:r>
      <w:r w:rsidR="00E62112">
        <w:rPr>
          <w:i/>
          <w:sz w:val="20"/>
          <w:szCs w:val="20"/>
        </w:rPr>
        <w:t xml:space="preserve">scores </w:t>
      </w:r>
      <w:r>
        <w:rPr>
          <w:i/>
          <w:sz w:val="20"/>
          <w:szCs w:val="20"/>
        </w:rPr>
        <w:t>which may not be detectable depending on operating conditions.</w:t>
      </w:r>
    </w:p>
    <w:p w:rsidR="00E664E4" w:rsidRDefault="00E664E4" w:rsidP="00E664E4">
      <w:pPr>
        <w:rPr>
          <w:i/>
          <w:sz w:val="20"/>
          <w:szCs w:val="20"/>
        </w:rPr>
      </w:pPr>
    </w:p>
    <w:p w:rsidR="00E664E4" w:rsidRDefault="00546DF6" w:rsidP="00E664E4">
      <w:pPr>
        <w:jc w:val="center"/>
      </w:pPr>
      <w:r>
        <w:rPr>
          <w:noProof/>
        </w:rPr>
        <w:lastRenderedPageBreak/>
        <w:drawing>
          <wp:inline distT="0" distB="0" distL="0" distR="0" wp14:anchorId="598D794B" wp14:editId="237312E8">
            <wp:extent cx="5943600" cy="445770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9"/>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546DF6">
        <w:rPr>
          <w:b/>
          <w:sz w:val="20"/>
          <w:szCs w:val="20"/>
        </w:rPr>
        <w:t>4.91</w:t>
      </w:r>
      <w:r>
        <w:rPr>
          <w:b/>
          <w:sz w:val="20"/>
          <w:szCs w:val="20"/>
        </w:rPr>
        <w:t xml:space="preserve">. Faulty Case 12 Scores Plot for PC1 and PC3.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 xml:space="preserve">a shift in PC1 </w:t>
      </w:r>
      <w:r w:rsidR="00E62112">
        <w:rPr>
          <w:i/>
          <w:sz w:val="20"/>
          <w:szCs w:val="20"/>
        </w:rPr>
        <w:t xml:space="preserve">scores </w:t>
      </w:r>
      <w:r>
        <w:rPr>
          <w:i/>
          <w:sz w:val="20"/>
          <w:szCs w:val="20"/>
        </w:rPr>
        <w:t>which may not be detectable depending on operating conditions.</w:t>
      </w:r>
    </w:p>
    <w:p w:rsidR="00E664E4" w:rsidRDefault="00E664E4" w:rsidP="00E664E4">
      <w:pPr>
        <w:rPr>
          <w:i/>
          <w:sz w:val="20"/>
          <w:szCs w:val="20"/>
        </w:rPr>
      </w:pPr>
    </w:p>
    <w:p w:rsidR="00E664E4" w:rsidRDefault="00546DF6" w:rsidP="00E664E4">
      <w:pPr>
        <w:jc w:val="center"/>
      </w:pPr>
      <w:r>
        <w:rPr>
          <w:noProof/>
        </w:rPr>
        <w:lastRenderedPageBreak/>
        <w:drawing>
          <wp:inline distT="0" distB="0" distL="0" distR="0" wp14:anchorId="10A90DE6" wp14:editId="4086EC33">
            <wp:extent cx="5943600" cy="445770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0"/>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BE36F0">
        <w:rPr>
          <w:b/>
          <w:sz w:val="20"/>
          <w:szCs w:val="20"/>
        </w:rPr>
        <w:t>4</w:t>
      </w:r>
      <w:r w:rsidR="00546DF6">
        <w:rPr>
          <w:b/>
          <w:sz w:val="20"/>
          <w:szCs w:val="20"/>
        </w:rPr>
        <w:t>.92</w:t>
      </w:r>
      <w:r>
        <w:rPr>
          <w:b/>
          <w:sz w:val="20"/>
          <w:szCs w:val="20"/>
        </w:rPr>
        <w:t xml:space="preserve">. Faulty Case 12 Scores Plot for PC2 and PC3.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no detectable fault</w:t>
      </w:r>
      <w:r>
        <w:rPr>
          <w:rFonts w:eastAsiaTheme="minorEastAsia"/>
          <w:i/>
          <w:sz w:val="20"/>
          <w:szCs w:val="20"/>
        </w:rPr>
        <w:t>.</w:t>
      </w:r>
    </w:p>
    <w:p w:rsidR="00E664E4" w:rsidRDefault="00E664E4" w:rsidP="00E664E4">
      <w:pPr>
        <w:rPr>
          <w:i/>
          <w:sz w:val="20"/>
          <w:szCs w:val="20"/>
        </w:rPr>
      </w:pPr>
    </w:p>
    <w:p w:rsidR="00E664E4" w:rsidRPr="00EE2556" w:rsidRDefault="00546DF6" w:rsidP="00E664E4">
      <w:pPr>
        <w:jc w:val="center"/>
        <w:rPr>
          <w:i/>
          <w:sz w:val="20"/>
          <w:szCs w:val="20"/>
        </w:rPr>
      </w:pPr>
      <w:r>
        <w:rPr>
          <w:noProof/>
        </w:rPr>
        <w:lastRenderedPageBreak/>
        <w:drawing>
          <wp:inline distT="0" distB="0" distL="0" distR="0" wp14:anchorId="13202A7C" wp14:editId="540A953D">
            <wp:extent cx="5943600" cy="44577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1"/>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546DF6">
        <w:rPr>
          <w:b/>
          <w:sz w:val="20"/>
          <w:szCs w:val="20"/>
        </w:rPr>
        <w:t>4.93</w:t>
      </w:r>
      <w:r>
        <w:rPr>
          <w:b/>
          <w:sz w:val="20"/>
          <w:szCs w:val="20"/>
        </w:rPr>
        <w:t xml:space="preserve">. Faulty Case 12 3D Scores Plot for PC1, PC2, and PC3.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as an ellipsoid</w:t>
      </w:r>
      <w:r w:rsidRPr="00EE2556">
        <w:rPr>
          <w:i/>
          <w:sz w:val="20"/>
          <w:szCs w:val="20"/>
        </w:rPr>
        <w:t>. The</w:t>
      </w:r>
      <w:r>
        <w:rPr>
          <w:i/>
          <w:sz w:val="20"/>
          <w:szCs w:val="20"/>
        </w:rPr>
        <w:t>re wa</w:t>
      </w:r>
      <w:r w:rsidRPr="00EE2556">
        <w:rPr>
          <w:i/>
          <w:sz w:val="20"/>
          <w:szCs w:val="20"/>
        </w:rPr>
        <w:t xml:space="preserve">s </w:t>
      </w:r>
      <w:r>
        <w:rPr>
          <w:i/>
          <w:sz w:val="20"/>
          <w:szCs w:val="20"/>
        </w:rPr>
        <w:t xml:space="preserve">a shift in PC1 </w:t>
      </w:r>
      <w:r w:rsidR="00E62112">
        <w:rPr>
          <w:i/>
          <w:sz w:val="20"/>
          <w:szCs w:val="20"/>
        </w:rPr>
        <w:t xml:space="preserve">scores </w:t>
      </w:r>
      <w:r>
        <w:rPr>
          <w:i/>
          <w:sz w:val="20"/>
          <w:szCs w:val="20"/>
        </w:rPr>
        <w:t>which may not be detectable depending on operating conditions.</w:t>
      </w:r>
    </w:p>
    <w:p w:rsidR="00E664E4" w:rsidRDefault="00E664E4" w:rsidP="00E664E4">
      <w:pPr>
        <w:rPr>
          <w:i/>
          <w:sz w:val="20"/>
          <w:szCs w:val="20"/>
        </w:rPr>
      </w:pPr>
    </w:p>
    <w:p w:rsidR="00E664E4" w:rsidRPr="00EE2556" w:rsidRDefault="00CB76A8" w:rsidP="00E664E4">
      <w:pPr>
        <w:jc w:val="center"/>
        <w:rPr>
          <w:i/>
          <w:sz w:val="20"/>
          <w:szCs w:val="20"/>
        </w:rPr>
      </w:pPr>
      <w:r>
        <w:rPr>
          <w:noProof/>
        </w:rPr>
        <w:lastRenderedPageBreak/>
        <w:drawing>
          <wp:inline distT="0" distB="0" distL="0" distR="0" wp14:anchorId="350C15DC" wp14:editId="2BAF6473">
            <wp:extent cx="5943600" cy="4457700"/>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2"/>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546DF6">
        <w:rPr>
          <w:b/>
          <w:sz w:val="20"/>
          <w:szCs w:val="20"/>
        </w:rPr>
        <w:t>4.94</w:t>
      </w:r>
      <w:r>
        <w:rPr>
          <w:b/>
          <w:sz w:val="20"/>
          <w:szCs w:val="20"/>
        </w:rPr>
        <w:t xml:space="preserve">. Faulty Case 12 Mahalanobis Distance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sidR="00546DF6">
        <w:rPr>
          <w:i/>
          <w:sz w:val="20"/>
          <w:szCs w:val="20"/>
        </w:rPr>
        <w:t xml:space="preserve">a shift, but </w:t>
      </w:r>
      <w:r>
        <w:rPr>
          <w:i/>
          <w:sz w:val="20"/>
          <w:szCs w:val="20"/>
        </w:rPr>
        <w:t>it may not be detectable depending on operating conditions.</w:t>
      </w:r>
    </w:p>
    <w:p w:rsidR="00E664E4" w:rsidRDefault="00E664E4" w:rsidP="00E664E4">
      <w:pPr>
        <w:rPr>
          <w:i/>
          <w:sz w:val="20"/>
          <w:szCs w:val="20"/>
        </w:rPr>
      </w:pPr>
    </w:p>
    <w:p w:rsidR="00E664E4" w:rsidRPr="00EE2556" w:rsidRDefault="00CB76A8" w:rsidP="00E664E4">
      <w:pPr>
        <w:jc w:val="center"/>
        <w:rPr>
          <w:i/>
          <w:sz w:val="20"/>
          <w:szCs w:val="20"/>
        </w:rPr>
      </w:pPr>
      <w:r>
        <w:rPr>
          <w:noProof/>
        </w:rPr>
        <w:lastRenderedPageBreak/>
        <w:drawing>
          <wp:inline distT="0" distB="0" distL="0" distR="0" wp14:anchorId="02AD6D38" wp14:editId="52439DDD">
            <wp:extent cx="5943600" cy="44577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3"/>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546DF6">
        <w:rPr>
          <w:b/>
          <w:sz w:val="20"/>
          <w:szCs w:val="20"/>
        </w:rPr>
        <w:t>4.95</w:t>
      </w:r>
      <w:r>
        <w:rPr>
          <w:b/>
          <w:sz w:val="20"/>
          <w:szCs w:val="20"/>
        </w:rPr>
        <w:t xml:space="preserve">. Faulty Case 12 </w:t>
      </w:r>
      <m:oMath>
        <m:r>
          <m:rPr>
            <m:sty m:val="bi"/>
          </m:rPr>
          <w:rPr>
            <w:rFonts w:ascii="Cambria Math" w:hAnsi="Cambria Math"/>
            <w:sz w:val="20"/>
            <w:szCs w:val="20"/>
          </w:rPr>
          <m:t>Q</m:t>
        </m:r>
      </m:oMath>
      <w:r>
        <w:rPr>
          <w:b/>
          <w:sz w:val="20"/>
          <w:szCs w:val="20"/>
        </w:rPr>
        <w:t xml:space="preserve">-Statistic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 xml:space="preserve">a </w:t>
      </w:r>
      <w:r w:rsidR="00546DF6">
        <w:rPr>
          <w:i/>
          <w:sz w:val="20"/>
          <w:szCs w:val="20"/>
        </w:rPr>
        <w:t>detectable fault</w:t>
      </w:r>
      <w:r>
        <w:rPr>
          <w:i/>
          <w:sz w:val="20"/>
          <w:szCs w:val="20"/>
        </w:rPr>
        <w:t>.</w:t>
      </w:r>
    </w:p>
    <w:p w:rsidR="00E664E4" w:rsidRDefault="00E664E4" w:rsidP="00E664E4">
      <w:pPr>
        <w:rPr>
          <w:i/>
          <w:sz w:val="20"/>
          <w:szCs w:val="20"/>
        </w:rPr>
      </w:pPr>
    </w:p>
    <w:p w:rsidR="00E664E4" w:rsidRPr="00EE2556" w:rsidRDefault="00546DF6" w:rsidP="00E664E4">
      <w:pPr>
        <w:jc w:val="center"/>
        <w:rPr>
          <w:i/>
          <w:sz w:val="20"/>
          <w:szCs w:val="20"/>
        </w:rPr>
      </w:pPr>
      <w:r>
        <w:rPr>
          <w:noProof/>
        </w:rPr>
        <w:lastRenderedPageBreak/>
        <w:drawing>
          <wp:inline distT="0" distB="0" distL="0" distR="0" wp14:anchorId="070BFAB0" wp14:editId="719CDC6B">
            <wp:extent cx="5943600" cy="44577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4"/>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546DF6">
        <w:rPr>
          <w:b/>
          <w:sz w:val="20"/>
          <w:szCs w:val="20"/>
        </w:rPr>
        <w:t>4.96</w:t>
      </w:r>
      <w:r>
        <w:rPr>
          <w:b/>
          <w:sz w:val="20"/>
          <w:szCs w:val="20"/>
        </w:rPr>
        <w:t xml:space="preserve">. Faulty Case 12 PC1, PC2, and </w:t>
      </w:r>
      <m:oMath>
        <m:r>
          <m:rPr>
            <m:sty m:val="bi"/>
          </m:rPr>
          <w:rPr>
            <w:rFonts w:ascii="Cambria Math" w:hAnsi="Cambria Math"/>
            <w:sz w:val="20"/>
            <w:szCs w:val="20"/>
          </w:rPr>
          <m:t>Q</m:t>
        </m:r>
      </m:oMath>
      <w:r>
        <w:rPr>
          <w:b/>
          <w:sz w:val="20"/>
          <w:szCs w:val="20"/>
        </w:rPr>
        <w:t xml:space="preserve">-Statistic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 xml:space="preserve">s </w:t>
      </w:r>
      <w:r>
        <w:rPr>
          <w:i/>
          <w:sz w:val="20"/>
          <w:szCs w:val="20"/>
        </w:rPr>
        <w:t xml:space="preserve">a </w:t>
      </w:r>
      <w:r w:rsidR="00546DF6">
        <w:rPr>
          <w:i/>
          <w:sz w:val="20"/>
          <w:szCs w:val="20"/>
        </w:rPr>
        <w:t>detectable fault in t</w:t>
      </w:r>
      <w:r>
        <w:rPr>
          <w:i/>
          <w:sz w:val="20"/>
          <w:szCs w:val="20"/>
        </w:rPr>
        <w:t xml:space="preserve">he </w:t>
      </w:r>
      <m:oMath>
        <m:r>
          <w:rPr>
            <w:rFonts w:ascii="Cambria Math" w:hAnsi="Cambria Math"/>
            <w:sz w:val="20"/>
            <w:szCs w:val="20"/>
          </w:rPr>
          <m:t>Q</m:t>
        </m:r>
      </m:oMath>
      <w:r>
        <w:rPr>
          <w:rFonts w:eastAsiaTheme="minorEastAsia"/>
          <w:i/>
          <w:sz w:val="20"/>
          <w:szCs w:val="20"/>
        </w:rPr>
        <w:t>-statistic</w:t>
      </w:r>
      <w:r w:rsidR="00546DF6">
        <w:rPr>
          <w:rFonts w:eastAsiaTheme="minorEastAsia"/>
          <w:i/>
          <w:sz w:val="20"/>
          <w:szCs w:val="20"/>
        </w:rPr>
        <w:t>.</w:t>
      </w:r>
    </w:p>
    <w:p w:rsidR="00E664E4" w:rsidRDefault="00E664E4" w:rsidP="00E664E4"/>
    <w:p w:rsidR="00567A68" w:rsidRPr="00CC5ADE" w:rsidRDefault="00567A68" w:rsidP="00E664E4"/>
    <w:p w:rsidR="001B675F" w:rsidRDefault="001B675F">
      <w:pPr>
        <w:rPr>
          <w:rFonts w:asciiTheme="majorHAnsi" w:hAnsiTheme="majorHAnsi"/>
          <w:b/>
        </w:rPr>
      </w:pPr>
      <w:r>
        <w:rPr>
          <w:rFonts w:asciiTheme="majorHAnsi" w:hAnsiTheme="majorHAnsi"/>
          <w:b/>
        </w:rPr>
        <w:br w:type="page"/>
      </w:r>
    </w:p>
    <w:p w:rsidR="00E664E4" w:rsidRDefault="00E664E4" w:rsidP="00E664E4">
      <w:pPr>
        <w:rPr>
          <w:rFonts w:asciiTheme="majorHAnsi" w:hAnsiTheme="majorHAnsi"/>
          <w:b/>
        </w:rPr>
      </w:pPr>
      <w:r>
        <w:rPr>
          <w:rFonts w:asciiTheme="majorHAnsi" w:hAnsiTheme="majorHAnsi"/>
          <w:b/>
        </w:rPr>
        <w:lastRenderedPageBreak/>
        <w:t>4.3.13 Case 13</w:t>
      </w:r>
    </w:p>
    <w:p w:rsidR="00E664E4" w:rsidRDefault="00E664E4" w:rsidP="00E664E4">
      <w:pPr>
        <w:rPr>
          <w:rFonts w:eastAsiaTheme="minorEastAsia"/>
        </w:rPr>
      </w:pPr>
      <w:r>
        <w:t>Faulty Case 13 was the second case used to test the effect of changes to multiple parameters or inputs. It combined two previous cases: Case 7 and Case 10. Both of the previous case</w:t>
      </w:r>
      <w:r w:rsidR="006B3EA2">
        <w:t>s</w:t>
      </w:r>
      <w:r>
        <w:t xml:space="preserve"> investigated inefficient operations. In Case 7, inefficient precipitation process operations were investigated by changing the extent of reaction for the precipitation reaction, </w:t>
      </w:r>
      <m:oMath>
        <m:sSub>
          <m:sSubPr>
            <m:ctrlPr>
              <w:rPr>
                <w:rFonts w:ascii="Cambria Math" w:hAnsi="Cambria Math"/>
              </w:rPr>
            </m:ctrlPr>
          </m:sSubPr>
          <m:e>
            <m:r>
              <w:rPr>
                <w:rFonts w:ascii="Cambria Math" w:hAnsi="Cambria Math"/>
              </w:rPr>
              <m:t>X</m:t>
            </m:r>
          </m:e>
          <m:sub>
            <m:r>
              <w:rPr>
                <w:rFonts w:ascii="Cambria Math" w:hAnsi="Cambria Math"/>
              </w:rPr>
              <m:t>Mod3C</m:t>
            </m:r>
          </m:sub>
        </m:sSub>
      </m:oMath>
      <w:r>
        <w:rPr>
          <w:rFonts w:eastAsiaTheme="minorEastAsia"/>
        </w:rPr>
        <w:t xml:space="preserve">, from 0.9999 to 0.9 in Module 3. </w:t>
      </w:r>
      <w:r>
        <w:t>In Case 10, inefficient operations of the fluorination processes in Module 5 were investigated by changing the extents of reaction for both the primary and secondary fluorination reactions from 0.999 to 0.95. The same artificially sensitive state variables that were removed in Cases 7 and 10 were also removed from this fault case analysis.</w:t>
      </w:r>
      <w:r w:rsidR="006B3EA2">
        <w:t xml:space="preserve"> This fault was detectable using the </w:t>
      </w:r>
      <m:oMath>
        <m:r>
          <w:rPr>
            <w:rFonts w:ascii="Cambria Math" w:hAnsi="Cambria Math"/>
          </w:rPr>
          <m:t>Q</m:t>
        </m:r>
      </m:oMath>
      <w:r w:rsidR="006B3EA2">
        <w:rPr>
          <w:rFonts w:eastAsiaTheme="minorEastAsia"/>
        </w:rPr>
        <w:t>-statistic.</w:t>
      </w:r>
    </w:p>
    <w:p w:rsidR="001B675F" w:rsidRDefault="006B3EA2" w:rsidP="006B3EA2">
      <w:pPr>
        <w:rPr>
          <w:rFonts w:eastAsiaTheme="minorEastAsia"/>
        </w:rPr>
      </w:pPr>
      <w:r>
        <w:rPr>
          <w:rFonts w:eastAsiaTheme="minorEastAsia"/>
        </w:rPr>
        <w:t xml:space="preserve">There was a slight shift in PC1, PC2, and PC3 </w:t>
      </w:r>
      <w:r w:rsidR="00E62112">
        <w:rPr>
          <w:rFonts w:eastAsiaTheme="minorEastAsia"/>
        </w:rPr>
        <w:t xml:space="preserve">scores </w:t>
      </w:r>
      <w:r>
        <w:rPr>
          <w:rFonts w:eastAsiaTheme="minorEastAsia"/>
        </w:rPr>
        <w:t xml:space="preserve">with PC3 </w:t>
      </w:r>
      <w:r w:rsidR="00E62112">
        <w:rPr>
          <w:rFonts w:eastAsiaTheme="minorEastAsia"/>
        </w:rPr>
        <w:t xml:space="preserve">scores </w:t>
      </w:r>
      <w:r>
        <w:rPr>
          <w:rFonts w:eastAsiaTheme="minorEastAsia"/>
        </w:rPr>
        <w:t>having the greatest shift. However, there were no detectable faults in the scores plots. The scores responses were very similar to those from Case 7. There was also a</w:t>
      </w:r>
      <w:r w:rsidR="004E68DC">
        <w:rPr>
          <w:rFonts w:eastAsiaTheme="minorEastAsia"/>
        </w:rPr>
        <w:t>n increase</w:t>
      </w:r>
      <w:r>
        <w:rPr>
          <w:rFonts w:eastAsiaTheme="minorEastAsia"/>
        </w:rPr>
        <w:t xml:space="preserve"> in the Mahalanobis distance (Figure 4.97) which was similar to Case 7. The fault would only be detectable under certain conditions since many of the data points were still within the 95% confidence boundary. There was a</w:t>
      </w:r>
      <w:r w:rsidR="007063C2">
        <w:rPr>
          <w:rFonts w:eastAsiaTheme="minorEastAsia"/>
        </w:rPr>
        <w:t>n increase</w:t>
      </w:r>
      <w:r>
        <w:rPr>
          <w:rFonts w:eastAsiaTheme="minorEastAsia"/>
        </w:rPr>
        <w:t xml:space="preserve"> in the </w:t>
      </w:r>
      <m:oMath>
        <m:r>
          <w:rPr>
            <w:rFonts w:ascii="Cambria Math" w:eastAsiaTheme="minorEastAsia" w:hAnsi="Cambria Math"/>
          </w:rPr>
          <m:t>Q</m:t>
        </m:r>
      </m:oMath>
      <w:r>
        <w:rPr>
          <w:rFonts w:eastAsiaTheme="minorEastAsia"/>
        </w:rPr>
        <w:t xml:space="preserve">-statistic (Figures 4.98–4.99) which was larger than that from both Case 7 and Case 10. </w:t>
      </w:r>
      <w:r w:rsidR="00E664E4">
        <w:t>Since this case was a combination of inefficient operations, it was also expected that the faults would be larger due to an additive effects of the faults which was the case</w:t>
      </w:r>
      <w:r>
        <w:t xml:space="preserve"> for the </w:t>
      </w:r>
      <m:oMath>
        <m:r>
          <w:rPr>
            <w:rFonts w:ascii="Cambria Math" w:eastAsiaTheme="minorEastAsia" w:hAnsi="Cambria Math"/>
          </w:rPr>
          <m:t>Q</m:t>
        </m:r>
      </m:oMath>
      <w:r>
        <w:rPr>
          <w:rFonts w:eastAsiaTheme="minorEastAsia"/>
        </w:rPr>
        <w:t>-statistic since it was the only diagnostic plot that resulted in a fault for both individual cases</w:t>
      </w:r>
      <w:r w:rsidR="00E664E4">
        <w:t xml:space="preserve">. </w:t>
      </w:r>
      <w:r w:rsidR="00755174">
        <w:t xml:space="preserve">It is recommended that the outlet stream from the precipitation process be monitored for flow rate and uranium content as well as type of uranium compound. It is also recommended that the feed, product, and waste streams in the fluorination process area be monitored for flow rate and uranium content. </w:t>
      </w:r>
      <w:r>
        <w:rPr>
          <w:rFonts w:eastAsiaTheme="minorEastAsia"/>
        </w:rPr>
        <w:t>This faulty case along with a comparison of the Case 7 and Case 10 results are provided in Table 4.33.</w:t>
      </w:r>
    </w:p>
    <w:p w:rsidR="007E61E6" w:rsidRDefault="007E61E6">
      <w:pPr>
        <w:rPr>
          <w:rFonts w:eastAsiaTheme="minorEastAsia"/>
        </w:rPr>
      </w:pPr>
    </w:p>
    <w:p w:rsidR="001B675F" w:rsidRDefault="001B675F">
      <w:pPr>
        <w:rPr>
          <w:rFonts w:eastAsiaTheme="minorEastAsia"/>
        </w:rPr>
      </w:pPr>
      <w:r>
        <w:rPr>
          <w:rFonts w:eastAsiaTheme="minorEastAsia"/>
        </w:rPr>
        <w:br w:type="page"/>
      </w:r>
    </w:p>
    <w:tbl>
      <w:tblPr>
        <w:tblW w:w="8220" w:type="dxa"/>
        <w:jc w:val="center"/>
        <w:tblInd w:w="93" w:type="dxa"/>
        <w:tblLook w:val="04A0" w:firstRow="1" w:lastRow="0" w:firstColumn="1" w:lastColumn="0" w:noHBand="0" w:noVBand="1"/>
      </w:tblPr>
      <w:tblGrid>
        <w:gridCol w:w="1368"/>
        <w:gridCol w:w="982"/>
        <w:gridCol w:w="1273"/>
        <w:gridCol w:w="1380"/>
        <w:gridCol w:w="1123"/>
        <w:gridCol w:w="2094"/>
      </w:tblGrid>
      <w:tr w:rsidR="006B3EA2" w:rsidRPr="006B3EA2" w:rsidTr="006B3EA2">
        <w:trPr>
          <w:trHeight w:val="270"/>
          <w:jc w:val="center"/>
        </w:trPr>
        <w:tc>
          <w:tcPr>
            <w:tcW w:w="8220" w:type="dxa"/>
            <w:gridSpan w:val="6"/>
            <w:tcBorders>
              <w:top w:val="nil"/>
              <w:left w:val="nil"/>
              <w:bottom w:val="single" w:sz="8" w:space="0" w:color="auto"/>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b/>
                <w:bCs/>
                <w:color w:val="000000"/>
                <w:sz w:val="20"/>
                <w:szCs w:val="20"/>
              </w:rPr>
            </w:pPr>
            <w:r w:rsidRPr="006B3EA2">
              <w:rPr>
                <w:rFonts w:ascii="Calibri" w:eastAsia="Times New Roman" w:hAnsi="Calibri" w:cs="Times New Roman"/>
                <w:b/>
                <w:bCs/>
                <w:color w:val="000000"/>
                <w:sz w:val="20"/>
                <w:szCs w:val="20"/>
              </w:rPr>
              <w:lastRenderedPageBreak/>
              <w:t>Table 4.33. Summary of Faulty Case 13</w:t>
            </w:r>
          </w:p>
        </w:tc>
      </w:tr>
      <w:tr w:rsidR="006B3EA2" w:rsidRPr="006B3EA2" w:rsidTr="006B3EA2">
        <w:trPr>
          <w:trHeight w:val="255"/>
          <w:jc w:val="center"/>
        </w:trPr>
        <w:tc>
          <w:tcPr>
            <w:tcW w:w="8220" w:type="dxa"/>
            <w:gridSpan w:val="6"/>
            <w:tcBorders>
              <w:top w:val="nil"/>
              <w:left w:val="nil"/>
              <w:bottom w:val="nil"/>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b/>
                <w:bCs/>
                <w:color w:val="000000"/>
                <w:sz w:val="20"/>
                <w:szCs w:val="20"/>
              </w:rPr>
            </w:pPr>
            <w:r w:rsidRPr="006B3EA2">
              <w:rPr>
                <w:rFonts w:ascii="Calibri" w:eastAsia="Times New Roman" w:hAnsi="Calibri" w:cs="Times New Roman"/>
                <w:b/>
                <w:bCs/>
                <w:color w:val="000000"/>
                <w:sz w:val="20"/>
                <w:szCs w:val="20"/>
              </w:rPr>
              <w:t>Summary of Faulty Case</w:t>
            </w:r>
          </w:p>
        </w:tc>
      </w:tr>
      <w:tr w:rsidR="006B3EA2" w:rsidRPr="006B3EA2" w:rsidTr="006B3EA2">
        <w:trPr>
          <w:trHeight w:val="255"/>
          <w:jc w:val="center"/>
        </w:trPr>
        <w:tc>
          <w:tcPr>
            <w:tcW w:w="1368" w:type="dxa"/>
            <w:tcBorders>
              <w:top w:val="nil"/>
              <w:left w:val="nil"/>
              <w:bottom w:val="single" w:sz="4" w:space="0" w:color="auto"/>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b/>
                <w:bCs/>
                <w:color w:val="000000"/>
                <w:sz w:val="20"/>
                <w:szCs w:val="20"/>
              </w:rPr>
            </w:pPr>
            <w:r w:rsidRPr="006B3EA2">
              <w:rPr>
                <w:rFonts w:ascii="Calibri" w:eastAsia="Times New Roman" w:hAnsi="Calibri" w:cs="Times New Roman"/>
                <w:b/>
                <w:bCs/>
                <w:color w:val="000000"/>
                <w:sz w:val="20"/>
                <w:szCs w:val="20"/>
              </w:rPr>
              <w:t>Priority</w:t>
            </w:r>
          </w:p>
        </w:tc>
        <w:tc>
          <w:tcPr>
            <w:tcW w:w="982" w:type="dxa"/>
            <w:tcBorders>
              <w:top w:val="nil"/>
              <w:left w:val="nil"/>
              <w:bottom w:val="single" w:sz="4" w:space="0" w:color="auto"/>
              <w:right w:val="nil"/>
            </w:tcBorders>
            <w:shd w:val="clear" w:color="auto" w:fill="auto"/>
            <w:vAlign w:val="center"/>
            <w:hideMark/>
          </w:tcPr>
          <w:p w:rsidR="006B3EA2" w:rsidRPr="006B3EA2" w:rsidRDefault="006B3EA2" w:rsidP="006B3EA2">
            <w:pPr>
              <w:spacing w:after="0" w:line="240" w:lineRule="auto"/>
              <w:jc w:val="center"/>
              <w:rPr>
                <w:rFonts w:ascii="Calibri" w:eastAsia="Times New Roman" w:hAnsi="Calibri" w:cs="Times New Roman"/>
                <w:b/>
                <w:bCs/>
                <w:sz w:val="20"/>
                <w:szCs w:val="20"/>
              </w:rPr>
            </w:pPr>
            <w:r w:rsidRPr="006B3EA2">
              <w:rPr>
                <w:rFonts w:ascii="Calibri" w:eastAsia="Times New Roman" w:hAnsi="Calibri" w:cs="Times New Roman"/>
                <w:b/>
                <w:bCs/>
                <w:sz w:val="20"/>
                <w:szCs w:val="20"/>
              </w:rPr>
              <w:t>Modules</w:t>
            </w:r>
          </w:p>
        </w:tc>
        <w:tc>
          <w:tcPr>
            <w:tcW w:w="1273" w:type="dxa"/>
            <w:tcBorders>
              <w:top w:val="nil"/>
              <w:left w:val="nil"/>
              <w:bottom w:val="single" w:sz="4" w:space="0" w:color="auto"/>
              <w:right w:val="nil"/>
            </w:tcBorders>
            <w:shd w:val="clear" w:color="auto" w:fill="auto"/>
            <w:vAlign w:val="center"/>
            <w:hideMark/>
          </w:tcPr>
          <w:p w:rsidR="006B3EA2" w:rsidRPr="006B3EA2" w:rsidRDefault="006B3EA2" w:rsidP="006B3EA2">
            <w:pPr>
              <w:spacing w:after="0" w:line="240" w:lineRule="auto"/>
              <w:jc w:val="center"/>
              <w:rPr>
                <w:rFonts w:ascii="Calibri" w:eastAsia="Times New Roman" w:hAnsi="Calibri" w:cs="Times New Roman"/>
                <w:b/>
                <w:bCs/>
                <w:sz w:val="20"/>
                <w:szCs w:val="20"/>
              </w:rPr>
            </w:pPr>
            <w:r w:rsidRPr="006B3EA2">
              <w:rPr>
                <w:rFonts w:ascii="Calibri" w:eastAsia="Times New Roman" w:hAnsi="Calibri" w:cs="Times New Roman"/>
                <w:b/>
                <w:bCs/>
                <w:sz w:val="20"/>
                <w:szCs w:val="20"/>
              </w:rPr>
              <w:t>Faulty Variable</w:t>
            </w:r>
          </w:p>
        </w:tc>
        <w:tc>
          <w:tcPr>
            <w:tcW w:w="1380" w:type="dxa"/>
            <w:tcBorders>
              <w:top w:val="nil"/>
              <w:left w:val="nil"/>
              <w:bottom w:val="single" w:sz="4" w:space="0" w:color="auto"/>
              <w:right w:val="nil"/>
            </w:tcBorders>
            <w:shd w:val="clear" w:color="auto" w:fill="auto"/>
            <w:vAlign w:val="center"/>
            <w:hideMark/>
          </w:tcPr>
          <w:p w:rsidR="006B3EA2" w:rsidRPr="006B3EA2" w:rsidRDefault="006B3EA2" w:rsidP="006B3EA2">
            <w:pPr>
              <w:spacing w:after="0" w:line="240" w:lineRule="auto"/>
              <w:jc w:val="center"/>
              <w:rPr>
                <w:rFonts w:ascii="Calibri" w:eastAsia="Times New Roman" w:hAnsi="Calibri" w:cs="Times New Roman"/>
                <w:b/>
                <w:bCs/>
                <w:color w:val="000000"/>
                <w:sz w:val="20"/>
                <w:szCs w:val="20"/>
              </w:rPr>
            </w:pPr>
            <w:r w:rsidRPr="006B3EA2">
              <w:rPr>
                <w:rFonts w:ascii="Calibri" w:eastAsia="Times New Roman" w:hAnsi="Calibri" w:cs="Times New Roman"/>
                <w:b/>
                <w:bCs/>
                <w:color w:val="000000"/>
                <w:sz w:val="20"/>
                <w:szCs w:val="20"/>
              </w:rPr>
              <w:t>Base Case Value</w:t>
            </w:r>
          </w:p>
        </w:tc>
        <w:tc>
          <w:tcPr>
            <w:tcW w:w="1123" w:type="dxa"/>
            <w:tcBorders>
              <w:top w:val="nil"/>
              <w:left w:val="nil"/>
              <w:bottom w:val="single" w:sz="4" w:space="0" w:color="auto"/>
              <w:right w:val="nil"/>
            </w:tcBorders>
            <w:shd w:val="clear" w:color="auto" w:fill="auto"/>
            <w:vAlign w:val="center"/>
            <w:hideMark/>
          </w:tcPr>
          <w:p w:rsidR="006B3EA2" w:rsidRPr="006B3EA2" w:rsidRDefault="006B3EA2" w:rsidP="006B3EA2">
            <w:pPr>
              <w:spacing w:after="0" w:line="240" w:lineRule="auto"/>
              <w:jc w:val="center"/>
              <w:rPr>
                <w:rFonts w:ascii="Calibri" w:eastAsia="Times New Roman" w:hAnsi="Calibri" w:cs="Times New Roman"/>
                <w:b/>
                <w:bCs/>
                <w:color w:val="000000"/>
                <w:sz w:val="20"/>
                <w:szCs w:val="20"/>
              </w:rPr>
            </w:pPr>
            <w:r w:rsidRPr="006B3EA2">
              <w:rPr>
                <w:rFonts w:ascii="Calibri" w:eastAsia="Times New Roman" w:hAnsi="Calibri" w:cs="Times New Roman"/>
                <w:b/>
                <w:bCs/>
                <w:color w:val="000000"/>
                <w:sz w:val="20"/>
                <w:szCs w:val="20"/>
              </w:rPr>
              <w:t>Faulty Value</w:t>
            </w:r>
          </w:p>
        </w:tc>
        <w:tc>
          <w:tcPr>
            <w:tcW w:w="2094" w:type="dxa"/>
            <w:tcBorders>
              <w:top w:val="nil"/>
              <w:left w:val="nil"/>
              <w:bottom w:val="single" w:sz="4" w:space="0" w:color="auto"/>
              <w:right w:val="nil"/>
            </w:tcBorders>
            <w:shd w:val="clear" w:color="auto" w:fill="auto"/>
            <w:vAlign w:val="center"/>
            <w:hideMark/>
          </w:tcPr>
          <w:p w:rsidR="006B3EA2" w:rsidRPr="006B3EA2" w:rsidRDefault="006B3EA2" w:rsidP="006B3EA2">
            <w:pPr>
              <w:spacing w:after="0" w:line="240" w:lineRule="auto"/>
              <w:jc w:val="center"/>
              <w:rPr>
                <w:rFonts w:ascii="Calibri" w:eastAsia="Times New Roman" w:hAnsi="Calibri" w:cs="Times New Roman"/>
                <w:b/>
                <w:bCs/>
                <w:sz w:val="20"/>
                <w:szCs w:val="20"/>
              </w:rPr>
            </w:pPr>
            <w:r w:rsidRPr="006B3EA2">
              <w:rPr>
                <w:rFonts w:ascii="Calibri" w:eastAsia="Times New Roman" w:hAnsi="Calibri" w:cs="Times New Roman"/>
                <w:b/>
                <w:bCs/>
                <w:sz w:val="20"/>
                <w:szCs w:val="20"/>
              </w:rPr>
              <w:t>Physical Description</w:t>
            </w:r>
          </w:p>
        </w:tc>
      </w:tr>
      <w:tr w:rsidR="006B3EA2" w:rsidRPr="006B3EA2" w:rsidTr="006B3EA2">
        <w:trPr>
          <w:trHeight w:val="1275"/>
          <w:jc w:val="center"/>
        </w:trPr>
        <w:tc>
          <w:tcPr>
            <w:tcW w:w="1368" w:type="dxa"/>
            <w:tcBorders>
              <w:top w:val="nil"/>
              <w:left w:val="nil"/>
              <w:bottom w:val="nil"/>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High</w:t>
            </w:r>
          </w:p>
        </w:tc>
        <w:tc>
          <w:tcPr>
            <w:tcW w:w="982" w:type="dxa"/>
            <w:tcBorders>
              <w:top w:val="nil"/>
              <w:left w:val="nil"/>
              <w:bottom w:val="nil"/>
              <w:right w:val="nil"/>
            </w:tcBorders>
            <w:shd w:val="clear" w:color="auto" w:fill="auto"/>
            <w:vAlign w:val="center"/>
            <w:hideMark/>
          </w:tcPr>
          <w:p w:rsidR="006B3EA2" w:rsidRPr="006B3EA2" w:rsidRDefault="002A316A" w:rsidP="002A316A">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3</w:t>
            </w:r>
            <w:r w:rsidR="006B3EA2" w:rsidRPr="006B3EA2">
              <w:rPr>
                <w:rFonts w:ascii="Calibri" w:eastAsia="Times New Roman" w:hAnsi="Calibri" w:cs="Times New Roman"/>
                <w:color w:val="000000"/>
                <w:sz w:val="20"/>
                <w:szCs w:val="20"/>
              </w:rPr>
              <w:t xml:space="preserve"> and </w:t>
            </w:r>
            <w:r>
              <w:rPr>
                <w:rFonts w:ascii="Calibri" w:eastAsia="Times New Roman" w:hAnsi="Calibri" w:cs="Times New Roman"/>
                <w:color w:val="000000"/>
                <w:sz w:val="20"/>
                <w:szCs w:val="20"/>
              </w:rPr>
              <w:t>5</w:t>
            </w:r>
          </w:p>
        </w:tc>
        <w:tc>
          <w:tcPr>
            <w:tcW w:w="1273" w:type="dxa"/>
            <w:tcBorders>
              <w:top w:val="nil"/>
              <w:left w:val="nil"/>
              <w:bottom w:val="nil"/>
              <w:right w:val="nil"/>
            </w:tcBorders>
            <w:shd w:val="clear" w:color="auto" w:fill="auto"/>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X</w:t>
            </w:r>
            <w:r w:rsidRPr="006B3EA2">
              <w:rPr>
                <w:rFonts w:ascii="Calibri" w:eastAsia="Times New Roman" w:hAnsi="Calibri" w:cs="Times New Roman"/>
                <w:color w:val="000000"/>
                <w:sz w:val="20"/>
                <w:szCs w:val="20"/>
                <w:vertAlign w:val="subscript"/>
              </w:rPr>
              <w:t>Mod3C</w:t>
            </w:r>
            <w:r w:rsidRPr="006B3EA2">
              <w:rPr>
                <w:rFonts w:ascii="Calibri" w:eastAsia="Times New Roman" w:hAnsi="Calibri" w:cs="Times New Roman"/>
                <w:color w:val="000000"/>
                <w:sz w:val="20"/>
                <w:szCs w:val="20"/>
              </w:rPr>
              <w:t>, X</w:t>
            </w:r>
            <w:r w:rsidRPr="006B3EA2">
              <w:rPr>
                <w:rFonts w:ascii="Calibri" w:eastAsia="Times New Roman" w:hAnsi="Calibri" w:cs="Times New Roman"/>
                <w:color w:val="000000"/>
                <w:sz w:val="20"/>
                <w:szCs w:val="20"/>
                <w:vertAlign w:val="subscript"/>
              </w:rPr>
              <w:t>Mod5B</w:t>
            </w:r>
            <w:r w:rsidRPr="006B3EA2">
              <w:rPr>
                <w:rFonts w:ascii="Calibri" w:eastAsia="Times New Roman" w:hAnsi="Calibri" w:cs="Times New Roman"/>
                <w:color w:val="000000"/>
                <w:sz w:val="20"/>
                <w:szCs w:val="20"/>
              </w:rPr>
              <w:t>,  and X</w:t>
            </w:r>
            <w:r w:rsidRPr="006B3EA2">
              <w:rPr>
                <w:rFonts w:ascii="Calibri" w:eastAsia="Times New Roman" w:hAnsi="Calibri" w:cs="Times New Roman"/>
                <w:color w:val="000000"/>
                <w:sz w:val="20"/>
                <w:szCs w:val="20"/>
                <w:vertAlign w:val="subscript"/>
              </w:rPr>
              <w:t>Mod5E</w:t>
            </w:r>
          </w:p>
        </w:tc>
        <w:tc>
          <w:tcPr>
            <w:tcW w:w="1380" w:type="dxa"/>
            <w:tcBorders>
              <w:top w:val="nil"/>
              <w:left w:val="nil"/>
              <w:bottom w:val="nil"/>
              <w:right w:val="nil"/>
            </w:tcBorders>
            <w:shd w:val="clear" w:color="auto" w:fill="auto"/>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0.9999; 0.999</w:t>
            </w:r>
          </w:p>
        </w:tc>
        <w:tc>
          <w:tcPr>
            <w:tcW w:w="1123" w:type="dxa"/>
            <w:tcBorders>
              <w:top w:val="nil"/>
              <w:left w:val="nil"/>
              <w:bottom w:val="nil"/>
              <w:right w:val="nil"/>
            </w:tcBorders>
            <w:shd w:val="clear" w:color="auto" w:fill="auto"/>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0.9; 0.95</w:t>
            </w:r>
          </w:p>
        </w:tc>
        <w:tc>
          <w:tcPr>
            <w:tcW w:w="2094" w:type="dxa"/>
            <w:tcBorders>
              <w:top w:val="nil"/>
              <w:left w:val="nil"/>
              <w:bottom w:val="nil"/>
              <w:right w:val="nil"/>
            </w:tcBorders>
            <w:shd w:val="clear" w:color="auto" w:fill="auto"/>
            <w:vAlign w:val="center"/>
            <w:hideMark/>
          </w:tcPr>
          <w:p w:rsidR="006B3EA2" w:rsidRPr="006B3EA2" w:rsidRDefault="006B3EA2" w:rsidP="006B3EA2">
            <w:pPr>
              <w:spacing w:after="0" w:line="240" w:lineRule="auto"/>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Inefficient operations in Module 3 and 5 resulted in less U converted to desired products and more U in waste streams</w:t>
            </w:r>
          </w:p>
        </w:tc>
      </w:tr>
      <w:tr w:rsidR="006B3EA2" w:rsidRPr="006B3EA2" w:rsidTr="006B3EA2">
        <w:trPr>
          <w:trHeight w:val="255"/>
          <w:jc w:val="center"/>
        </w:trPr>
        <w:tc>
          <w:tcPr>
            <w:tcW w:w="8220" w:type="dxa"/>
            <w:gridSpan w:val="6"/>
            <w:tcBorders>
              <w:top w:val="single" w:sz="4" w:space="0" w:color="auto"/>
              <w:left w:val="nil"/>
              <w:bottom w:val="nil"/>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b/>
                <w:bCs/>
                <w:color w:val="000000"/>
                <w:sz w:val="20"/>
                <w:szCs w:val="20"/>
              </w:rPr>
            </w:pPr>
            <w:r w:rsidRPr="006B3EA2">
              <w:rPr>
                <w:rFonts w:ascii="Calibri" w:eastAsia="Times New Roman" w:hAnsi="Calibri" w:cs="Times New Roman"/>
                <w:b/>
                <w:bCs/>
                <w:color w:val="000000"/>
                <w:sz w:val="20"/>
                <w:szCs w:val="20"/>
              </w:rPr>
              <w:t>Summary of Results</w:t>
            </w:r>
          </w:p>
        </w:tc>
      </w:tr>
      <w:tr w:rsidR="006B3EA2" w:rsidRPr="006B3EA2" w:rsidTr="006B3EA2">
        <w:trPr>
          <w:trHeight w:val="255"/>
          <w:jc w:val="center"/>
        </w:trPr>
        <w:tc>
          <w:tcPr>
            <w:tcW w:w="1368" w:type="dxa"/>
            <w:tcBorders>
              <w:top w:val="nil"/>
              <w:left w:val="nil"/>
              <w:bottom w:val="single" w:sz="4" w:space="0" w:color="auto"/>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 </w:t>
            </w:r>
          </w:p>
        </w:tc>
        <w:tc>
          <w:tcPr>
            <w:tcW w:w="982" w:type="dxa"/>
            <w:tcBorders>
              <w:top w:val="nil"/>
              <w:left w:val="nil"/>
              <w:bottom w:val="single" w:sz="4" w:space="0" w:color="auto"/>
              <w:right w:val="nil"/>
            </w:tcBorders>
            <w:shd w:val="clear" w:color="auto" w:fill="auto"/>
            <w:vAlign w:val="center"/>
            <w:hideMark/>
          </w:tcPr>
          <w:p w:rsidR="006B3EA2" w:rsidRDefault="006B3EA2" w:rsidP="006B3EA2">
            <w:pPr>
              <w:spacing w:after="0" w:line="240" w:lineRule="auto"/>
              <w:jc w:val="center"/>
              <w:rPr>
                <w:rFonts w:ascii="Calibri" w:eastAsia="Times New Roman" w:hAnsi="Calibri" w:cs="Times New Roman"/>
                <w:b/>
                <w:bCs/>
                <w:sz w:val="20"/>
                <w:szCs w:val="20"/>
              </w:rPr>
            </w:pPr>
            <w:r w:rsidRPr="006B3EA2">
              <w:rPr>
                <w:rFonts w:ascii="Calibri" w:eastAsia="Times New Roman" w:hAnsi="Calibri" w:cs="Times New Roman"/>
                <w:b/>
                <w:bCs/>
                <w:sz w:val="20"/>
                <w:szCs w:val="20"/>
              </w:rPr>
              <w:t>PC1</w:t>
            </w:r>
          </w:p>
          <w:p w:rsidR="00AC7D91" w:rsidRPr="006B3EA2" w:rsidRDefault="00AC7D91" w:rsidP="006B3EA2">
            <w:pPr>
              <w:spacing w:after="0" w:line="240" w:lineRule="auto"/>
              <w:jc w:val="center"/>
              <w:rPr>
                <w:rFonts w:ascii="Calibri" w:eastAsia="Times New Roman" w:hAnsi="Calibri" w:cs="Times New Roman"/>
                <w:b/>
                <w:bCs/>
                <w:sz w:val="20"/>
                <w:szCs w:val="20"/>
              </w:rPr>
            </w:pPr>
            <w:r>
              <w:rPr>
                <w:rFonts w:ascii="Calibri" w:eastAsia="Times New Roman" w:hAnsi="Calibri" w:cs="Times New Roman"/>
                <w:b/>
                <w:bCs/>
                <w:sz w:val="20"/>
                <w:szCs w:val="20"/>
              </w:rPr>
              <w:t>Scores</w:t>
            </w:r>
          </w:p>
        </w:tc>
        <w:tc>
          <w:tcPr>
            <w:tcW w:w="1273" w:type="dxa"/>
            <w:tcBorders>
              <w:top w:val="nil"/>
              <w:left w:val="nil"/>
              <w:bottom w:val="single" w:sz="4" w:space="0" w:color="auto"/>
              <w:right w:val="nil"/>
            </w:tcBorders>
            <w:shd w:val="clear" w:color="auto" w:fill="auto"/>
            <w:vAlign w:val="center"/>
            <w:hideMark/>
          </w:tcPr>
          <w:p w:rsidR="006B3EA2" w:rsidRDefault="006B3EA2" w:rsidP="006B3EA2">
            <w:pPr>
              <w:spacing w:after="0" w:line="240" w:lineRule="auto"/>
              <w:jc w:val="center"/>
              <w:rPr>
                <w:rFonts w:ascii="Calibri" w:eastAsia="Times New Roman" w:hAnsi="Calibri" w:cs="Times New Roman"/>
                <w:b/>
                <w:bCs/>
                <w:color w:val="000000"/>
                <w:sz w:val="20"/>
                <w:szCs w:val="20"/>
              </w:rPr>
            </w:pPr>
            <w:r w:rsidRPr="006B3EA2">
              <w:rPr>
                <w:rFonts w:ascii="Calibri" w:eastAsia="Times New Roman" w:hAnsi="Calibri" w:cs="Times New Roman"/>
                <w:b/>
                <w:bCs/>
                <w:color w:val="000000"/>
                <w:sz w:val="20"/>
                <w:szCs w:val="20"/>
              </w:rPr>
              <w:t>PC2</w:t>
            </w:r>
          </w:p>
          <w:p w:rsidR="00AC7D91" w:rsidRPr="006B3EA2" w:rsidRDefault="00AC7D91" w:rsidP="006B3EA2">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1380" w:type="dxa"/>
            <w:tcBorders>
              <w:top w:val="nil"/>
              <w:left w:val="nil"/>
              <w:bottom w:val="single" w:sz="4" w:space="0" w:color="auto"/>
              <w:right w:val="nil"/>
            </w:tcBorders>
            <w:shd w:val="clear" w:color="auto" w:fill="auto"/>
            <w:vAlign w:val="center"/>
            <w:hideMark/>
          </w:tcPr>
          <w:p w:rsidR="006B3EA2" w:rsidRDefault="006B3EA2" w:rsidP="006B3EA2">
            <w:pPr>
              <w:spacing w:after="0" w:line="240" w:lineRule="auto"/>
              <w:jc w:val="center"/>
              <w:rPr>
                <w:rFonts w:ascii="Calibri" w:eastAsia="Times New Roman" w:hAnsi="Calibri" w:cs="Times New Roman"/>
                <w:b/>
                <w:bCs/>
                <w:color w:val="000000"/>
                <w:sz w:val="20"/>
                <w:szCs w:val="20"/>
              </w:rPr>
            </w:pPr>
            <w:r w:rsidRPr="006B3EA2">
              <w:rPr>
                <w:rFonts w:ascii="Calibri" w:eastAsia="Times New Roman" w:hAnsi="Calibri" w:cs="Times New Roman"/>
                <w:b/>
                <w:bCs/>
                <w:color w:val="000000"/>
                <w:sz w:val="20"/>
                <w:szCs w:val="20"/>
              </w:rPr>
              <w:t>PC3</w:t>
            </w:r>
          </w:p>
          <w:p w:rsidR="00AC7D91" w:rsidRPr="006B3EA2" w:rsidRDefault="00AC7D91" w:rsidP="006B3EA2">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1123" w:type="dxa"/>
            <w:tcBorders>
              <w:top w:val="nil"/>
              <w:left w:val="nil"/>
              <w:bottom w:val="single" w:sz="4" w:space="0" w:color="auto"/>
              <w:right w:val="nil"/>
            </w:tcBorders>
            <w:shd w:val="clear" w:color="auto" w:fill="auto"/>
            <w:vAlign w:val="center"/>
            <w:hideMark/>
          </w:tcPr>
          <w:p w:rsidR="006B3EA2" w:rsidRPr="006B3EA2" w:rsidRDefault="006B3EA2" w:rsidP="006B3EA2">
            <w:pPr>
              <w:spacing w:after="0" w:line="240" w:lineRule="auto"/>
              <w:jc w:val="center"/>
              <w:rPr>
                <w:rFonts w:ascii="Calibri" w:eastAsia="Times New Roman" w:hAnsi="Calibri" w:cs="Times New Roman"/>
                <w:b/>
                <w:bCs/>
                <w:color w:val="000000"/>
                <w:sz w:val="20"/>
                <w:szCs w:val="20"/>
              </w:rPr>
            </w:pPr>
            <w:r w:rsidRPr="006B3EA2">
              <w:rPr>
                <w:rFonts w:ascii="Calibri" w:eastAsia="Times New Roman" w:hAnsi="Calibri" w:cs="Times New Roman"/>
                <w:b/>
                <w:bCs/>
                <w:color w:val="000000"/>
                <w:sz w:val="20"/>
                <w:szCs w:val="20"/>
              </w:rPr>
              <w:t>T2</w:t>
            </w:r>
          </w:p>
        </w:tc>
        <w:tc>
          <w:tcPr>
            <w:tcW w:w="2094" w:type="dxa"/>
            <w:tcBorders>
              <w:top w:val="nil"/>
              <w:left w:val="nil"/>
              <w:bottom w:val="single" w:sz="4" w:space="0" w:color="auto"/>
              <w:right w:val="nil"/>
            </w:tcBorders>
            <w:shd w:val="clear" w:color="auto" w:fill="auto"/>
            <w:vAlign w:val="center"/>
            <w:hideMark/>
          </w:tcPr>
          <w:p w:rsidR="006B3EA2" w:rsidRPr="006B3EA2" w:rsidRDefault="006B3EA2" w:rsidP="006B3EA2">
            <w:pPr>
              <w:spacing w:after="0" w:line="240" w:lineRule="auto"/>
              <w:jc w:val="center"/>
              <w:rPr>
                <w:rFonts w:ascii="Calibri" w:eastAsia="Times New Roman" w:hAnsi="Calibri" w:cs="Times New Roman"/>
                <w:b/>
                <w:bCs/>
                <w:color w:val="000000"/>
                <w:sz w:val="20"/>
                <w:szCs w:val="20"/>
              </w:rPr>
            </w:pPr>
            <w:r w:rsidRPr="006B3EA2">
              <w:rPr>
                <w:rFonts w:ascii="Calibri" w:eastAsia="Times New Roman" w:hAnsi="Calibri" w:cs="Times New Roman"/>
                <w:b/>
                <w:bCs/>
                <w:color w:val="000000"/>
                <w:sz w:val="20"/>
                <w:szCs w:val="20"/>
              </w:rPr>
              <w:t>Q</w:t>
            </w:r>
          </w:p>
        </w:tc>
      </w:tr>
      <w:tr w:rsidR="006B3EA2" w:rsidRPr="006B3EA2" w:rsidTr="006B3EA2">
        <w:trPr>
          <w:trHeight w:val="255"/>
          <w:jc w:val="center"/>
        </w:trPr>
        <w:tc>
          <w:tcPr>
            <w:tcW w:w="1368" w:type="dxa"/>
            <w:tcBorders>
              <w:top w:val="nil"/>
              <w:left w:val="nil"/>
              <w:bottom w:val="nil"/>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b/>
                <w:bCs/>
                <w:color w:val="000000"/>
                <w:sz w:val="20"/>
                <w:szCs w:val="20"/>
              </w:rPr>
            </w:pPr>
            <w:r w:rsidRPr="006B3EA2">
              <w:rPr>
                <w:rFonts w:ascii="Calibri" w:eastAsia="Times New Roman" w:hAnsi="Calibri" w:cs="Times New Roman"/>
                <w:b/>
                <w:bCs/>
                <w:color w:val="000000"/>
                <w:sz w:val="20"/>
                <w:szCs w:val="20"/>
              </w:rPr>
              <w:t>Direction</w:t>
            </w:r>
          </w:p>
        </w:tc>
        <w:tc>
          <w:tcPr>
            <w:tcW w:w="982" w:type="dxa"/>
            <w:tcBorders>
              <w:top w:val="nil"/>
              <w:left w:val="nil"/>
              <w:bottom w:val="nil"/>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w:t>
            </w:r>
          </w:p>
        </w:tc>
        <w:tc>
          <w:tcPr>
            <w:tcW w:w="1273" w:type="dxa"/>
            <w:tcBorders>
              <w:top w:val="nil"/>
              <w:left w:val="nil"/>
              <w:bottom w:val="nil"/>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w:t>
            </w:r>
          </w:p>
        </w:tc>
        <w:tc>
          <w:tcPr>
            <w:tcW w:w="1380" w:type="dxa"/>
            <w:tcBorders>
              <w:top w:val="nil"/>
              <w:left w:val="nil"/>
              <w:bottom w:val="nil"/>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w:t>
            </w:r>
          </w:p>
        </w:tc>
        <w:tc>
          <w:tcPr>
            <w:tcW w:w="1123" w:type="dxa"/>
            <w:tcBorders>
              <w:top w:val="nil"/>
              <w:left w:val="nil"/>
              <w:bottom w:val="nil"/>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w:t>
            </w:r>
          </w:p>
        </w:tc>
        <w:tc>
          <w:tcPr>
            <w:tcW w:w="2094" w:type="dxa"/>
            <w:tcBorders>
              <w:top w:val="nil"/>
              <w:left w:val="nil"/>
              <w:bottom w:val="nil"/>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w:t>
            </w:r>
          </w:p>
        </w:tc>
      </w:tr>
      <w:tr w:rsidR="006B3EA2" w:rsidRPr="006B3EA2" w:rsidTr="006B3EA2">
        <w:trPr>
          <w:trHeight w:val="255"/>
          <w:jc w:val="center"/>
        </w:trPr>
        <w:tc>
          <w:tcPr>
            <w:tcW w:w="1368" w:type="dxa"/>
            <w:tcBorders>
              <w:top w:val="nil"/>
              <w:left w:val="nil"/>
              <w:bottom w:val="single" w:sz="4" w:space="0" w:color="auto"/>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b/>
                <w:bCs/>
                <w:color w:val="000000"/>
                <w:sz w:val="20"/>
                <w:szCs w:val="20"/>
              </w:rPr>
            </w:pPr>
            <w:r w:rsidRPr="006B3EA2">
              <w:rPr>
                <w:rFonts w:ascii="Calibri" w:eastAsia="Times New Roman" w:hAnsi="Calibri" w:cs="Times New Roman"/>
                <w:b/>
                <w:bCs/>
                <w:color w:val="000000"/>
                <w:sz w:val="20"/>
                <w:szCs w:val="20"/>
              </w:rPr>
              <w:t>Detectability</w:t>
            </w:r>
          </w:p>
        </w:tc>
        <w:tc>
          <w:tcPr>
            <w:tcW w:w="982" w:type="dxa"/>
            <w:tcBorders>
              <w:top w:val="nil"/>
              <w:left w:val="nil"/>
              <w:bottom w:val="single" w:sz="4" w:space="0" w:color="auto"/>
              <w:right w:val="nil"/>
            </w:tcBorders>
            <w:shd w:val="clear" w:color="auto" w:fill="auto"/>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No</w:t>
            </w:r>
          </w:p>
        </w:tc>
        <w:tc>
          <w:tcPr>
            <w:tcW w:w="1273" w:type="dxa"/>
            <w:tcBorders>
              <w:top w:val="nil"/>
              <w:left w:val="nil"/>
              <w:bottom w:val="single" w:sz="4" w:space="0" w:color="auto"/>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No</w:t>
            </w:r>
          </w:p>
        </w:tc>
        <w:tc>
          <w:tcPr>
            <w:tcW w:w="1380" w:type="dxa"/>
            <w:tcBorders>
              <w:top w:val="nil"/>
              <w:left w:val="nil"/>
              <w:bottom w:val="single" w:sz="4" w:space="0" w:color="auto"/>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Not likely</w:t>
            </w:r>
          </w:p>
        </w:tc>
        <w:tc>
          <w:tcPr>
            <w:tcW w:w="1123" w:type="dxa"/>
            <w:tcBorders>
              <w:top w:val="nil"/>
              <w:left w:val="nil"/>
              <w:bottom w:val="single" w:sz="4" w:space="0" w:color="auto"/>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Possibly</w:t>
            </w:r>
          </w:p>
        </w:tc>
        <w:tc>
          <w:tcPr>
            <w:tcW w:w="2094" w:type="dxa"/>
            <w:tcBorders>
              <w:top w:val="nil"/>
              <w:left w:val="nil"/>
              <w:bottom w:val="single" w:sz="4" w:space="0" w:color="auto"/>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Yes</w:t>
            </w:r>
          </w:p>
        </w:tc>
      </w:tr>
      <w:tr w:rsidR="006B3EA2" w:rsidRPr="006B3EA2" w:rsidTr="006B3EA2">
        <w:trPr>
          <w:trHeight w:val="255"/>
          <w:jc w:val="center"/>
        </w:trPr>
        <w:tc>
          <w:tcPr>
            <w:tcW w:w="8220" w:type="dxa"/>
            <w:gridSpan w:val="6"/>
            <w:tcBorders>
              <w:top w:val="nil"/>
              <w:left w:val="nil"/>
              <w:bottom w:val="nil"/>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b/>
                <w:bCs/>
                <w:color w:val="000000"/>
                <w:sz w:val="20"/>
                <w:szCs w:val="20"/>
              </w:rPr>
            </w:pPr>
            <w:r w:rsidRPr="006B3EA2">
              <w:rPr>
                <w:rFonts w:ascii="Calibri" w:eastAsia="Times New Roman" w:hAnsi="Calibri" w:cs="Times New Roman"/>
                <w:b/>
                <w:bCs/>
                <w:color w:val="000000"/>
                <w:sz w:val="20"/>
                <w:szCs w:val="20"/>
              </w:rPr>
              <w:t>Comparison to Individual Faulty Case Results</w:t>
            </w:r>
          </w:p>
        </w:tc>
      </w:tr>
      <w:tr w:rsidR="006B3EA2" w:rsidRPr="006B3EA2" w:rsidTr="006B3EA2">
        <w:trPr>
          <w:trHeight w:val="255"/>
          <w:jc w:val="center"/>
        </w:trPr>
        <w:tc>
          <w:tcPr>
            <w:tcW w:w="1368" w:type="dxa"/>
            <w:tcBorders>
              <w:top w:val="nil"/>
              <w:left w:val="nil"/>
              <w:bottom w:val="single" w:sz="4" w:space="0" w:color="auto"/>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b/>
                <w:bCs/>
                <w:i/>
                <w:iCs/>
                <w:color w:val="000000"/>
                <w:sz w:val="20"/>
                <w:szCs w:val="20"/>
              </w:rPr>
            </w:pPr>
            <w:r w:rsidRPr="006B3EA2">
              <w:rPr>
                <w:rFonts w:ascii="Calibri" w:eastAsia="Times New Roman" w:hAnsi="Calibri" w:cs="Times New Roman"/>
                <w:b/>
                <w:bCs/>
                <w:i/>
                <w:iCs/>
                <w:color w:val="000000"/>
                <w:sz w:val="20"/>
                <w:szCs w:val="20"/>
              </w:rPr>
              <w:t> </w:t>
            </w:r>
          </w:p>
        </w:tc>
        <w:tc>
          <w:tcPr>
            <w:tcW w:w="982" w:type="dxa"/>
            <w:tcBorders>
              <w:top w:val="nil"/>
              <w:left w:val="nil"/>
              <w:bottom w:val="single" w:sz="4" w:space="0" w:color="auto"/>
              <w:right w:val="nil"/>
            </w:tcBorders>
            <w:shd w:val="clear" w:color="auto" w:fill="auto"/>
            <w:vAlign w:val="center"/>
            <w:hideMark/>
          </w:tcPr>
          <w:p w:rsidR="006B3EA2" w:rsidRDefault="006B3EA2" w:rsidP="006B3EA2">
            <w:pPr>
              <w:spacing w:after="0" w:line="240" w:lineRule="auto"/>
              <w:jc w:val="center"/>
              <w:rPr>
                <w:rFonts w:ascii="Calibri" w:eastAsia="Times New Roman" w:hAnsi="Calibri" w:cs="Times New Roman"/>
                <w:b/>
                <w:bCs/>
                <w:sz w:val="20"/>
                <w:szCs w:val="20"/>
              </w:rPr>
            </w:pPr>
            <w:r w:rsidRPr="006B3EA2">
              <w:rPr>
                <w:rFonts w:ascii="Calibri" w:eastAsia="Times New Roman" w:hAnsi="Calibri" w:cs="Times New Roman"/>
                <w:b/>
                <w:bCs/>
                <w:sz w:val="20"/>
                <w:szCs w:val="20"/>
              </w:rPr>
              <w:t>PC1</w:t>
            </w:r>
          </w:p>
          <w:p w:rsidR="00AC7D91" w:rsidRPr="006B3EA2" w:rsidRDefault="00AC7D91" w:rsidP="006B3EA2">
            <w:pPr>
              <w:spacing w:after="0" w:line="240" w:lineRule="auto"/>
              <w:jc w:val="center"/>
              <w:rPr>
                <w:rFonts w:ascii="Calibri" w:eastAsia="Times New Roman" w:hAnsi="Calibri" w:cs="Times New Roman"/>
                <w:b/>
                <w:bCs/>
                <w:sz w:val="20"/>
                <w:szCs w:val="20"/>
              </w:rPr>
            </w:pPr>
            <w:r>
              <w:rPr>
                <w:rFonts w:ascii="Calibri" w:eastAsia="Times New Roman" w:hAnsi="Calibri" w:cs="Times New Roman"/>
                <w:b/>
                <w:bCs/>
                <w:sz w:val="20"/>
                <w:szCs w:val="20"/>
              </w:rPr>
              <w:t>Scores</w:t>
            </w:r>
          </w:p>
        </w:tc>
        <w:tc>
          <w:tcPr>
            <w:tcW w:w="1273" w:type="dxa"/>
            <w:tcBorders>
              <w:top w:val="nil"/>
              <w:left w:val="nil"/>
              <w:bottom w:val="single" w:sz="4" w:space="0" w:color="auto"/>
              <w:right w:val="nil"/>
            </w:tcBorders>
            <w:shd w:val="clear" w:color="auto" w:fill="auto"/>
            <w:vAlign w:val="center"/>
            <w:hideMark/>
          </w:tcPr>
          <w:p w:rsidR="006B3EA2" w:rsidRDefault="006B3EA2" w:rsidP="006B3EA2">
            <w:pPr>
              <w:spacing w:after="0" w:line="240" w:lineRule="auto"/>
              <w:jc w:val="center"/>
              <w:rPr>
                <w:rFonts w:ascii="Calibri" w:eastAsia="Times New Roman" w:hAnsi="Calibri" w:cs="Times New Roman"/>
                <w:b/>
                <w:bCs/>
                <w:color w:val="000000"/>
                <w:sz w:val="20"/>
                <w:szCs w:val="20"/>
              </w:rPr>
            </w:pPr>
            <w:r w:rsidRPr="006B3EA2">
              <w:rPr>
                <w:rFonts w:ascii="Calibri" w:eastAsia="Times New Roman" w:hAnsi="Calibri" w:cs="Times New Roman"/>
                <w:b/>
                <w:bCs/>
                <w:color w:val="000000"/>
                <w:sz w:val="20"/>
                <w:szCs w:val="20"/>
              </w:rPr>
              <w:t>PC2</w:t>
            </w:r>
          </w:p>
          <w:p w:rsidR="00AC7D91" w:rsidRPr="006B3EA2" w:rsidRDefault="00AC7D91" w:rsidP="006B3EA2">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1380" w:type="dxa"/>
            <w:tcBorders>
              <w:top w:val="nil"/>
              <w:left w:val="nil"/>
              <w:bottom w:val="single" w:sz="4" w:space="0" w:color="auto"/>
              <w:right w:val="nil"/>
            </w:tcBorders>
            <w:shd w:val="clear" w:color="auto" w:fill="auto"/>
            <w:vAlign w:val="center"/>
            <w:hideMark/>
          </w:tcPr>
          <w:p w:rsidR="006B3EA2" w:rsidRDefault="006B3EA2" w:rsidP="006B3EA2">
            <w:pPr>
              <w:spacing w:after="0" w:line="240" w:lineRule="auto"/>
              <w:jc w:val="center"/>
              <w:rPr>
                <w:rFonts w:ascii="Calibri" w:eastAsia="Times New Roman" w:hAnsi="Calibri" w:cs="Times New Roman"/>
                <w:b/>
                <w:bCs/>
                <w:color w:val="000000"/>
                <w:sz w:val="20"/>
                <w:szCs w:val="20"/>
              </w:rPr>
            </w:pPr>
            <w:r w:rsidRPr="006B3EA2">
              <w:rPr>
                <w:rFonts w:ascii="Calibri" w:eastAsia="Times New Roman" w:hAnsi="Calibri" w:cs="Times New Roman"/>
                <w:b/>
                <w:bCs/>
                <w:color w:val="000000"/>
                <w:sz w:val="20"/>
                <w:szCs w:val="20"/>
              </w:rPr>
              <w:t>PC3</w:t>
            </w:r>
          </w:p>
          <w:p w:rsidR="00AC7D91" w:rsidRPr="006B3EA2" w:rsidRDefault="00AC7D91" w:rsidP="006B3EA2">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1123" w:type="dxa"/>
            <w:tcBorders>
              <w:top w:val="nil"/>
              <w:left w:val="nil"/>
              <w:bottom w:val="single" w:sz="4" w:space="0" w:color="auto"/>
              <w:right w:val="nil"/>
            </w:tcBorders>
            <w:shd w:val="clear" w:color="auto" w:fill="auto"/>
            <w:vAlign w:val="center"/>
            <w:hideMark/>
          </w:tcPr>
          <w:p w:rsidR="006B3EA2" w:rsidRPr="006B3EA2" w:rsidRDefault="006B3EA2" w:rsidP="006B3EA2">
            <w:pPr>
              <w:spacing w:after="0" w:line="240" w:lineRule="auto"/>
              <w:jc w:val="center"/>
              <w:rPr>
                <w:rFonts w:ascii="Calibri" w:eastAsia="Times New Roman" w:hAnsi="Calibri" w:cs="Times New Roman"/>
                <w:b/>
                <w:bCs/>
                <w:color w:val="000000"/>
                <w:sz w:val="20"/>
                <w:szCs w:val="20"/>
              </w:rPr>
            </w:pPr>
            <w:r w:rsidRPr="006B3EA2">
              <w:rPr>
                <w:rFonts w:ascii="Calibri" w:eastAsia="Times New Roman" w:hAnsi="Calibri" w:cs="Times New Roman"/>
                <w:b/>
                <w:bCs/>
                <w:color w:val="000000"/>
                <w:sz w:val="20"/>
                <w:szCs w:val="20"/>
              </w:rPr>
              <w:t>T2</w:t>
            </w:r>
          </w:p>
        </w:tc>
        <w:tc>
          <w:tcPr>
            <w:tcW w:w="2094" w:type="dxa"/>
            <w:tcBorders>
              <w:top w:val="nil"/>
              <w:left w:val="nil"/>
              <w:bottom w:val="single" w:sz="4" w:space="0" w:color="auto"/>
              <w:right w:val="nil"/>
            </w:tcBorders>
            <w:shd w:val="clear" w:color="auto" w:fill="auto"/>
            <w:vAlign w:val="center"/>
            <w:hideMark/>
          </w:tcPr>
          <w:p w:rsidR="006B3EA2" w:rsidRPr="006B3EA2" w:rsidRDefault="006B3EA2" w:rsidP="006B3EA2">
            <w:pPr>
              <w:spacing w:after="0" w:line="240" w:lineRule="auto"/>
              <w:jc w:val="center"/>
              <w:rPr>
                <w:rFonts w:ascii="Calibri" w:eastAsia="Times New Roman" w:hAnsi="Calibri" w:cs="Times New Roman"/>
                <w:b/>
                <w:bCs/>
                <w:color w:val="000000"/>
                <w:sz w:val="20"/>
                <w:szCs w:val="20"/>
              </w:rPr>
            </w:pPr>
            <w:r w:rsidRPr="006B3EA2">
              <w:rPr>
                <w:rFonts w:ascii="Calibri" w:eastAsia="Times New Roman" w:hAnsi="Calibri" w:cs="Times New Roman"/>
                <w:b/>
                <w:bCs/>
                <w:color w:val="000000"/>
                <w:sz w:val="20"/>
                <w:szCs w:val="20"/>
              </w:rPr>
              <w:t>Q</w:t>
            </w:r>
          </w:p>
        </w:tc>
      </w:tr>
      <w:tr w:rsidR="006B3EA2" w:rsidRPr="006B3EA2" w:rsidTr="006B3EA2">
        <w:trPr>
          <w:trHeight w:val="255"/>
          <w:jc w:val="center"/>
        </w:trPr>
        <w:tc>
          <w:tcPr>
            <w:tcW w:w="8220" w:type="dxa"/>
            <w:gridSpan w:val="6"/>
            <w:tcBorders>
              <w:top w:val="single" w:sz="4" w:space="0" w:color="auto"/>
              <w:left w:val="nil"/>
              <w:bottom w:val="nil"/>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b/>
                <w:bCs/>
                <w:i/>
                <w:iCs/>
                <w:color w:val="000000"/>
                <w:sz w:val="20"/>
                <w:szCs w:val="20"/>
              </w:rPr>
            </w:pPr>
            <w:r w:rsidRPr="006B3EA2">
              <w:rPr>
                <w:rFonts w:ascii="Calibri" w:eastAsia="Times New Roman" w:hAnsi="Calibri" w:cs="Times New Roman"/>
                <w:b/>
                <w:bCs/>
                <w:i/>
                <w:iCs/>
                <w:color w:val="000000"/>
                <w:sz w:val="20"/>
                <w:szCs w:val="20"/>
              </w:rPr>
              <w:t>Case 7</w:t>
            </w:r>
          </w:p>
        </w:tc>
      </w:tr>
      <w:tr w:rsidR="006B3EA2" w:rsidRPr="006B3EA2" w:rsidTr="006B3EA2">
        <w:trPr>
          <w:trHeight w:val="255"/>
          <w:jc w:val="center"/>
        </w:trPr>
        <w:tc>
          <w:tcPr>
            <w:tcW w:w="1368" w:type="dxa"/>
            <w:tcBorders>
              <w:top w:val="nil"/>
              <w:left w:val="nil"/>
              <w:bottom w:val="nil"/>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b/>
                <w:bCs/>
                <w:color w:val="000000"/>
                <w:sz w:val="20"/>
                <w:szCs w:val="20"/>
              </w:rPr>
            </w:pPr>
            <w:r w:rsidRPr="006B3EA2">
              <w:rPr>
                <w:rFonts w:ascii="Calibri" w:eastAsia="Times New Roman" w:hAnsi="Calibri" w:cs="Times New Roman"/>
                <w:b/>
                <w:bCs/>
                <w:color w:val="000000"/>
                <w:sz w:val="20"/>
                <w:szCs w:val="20"/>
              </w:rPr>
              <w:t>Direction</w:t>
            </w:r>
          </w:p>
        </w:tc>
        <w:tc>
          <w:tcPr>
            <w:tcW w:w="982" w:type="dxa"/>
            <w:tcBorders>
              <w:top w:val="nil"/>
              <w:left w:val="nil"/>
              <w:bottom w:val="nil"/>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w:t>
            </w:r>
          </w:p>
        </w:tc>
        <w:tc>
          <w:tcPr>
            <w:tcW w:w="1273" w:type="dxa"/>
            <w:tcBorders>
              <w:top w:val="nil"/>
              <w:left w:val="nil"/>
              <w:bottom w:val="nil"/>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w:t>
            </w:r>
          </w:p>
        </w:tc>
        <w:tc>
          <w:tcPr>
            <w:tcW w:w="1380" w:type="dxa"/>
            <w:tcBorders>
              <w:top w:val="nil"/>
              <w:left w:val="nil"/>
              <w:bottom w:val="nil"/>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w:t>
            </w:r>
          </w:p>
        </w:tc>
        <w:tc>
          <w:tcPr>
            <w:tcW w:w="1123" w:type="dxa"/>
            <w:tcBorders>
              <w:top w:val="nil"/>
              <w:left w:val="nil"/>
              <w:bottom w:val="nil"/>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w:t>
            </w:r>
          </w:p>
        </w:tc>
        <w:tc>
          <w:tcPr>
            <w:tcW w:w="2094" w:type="dxa"/>
            <w:tcBorders>
              <w:top w:val="nil"/>
              <w:left w:val="nil"/>
              <w:bottom w:val="nil"/>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w:t>
            </w:r>
          </w:p>
        </w:tc>
      </w:tr>
      <w:tr w:rsidR="006B3EA2" w:rsidRPr="006B3EA2" w:rsidTr="006B3EA2">
        <w:trPr>
          <w:trHeight w:val="255"/>
          <w:jc w:val="center"/>
        </w:trPr>
        <w:tc>
          <w:tcPr>
            <w:tcW w:w="1368" w:type="dxa"/>
            <w:tcBorders>
              <w:top w:val="nil"/>
              <w:left w:val="nil"/>
              <w:bottom w:val="single" w:sz="4" w:space="0" w:color="auto"/>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b/>
                <w:bCs/>
                <w:color w:val="000000"/>
                <w:sz w:val="20"/>
                <w:szCs w:val="20"/>
              </w:rPr>
            </w:pPr>
            <w:r w:rsidRPr="006B3EA2">
              <w:rPr>
                <w:rFonts w:ascii="Calibri" w:eastAsia="Times New Roman" w:hAnsi="Calibri" w:cs="Times New Roman"/>
                <w:b/>
                <w:bCs/>
                <w:color w:val="000000"/>
                <w:sz w:val="20"/>
                <w:szCs w:val="20"/>
              </w:rPr>
              <w:t>Detectability</w:t>
            </w:r>
          </w:p>
        </w:tc>
        <w:tc>
          <w:tcPr>
            <w:tcW w:w="982" w:type="dxa"/>
            <w:tcBorders>
              <w:top w:val="nil"/>
              <w:left w:val="nil"/>
              <w:bottom w:val="single" w:sz="4" w:space="0" w:color="auto"/>
              <w:right w:val="nil"/>
            </w:tcBorders>
            <w:shd w:val="clear" w:color="auto" w:fill="auto"/>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No</w:t>
            </w:r>
          </w:p>
        </w:tc>
        <w:tc>
          <w:tcPr>
            <w:tcW w:w="1273" w:type="dxa"/>
            <w:tcBorders>
              <w:top w:val="nil"/>
              <w:left w:val="nil"/>
              <w:bottom w:val="single" w:sz="4" w:space="0" w:color="auto"/>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No</w:t>
            </w:r>
          </w:p>
        </w:tc>
        <w:tc>
          <w:tcPr>
            <w:tcW w:w="1380" w:type="dxa"/>
            <w:tcBorders>
              <w:top w:val="nil"/>
              <w:left w:val="nil"/>
              <w:bottom w:val="single" w:sz="4" w:space="0" w:color="auto"/>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Not likely</w:t>
            </w:r>
          </w:p>
        </w:tc>
        <w:tc>
          <w:tcPr>
            <w:tcW w:w="1123" w:type="dxa"/>
            <w:tcBorders>
              <w:top w:val="nil"/>
              <w:left w:val="nil"/>
              <w:bottom w:val="single" w:sz="4" w:space="0" w:color="auto"/>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Possibly</w:t>
            </w:r>
          </w:p>
        </w:tc>
        <w:tc>
          <w:tcPr>
            <w:tcW w:w="2094" w:type="dxa"/>
            <w:tcBorders>
              <w:top w:val="nil"/>
              <w:left w:val="nil"/>
              <w:bottom w:val="single" w:sz="4" w:space="0" w:color="auto"/>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Yes</w:t>
            </w:r>
          </w:p>
        </w:tc>
      </w:tr>
      <w:tr w:rsidR="006B3EA2" w:rsidRPr="006B3EA2" w:rsidTr="006B3EA2">
        <w:trPr>
          <w:trHeight w:val="255"/>
          <w:jc w:val="center"/>
        </w:trPr>
        <w:tc>
          <w:tcPr>
            <w:tcW w:w="8220" w:type="dxa"/>
            <w:gridSpan w:val="6"/>
            <w:tcBorders>
              <w:top w:val="nil"/>
              <w:left w:val="nil"/>
              <w:bottom w:val="nil"/>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b/>
                <w:bCs/>
                <w:i/>
                <w:iCs/>
                <w:color w:val="000000"/>
                <w:sz w:val="20"/>
                <w:szCs w:val="20"/>
              </w:rPr>
            </w:pPr>
            <w:r w:rsidRPr="006B3EA2">
              <w:rPr>
                <w:rFonts w:ascii="Calibri" w:eastAsia="Times New Roman" w:hAnsi="Calibri" w:cs="Times New Roman"/>
                <w:b/>
                <w:bCs/>
                <w:i/>
                <w:iCs/>
                <w:color w:val="000000"/>
                <w:sz w:val="20"/>
                <w:szCs w:val="20"/>
              </w:rPr>
              <w:t>Case 10</w:t>
            </w:r>
          </w:p>
        </w:tc>
      </w:tr>
      <w:tr w:rsidR="006B3EA2" w:rsidRPr="006B3EA2" w:rsidTr="006B3EA2">
        <w:trPr>
          <w:trHeight w:val="255"/>
          <w:jc w:val="center"/>
        </w:trPr>
        <w:tc>
          <w:tcPr>
            <w:tcW w:w="1368" w:type="dxa"/>
            <w:tcBorders>
              <w:top w:val="nil"/>
              <w:left w:val="nil"/>
              <w:bottom w:val="nil"/>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b/>
                <w:bCs/>
                <w:color w:val="000000"/>
                <w:sz w:val="20"/>
                <w:szCs w:val="20"/>
              </w:rPr>
            </w:pPr>
            <w:r w:rsidRPr="006B3EA2">
              <w:rPr>
                <w:rFonts w:ascii="Calibri" w:eastAsia="Times New Roman" w:hAnsi="Calibri" w:cs="Times New Roman"/>
                <w:b/>
                <w:bCs/>
                <w:color w:val="000000"/>
                <w:sz w:val="20"/>
                <w:szCs w:val="20"/>
              </w:rPr>
              <w:t>Direction</w:t>
            </w:r>
          </w:p>
        </w:tc>
        <w:tc>
          <w:tcPr>
            <w:tcW w:w="982" w:type="dxa"/>
            <w:tcBorders>
              <w:top w:val="nil"/>
              <w:left w:val="nil"/>
              <w:bottom w:val="nil"/>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0</w:t>
            </w:r>
          </w:p>
        </w:tc>
        <w:tc>
          <w:tcPr>
            <w:tcW w:w="1273" w:type="dxa"/>
            <w:tcBorders>
              <w:top w:val="nil"/>
              <w:left w:val="nil"/>
              <w:bottom w:val="nil"/>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0</w:t>
            </w:r>
          </w:p>
        </w:tc>
        <w:tc>
          <w:tcPr>
            <w:tcW w:w="1380" w:type="dxa"/>
            <w:tcBorders>
              <w:top w:val="nil"/>
              <w:left w:val="nil"/>
              <w:bottom w:val="nil"/>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0</w:t>
            </w:r>
          </w:p>
        </w:tc>
        <w:tc>
          <w:tcPr>
            <w:tcW w:w="1123" w:type="dxa"/>
            <w:tcBorders>
              <w:top w:val="nil"/>
              <w:left w:val="nil"/>
              <w:bottom w:val="nil"/>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0</w:t>
            </w:r>
          </w:p>
        </w:tc>
        <w:tc>
          <w:tcPr>
            <w:tcW w:w="2094" w:type="dxa"/>
            <w:tcBorders>
              <w:top w:val="nil"/>
              <w:left w:val="nil"/>
              <w:bottom w:val="nil"/>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w:t>
            </w:r>
          </w:p>
        </w:tc>
      </w:tr>
      <w:tr w:rsidR="006B3EA2" w:rsidRPr="006B3EA2" w:rsidTr="006B3EA2">
        <w:trPr>
          <w:trHeight w:val="270"/>
          <w:jc w:val="center"/>
        </w:trPr>
        <w:tc>
          <w:tcPr>
            <w:tcW w:w="1368" w:type="dxa"/>
            <w:tcBorders>
              <w:top w:val="nil"/>
              <w:left w:val="nil"/>
              <w:bottom w:val="single" w:sz="8" w:space="0" w:color="auto"/>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b/>
                <w:bCs/>
                <w:color w:val="000000"/>
                <w:sz w:val="20"/>
                <w:szCs w:val="20"/>
              </w:rPr>
            </w:pPr>
            <w:r w:rsidRPr="006B3EA2">
              <w:rPr>
                <w:rFonts w:ascii="Calibri" w:eastAsia="Times New Roman" w:hAnsi="Calibri" w:cs="Times New Roman"/>
                <w:b/>
                <w:bCs/>
                <w:color w:val="000000"/>
                <w:sz w:val="20"/>
                <w:szCs w:val="20"/>
              </w:rPr>
              <w:t>Detectability</w:t>
            </w:r>
          </w:p>
        </w:tc>
        <w:tc>
          <w:tcPr>
            <w:tcW w:w="982" w:type="dxa"/>
            <w:tcBorders>
              <w:top w:val="nil"/>
              <w:left w:val="nil"/>
              <w:bottom w:val="single" w:sz="8" w:space="0" w:color="auto"/>
              <w:right w:val="nil"/>
            </w:tcBorders>
            <w:shd w:val="clear" w:color="auto" w:fill="auto"/>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No</w:t>
            </w:r>
          </w:p>
        </w:tc>
        <w:tc>
          <w:tcPr>
            <w:tcW w:w="1273" w:type="dxa"/>
            <w:tcBorders>
              <w:top w:val="nil"/>
              <w:left w:val="nil"/>
              <w:bottom w:val="single" w:sz="8" w:space="0" w:color="auto"/>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No</w:t>
            </w:r>
          </w:p>
        </w:tc>
        <w:tc>
          <w:tcPr>
            <w:tcW w:w="1380" w:type="dxa"/>
            <w:tcBorders>
              <w:top w:val="nil"/>
              <w:left w:val="nil"/>
              <w:bottom w:val="single" w:sz="8" w:space="0" w:color="auto"/>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No</w:t>
            </w:r>
          </w:p>
        </w:tc>
        <w:tc>
          <w:tcPr>
            <w:tcW w:w="1123" w:type="dxa"/>
            <w:tcBorders>
              <w:top w:val="nil"/>
              <w:left w:val="nil"/>
              <w:bottom w:val="single" w:sz="8" w:space="0" w:color="auto"/>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No</w:t>
            </w:r>
          </w:p>
        </w:tc>
        <w:tc>
          <w:tcPr>
            <w:tcW w:w="2094" w:type="dxa"/>
            <w:tcBorders>
              <w:top w:val="nil"/>
              <w:left w:val="nil"/>
              <w:bottom w:val="single" w:sz="8" w:space="0" w:color="auto"/>
              <w:right w:val="nil"/>
            </w:tcBorders>
            <w:shd w:val="clear" w:color="auto" w:fill="auto"/>
            <w:noWrap/>
            <w:vAlign w:val="center"/>
            <w:hideMark/>
          </w:tcPr>
          <w:p w:rsidR="006B3EA2" w:rsidRPr="006B3EA2" w:rsidRDefault="006B3EA2" w:rsidP="006B3EA2">
            <w:pPr>
              <w:spacing w:after="0" w:line="240" w:lineRule="auto"/>
              <w:jc w:val="center"/>
              <w:rPr>
                <w:rFonts w:ascii="Calibri" w:eastAsia="Times New Roman" w:hAnsi="Calibri" w:cs="Times New Roman"/>
                <w:color w:val="000000"/>
                <w:sz w:val="20"/>
                <w:szCs w:val="20"/>
              </w:rPr>
            </w:pPr>
            <w:r w:rsidRPr="006B3EA2">
              <w:rPr>
                <w:rFonts w:ascii="Calibri" w:eastAsia="Times New Roman" w:hAnsi="Calibri" w:cs="Times New Roman"/>
                <w:color w:val="000000"/>
                <w:sz w:val="20"/>
                <w:szCs w:val="20"/>
              </w:rPr>
              <w:t>Yes</w:t>
            </w:r>
          </w:p>
        </w:tc>
      </w:tr>
    </w:tbl>
    <w:p w:rsidR="00E664E4" w:rsidRDefault="00E664E4" w:rsidP="00E664E4"/>
    <w:p w:rsidR="00E664E4" w:rsidRDefault="00E664E4" w:rsidP="00E664E4">
      <w:pPr>
        <w:jc w:val="center"/>
      </w:pPr>
    </w:p>
    <w:p w:rsidR="00E664E4" w:rsidRPr="00EE2556" w:rsidRDefault="009F0C16" w:rsidP="00E664E4">
      <w:pPr>
        <w:jc w:val="center"/>
        <w:rPr>
          <w:i/>
          <w:sz w:val="20"/>
          <w:szCs w:val="20"/>
        </w:rPr>
      </w:pPr>
      <w:r>
        <w:rPr>
          <w:noProof/>
        </w:rPr>
        <w:lastRenderedPageBreak/>
        <w:drawing>
          <wp:inline distT="0" distB="0" distL="0" distR="0" wp14:anchorId="29C0F4B3" wp14:editId="6A784C38">
            <wp:extent cx="5943600" cy="445770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5"/>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9F0C16">
        <w:rPr>
          <w:b/>
          <w:sz w:val="20"/>
          <w:szCs w:val="20"/>
        </w:rPr>
        <w:t>4.97</w:t>
      </w:r>
      <w:r>
        <w:rPr>
          <w:b/>
          <w:sz w:val="20"/>
          <w:szCs w:val="20"/>
        </w:rPr>
        <w:t xml:space="preserve">. Faulty Case 13 Mahalanobis Distance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s</w:t>
      </w:r>
      <w:r>
        <w:rPr>
          <w:i/>
          <w:sz w:val="20"/>
          <w:szCs w:val="20"/>
        </w:rPr>
        <w:t xml:space="preserve"> </w:t>
      </w:r>
      <w:r w:rsidR="009F0C16">
        <w:rPr>
          <w:i/>
          <w:sz w:val="20"/>
          <w:szCs w:val="20"/>
        </w:rPr>
        <w:t xml:space="preserve">a shift but the </w:t>
      </w:r>
      <w:r>
        <w:rPr>
          <w:i/>
          <w:sz w:val="20"/>
          <w:szCs w:val="20"/>
        </w:rPr>
        <w:t>fault</w:t>
      </w:r>
      <w:r w:rsidR="009F0C16">
        <w:rPr>
          <w:i/>
          <w:sz w:val="20"/>
          <w:szCs w:val="20"/>
        </w:rPr>
        <w:t xml:space="preserve"> may not be detectable depending on operating conditions</w:t>
      </w:r>
      <w:r>
        <w:rPr>
          <w:i/>
          <w:sz w:val="20"/>
          <w:szCs w:val="20"/>
        </w:rPr>
        <w:t>.</w:t>
      </w:r>
    </w:p>
    <w:p w:rsidR="00E664E4" w:rsidRDefault="00E664E4" w:rsidP="00E664E4">
      <w:pPr>
        <w:rPr>
          <w:i/>
          <w:sz w:val="20"/>
          <w:szCs w:val="20"/>
        </w:rPr>
      </w:pPr>
    </w:p>
    <w:p w:rsidR="00E664E4" w:rsidRPr="00EE2556" w:rsidRDefault="009F0C16" w:rsidP="00E664E4">
      <w:pPr>
        <w:jc w:val="center"/>
        <w:rPr>
          <w:i/>
          <w:sz w:val="20"/>
          <w:szCs w:val="20"/>
        </w:rPr>
      </w:pPr>
      <w:r>
        <w:rPr>
          <w:noProof/>
        </w:rPr>
        <w:lastRenderedPageBreak/>
        <w:drawing>
          <wp:inline distT="0" distB="0" distL="0" distR="0" wp14:anchorId="2410EE57" wp14:editId="38944BF5">
            <wp:extent cx="5943600" cy="445770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6"/>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9F0C16">
        <w:rPr>
          <w:b/>
          <w:sz w:val="20"/>
          <w:szCs w:val="20"/>
        </w:rPr>
        <w:t>4.98</w:t>
      </w:r>
      <w:r>
        <w:rPr>
          <w:b/>
          <w:sz w:val="20"/>
          <w:szCs w:val="20"/>
        </w:rPr>
        <w:t xml:space="preserve">. Faulty Case 13 </w:t>
      </w:r>
      <m:oMath>
        <m:r>
          <m:rPr>
            <m:sty m:val="bi"/>
          </m:rPr>
          <w:rPr>
            <w:rFonts w:ascii="Cambria Math" w:hAnsi="Cambria Math"/>
            <w:sz w:val="20"/>
            <w:szCs w:val="20"/>
          </w:rPr>
          <m:t>Q</m:t>
        </m:r>
      </m:oMath>
      <w:r>
        <w:rPr>
          <w:b/>
          <w:sz w:val="20"/>
          <w:szCs w:val="20"/>
        </w:rPr>
        <w:t xml:space="preserve">-Statistic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s</w:t>
      </w:r>
      <w:r>
        <w:rPr>
          <w:i/>
          <w:sz w:val="20"/>
          <w:szCs w:val="20"/>
        </w:rPr>
        <w:t xml:space="preserve"> a detectable fault.</w:t>
      </w:r>
    </w:p>
    <w:p w:rsidR="00E664E4" w:rsidRDefault="00E664E4" w:rsidP="00E664E4">
      <w:pPr>
        <w:rPr>
          <w:i/>
          <w:sz w:val="20"/>
          <w:szCs w:val="20"/>
        </w:rPr>
      </w:pPr>
    </w:p>
    <w:p w:rsidR="00E664E4" w:rsidRPr="00EE2556" w:rsidRDefault="009F0C16" w:rsidP="00E664E4">
      <w:pPr>
        <w:jc w:val="center"/>
        <w:rPr>
          <w:i/>
          <w:sz w:val="20"/>
          <w:szCs w:val="20"/>
        </w:rPr>
      </w:pPr>
      <w:r>
        <w:rPr>
          <w:noProof/>
        </w:rPr>
        <w:lastRenderedPageBreak/>
        <w:drawing>
          <wp:inline distT="0" distB="0" distL="0" distR="0" wp14:anchorId="2C32D35E" wp14:editId="34E37D10">
            <wp:extent cx="5943600" cy="445770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7"/>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9F0C16">
        <w:rPr>
          <w:b/>
          <w:sz w:val="20"/>
          <w:szCs w:val="20"/>
        </w:rPr>
        <w:t>4.99</w:t>
      </w:r>
      <w:r>
        <w:rPr>
          <w:b/>
          <w:sz w:val="20"/>
          <w:szCs w:val="20"/>
        </w:rPr>
        <w:t xml:space="preserve">. Faulty Case 13 PC1, PC2, and </w:t>
      </w:r>
      <m:oMath>
        <m:r>
          <m:rPr>
            <m:sty m:val="bi"/>
          </m:rPr>
          <w:rPr>
            <w:rFonts w:ascii="Cambria Math" w:hAnsi="Cambria Math"/>
            <w:sz w:val="20"/>
            <w:szCs w:val="20"/>
          </w:rPr>
          <m:t>Q</m:t>
        </m:r>
      </m:oMath>
      <w:r>
        <w:rPr>
          <w:b/>
          <w:sz w:val="20"/>
          <w:szCs w:val="20"/>
        </w:rPr>
        <w:t xml:space="preserve">-Statistic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s</w:t>
      </w:r>
      <w:r>
        <w:rPr>
          <w:i/>
          <w:sz w:val="20"/>
          <w:szCs w:val="20"/>
        </w:rPr>
        <w:t xml:space="preserve"> detectable fault in the </w:t>
      </w:r>
      <m:oMath>
        <m:r>
          <w:rPr>
            <w:rFonts w:ascii="Cambria Math" w:hAnsi="Cambria Math"/>
            <w:sz w:val="20"/>
            <w:szCs w:val="20"/>
          </w:rPr>
          <m:t>Q</m:t>
        </m:r>
      </m:oMath>
      <w:r>
        <w:rPr>
          <w:rFonts w:eastAsiaTheme="minorEastAsia"/>
          <w:i/>
          <w:sz w:val="20"/>
          <w:szCs w:val="20"/>
        </w:rPr>
        <w:t>-statistic.</w:t>
      </w:r>
    </w:p>
    <w:p w:rsidR="00E664E4" w:rsidRDefault="00E664E4" w:rsidP="00E664E4"/>
    <w:p w:rsidR="00567A68" w:rsidRPr="00CE7A2E" w:rsidRDefault="00567A68" w:rsidP="00E664E4"/>
    <w:p w:rsidR="001B675F" w:rsidRDefault="001B675F">
      <w:pPr>
        <w:rPr>
          <w:rFonts w:asciiTheme="majorHAnsi" w:hAnsiTheme="majorHAnsi"/>
          <w:b/>
        </w:rPr>
      </w:pPr>
      <w:r>
        <w:rPr>
          <w:rFonts w:asciiTheme="majorHAnsi" w:hAnsiTheme="majorHAnsi"/>
          <w:b/>
        </w:rPr>
        <w:br w:type="page"/>
      </w:r>
    </w:p>
    <w:p w:rsidR="00E664E4" w:rsidRDefault="00E664E4" w:rsidP="00E664E4">
      <w:pPr>
        <w:rPr>
          <w:rFonts w:asciiTheme="majorHAnsi" w:hAnsiTheme="majorHAnsi"/>
          <w:b/>
        </w:rPr>
      </w:pPr>
      <w:r>
        <w:rPr>
          <w:rFonts w:asciiTheme="majorHAnsi" w:hAnsiTheme="majorHAnsi"/>
          <w:b/>
        </w:rPr>
        <w:lastRenderedPageBreak/>
        <w:t>4.3.14 Case 14</w:t>
      </w:r>
    </w:p>
    <w:p w:rsidR="00E664E4" w:rsidRDefault="00E664E4" w:rsidP="00E664E4">
      <w:pPr>
        <w:rPr>
          <w:rFonts w:eastAsiaTheme="minorEastAsia"/>
        </w:rPr>
      </w:pPr>
      <w:r>
        <w:t>Faulty Case 14 was the third case used to test the effect of changes to multiple parameters or inputs. It combined two previous cases: Case 2 and Case 3. In Case 2,</w:t>
      </w:r>
      <w:r w:rsidRPr="006B696A">
        <w:t xml:space="preserve"> </w:t>
      </w:r>
      <w:r>
        <w:t xml:space="preserve">the effect of changing the purity of the uranium feed was investigated by changing the uranium input stream from </w:t>
      </w:r>
      <w:r w:rsidRPr="0016631E">
        <w:t>85</w:t>
      </w:r>
      <w:r>
        <w:t xml:space="preserve"> </w:t>
      </w:r>
      <w:proofErr w:type="spellStart"/>
      <w:r>
        <w:t>wt</w:t>
      </w:r>
      <w:proofErr w:type="spellEnd"/>
      <w:r>
        <w:t>-</w:t>
      </w:r>
      <w:r w:rsidRPr="0016631E">
        <w:t>% U</w:t>
      </w:r>
      <w:r w:rsidRPr="0016631E">
        <w:rPr>
          <w:vertAlign w:val="subscript"/>
        </w:rPr>
        <w:t>3</w:t>
      </w:r>
      <w:r w:rsidRPr="0016631E">
        <w:t>O</w:t>
      </w:r>
      <w:r w:rsidRPr="0016631E">
        <w:rPr>
          <w:vertAlign w:val="subscript"/>
        </w:rPr>
        <w:t>8</w:t>
      </w:r>
      <w:r w:rsidRPr="0016631E">
        <w:t xml:space="preserve"> and 15</w:t>
      </w:r>
      <w:r>
        <w:t> </w:t>
      </w:r>
      <w:proofErr w:type="spellStart"/>
      <w:r>
        <w:t>wt</w:t>
      </w:r>
      <w:proofErr w:type="spellEnd"/>
      <w:r>
        <w:t>-</w:t>
      </w:r>
      <w:r w:rsidRPr="0016631E">
        <w:t>% impurities (7.5</w:t>
      </w:r>
      <w:r>
        <w:t xml:space="preserve"> </w:t>
      </w:r>
      <w:proofErr w:type="spellStart"/>
      <w:r>
        <w:t>wt</w:t>
      </w:r>
      <w:proofErr w:type="spellEnd"/>
      <w:r>
        <w:t>-</w:t>
      </w:r>
      <w:r w:rsidRPr="0016631E">
        <w:t>% soluble impurities and 7.5</w:t>
      </w:r>
      <w:r>
        <w:t xml:space="preserve"> </w:t>
      </w:r>
      <w:proofErr w:type="spellStart"/>
      <w:r>
        <w:t>wt</w:t>
      </w:r>
      <w:proofErr w:type="spellEnd"/>
      <w:r>
        <w:t>-</w:t>
      </w:r>
      <w:r w:rsidRPr="0016631E">
        <w:t>% insoluble impurities)</w:t>
      </w:r>
      <w:r>
        <w:t xml:space="preserve"> to 90 </w:t>
      </w:r>
      <w:proofErr w:type="spellStart"/>
      <w:r>
        <w:t>wt</w:t>
      </w:r>
      <w:proofErr w:type="spellEnd"/>
      <w:r>
        <w:t>-</w:t>
      </w:r>
      <w:r w:rsidRPr="0016631E">
        <w:t>% U</w:t>
      </w:r>
      <w:r w:rsidRPr="0016631E">
        <w:rPr>
          <w:vertAlign w:val="subscript"/>
        </w:rPr>
        <w:t>3</w:t>
      </w:r>
      <w:r w:rsidRPr="0016631E">
        <w:t>O</w:t>
      </w:r>
      <w:r w:rsidRPr="0016631E">
        <w:rPr>
          <w:vertAlign w:val="subscript"/>
        </w:rPr>
        <w:t>8</w:t>
      </w:r>
      <w:r w:rsidRPr="0016631E">
        <w:t xml:space="preserve"> and 1</w:t>
      </w:r>
      <w:r>
        <w:t>0 </w:t>
      </w:r>
      <w:proofErr w:type="spellStart"/>
      <w:r>
        <w:t>wt</w:t>
      </w:r>
      <w:proofErr w:type="spellEnd"/>
      <w:r>
        <w:t>-</w:t>
      </w:r>
      <w:r w:rsidRPr="0016631E">
        <w:t>% impurities (5</w:t>
      </w:r>
      <w:r>
        <w:t xml:space="preserve"> </w:t>
      </w:r>
      <w:proofErr w:type="spellStart"/>
      <w:r>
        <w:t>wt</w:t>
      </w:r>
      <w:proofErr w:type="spellEnd"/>
      <w:r>
        <w:t>-</w:t>
      </w:r>
      <w:r w:rsidRPr="0016631E">
        <w:t>% soluble impurities and 5</w:t>
      </w:r>
      <w:r>
        <w:t xml:space="preserve"> </w:t>
      </w:r>
      <w:proofErr w:type="spellStart"/>
      <w:r>
        <w:t>wt</w:t>
      </w:r>
      <w:proofErr w:type="spellEnd"/>
      <w:r>
        <w:t>-</w:t>
      </w:r>
      <w:r w:rsidRPr="0016631E">
        <w:t>% insoluble impurities)</w:t>
      </w:r>
      <w:r>
        <w:t xml:space="preserve"> in Module 1.</w:t>
      </w:r>
      <w:r>
        <w:rPr>
          <w:rFonts w:eastAsiaTheme="minorEastAsia"/>
        </w:rPr>
        <w:t xml:space="preserve"> </w:t>
      </w:r>
      <w:r>
        <w:t xml:space="preserve">In Case 3, inefficient dissolver operations in Module 1 were investigated by changing the extent of reaction for the dissolution reaction, </w:t>
      </w:r>
      <m:oMath>
        <m:sSub>
          <m:sSubPr>
            <m:ctrlPr>
              <w:rPr>
                <w:rFonts w:ascii="Cambria Math" w:hAnsi="Cambria Math"/>
              </w:rPr>
            </m:ctrlPr>
          </m:sSubPr>
          <m:e>
            <m:r>
              <w:rPr>
                <w:rFonts w:ascii="Cambria Math" w:hAnsi="Cambria Math"/>
              </w:rPr>
              <m:t>X</m:t>
            </m:r>
          </m:e>
          <m:sub>
            <m:r>
              <w:rPr>
                <w:rFonts w:ascii="Cambria Math" w:hAnsi="Cambria Math"/>
              </w:rPr>
              <m:t>Mod</m:t>
            </m:r>
            <m:r>
              <m:rPr>
                <m:sty m:val="p"/>
              </m:rPr>
              <w:rPr>
                <w:rFonts w:ascii="Cambria Math" w:hAnsi="Cambria Math"/>
              </w:rPr>
              <m:t>1</m:t>
            </m:r>
          </m:sub>
        </m:sSub>
      </m:oMath>
      <w:r>
        <w:rPr>
          <w:rFonts w:eastAsiaTheme="minorEastAsia"/>
        </w:rPr>
        <w:t xml:space="preserve">, from 0.9799 to 0.95. </w:t>
      </w:r>
      <w:r w:rsidR="003A2711">
        <w:rPr>
          <w:rFonts w:eastAsiaTheme="minorEastAsia"/>
        </w:rPr>
        <w:t>This case was detectable in all of the diagnostic plots.</w:t>
      </w:r>
    </w:p>
    <w:p w:rsidR="001B675F" w:rsidRDefault="003A2711" w:rsidP="00E664E4">
      <w:r>
        <w:rPr>
          <w:rFonts w:eastAsiaTheme="minorEastAsia"/>
        </w:rPr>
        <w:t>There was a shift in all of the scores plots (Figures 4.100–103) with the largest fault being in PC3</w:t>
      </w:r>
      <w:r w:rsidR="00CE21E4">
        <w:rPr>
          <w:rFonts w:eastAsiaTheme="minorEastAsia"/>
        </w:rPr>
        <w:t xml:space="preserve"> scores</w:t>
      </w:r>
      <w:r>
        <w:rPr>
          <w:rFonts w:eastAsiaTheme="minorEastAsia"/>
        </w:rPr>
        <w:t xml:space="preserve">. There was a detectable </w:t>
      </w:r>
      <w:r w:rsidR="004E68DC">
        <w:rPr>
          <w:rFonts w:eastAsiaTheme="minorEastAsia"/>
        </w:rPr>
        <w:t>increase</w:t>
      </w:r>
      <w:r>
        <w:rPr>
          <w:rFonts w:eastAsiaTheme="minorEastAsia"/>
        </w:rPr>
        <w:t xml:space="preserve"> in the Mahalanobis distance (Figure 4.104). There was also a significant </w:t>
      </w:r>
      <w:r w:rsidR="007063C2">
        <w:rPr>
          <w:rFonts w:eastAsiaTheme="minorEastAsia"/>
        </w:rPr>
        <w:t>increase</w:t>
      </w:r>
      <w:r>
        <w:rPr>
          <w:rFonts w:eastAsiaTheme="minorEastAsia"/>
        </w:rPr>
        <w:t xml:space="preserve"> in the </w:t>
      </w:r>
      <m:oMath>
        <m:r>
          <w:rPr>
            <w:rFonts w:ascii="Cambria Math" w:eastAsiaTheme="minorEastAsia" w:hAnsi="Cambria Math"/>
          </w:rPr>
          <m:t>Q</m:t>
        </m:r>
      </m:oMath>
      <w:r>
        <w:rPr>
          <w:rFonts w:eastAsiaTheme="minorEastAsia"/>
        </w:rPr>
        <w:t xml:space="preserve">-statistic (Figures 4.105–106). </w:t>
      </w:r>
      <w:r w:rsidR="00E664E4">
        <w:t xml:space="preserve">The results from Case 2 produced shifts in all of the scores but no detectable faults, a shift in the Mahalanobis distance which may not be detectable </w:t>
      </w:r>
      <w:r>
        <w:t>depending on operating conditions</w:t>
      </w:r>
      <w:r w:rsidR="00E664E4">
        <w:t xml:space="preserve">, and a large </w:t>
      </w:r>
      <w:r w:rsidR="007063C2">
        <w:t>increase</w:t>
      </w:r>
      <w:r w:rsidR="00E664E4">
        <w:t xml:space="preserve"> in the </w:t>
      </w:r>
      <m:oMath>
        <m:r>
          <w:rPr>
            <w:rFonts w:ascii="Cambria Math" w:hAnsi="Cambria Math"/>
          </w:rPr>
          <m:t>Q</m:t>
        </m:r>
      </m:oMath>
      <w:r w:rsidR="00E664E4">
        <w:rPr>
          <w:rFonts w:eastAsiaTheme="minorEastAsia"/>
        </w:rPr>
        <w:noBreakHyphen/>
      </w:r>
      <w:r w:rsidR="00E664E4">
        <w:t xml:space="preserve">statistic (see Figures </w:t>
      </w:r>
      <w:r>
        <w:t>4.39</w:t>
      </w:r>
      <w:r w:rsidR="00E664E4">
        <w:t>–</w:t>
      </w:r>
      <w:r>
        <w:t>4.45</w:t>
      </w:r>
      <w:r w:rsidR="00E664E4">
        <w:t xml:space="preserve">). </w:t>
      </w:r>
      <w:r>
        <w:t>T</w:t>
      </w:r>
      <w:r w:rsidR="00E664E4">
        <w:t xml:space="preserve">he results from Case 3 produced faults in all of the scores plots, along with a large </w:t>
      </w:r>
      <w:r w:rsidR="004E68DC">
        <w:t>increase</w:t>
      </w:r>
      <w:r w:rsidR="00E664E4">
        <w:t xml:space="preserve"> in the Mahalanobis distance, and a </w:t>
      </w:r>
      <w:r>
        <w:t xml:space="preserve">significant </w:t>
      </w:r>
      <w:r w:rsidR="007063C2">
        <w:t>increase</w:t>
      </w:r>
      <w:r w:rsidR="00E664E4">
        <w:t xml:space="preserve"> in the </w:t>
      </w:r>
      <m:oMath>
        <m:r>
          <w:rPr>
            <w:rFonts w:ascii="Cambria Math" w:hAnsi="Cambria Math"/>
          </w:rPr>
          <m:t>Q</m:t>
        </m:r>
      </m:oMath>
      <w:r w:rsidR="00E664E4">
        <w:t xml:space="preserve">-statistic (see Figure </w:t>
      </w:r>
      <w:r w:rsidR="00BE36F0">
        <w:t>4.</w:t>
      </w:r>
      <w:r>
        <w:t>46</w:t>
      </w:r>
      <w:r w:rsidR="00E664E4">
        <w:t>–</w:t>
      </w:r>
      <w:r>
        <w:t>4.52</w:t>
      </w:r>
      <w:r w:rsidR="00E664E4">
        <w:t xml:space="preserve">). For Case 14, it was hypothesized that based on the direction of the faults in the scores of Cases 2 and 3 that </w:t>
      </w:r>
      <w:r>
        <w:t xml:space="preserve">it </w:t>
      </w:r>
      <w:r w:rsidR="00E664E4">
        <w:t>was possible for these faults to cancel one another out. However, the faults caused by Case 3 were so large that the overall faults were not canceled but the fault ma</w:t>
      </w:r>
      <w:r>
        <w:t xml:space="preserve">gnitude was reduced slightly in </w:t>
      </w:r>
      <w:r w:rsidR="00784D80">
        <w:t xml:space="preserve">both </w:t>
      </w:r>
      <w:r w:rsidR="00E664E4">
        <w:t>the scores and the Mahalanobis distance.</w:t>
      </w:r>
      <w:r w:rsidR="00784D80">
        <w:t xml:space="preserve"> </w:t>
      </w:r>
      <w:r w:rsidR="00E664E4">
        <w:t xml:space="preserve">For the </w:t>
      </w:r>
      <m:oMath>
        <m:r>
          <w:rPr>
            <w:rFonts w:ascii="Cambria Math" w:hAnsi="Cambria Math"/>
          </w:rPr>
          <m:t>Q</m:t>
        </m:r>
      </m:oMath>
      <w:r w:rsidR="00E664E4">
        <w:t xml:space="preserve">-statistic the combined </w:t>
      </w:r>
      <w:r w:rsidR="007063C2">
        <w:t>fault</w:t>
      </w:r>
      <w:r w:rsidR="00E664E4">
        <w:t xml:space="preserve"> was larger than the individual cases showing an additive effect such as that in Case 13. </w:t>
      </w:r>
      <w:r w:rsidR="0083379F">
        <w:t xml:space="preserve">It is recommended that the streams exiting each major process (e.g., dissolution, solvent extraction, fluorination) as product or waste be monitored for flow rate and uranium content would also detect this fault. It is possible that there is a combination of faults that could cancel out one another’s effects such that the fault is not detectable. </w:t>
      </w:r>
      <w:r w:rsidR="00784D80">
        <w:rPr>
          <w:rFonts w:eastAsiaTheme="minorEastAsia"/>
        </w:rPr>
        <w:t>This faulty case along with a comparison of the Case 2 and Case 3 results are provided in Table 4.34.</w:t>
      </w:r>
      <w:r w:rsidR="00784D80">
        <w:t xml:space="preserve"> </w:t>
      </w:r>
    </w:p>
    <w:p w:rsidR="007E61E6" w:rsidRDefault="007E61E6"/>
    <w:p w:rsidR="001B675F" w:rsidRDefault="001B675F">
      <w:r>
        <w:br w:type="page"/>
      </w:r>
    </w:p>
    <w:tbl>
      <w:tblPr>
        <w:tblW w:w="8641" w:type="dxa"/>
        <w:jc w:val="center"/>
        <w:tblInd w:w="93" w:type="dxa"/>
        <w:tblLook w:val="04A0" w:firstRow="1" w:lastRow="0" w:firstColumn="1" w:lastColumn="0" w:noHBand="0" w:noVBand="1"/>
      </w:tblPr>
      <w:tblGrid>
        <w:gridCol w:w="1413"/>
        <w:gridCol w:w="967"/>
        <w:gridCol w:w="1315"/>
        <w:gridCol w:w="1353"/>
        <w:gridCol w:w="1160"/>
        <w:gridCol w:w="2433"/>
      </w:tblGrid>
      <w:tr w:rsidR="00784D80" w:rsidRPr="00784D80" w:rsidTr="00784D80">
        <w:trPr>
          <w:trHeight w:val="270"/>
          <w:jc w:val="center"/>
        </w:trPr>
        <w:tc>
          <w:tcPr>
            <w:tcW w:w="8641" w:type="dxa"/>
            <w:gridSpan w:val="6"/>
            <w:tcBorders>
              <w:top w:val="nil"/>
              <w:left w:val="nil"/>
              <w:bottom w:val="single" w:sz="8" w:space="0" w:color="auto"/>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b/>
                <w:bCs/>
                <w:color w:val="000000"/>
                <w:sz w:val="20"/>
                <w:szCs w:val="20"/>
              </w:rPr>
            </w:pPr>
            <w:r w:rsidRPr="00784D80">
              <w:rPr>
                <w:rFonts w:ascii="Calibri" w:eastAsia="Times New Roman" w:hAnsi="Calibri" w:cs="Times New Roman"/>
                <w:b/>
                <w:bCs/>
                <w:color w:val="000000"/>
                <w:sz w:val="20"/>
                <w:szCs w:val="20"/>
              </w:rPr>
              <w:lastRenderedPageBreak/>
              <w:t>Table 4.34. Summary of Faulty Case 14</w:t>
            </w:r>
          </w:p>
        </w:tc>
      </w:tr>
      <w:tr w:rsidR="00784D80" w:rsidRPr="00784D80" w:rsidTr="00784D80">
        <w:trPr>
          <w:trHeight w:val="255"/>
          <w:jc w:val="center"/>
        </w:trPr>
        <w:tc>
          <w:tcPr>
            <w:tcW w:w="8641" w:type="dxa"/>
            <w:gridSpan w:val="6"/>
            <w:tcBorders>
              <w:top w:val="nil"/>
              <w:left w:val="nil"/>
              <w:bottom w:val="nil"/>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b/>
                <w:bCs/>
                <w:color w:val="000000"/>
                <w:sz w:val="20"/>
                <w:szCs w:val="20"/>
              </w:rPr>
            </w:pPr>
            <w:r w:rsidRPr="00784D80">
              <w:rPr>
                <w:rFonts w:ascii="Calibri" w:eastAsia="Times New Roman" w:hAnsi="Calibri" w:cs="Times New Roman"/>
                <w:b/>
                <w:bCs/>
                <w:color w:val="000000"/>
                <w:sz w:val="20"/>
                <w:szCs w:val="20"/>
              </w:rPr>
              <w:t>Summary of Faulty Case</w:t>
            </w:r>
          </w:p>
        </w:tc>
      </w:tr>
      <w:tr w:rsidR="00784D80" w:rsidRPr="00784D80" w:rsidTr="00784D80">
        <w:trPr>
          <w:trHeight w:val="255"/>
          <w:jc w:val="center"/>
        </w:trPr>
        <w:tc>
          <w:tcPr>
            <w:tcW w:w="1413" w:type="dxa"/>
            <w:tcBorders>
              <w:top w:val="nil"/>
              <w:left w:val="nil"/>
              <w:bottom w:val="single" w:sz="4" w:space="0" w:color="auto"/>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b/>
                <w:bCs/>
                <w:color w:val="000000"/>
                <w:sz w:val="20"/>
                <w:szCs w:val="20"/>
              </w:rPr>
            </w:pPr>
            <w:r w:rsidRPr="00784D80">
              <w:rPr>
                <w:rFonts w:ascii="Calibri" w:eastAsia="Times New Roman" w:hAnsi="Calibri" w:cs="Times New Roman"/>
                <w:b/>
                <w:bCs/>
                <w:color w:val="000000"/>
                <w:sz w:val="20"/>
                <w:szCs w:val="20"/>
              </w:rPr>
              <w:t>Priority</w:t>
            </w:r>
          </w:p>
        </w:tc>
        <w:tc>
          <w:tcPr>
            <w:tcW w:w="967" w:type="dxa"/>
            <w:tcBorders>
              <w:top w:val="nil"/>
              <w:left w:val="nil"/>
              <w:bottom w:val="single" w:sz="4" w:space="0" w:color="auto"/>
              <w:right w:val="nil"/>
            </w:tcBorders>
            <w:shd w:val="clear" w:color="auto" w:fill="auto"/>
            <w:vAlign w:val="center"/>
            <w:hideMark/>
          </w:tcPr>
          <w:p w:rsidR="00784D80" w:rsidRPr="00784D80" w:rsidRDefault="00784D80" w:rsidP="00784D80">
            <w:pPr>
              <w:spacing w:after="0" w:line="240" w:lineRule="auto"/>
              <w:jc w:val="center"/>
              <w:rPr>
                <w:rFonts w:ascii="Calibri" w:eastAsia="Times New Roman" w:hAnsi="Calibri" w:cs="Times New Roman"/>
                <w:b/>
                <w:bCs/>
                <w:sz w:val="20"/>
                <w:szCs w:val="20"/>
              </w:rPr>
            </w:pPr>
            <w:r w:rsidRPr="00784D80">
              <w:rPr>
                <w:rFonts w:ascii="Calibri" w:eastAsia="Times New Roman" w:hAnsi="Calibri" w:cs="Times New Roman"/>
                <w:b/>
                <w:bCs/>
                <w:sz w:val="20"/>
                <w:szCs w:val="20"/>
              </w:rPr>
              <w:t>Module</w:t>
            </w:r>
          </w:p>
        </w:tc>
        <w:tc>
          <w:tcPr>
            <w:tcW w:w="1315" w:type="dxa"/>
            <w:tcBorders>
              <w:top w:val="nil"/>
              <w:left w:val="nil"/>
              <w:bottom w:val="single" w:sz="4" w:space="0" w:color="auto"/>
              <w:right w:val="nil"/>
            </w:tcBorders>
            <w:shd w:val="clear" w:color="auto" w:fill="auto"/>
            <w:vAlign w:val="center"/>
            <w:hideMark/>
          </w:tcPr>
          <w:p w:rsidR="00784D80" w:rsidRPr="00784D80" w:rsidRDefault="00784D80" w:rsidP="00784D80">
            <w:pPr>
              <w:spacing w:after="0" w:line="240" w:lineRule="auto"/>
              <w:jc w:val="center"/>
              <w:rPr>
                <w:rFonts w:ascii="Calibri" w:eastAsia="Times New Roman" w:hAnsi="Calibri" w:cs="Times New Roman"/>
                <w:b/>
                <w:bCs/>
                <w:sz w:val="20"/>
                <w:szCs w:val="20"/>
              </w:rPr>
            </w:pPr>
            <w:r w:rsidRPr="00784D80">
              <w:rPr>
                <w:rFonts w:ascii="Calibri" w:eastAsia="Times New Roman" w:hAnsi="Calibri" w:cs="Times New Roman"/>
                <w:b/>
                <w:bCs/>
                <w:sz w:val="20"/>
                <w:szCs w:val="20"/>
              </w:rPr>
              <w:t>Faulty Variable</w:t>
            </w:r>
          </w:p>
        </w:tc>
        <w:tc>
          <w:tcPr>
            <w:tcW w:w="1353" w:type="dxa"/>
            <w:tcBorders>
              <w:top w:val="nil"/>
              <w:left w:val="nil"/>
              <w:bottom w:val="single" w:sz="4" w:space="0" w:color="auto"/>
              <w:right w:val="nil"/>
            </w:tcBorders>
            <w:shd w:val="clear" w:color="auto" w:fill="auto"/>
            <w:vAlign w:val="center"/>
            <w:hideMark/>
          </w:tcPr>
          <w:p w:rsidR="00784D80" w:rsidRPr="00784D80" w:rsidRDefault="00784D80" w:rsidP="00784D80">
            <w:pPr>
              <w:spacing w:after="0" w:line="240" w:lineRule="auto"/>
              <w:jc w:val="center"/>
              <w:rPr>
                <w:rFonts w:ascii="Calibri" w:eastAsia="Times New Roman" w:hAnsi="Calibri" w:cs="Times New Roman"/>
                <w:b/>
                <w:bCs/>
                <w:color w:val="000000"/>
                <w:sz w:val="20"/>
                <w:szCs w:val="20"/>
              </w:rPr>
            </w:pPr>
            <w:r w:rsidRPr="00784D80">
              <w:rPr>
                <w:rFonts w:ascii="Calibri" w:eastAsia="Times New Roman" w:hAnsi="Calibri" w:cs="Times New Roman"/>
                <w:b/>
                <w:bCs/>
                <w:color w:val="000000"/>
                <w:sz w:val="20"/>
                <w:szCs w:val="20"/>
              </w:rPr>
              <w:t>Base Case Value</w:t>
            </w:r>
          </w:p>
        </w:tc>
        <w:tc>
          <w:tcPr>
            <w:tcW w:w="1160" w:type="dxa"/>
            <w:tcBorders>
              <w:top w:val="nil"/>
              <w:left w:val="nil"/>
              <w:bottom w:val="single" w:sz="4" w:space="0" w:color="auto"/>
              <w:right w:val="nil"/>
            </w:tcBorders>
            <w:shd w:val="clear" w:color="auto" w:fill="auto"/>
            <w:vAlign w:val="center"/>
            <w:hideMark/>
          </w:tcPr>
          <w:p w:rsidR="00784D80" w:rsidRPr="00784D80" w:rsidRDefault="00784D80" w:rsidP="00784D80">
            <w:pPr>
              <w:spacing w:after="0" w:line="240" w:lineRule="auto"/>
              <w:jc w:val="center"/>
              <w:rPr>
                <w:rFonts w:ascii="Calibri" w:eastAsia="Times New Roman" w:hAnsi="Calibri" w:cs="Times New Roman"/>
                <w:b/>
                <w:bCs/>
                <w:color w:val="000000"/>
                <w:sz w:val="20"/>
                <w:szCs w:val="20"/>
              </w:rPr>
            </w:pPr>
            <w:r w:rsidRPr="00784D80">
              <w:rPr>
                <w:rFonts w:ascii="Calibri" w:eastAsia="Times New Roman" w:hAnsi="Calibri" w:cs="Times New Roman"/>
                <w:b/>
                <w:bCs/>
                <w:color w:val="000000"/>
                <w:sz w:val="20"/>
                <w:szCs w:val="20"/>
              </w:rPr>
              <w:t>Faulty Value</w:t>
            </w:r>
          </w:p>
        </w:tc>
        <w:tc>
          <w:tcPr>
            <w:tcW w:w="2433" w:type="dxa"/>
            <w:tcBorders>
              <w:top w:val="nil"/>
              <w:left w:val="nil"/>
              <w:bottom w:val="single" w:sz="4" w:space="0" w:color="auto"/>
              <w:right w:val="nil"/>
            </w:tcBorders>
            <w:shd w:val="clear" w:color="auto" w:fill="auto"/>
            <w:vAlign w:val="center"/>
            <w:hideMark/>
          </w:tcPr>
          <w:p w:rsidR="00784D80" w:rsidRPr="00784D80" w:rsidRDefault="00784D80" w:rsidP="00784D80">
            <w:pPr>
              <w:spacing w:after="0" w:line="240" w:lineRule="auto"/>
              <w:jc w:val="center"/>
              <w:rPr>
                <w:rFonts w:ascii="Calibri" w:eastAsia="Times New Roman" w:hAnsi="Calibri" w:cs="Times New Roman"/>
                <w:b/>
                <w:bCs/>
                <w:sz w:val="20"/>
                <w:szCs w:val="20"/>
              </w:rPr>
            </w:pPr>
            <w:r w:rsidRPr="00784D80">
              <w:rPr>
                <w:rFonts w:ascii="Calibri" w:eastAsia="Times New Roman" w:hAnsi="Calibri" w:cs="Times New Roman"/>
                <w:b/>
                <w:bCs/>
                <w:sz w:val="20"/>
                <w:szCs w:val="20"/>
              </w:rPr>
              <w:t>Physical Description</w:t>
            </w:r>
          </w:p>
        </w:tc>
      </w:tr>
      <w:tr w:rsidR="00784D80" w:rsidRPr="00784D80" w:rsidTr="00784D80">
        <w:trPr>
          <w:trHeight w:val="1305"/>
          <w:jc w:val="center"/>
        </w:trPr>
        <w:tc>
          <w:tcPr>
            <w:tcW w:w="1413" w:type="dxa"/>
            <w:tcBorders>
              <w:top w:val="nil"/>
              <w:left w:val="nil"/>
              <w:bottom w:val="single" w:sz="4" w:space="0" w:color="auto"/>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Low</w:t>
            </w:r>
          </w:p>
        </w:tc>
        <w:tc>
          <w:tcPr>
            <w:tcW w:w="967" w:type="dxa"/>
            <w:tcBorders>
              <w:top w:val="nil"/>
              <w:left w:val="nil"/>
              <w:bottom w:val="single" w:sz="4" w:space="0" w:color="auto"/>
              <w:right w:val="nil"/>
            </w:tcBorders>
            <w:shd w:val="clear" w:color="auto" w:fill="auto"/>
            <w:vAlign w:val="center"/>
            <w:hideMark/>
          </w:tcPr>
          <w:p w:rsidR="00784D80" w:rsidRPr="00784D80" w:rsidRDefault="00784D80" w:rsidP="00784D80">
            <w:pPr>
              <w:spacing w:after="0" w:line="240" w:lineRule="auto"/>
              <w:jc w:val="center"/>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1</w:t>
            </w:r>
          </w:p>
        </w:tc>
        <w:tc>
          <w:tcPr>
            <w:tcW w:w="1315" w:type="dxa"/>
            <w:tcBorders>
              <w:top w:val="nil"/>
              <w:left w:val="nil"/>
              <w:bottom w:val="single" w:sz="4" w:space="0" w:color="auto"/>
              <w:right w:val="nil"/>
            </w:tcBorders>
            <w:shd w:val="clear" w:color="auto" w:fill="auto"/>
            <w:vAlign w:val="center"/>
            <w:hideMark/>
          </w:tcPr>
          <w:p w:rsidR="00784D80" w:rsidRPr="00784D80" w:rsidRDefault="00784D80" w:rsidP="00784D80">
            <w:pPr>
              <w:spacing w:after="0" w:line="240" w:lineRule="auto"/>
              <w:jc w:val="center"/>
              <w:rPr>
                <w:rFonts w:ascii="Calibri" w:eastAsia="Times New Roman" w:hAnsi="Calibri" w:cs="Times New Roman"/>
                <w:sz w:val="20"/>
                <w:szCs w:val="20"/>
              </w:rPr>
            </w:pPr>
            <w:r w:rsidRPr="00784D80">
              <w:rPr>
                <w:rFonts w:ascii="Calibri" w:eastAsia="Times New Roman" w:hAnsi="Calibri" w:cs="Times New Roman"/>
                <w:sz w:val="20"/>
                <w:szCs w:val="20"/>
              </w:rPr>
              <w:t>x</w:t>
            </w:r>
            <w:r w:rsidRPr="00784D80">
              <w:rPr>
                <w:rFonts w:ascii="Calibri" w:eastAsia="Times New Roman" w:hAnsi="Calibri" w:cs="Times New Roman"/>
                <w:sz w:val="20"/>
                <w:szCs w:val="20"/>
                <w:vertAlign w:val="subscript"/>
              </w:rPr>
              <w:t>1A,18</w:t>
            </w:r>
            <w:r w:rsidRPr="00784D80">
              <w:rPr>
                <w:rFonts w:ascii="Calibri" w:eastAsia="Times New Roman" w:hAnsi="Calibri" w:cs="Times New Roman"/>
                <w:sz w:val="20"/>
                <w:szCs w:val="20"/>
              </w:rPr>
              <w:t xml:space="preserve"> and X</w:t>
            </w:r>
            <w:r w:rsidRPr="00784D80">
              <w:rPr>
                <w:rFonts w:ascii="Calibri" w:eastAsia="Times New Roman" w:hAnsi="Calibri" w:cs="Times New Roman"/>
                <w:sz w:val="20"/>
                <w:szCs w:val="20"/>
                <w:vertAlign w:val="subscript"/>
              </w:rPr>
              <w:t>Mod1A</w:t>
            </w:r>
          </w:p>
        </w:tc>
        <w:tc>
          <w:tcPr>
            <w:tcW w:w="1353" w:type="dxa"/>
            <w:tcBorders>
              <w:top w:val="nil"/>
              <w:left w:val="nil"/>
              <w:bottom w:val="single" w:sz="4" w:space="0" w:color="auto"/>
              <w:right w:val="nil"/>
            </w:tcBorders>
            <w:shd w:val="clear" w:color="auto" w:fill="auto"/>
            <w:vAlign w:val="center"/>
            <w:hideMark/>
          </w:tcPr>
          <w:p w:rsidR="00784D80" w:rsidRPr="00784D80" w:rsidRDefault="00784D80" w:rsidP="00784D80">
            <w:pPr>
              <w:spacing w:after="0" w:line="240" w:lineRule="auto"/>
              <w:jc w:val="center"/>
              <w:rPr>
                <w:rFonts w:ascii="Calibri" w:eastAsia="Times New Roman" w:hAnsi="Calibri" w:cs="Times New Roman"/>
                <w:sz w:val="20"/>
                <w:szCs w:val="20"/>
              </w:rPr>
            </w:pPr>
            <w:r w:rsidRPr="00784D80">
              <w:rPr>
                <w:rFonts w:ascii="Calibri" w:eastAsia="Times New Roman" w:hAnsi="Calibri" w:cs="Times New Roman"/>
                <w:sz w:val="20"/>
                <w:szCs w:val="20"/>
              </w:rPr>
              <w:t>0.85; 0.9799</w:t>
            </w:r>
          </w:p>
        </w:tc>
        <w:tc>
          <w:tcPr>
            <w:tcW w:w="1160" w:type="dxa"/>
            <w:tcBorders>
              <w:top w:val="nil"/>
              <w:left w:val="nil"/>
              <w:bottom w:val="single" w:sz="4" w:space="0" w:color="auto"/>
              <w:right w:val="nil"/>
            </w:tcBorders>
            <w:shd w:val="clear" w:color="auto" w:fill="auto"/>
            <w:vAlign w:val="center"/>
            <w:hideMark/>
          </w:tcPr>
          <w:p w:rsidR="00784D80" w:rsidRPr="00784D80" w:rsidRDefault="00784D80" w:rsidP="00784D80">
            <w:pPr>
              <w:spacing w:after="0" w:line="240" w:lineRule="auto"/>
              <w:jc w:val="center"/>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0.90; 0.95</w:t>
            </w:r>
          </w:p>
        </w:tc>
        <w:tc>
          <w:tcPr>
            <w:tcW w:w="2433" w:type="dxa"/>
            <w:tcBorders>
              <w:top w:val="nil"/>
              <w:left w:val="nil"/>
              <w:bottom w:val="single" w:sz="4" w:space="0" w:color="auto"/>
              <w:right w:val="nil"/>
            </w:tcBorders>
            <w:shd w:val="clear" w:color="auto" w:fill="auto"/>
            <w:vAlign w:val="center"/>
            <w:hideMark/>
          </w:tcPr>
          <w:p w:rsidR="00784D80" w:rsidRPr="00784D80" w:rsidRDefault="00784D80" w:rsidP="00784D80">
            <w:pPr>
              <w:spacing w:after="0" w:line="240" w:lineRule="auto"/>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Decrease the impurities in the uranium feed and reduce the amount of U</w:t>
            </w:r>
            <w:r w:rsidRPr="00784D80">
              <w:rPr>
                <w:rFonts w:ascii="Calibri" w:eastAsia="Times New Roman" w:hAnsi="Calibri" w:cs="Times New Roman"/>
                <w:color w:val="000000"/>
                <w:sz w:val="20"/>
                <w:szCs w:val="20"/>
                <w:vertAlign w:val="subscript"/>
              </w:rPr>
              <w:t>3</w:t>
            </w:r>
            <w:r w:rsidRPr="00784D80">
              <w:rPr>
                <w:rFonts w:ascii="Calibri" w:eastAsia="Times New Roman" w:hAnsi="Calibri" w:cs="Times New Roman"/>
                <w:color w:val="000000"/>
                <w:sz w:val="20"/>
                <w:szCs w:val="20"/>
              </w:rPr>
              <w:t>O</w:t>
            </w:r>
            <w:r w:rsidRPr="00784D80">
              <w:rPr>
                <w:rFonts w:ascii="Calibri" w:eastAsia="Times New Roman" w:hAnsi="Calibri" w:cs="Times New Roman"/>
                <w:color w:val="000000"/>
                <w:sz w:val="20"/>
                <w:szCs w:val="20"/>
                <w:vertAlign w:val="subscript"/>
              </w:rPr>
              <w:t>8</w:t>
            </w:r>
            <w:r w:rsidRPr="00784D80">
              <w:rPr>
                <w:rFonts w:ascii="Calibri" w:eastAsia="Times New Roman" w:hAnsi="Calibri" w:cs="Times New Roman"/>
                <w:color w:val="000000"/>
                <w:sz w:val="20"/>
                <w:szCs w:val="20"/>
              </w:rPr>
              <w:t xml:space="preserve"> converted to UN resulting in more U in waste streams</w:t>
            </w:r>
          </w:p>
        </w:tc>
      </w:tr>
      <w:tr w:rsidR="00784D80" w:rsidRPr="00784D80" w:rsidTr="00784D80">
        <w:trPr>
          <w:trHeight w:val="255"/>
          <w:jc w:val="center"/>
        </w:trPr>
        <w:tc>
          <w:tcPr>
            <w:tcW w:w="8641" w:type="dxa"/>
            <w:gridSpan w:val="6"/>
            <w:tcBorders>
              <w:top w:val="nil"/>
              <w:left w:val="nil"/>
              <w:bottom w:val="nil"/>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b/>
                <w:bCs/>
                <w:color w:val="000000"/>
                <w:sz w:val="20"/>
                <w:szCs w:val="20"/>
              </w:rPr>
            </w:pPr>
            <w:r w:rsidRPr="00784D80">
              <w:rPr>
                <w:rFonts w:ascii="Calibri" w:eastAsia="Times New Roman" w:hAnsi="Calibri" w:cs="Times New Roman"/>
                <w:b/>
                <w:bCs/>
                <w:color w:val="000000"/>
                <w:sz w:val="20"/>
                <w:szCs w:val="20"/>
              </w:rPr>
              <w:t>Summary of Results</w:t>
            </w:r>
          </w:p>
        </w:tc>
      </w:tr>
      <w:tr w:rsidR="00784D80" w:rsidRPr="00784D80" w:rsidTr="00784D80">
        <w:trPr>
          <w:trHeight w:val="255"/>
          <w:jc w:val="center"/>
        </w:trPr>
        <w:tc>
          <w:tcPr>
            <w:tcW w:w="1413" w:type="dxa"/>
            <w:tcBorders>
              <w:top w:val="nil"/>
              <w:left w:val="nil"/>
              <w:bottom w:val="single" w:sz="4" w:space="0" w:color="auto"/>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 </w:t>
            </w:r>
          </w:p>
        </w:tc>
        <w:tc>
          <w:tcPr>
            <w:tcW w:w="967" w:type="dxa"/>
            <w:tcBorders>
              <w:top w:val="nil"/>
              <w:left w:val="nil"/>
              <w:bottom w:val="single" w:sz="4" w:space="0" w:color="auto"/>
              <w:right w:val="nil"/>
            </w:tcBorders>
            <w:shd w:val="clear" w:color="auto" w:fill="auto"/>
            <w:vAlign w:val="center"/>
            <w:hideMark/>
          </w:tcPr>
          <w:p w:rsidR="00784D80" w:rsidRDefault="00784D80" w:rsidP="00784D80">
            <w:pPr>
              <w:spacing w:after="0" w:line="240" w:lineRule="auto"/>
              <w:jc w:val="center"/>
              <w:rPr>
                <w:rFonts w:ascii="Calibri" w:eastAsia="Times New Roman" w:hAnsi="Calibri" w:cs="Times New Roman"/>
                <w:b/>
                <w:bCs/>
                <w:sz w:val="20"/>
                <w:szCs w:val="20"/>
              </w:rPr>
            </w:pPr>
            <w:r w:rsidRPr="00784D80">
              <w:rPr>
                <w:rFonts w:ascii="Calibri" w:eastAsia="Times New Roman" w:hAnsi="Calibri" w:cs="Times New Roman"/>
                <w:b/>
                <w:bCs/>
                <w:sz w:val="20"/>
                <w:szCs w:val="20"/>
              </w:rPr>
              <w:t>PC1</w:t>
            </w:r>
          </w:p>
          <w:p w:rsidR="00AC7D91" w:rsidRPr="00784D80" w:rsidRDefault="00AC7D91" w:rsidP="00784D80">
            <w:pPr>
              <w:spacing w:after="0" w:line="240" w:lineRule="auto"/>
              <w:jc w:val="center"/>
              <w:rPr>
                <w:rFonts w:ascii="Calibri" w:eastAsia="Times New Roman" w:hAnsi="Calibri" w:cs="Times New Roman"/>
                <w:b/>
                <w:bCs/>
                <w:sz w:val="20"/>
                <w:szCs w:val="20"/>
              </w:rPr>
            </w:pPr>
            <w:r>
              <w:rPr>
                <w:rFonts w:ascii="Calibri" w:eastAsia="Times New Roman" w:hAnsi="Calibri" w:cs="Times New Roman"/>
                <w:b/>
                <w:bCs/>
                <w:sz w:val="20"/>
                <w:szCs w:val="20"/>
              </w:rPr>
              <w:t>Scores</w:t>
            </w:r>
          </w:p>
        </w:tc>
        <w:tc>
          <w:tcPr>
            <w:tcW w:w="1315" w:type="dxa"/>
            <w:tcBorders>
              <w:top w:val="nil"/>
              <w:left w:val="nil"/>
              <w:bottom w:val="single" w:sz="4" w:space="0" w:color="auto"/>
              <w:right w:val="nil"/>
            </w:tcBorders>
            <w:shd w:val="clear" w:color="auto" w:fill="auto"/>
            <w:vAlign w:val="center"/>
            <w:hideMark/>
          </w:tcPr>
          <w:p w:rsidR="00784D80" w:rsidRDefault="00784D80" w:rsidP="00784D80">
            <w:pPr>
              <w:spacing w:after="0" w:line="240" w:lineRule="auto"/>
              <w:jc w:val="center"/>
              <w:rPr>
                <w:rFonts w:ascii="Calibri" w:eastAsia="Times New Roman" w:hAnsi="Calibri" w:cs="Times New Roman"/>
                <w:b/>
                <w:bCs/>
                <w:color w:val="000000"/>
                <w:sz w:val="20"/>
                <w:szCs w:val="20"/>
              </w:rPr>
            </w:pPr>
            <w:r w:rsidRPr="00784D80">
              <w:rPr>
                <w:rFonts w:ascii="Calibri" w:eastAsia="Times New Roman" w:hAnsi="Calibri" w:cs="Times New Roman"/>
                <w:b/>
                <w:bCs/>
                <w:color w:val="000000"/>
                <w:sz w:val="20"/>
                <w:szCs w:val="20"/>
              </w:rPr>
              <w:t>PC2</w:t>
            </w:r>
          </w:p>
          <w:p w:rsidR="00AC7D91" w:rsidRPr="00784D80" w:rsidRDefault="00AC7D91" w:rsidP="00784D80">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1353" w:type="dxa"/>
            <w:tcBorders>
              <w:top w:val="nil"/>
              <w:left w:val="nil"/>
              <w:bottom w:val="single" w:sz="4" w:space="0" w:color="auto"/>
              <w:right w:val="nil"/>
            </w:tcBorders>
            <w:shd w:val="clear" w:color="auto" w:fill="auto"/>
            <w:vAlign w:val="center"/>
            <w:hideMark/>
          </w:tcPr>
          <w:p w:rsidR="00784D80" w:rsidRDefault="00784D80" w:rsidP="00784D80">
            <w:pPr>
              <w:spacing w:after="0" w:line="240" w:lineRule="auto"/>
              <w:jc w:val="center"/>
              <w:rPr>
                <w:rFonts w:ascii="Calibri" w:eastAsia="Times New Roman" w:hAnsi="Calibri" w:cs="Times New Roman"/>
                <w:b/>
                <w:bCs/>
                <w:color w:val="000000"/>
                <w:sz w:val="20"/>
                <w:szCs w:val="20"/>
              </w:rPr>
            </w:pPr>
            <w:r w:rsidRPr="00784D80">
              <w:rPr>
                <w:rFonts w:ascii="Calibri" w:eastAsia="Times New Roman" w:hAnsi="Calibri" w:cs="Times New Roman"/>
                <w:b/>
                <w:bCs/>
                <w:color w:val="000000"/>
                <w:sz w:val="20"/>
                <w:szCs w:val="20"/>
              </w:rPr>
              <w:t>PC3</w:t>
            </w:r>
          </w:p>
          <w:p w:rsidR="00AC7D91" w:rsidRPr="00784D80" w:rsidRDefault="00AC7D91" w:rsidP="00784D80">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1160" w:type="dxa"/>
            <w:tcBorders>
              <w:top w:val="nil"/>
              <w:left w:val="nil"/>
              <w:bottom w:val="single" w:sz="4" w:space="0" w:color="auto"/>
              <w:right w:val="nil"/>
            </w:tcBorders>
            <w:shd w:val="clear" w:color="auto" w:fill="auto"/>
            <w:vAlign w:val="center"/>
            <w:hideMark/>
          </w:tcPr>
          <w:p w:rsidR="00784D80" w:rsidRPr="00784D80" w:rsidRDefault="00784D80" w:rsidP="00784D80">
            <w:pPr>
              <w:spacing w:after="0" w:line="240" w:lineRule="auto"/>
              <w:jc w:val="center"/>
              <w:rPr>
                <w:rFonts w:ascii="Calibri" w:eastAsia="Times New Roman" w:hAnsi="Calibri" w:cs="Times New Roman"/>
                <w:b/>
                <w:bCs/>
                <w:color w:val="000000"/>
                <w:sz w:val="20"/>
                <w:szCs w:val="20"/>
              </w:rPr>
            </w:pPr>
            <w:r w:rsidRPr="00784D80">
              <w:rPr>
                <w:rFonts w:ascii="Calibri" w:eastAsia="Times New Roman" w:hAnsi="Calibri" w:cs="Times New Roman"/>
                <w:b/>
                <w:bCs/>
                <w:color w:val="000000"/>
                <w:sz w:val="20"/>
                <w:szCs w:val="20"/>
              </w:rPr>
              <w:t>T2</w:t>
            </w:r>
          </w:p>
        </w:tc>
        <w:tc>
          <w:tcPr>
            <w:tcW w:w="2433" w:type="dxa"/>
            <w:tcBorders>
              <w:top w:val="nil"/>
              <w:left w:val="nil"/>
              <w:bottom w:val="single" w:sz="4" w:space="0" w:color="auto"/>
              <w:right w:val="nil"/>
            </w:tcBorders>
            <w:shd w:val="clear" w:color="auto" w:fill="auto"/>
            <w:vAlign w:val="center"/>
            <w:hideMark/>
          </w:tcPr>
          <w:p w:rsidR="00784D80" w:rsidRPr="00784D80" w:rsidRDefault="00784D80" w:rsidP="00784D80">
            <w:pPr>
              <w:spacing w:after="0" w:line="240" w:lineRule="auto"/>
              <w:jc w:val="center"/>
              <w:rPr>
                <w:rFonts w:ascii="Calibri" w:eastAsia="Times New Roman" w:hAnsi="Calibri" w:cs="Times New Roman"/>
                <w:b/>
                <w:bCs/>
                <w:color w:val="000000"/>
                <w:sz w:val="20"/>
                <w:szCs w:val="20"/>
              </w:rPr>
            </w:pPr>
            <w:r w:rsidRPr="00784D80">
              <w:rPr>
                <w:rFonts w:ascii="Calibri" w:eastAsia="Times New Roman" w:hAnsi="Calibri" w:cs="Times New Roman"/>
                <w:b/>
                <w:bCs/>
                <w:color w:val="000000"/>
                <w:sz w:val="20"/>
                <w:szCs w:val="20"/>
              </w:rPr>
              <w:t>Q</w:t>
            </w:r>
          </w:p>
        </w:tc>
      </w:tr>
      <w:tr w:rsidR="00784D80" w:rsidRPr="00784D80" w:rsidTr="00784D80">
        <w:trPr>
          <w:trHeight w:val="255"/>
          <w:jc w:val="center"/>
        </w:trPr>
        <w:tc>
          <w:tcPr>
            <w:tcW w:w="1413" w:type="dxa"/>
            <w:tcBorders>
              <w:top w:val="nil"/>
              <w:left w:val="nil"/>
              <w:bottom w:val="nil"/>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b/>
                <w:bCs/>
                <w:color w:val="000000"/>
                <w:sz w:val="20"/>
                <w:szCs w:val="20"/>
              </w:rPr>
            </w:pPr>
            <w:r w:rsidRPr="00784D80">
              <w:rPr>
                <w:rFonts w:ascii="Calibri" w:eastAsia="Times New Roman" w:hAnsi="Calibri" w:cs="Times New Roman"/>
                <w:b/>
                <w:bCs/>
                <w:color w:val="000000"/>
                <w:sz w:val="20"/>
                <w:szCs w:val="20"/>
              </w:rPr>
              <w:t>Direction</w:t>
            </w:r>
          </w:p>
        </w:tc>
        <w:tc>
          <w:tcPr>
            <w:tcW w:w="967" w:type="dxa"/>
            <w:tcBorders>
              <w:top w:val="nil"/>
              <w:left w:val="nil"/>
              <w:bottom w:val="nil"/>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w:t>
            </w:r>
          </w:p>
        </w:tc>
        <w:tc>
          <w:tcPr>
            <w:tcW w:w="1315" w:type="dxa"/>
            <w:tcBorders>
              <w:top w:val="nil"/>
              <w:left w:val="nil"/>
              <w:bottom w:val="nil"/>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w:t>
            </w:r>
          </w:p>
        </w:tc>
        <w:tc>
          <w:tcPr>
            <w:tcW w:w="1353" w:type="dxa"/>
            <w:tcBorders>
              <w:top w:val="nil"/>
              <w:left w:val="nil"/>
              <w:bottom w:val="nil"/>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w:t>
            </w:r>
          </w:p>
        </w:tc>
        <w:tc>
          <w:tcPr>
            <w:tcW w:w="1160" w:type="dxa"/>
            <w:tcBorders>
              <w:top w:val="nil"/>
              <w:left w:val="nil"/>
              <w:bottom w:val="nil"/>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w:t>
            </w:r>
          </w:p>
        </w:tc>
        <w:tc>
          <w:tcPr>
            <w:tcW w:w="2433" w:type="dxa"/>
            <w:tcBorders>
              <w:top w:val="nil"/>
              <w:left w:val="nil"/>
              <w:bottom w:val="nil"/>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w:t>
            </w:r>
          </w:p>
        </w:tc>
      </w:tr>
      <w:tr w:rsidR="00784D80" w:rsidRPr="00784D80" w:rsidTr="00784D80">
        <w:trPr>
          <w:trHeight w:val="255"/>
          <w:jc w:val="center"/>
        </w:trPr>
        <w:tc>
          <w:tcPr>
            <w:tcW w:w="1413" w:type="dxa"/>
            <w:tcBorders>
              <w:top w:val="nil"/>
              <w:left w:val="nil"/>
              <w:bottom w:val="single" w:sz="4" w:space="0" w:color="auto"/>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b/>
                <w:bCs/>
                <w:color w:val="000000"/>
                <w:sz w:val="20"/>
                <w:szCs w:val="20"/>
              </w:rPr>
            </w:pPr>
            <w:r w:rsidRPr="00784D80">
              <w:rPr>
                <w:rFonts w:ascii="Calibri" w:eastAsia="Times New Roman" w:hAnsi="Calibri" w:cs="Times New Roman"/>
                <w:b/>
                <w:bCs/>
                <w:color w:val="000000"/>
                <w:sz w:val="20"/>
                <w:szCs w:val="20"/>
              </w:rPr>
              <w:t>Detectability</w:t>
            </w:r>
          </w:p>
        </w:tc>
        <w:tc>
          <w:tcPr>
            <w:tcW w:w="967" w:type="dxa"/>
            <w:tcBorders>
              <w:top w:val="nil"/>
              <w:left w:val="nil"/>
              <w:bottom w:val="single" w:sz="4" w:space="0" w:color="auto"/>
              <w:right w:val="nil"/>
            </w:tcBorders>
            <w:shd w:val="clear" w:color="auto" w:fill="auto"/>
            <w:vAlign w:val="center"/>
            <w:hideMark/>
          </w:tcPr>
          <w:p w:rsidR="00784D80" w:rsidRPr="00784D80" w:rsidRDefault="00784D80" w:rsidP="00784D80">
            <w:pPr>
              <w:spacing w:after="0" w:line="240" w:lineRule="auto"/>
              <w:jc w:val="center"/>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Maybe</w:t>
            </w:r>
          </w:p>
        </w:tc>
        <w:tc>
          <w:tcPr>
            <w:tcW w:w="1315" w:type="dxa"/>
            <w:tcBorders>
              <w:top w:val="nil"/>
              <w:left w:val="nil"/>
              <w:bottom w:val="single" w:sz="4" w:space="0" w:color="auto"/>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Maybe</w:t>
            </w:r>
          </w:p>
        </w:tc>
        <w:tc>
          <w:tcPr>
            <w:tcW w:w="1353" w:type="dxa"/>
            <w:tcBorders>
              <w:top w:val="nil"/>
              <w:left w:val="nil"/>
              <w:bottom w:val="single" w:sz="4" w:space="0" w:color="auto"/>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Yes</w:t>
            </w:r>
          </w:p>
        </w:tc>
        <w:tc>
          <w:tcPr>
            <w:tcW w:w="1160" w:type="dxa"/>
            <w:tcBorders>
              <w:top w:val="nil"/>
              <w:left w:val="nil"/>
              <w:bottom w:val="single" w:sz="4" w:space="0" w:color="auto"/>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Yes</w:t>
            </w:r>
          </w:p>
        </w:tc>
        <w:tc>
          <w:tcPr>
            <w:tcW w:w="2433" w:type="dxa"/>
            <w:tcBorders>
              <w:top w:val="nil"/>
              <w:left w:val="nil"/>
              <w:bottom w:val="single" w:sz="4" w:space="0" w:color="auto"/>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Yes</w:t>
            </w:r>
          </w:p>
        </w:tc>
      </w:tr>
      <w:tr w:rsidR="00784D80" w:rsidRPr="00784D80" w:rsidTr="00784D80">
        <w:trPr>
          <w:trHeight w:val="255"/>
          <w:jc w:val="center"/>
        </w:trPr>
        <w:tc>
          <w:tcPr>
            <w:tcW w:w="8641" w:type="dxa"/>
            <w:gridSpan w:val="6"/>
            <w:tcBorders>
              <w:top w:val="nil"/>
              <w:left w:val="nil"/>
              <w:bottom w:val="nil"/>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b/>
                <w:bCs/>
                <w:color w:val="000000"/>
                <w:sz w:val="20"/>
                <w:szCs w:val="20"/>
              </w:rPr>
            </w:pPr>
            <w:r w:rsidRPr="00784D80">
              <w:rPr>
                <w:rFonts w:ascii="Calibri" w:eastAsia="Times New Roman" w:hAnsi="Calibri" w:cs="Times New Roman"/>
                <w:b/>
                <w:bCs/>
                <w:color w:val="000000"/>
                <w:sz w:val="20"/>
                <w:szCs w:val="20"/>
              </w:rPr>
              <w:t>Comparison to Individual Faulty Case Results</w:t>
            </w:r>
          </w:p>
        </w:tc>
      </w:tr>
      <w:tr w:rsidR="00784D80" w:rsidRPr="00784D80" w:rsidTr="00784D80">
        <w:trPr>
          <w:trHeight w:val="255"/>
          <w:jc w:val="center"/>
        </w:trPr>
        <w:tc>
          <w:tcPr>
            <w:tcW w:w="1413" w:type="dxa"/>
            <w:tcBorders>
              <w:top w:val="nil"/>
              <w:left w:val="nil"/>
              <w:bottom w:val="single" w:sz="4" w:space="0" w:color="auto"/>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b/>
                <w:bCs/>
                <w:i/>
                <w:iCs/>
                <w:color w:val="000000"/>
                <w:sz w:val="20"/>
                <w:szCs w:val="20"/>
              </w:rPr>
            </w:pPr>
            <w:r w:rsidRPr="00784D80">
              <w:rPr>
                <w:rFonts w:ascii="Calibri" w:eastAsia="Times New Roman" w:hAnsi="Calibri" w:cs="Times New Roman"/>
                <w:b/>
                <w:bCs/>
                <w:i/>
                <w:iCs/>
                <w:color w:val="000000"/>
                <w:sz w:val="20"/>
                <w:szCs w:val="20"/>
              </w:rPr>
              <w:t> </w:t>
            </w:r>
          </w:p>
        </w:tc>
        <w:tc>
          <w:tcPr>
            <w:tcW w:w="967" w:type="dxa"/>
            <w:tcBorders>
              <w:top w:val="nil"/>
              <w:left w:val="nil"/>
              <w:bottom w:val="single" w:sz="4" w:space="0" w:color="auto"/>
              <w:right w:val="nil"/>
            </w:tcBorders>
            <w:shd w:val="clear" w:color="auto" w:fill="auto"/>
            <w:vAlign w:val="center"/>
            <w:hideMark/>
          </w:tcPr>
          <w:p w:rsidR="00784D80" w:rsidRDefault="00784D80" w:rsidP="00784D80">
            <w:pPr>
              <w:spacing w:after="0" w:line="240" w:lineRule="auto"/>
              <w:jc w:val="center"/>
              <w:rPr>
                <w:rFonts w:ascii="Calibri" w:eastAsia="Times New Roman" w:hAnsi="Calibri" w:cs="Times New Roman"/>
                <w:b/>
                <w:bCs/>
                <w:sz w:val="20"/>
                <w:szCs w:val="20"/>
              </w:rPr>
            </w:pPr>
            <w:r w:rsidRPr="00784D80">
              <w:rPr>
                <w:rFonts w:ascii="Calibri" w:eastAsia="Times New Roman" w:hAnsi="Calibri" w:cs="Times New Roman"/>
                <w:b/>
                <w:bCs/>
                <w:sz w:val="20"/>
                <w:szCs w:val="20"/>
              </w:rPr>
              <w:t>PC1</w:t>
            </w:r>
          </w:p>
          <w:p w:rsidR="00AC7D91" w:rsidRPr="00784D80" w:rsidRDefault="00AC7D91" w:rsidP="00784D80">
            <w:pPr>
              <w:spacing w:after="0" w:line="240" w:lineRule="auto"/>
              <w:jc w:val="center"/>
              <w:rPr>
                <w:rFonts w:ascii="Calibri" w:eastAsia="Times New Roman" w:hAnsi="Calibri" w:cs="Times New Roman"/>
                <w:b/>
                <w:bCs/>
                <w:sz w:val="20"/>
                <w:szCs w:val="20"/>
              </w:rPr>
            </w:pPr>
            <w:r>
              <w:rPr>
                <w:rFonts w:ascii="Calibri" w:eastAsia="Times New Roman" w:hAnsi="Calibri" w:cs="Times New Roman"/>
                <w:b/>
                <w:bCs/>
                <w:sz w:val="20"/>
                <w:szCs w:val="20"/>
              </w:rPr>
              <w:t>Scores</w:t>
            </w:r>
          </w:p>
        </w:tc>
        <w:tc>
          <w:tcPr>
            <w:tcW w:w="1315" w:type="dxa"/>
            <w:tcBorders>
              <w:top w:val="nil"/>
              <w:left w:val="nil"/>
              <w:bottom w:val="single" w:sz="4" w:space="0" w:color="auto"/>
              <w:right w:val="nil"/>
            </w:tcBorders>
            <w:shd w:val="clear" w:color="auto" w:fill="auto"/>
            <w:vAlign w:val="center"/>
            <w:hideMark/>
          </w:tcPr>
          <w:p w:rsidR="00784D80" w:rsidRDefault="00784D80" w:rsidP="00784D80">
            <w:pPr>
              <w:spacing w:after="0" w:line="240" w:lineRule="auto"/>
              <w:jc w:val="center"/>
              <w:rPr>
                <w:rFonts w:ascii="Calibri" w:eastAsia="Times New Roman" w:hAnsi="Calibri" w:cs="Times New Roman"/>
                <w:b/>
                <w:bCs/>
                <w:color w:val="000000"/>
                <w:sz w:val="20"/>
                <w:szCs w:val="20"/>
              </w:rPr>
            </w:pPr>
            <w:r w:rsidRPr="00784D80">
              <w:rPr>
                <w:rFonts w:ascii="Calibri" w:eastAsia="Times New Roman" w:hAnsi="Calibri" w:cs="Times New Roman"/>
                <w:b/>
                <w:bCs/>
                <w:color w:val="000000"/>
                <w:sz w:val="20"/>
                <w:szCs w:val="20"/>
              </w:rPr>
              <w:t>PC2</w:t>
            </w:r>
          </w:p>
          <w:p w:rsidR="00AC7D91" w:rsidRPr="00784D80" w:rsidRDefault="00AC7D91" w:rsidP="00784D80">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1353" w:type="dxa"/>
            <w:tcBorders>
              <w:top w:val="nil"/>
              <w:left w:val="nil"/>
              <w:bottom w:val="single" w:sz="4" w:space="0" w:color="auto"/>
              <w:right w:val="nil"/>
            </w:tcBorders>
            <w:shd w:val="clear" w:color="auto" w:fill="auto"/>
            <w:vAlign w:val="center"/>
            <w:hideMark/>
          </w:tcPr>
          <w:p w:rsidR="00784D80" w:rsidRDefault="00784D80" w:rsidP="00784D80">
            <w:pPr>
              <w:spacing w:after="0" w:line="240" w:lineRule="auto"/>
              <w:jc w:val="center"/>
              <w:rPr>
                <w:rFonts w:ascii="Calibri" w:eastAsia="Times New Roman" w:hAnsi="Calibri" w:cs="Times New Roman"/>
                <w:b/>
                <w:bCs/>
                <w:color w:val="000000"/>
                <w:sz w:val="20"/>
                <w:szCs w:val="20"/>
              </w:rPr>
            </w:pPr>
            <w:r w:rsidRPr="00784D80">
              <w:rPr>
                <w:rFonts w:ascii="Calibri" w:eastAsia="Times New Roman" w:hAnsi="Calibri" w:cs="Times New Roman"/>
                <w:b/>
                <w:bCs/>
                <w:color w:val="000000"/>
                <w:sz w:val="20"/>
                <w:szCs w:val="20"/>
              </w:rPr>
              <w:t>PC3</w:t>
            </w:r>
          </w:p>
          <w:p w:rsidR="00AC7D91" w:rsidRPr="00784D80" w:rsidRDefault="00AC7D91" w:rsidP="00784D80">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1160" w:type="dxa"/>
            <w:tcBorders>
              <w:top w:val="nil"/>
              <w:left w:val="nil"/>
              <w:bottom w:val="single" w:sz="4" w:space="0" w:color="auto"/>
              <w:right w:val="nil"/>
            </w:tcBorders>
            <w:shd w:val="clear" w:color="auto" w:fill="auto"/>
            <w:vAlign w:val="center"/>
            <w:hideMark/>
          </w:tcPr>
          <w:p w:rsidR="00784D80" w:rsidRPr="00784D80" w:rsidRDefault="00784D80" w:rsidP="00784D80">
            <w:pPr>
              <w:spacing w:after="0" w:line="240" w:lineRule="auto"/>
              <w:jc w:val="center"/>
              <w:rPr>
                <w:rFonts w:ascii="Calibri" w:eastAsia="Times New Roman" w:hAnsi="Calibri" w:cs="Times New Roman"/>
                <w:b/>
                <w:bCs/>
                <w:color w:val="000000"/>
                <w:sz w:val="20"/>
                <w:szCs w:val="20"/>
              </w:rPr>
            </w:pPr>
            <w:r w:rsidRPr="00784D80">
              <w:rPr>
                <w:rFonts w:ascii="Calibri" w:eastAsia="Times New Roman" w:hAnsi="Calibri" w:cs="Times New Roman"/>
                <w:b/>
                <w:bCs/>
                <w:color w:val="000000"/>
                <w:sz w:val="20"/>
                <w:szCs w:val="20"/>
              </w:rPr>
              <w:t>T2</w:t>
            </w:r>
          </w:p>
        </w:tc>
        <w:tc>
          <w:tcPr>
            <w:tcW w:w="2433" w:type="dxa"/>
            <w:tcBorders>
              <w:top w:val="nil"/>
              <w:left w:val="nil"/>
              <w:bottom w:val="single" w:sz="4" w:space="0" w:color="auto"/>
              <w:right w:val="nil"/>
            </w:tcBorders>
            <w:shd w:val="clear" w:color="auto" w:fill="auto"/>
            <w:vAlign w:val="center"/>
            <w:hideMark/>
          </w:tcPr>
          <w:p w:rsidR="00784D80" w:rsidRPr="00784D80" w:rsidRDefault="00784D80" w:rsidP="00784D80">
            <w:pPr>
              <w:spacing w:after="0" w:line="240" w:lineRule="auto"/>
              <w:jc w:val="center"/>
              <w:rPr>
                <w:rFonts w:ascii="Calibri" w:eastAsia="Times New Roman" w:hAnsi="Calibri" w:cs="Times New Roman"/>
                <w:b/>
                <w:bCs/>
                <w:color w:val="000000"/>
                <w:sz w:val="20"/>
                <w:szCs w:val="20"/>
              </w:rPr>
            </w:pPr>
            <w:r w:rsidRPr="00784D80">
              <w:rPr>
                <w:rFonts w:ascii="Calibri" w:eastAsia="Times New Roman" w:hAnsi="Calibri" w:cs="Times New Roman"/>
                <w:b/>
                <w:bCs/>
                <w:color w:val="000000"/>
                <w:sz w:val="20"/>
                <w:szCs w:val="20"/>
              </w:rPr>
              <w:t>Q</w:t>
            </w:r>
          </w:p>
        </w:tc>
      </w:tr>
      <w:tr w:rsidR="00784D80" w:rsidRPr="00784D80" w:rsidTr="00784D80">
        <w:trPr>
          <w:trHeight w:val="255"/>
          <w:jc w:val="center"/>
        </w:trPr>
        <w:tc>
          <w:tcPr>
            <w:tcW w:w="8641" w:type="dxa"/>
            <w:gridSpan w:val="6"/>
            <w:tcBorders>
              <w:top w:val="single" w:sz="4" w:space="0" w:color="auto"/>
              <w:left w:val="nil"/>
              <w:bottom w:val="nil"/>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b/>
                <w:bCs/>
                <w:i/>
                <w:iCs/>
                <w:color w:val="000000"/>
                <w:sz w:val="20"/>
                <w:szCs w:val="20"/>
              </w:rPr>
            </w:pPr>
            <w:r w:rsidRPr="00784D80">
              <w:rPr>
                <w:rFonts w:ascii="Calibri" w:eastAsia="Times New Roman" w:hAnsi="Calibri" w:cs="Times New Roman"/>
                <w:b/>
                <w:bCs/>
                <w:i/>
                <w:iCs/>
                <w:color w:val="000000"/>
                <w:sz w:val="20"/>
                <w:szCs w:val="20"/>
              </w:rPr>
              <w:t>Case 2</w:t>
            </w:r>
          </w:p>
        </w:tc>
      </w:tr>
      <w:tr w:rsidR="00784D80" w:rsidRPr="00784D80" w:rsidTr="00784D80">
        <w:trPr>
          <w:trHeight w:val="255"/>
          <w:jc w:val="center"/>
        </w:trPr>
        <w:tc>
          <w:tcPr>
            <w:tcW w:w="1413" w:type="dxa"/>
            <w:tcBorders>
              <w:top w:val="nil"/>
              <w:left w:val="nil"/>
              <w:bottom w:val="nil"/>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b/>
                <w:bCs/>
                <w:color w:val="000000"/>
                <w:sz w:val="20"/>
                <w:szCs w:val="20"/>
              </w:rPr>
            </w:pPr>
            <w:r w:rsidRPr="00784D80">
              <w:rPr>
                <w:rFonts w:ascii="Calibri" w:eastAsia="Times New Roman" w:hAnsi="Calibri" w:cs="Times New Roman"/>
                <w:b/>
                <w:bCs/>
                <w:color w:val="000000"/>
                <w:sz w:val="20"/>
                <w:szCs w:val="20"/>
              </w:rPr>
              <w:t>Direction</w:t>
            </w:r>
          </w:p>
        </w:tc>
        <w:tc>
          <w:tcPr>
            <w:tcW w:w="967" w:type="dxa"/>
            <w:tcBorders>
              <w:top w:val="nil"/>
              <w:left w:val="nil"/>
              <w:bottom w:val="nil"/>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w:t>
            </w:r>
          </w:p>
        </w:tc>
        <w:tc>
          <w:tcPr>
            <w:tcW w:w="1315" w:type="dxa"/>
            <w:tcBorders>
              <w:top w:val="nil"/>
              <w:left w:val="nil"/>
              <w:bottom w:val="nil"/>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w:t>
            </w:r>
          </w:p>
        </w:tc>
        <w:tc>
          <w:tcPr>
            <w:tcW w:w="1353" w:type="dxa"/>
            <w:tcBorders>
              <w:top w:val="nil"/>
              <w:left w:val="nil"/>
              <w:bottom w:val="nil"/>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w:t>
            </w:r>
          </w:p>
        </w:tc>
        <w:tc>
          <w:tcPr>
            <w:tcW w:w="1160" w:type="dxa"/>
            <w:tcBorders>
              <w:top w:val="nil"/>
              <w:left w:val="nil"/>
              <w:bottom w:val="nil"/>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w:t>
            </w:r>
          </w:p>
        </w:tc>
        <w:tc>
          <w:tcPr>
            <w:tcW w:w="2433" w:type="dxa"/>
            <w:tcBorders>
              <w:top w:val="nil"/>
              <w:left w:val="nil"/>
              <w:bottom w:val="nil"/>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w:t>
            </w:r>
          </w:p>
        </w:tc>
      </w:tr>
      <w:tr w:rsidR="00784D80" w:rsidRPr="00784D80" w:rsidTr="00784D80">
        <w:trPr>
          <w:trHeight w:val="255"/>
          <w:jc w:val="center"/>
        </w:trPr>
        <w:tc>
          <w:tcPr>
            <w:tcW w:w="1413" w:type="dxa"/>
            <w:tcBorders>
              <w:top w:val="nil"/>
              <w:left w:val="nil"/>
              <w:bottom w:val="single" w:sz="4" w:space="0" w:color="auto"/>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b/>
                <w:bCs/>
                <w:color w:val="000000"/>
                <w:sz w:val="20"/>
                <w:szCs w:val="20"/>
              </w:rPr>
            </w:pPr>
            <w:r w:rsidRPr="00784D80">
              <w:rPr>
                <w:rFonts w:ascii="Calibri" w:eastAsia="Times New Roman" w:hAnsi="Calibri" w:cs="Times New Roman"/>
                <w:b/>
                <w:bCs/>
                <w:color w:val="000000"/>
                <w:sz w:val="20"/>
                <w:szCs w:val="20"/>
              </w:rPr>
              <w:t>Detectability</w:t>
            </w:r>
          </w:p>
        </w:tc>
        <w:tc>
          <w:tcPr>
            <w:tcW w:w="967" w:type="dxa"/>
            <w:tcBorders>
              <w:top w:val="nil"/>
              <w:left w:val="nil"/>
              <w:bottom w:val="single" w:sz="4" w:space="0" w:color="auto"/>
              <w:right w:val="nil"/>
            </w:tcBorders>
            <w:shd w:val="clear" w:color="auto" w:fill="auto"/>
            <w:vAlign w:val="center"/>
            <w:hideMark/>
          </w:tcPr>
          <w:p w:rsidR="00784D80" w:rsidRPr="00784D80" w:rsidRDefault="00784D80" w:rsidP="00784D80">
            <w:pPr>
              <w:spacing w:after="0" w:line="240" w:lineRule="auto"/>
              <w:jc w:val="center"/>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No</w:t>
            </w:r>
          </w:p>
        </w:tc>
        <w:tc>
          <w:tcPr>
            <w:tcW w:w="1315" w:type="dxa"/>
            <w:tcBorders>
              <w:top w:val="nil"/>
              <w:left w:val="nil"/>
              <w:bottom w:val="single" w:sz="4" w:space="0" w:color="auto"/>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No</w:t>
            </w:r>
          </w:p>
        </w:tc>
        <w:tc>
          <w:tcPr>
            <w:tcW w:w="1353" w:type="dxa"/>
            <w:tcBorders>
              <w:top w:val="nil"/>
              <w:left w:val="nil"/>
              <w:bottom w:val="single" w:sz="4" w:space="0" w:color="auto"/>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Possibly</w:t>
            </w:r>
          </w:p>
        </w:tc>
        <w:tc>
          <w:tcPr>
            <w:tcW w:w="1160" w:type="dxa"/>
            <w:tcBorders>
              <w:top w:val="nil"/>
              <w:left w:val="nil"/>
              <w:bottom w:val="single" w:sz="4" w:space="0" w:color="auto"/>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Possibly</w:t>
            </w:r>
          </w:p>
        </w:tc>
        <w:tc>
          <w:tcPr>
            <w:tcW w:w="2433" w:type="dxa"/>
            <w:tcBorders>
              <w:top w:val="nil"/>
              <w:left w:val="nil"/>
              <w:bottom w:val="single" w:sz="4" w:space="0" w:color="auto"/>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Yes</w:t>
            </w:r>
          </w:p>
        </w:tc>
      </w:tr>
      <w:tr w:rsidR="00784D80" w:rsidRPr="00784D80" w:rsidTr="00784D80">
        <w:trPr>
          <w:trHeight w:val="255"/>
          <w:jc w:val="center"/>
        </w:trPr>
        <w:tc>
          <w:tcPr>
            <w:tcW w:w="8641" w:type="dxa"/>
            <w:gridSpan w:val="6"/>
            <w:tcBorders>
              <w:top w:val="nil"/>
              <w:left w:val="nil"/>
              <w:bottom w:val="nil"/>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b/>
                <w:bCs/>
                <w:i/>
                <w:iCs/>
                <w:color w:val="000000"/>
                <w:sz w:val="20"/>
                <w:szCs w:val="20"/>
              </w:rPr>
            </w:pPr>
            <w:r w:rsidRPr="00784D80">
              <w:rPr>
                <w:rFonts w:ascii="Calibri" w:eastAsia="Times New Roman" w:hAnsi="Calibri" w:cs="Times New Roman"/>
                <w:b/>
                <w:bCs/>
                <w:i/>
                <w:iCs/>
                <w:color w:val="000000"/>
                <w:sz w:val="20"/>
                <w:szCs w:val="20"/>
              </w:rPr>
              <w:t>Case 3</w:t>
            </w:r>
          </w:p>
        </w:tc>
      </w:tr>
      <w:tr w:rsidR="00784D80" w:rsidRPr="00784D80" w:rsidTr="00784D80">
        <w:trPr>
          <w:trHeight w:val="255"/>
          <w:jc w:val="center"/>
        </w:trPr>
        <w:tc>
          <w:tcPr>
            <w:tcW w:w="1413" w:type="dxa"/>
            <w:tcBorders>
              <w:top w:val="nil"/>
              <w:left w:val="nil"/>
              <w:bottom w:val="nil"/>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b/>
                <w:bCs/>
                <w:color w:val="000000"/>
                <w:sz w:val="20"/>
                <w:szCs w:val="20"/>
              </w:rPr>
            </w:pPr>
            <w:r w:rsidRPr="00784D80">
              <w:rPr>
                <w:rFonts w:ascii="Calibri" w:eastAsia="Times New Roman" w:hAnsi="Calibri" w:cs="Times New Roman"/>
                <w:b/>
                <w:bCs/>
                <w:color w:val="000000"/>
                <w:sz w:val="20"/>
                <w:szCs w:val="20"/>
              </w:rPr>
              <w:t>Direction</w:t>
            </w:r>
          </w:p>
        </w:tc>
        <w:tc>
          <w:tcPr>
            <w:tcW w:w="967" w:type="dxa"/>
            <w:tcBorders>
              <w:top w:val="nil"/>
              <w:left w:val="nil"/>
              <w:bottom w:val="nil"/>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w:t>
            </w:r>
          </w:p>
        </w:tc>
        <w:tc>
          <w:tcPr>
            <w:tcW w:w="1315" w:type="dxa"/>
            <w:tcBorders>
              <w:top w:val="nil"/>
              <w:left w:val="nil"/>
              <w:bottom w:val="nil"/>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w:t>
            </w:r>
          </w:p>
        </w:tc>
        <w:tc>
          <w:tcPr>
            <w:tcW w:w="1353" w:type="dxa"/>
            <w:tcBorders>
              <w:top w:val="nil"/>
              <w:left w:val="nil"/>
              <w:bottom w:val="nil"/>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w:t>
            </w:r>
          </w:p>
        </w:tc>
        <w:tc>
          <w:tcPr>
            <w:tcW w:w="1160" w:type="dxa"/>
            <w:tcBorders>
              <w:top w:val="nil"/>
              <w:left w:val="nil"/>
              <w:bottom w:val="nil"/>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w:t>
            </w:r>
          </w:p>
        </w:tc>
        <w:tc>
          <w:tcPr>
            <w:tcW w:w="2433" w:type="dxa"/>
            <w:tcBorders>
              <w:top w:val="nil"/>
              <w:left w:val="nil"/>
              <w:bottom w:val="nil"/>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w:t>
            </w:r>
          </w:p>
        </w:tc>
      </w:tr>
      <w:tr w:rsidR="00784D80" w:rsidRPr="00784D80" w:rsidTr="00784D80">
        <w:trPr>
          <w:trHeight w:val="270"/>
          <w:jc w:val="center"/>
        </w:trPr>
        <w:tc>
          <w:tcPr>
            <w:tcW w:w="1413" w:type="dxa"/>
            <w:tcBorders>
              <w:top w:val="nil"/>
              <w:left w:val="nil"/>
              <w:bottom w:val="single" w:sz="8" w:space="0" w:color="auto"/>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b/>
                <w:bCs/>
                <w:color w:val="000000"/>
                <w:sz w:val="20"/>
                <w:szCs w:val="20"/>
              </w:rPr>
            </w:pPr>
            <w:r w:rsidRPr="00784D80">
              <w:rPr>
                <w:rFonts w:ascii="Calibri" w:eastAsia="Times New Roman" w:hAnsi="Calibri" w:cs="Times New Roman"/>
                <w:b/>
                <w:bCs/>
                <w:color w:val="000000"/>
                <w:sz w:val="20"/>
                <w:szCs w:val="20"/>
              </w:rPr>
              <w:t>Detectability</w:t>
            </w:r>
          </w:p>
        </w:tc>
        <w:tc>
          <w:tcPr>
            <w:tcW w:w="967" w:type="dxa"/>
            <w:tcBorders>
              <w:top w:val="nil"/>
              <w:left w:val="nil"/>
              <w:bottom w:val="single" w:sz="8" w:space="0" w:color="auto"/>
              <w:right w:val="nil"/>
            </w:tcBorders>
            <w:shd w:val="clear" w:color="auto" w:fill="auto"/>
            <w:vAlign w:val="center"/>
            <w:hideMark/>
          </w:tcPr>
          <w:p w:rsidR="00784D80" w:rsidRPr="00784D80" w:rsidRDefault="00784D80" w:rsidP="00784D80">
            <w:pPr>
              <w:spacing w:after="0" w:line="240" w:lineRule="auto"/>
              <w:jc w:val="center"/>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 xml:space="preserve">Possibly </w:t>
            </w:r>
          </w:p>
        </w:tc>
        <w:tc>
          <w:tcPr>
            <w:tcW w:w="1315" w:type="dxa"/>
            <w:tcBorders>
              <w:top w:val="nil"/>
              <w:left w:val="nil"/>
              <w:bottom w:val="single" w:sz="8" w:space="0" w:color="auto"/>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Possibly</w:t>
            </w:r>
          </w:p>
        </w:tc>
        <w:tc>
          <w:tcPr>
            <w:tcW w:w="1353" w:type="dxa"/>
            <w:tcBorders>
              <w:top w:val="nil"/>
              <w:left w:val="nil"/>
              <w:bottom w:val="single" w:sz="8" w:space="0" w:color="auto"/>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Yes</w:t>
            </w:r>
          </w:p>
        </w:tc>
        <w:tc>
          <w:tcPr>
            <w:tcW w:w="1160" w:type="dxa"/>
            <w:tcBorders>
              <w:top w:val="nil"/>
              <w:left w:val="nil"/>
              <w:bottom w:val="single" w:sz="8" w:space="0" w:color="auto"/>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Yes</w:t>
            </w:r>
          </w:p>
        </w:tc>
        <w:tc>
          <w:tcPr>
            <w:tcW w:w="2433" w:type="dxa"/>
            <w:tcBorders>
              <w:top w:val="nil"/>
              <w:left w:val="nil"/>
              <w:bottom w:val="single" w:sz="8" w:space="0" w:color="auto"/>
              <w:right w:val="nil"/>
            </w:tcBorders>
            <w:shd w:val="clear" w:color="auto" w:fill="auto"/>
            <w:noWrap/>
            <w:vAlign w:val="center"/>
            <w:hideMark/>
          </w:tcPr>
          <w:p w:rsidR="00784D80" w:rsidRPr="00784D80" w:rsidRDefault="00784D80" w:rsidP="00784D80">
            <w:pPr>
              <w:spacing w:after="0" w:line="240" w:lineRule="auto"/>
              <w:jc w:val="center"/>
              <w:rPr>
                <w:rFonts w:ascii="Calibri" w:eastAsia="Times New Roman" w:hAnsi="Calibri" w:cs="Times New Roman"/>
                <w:color w:val="000000"/>
                <w:sz w:val="20"/>
                <w:szCs w:val="20"/>
              </w:rPr>
            </w:pPr>
            <w:r w:rsidRPr="00784D80">
              <w:rPr>
                <w:rFonts w:ascii="Calibri" w:eastAsia="Times New Roman" w:hAnsi="Calibri" w:cs="Times New Roman"/>
                <w:color w:val="000000"/>
                <w:sz w:val="20"/>
                <w:szCs w:val="20"/>
              </w:rPr>
              <w:t>Yes</w:t>
            </w:r>
          </w:p>
        </w:tc>
      </w:tr>
    </w:tbl>
    <w:p w:rsidR="00784D80" w:rsidRDefault="00784D80" w:rsidP="00E664E4"/>
    <w:p w:rsidR="00567A68" w:rsidRDefault="00567A68" w:rsidP="00E664E4"/>
    <w:p w:rsidR="00567A68" w:rsidRDefault="00567A68" w:rsidP="00E664E4"/>
    <w:p w:rsidR="00567A68" w:rsidRDefault="00567A68" w:rsidP="00E664E4"/>
    <w:p w:rsidR="00E664E4" w:rsidRDefault="00784D80" w:rsidP="00E664E4">
      <w:pPr>
        <w:jc w:val="center"/>
      </w:pPr>
      <w:r>
        <w:rPr>
          <w:noProof/>
        </w:rPr>
        <w:lastRenderedPageBreak/>
        <w:drawing>
          <wp:inline distT="0" distB="0" distL="0" distR="0" wp14:anchorId="1641A655" wp14:editId="6F96C459">
            <wp:extent cx="5943600" cy="44577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8"/>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784D80">
        <w:rPr>
          <w:b/>
          <w:sz w:val="20"/>
          <w:szCs w:val="20"/>
        </w:rPr>
        <w:t>4.100</w:t>
      </w:r>
      <w:r>
        <w:rPr>
          <w:b/>
          <w:sz w:val="20"/>
          <w:szCs w:val="20"/>
        </w:rPr>
        <w:t xml:space="preserve">. Faulty Case 14 Scores Plot for PC1 and PC2.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s</w:t>
      </w:r>
      <w:r>
        <w:rPr>
          <w:i/>
          <w:sz w:val="20"/>
          <w:szCs w:val="20"/>
        </w:rPr>
        <w:t xml:space="preserve"> shift in both PC1 and PC2</w:t>
      </w:r>
      <w:r w:rsidR="00E62112">
        <w:rPr>
          <w:i/>
          <w:sz w:val="20"/>
          <w:szCs w:val="20"/>
        </w:rPr>
        <w:t xml:space="preserve"> scores</w:t>
      </w:r>
      <w:r>
        <w:rPr>
          <w:i/>
          <w:sz w:val="20"/>
          <w:szCs w:val="20"/>
        </w:rPr>
        <w:t>, but the fault may not be detectable depending on operating conditions</w:t>
      </w:r>
      <w:r>
        <w:rPr>
          <w:rFonts w:eastAsiaTheme="minorEastAsia"/>
          <w:i/>
          <w:sz w:val="20"/>
          <w:szCs w:val="20"/>
        </w:rPr>
        <w:t>.</w:t>
      </w:r>
    </w:p>
    <w:p w:rsidR="00E664E4" w:rsidRDefault="00E664E4" w:rsidP="00E664E4">
      <w:pPr>
        <w:rPr>
          <w:i/>
          <w:sz w:val="20"/>
          <w:szCs w:val="20"/>
        </w:rPr>
      </w:pPr>
    </w:p>
    <w:p w:rsidR="00E664E4" w:rsidRPr="00EE2556" w:rsidRDefault="00784D80" w:rsidP="00E664E4">
      <w:pPr>
        <w:jc w:val="center"/>
        <w:rPr>
          <w:i/>
          <w:sz w:val="20"/>
          <w:szCs w:val="20"/>
        </w:rPr>
      </w:pPr>
      <w:r>
        <w:rPr>
          <w:noProof/>
        </w:rPr>
        <w:lastRenderedPageBreak/>
        <w:drawing>
          <wp:inline distT="0" distB="0" distL="0" distR="0" wp14:anchorId="05F77063" wp14:editId="009F4895">
            <wp:extent cx="5943600" cy="445770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9"/>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784D80">
        <w:rPr>
          <w:b/>
          <w:sz w:val="20"/>
          <w:szCs w:val="20"/>
        </w:rPr>
        <w:t>4.101</w:t>
      </w:r>
      <w:r>
        <w:rPr>
          <w:b/>
          <w:sz w:val="20"/>
          <w:szCs w:val="20"/>
        </w:rPr>
        <w:t xml:space="preserve">. Faulty Case 14 Scores Plot for PC1 and PC3.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s</w:t>
      </w:r>
      <w:r>
        <w:rPr>
          <w:i/>
          <w:sz w:val="20"/>
          <w:szCs w:val="20"/>
        </w:rPr>
        <w:t xml:space="preserve"> shift in both PC1 and PC3</w:t>
      </w:r>
      <w:r w:rsidR="00E62112">
        <w:rPr>
          <w:i/>
          <w:sz w:val="20"/>
          <w:szCs w:val="20"/>
        </w:rPr>
        <w:t xml:space="preserve"> scores</w:t>
      </w:r>
      <w:r>
        <w:rPr>
          <w:i/>
          <w:sz w:val="20"/>
          <w:szCs w:val="20"/>
        </w:rPr>
        <w:t>, and the fault was detectable.</w:t>
      </w:r>
    </w:p>
    <w:p w:rsidR="00E664E4" w:rsidRDefault="00E664E4" w:rsidP="00E664E4">
      <w:pPr>
        <w:rPr>
          <w:i/>
          <w:sz w:val="20"/>
          <w:szCs w:val="20"/>
        </w:rPr>
      </w:pPr>
    </w:p>
    <w:p w:rsidR="00E664E4" w:rsidRPr="00EE2556" w:rsidRDefault="00784D80" w:rsidP="00E664E4">
      <w:pPr>
        <w:jc w:val="center"/>
        <w:rPr>
          <w:i/>
          <w:sz w:val="20"/>
          <w:szCs w:val="20"/>
        </w:rPr>
      </w:pPr>
      <w:r>
        <w:rPr>
          <w:noProof/>
        </w:rPr>
        <w:lastRenderedPageBreak/>
        <w:drawing>
          <wp:inline distT="0" distB="0" distL="0" distR="0" wp14:anchorId="79B01B98" wp14:editId="741FA182">
            <wp:extent cx="5943600" cy="445770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0"/>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784D80">
        <w:rPr>
          <w:b/>
          <w:sz w:val="20"/>
          <w:szCs w:val="20"/>
        </w:rPr>
        <w:t>4.102</w:t>
      </w:r>
      <w:r>
        <w:rPr>
          <w:b/>
          <w:sz w:val="20"/>
          <w:szCs w:val="20"/>
        </w:rPr>
        <w:t xml:space="preserve">. Faulty Case 14 Scores Plot for PC2 and PC3.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s</w:t>
      </w:r>
      <w:r>
        <w:rPr>
          <w:i/>
          <w:sz w:val="20"/>
          <w:szCs w:val="20"/>
        </w:rPr>
        <w:t xml:space="preserve"> shift in both PC2 and PC3</w:t>
      </w:r>
      <w:r w:rsidR="00CE21E4">
        <w:rPr>
          <w:i/>
          <w:sz w:val="20"/>
          <w:szCs w:val="20"/>
        </w:rPr>
        <w:t xml:space="preserve"> scores</w:t>
      </w:r>
      <w:r>
        <w:rPr>
          <w:i/>
          <w:sz w:val="20"/>
          <w:szCs w:val="20"/>
        </w:rPr>
        <w:t>, and the fault was detectable.</w:t>
      </w:r>
    </w:p>
    <w:p w:rsidR="00E664E4" w:rsidRDefault="00E664E4" w:rsidP="00E664E4">
      <w:pPr>
        <w:rPr>
          <w:i/>
          <w:sz w:val="20"/>
          <w:szCs w:val="20"/>
        </w:rPr>
      </w:pPr>
    </w:p>
    <w:p w:rsidR="00E664E4" w:rsidRPr="00EE2556" w:rsidRDefault="00784D80" w:rsidP="00E664E4">
      <w:pPr>
        <w:jc w:val="center"/>
        <w:rPr>
          <w:i/>
          <w:sz w:val="20"/>
          <w:szCs w:val="20"/>
        </w:rPr>
      </w:pPr>
      <w:r>
        <w:rPr>
          <w:noProof/>
        </w:rPr>
        <w:lastRenderedPageBreak/>
        <w:drawing>
          <wp:inline distT="0" distB="0" distL="0" distR="0" wp14:anchorId="7C83F73A" wp14:editId="6DB067C6">
            <wp:extent cx="5943600" cy="4457700"/>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1"/>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784D80">
        <w:rPr>
          <w:b/>
          <w:sz w:val="20"/>
          <w:szCs w:val="20"/>
        </w:rPr>
        <w:t>4.103</w:t>
      </w:r>
      <w:r>
        <w:rPr>
          <w:b/>
          <w:sz w:val="20"/>
          <w:szCs w:val="20"/>
        </w:rPr>
        <w:t xml:space="preserve">. Faulty Case 14 3D Scores Plot for PC1, PC2, and PC3.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as an ellipsoid</w:t>
      </w:r>
      <w:r w:rsidRPr="00EE2556">
        <w:rPr>
          <w:i/>
          <w:sz w:val="20"/>
          <w:szCs w:val="20"/>
        </w:rPr>
        <w:t>. The</w:t>
      </w:r>
      <w:r>
        <w:rPr>
          <w:i/>
          <w:sz w:val="20"/>
          <w:szCs w:val="20"/>
        </w:rPr>
        <w:t>re wa</w:t>
      </w:r>
      <w:r w:rsidRPr="00EE2556">
        <w:rPr>
          <w:i/>
          <w:sz w:val="20"/>
          <w:szCs w:val="20"/>
        </w:rPr>
        <w:t>s</w:t>
      </w:r>
      <w:r>
        <w:rPr>
          <w:i/>
          <w:sz w:val="20"/>
          <w:szCs w:val="20"/>
        </w:rPr>
        <w:t xml:space="preserve"> a detectable fault.</w:t>
      </w:r>
    </w:p>
    <w:p w:rsidR="00E664E4" w:rsidRPr="00EE2556" w:rsidRDefault="00052F6A" w:rsidP="00E664E4">
      <w:pPr>
        <w:jc w:val="center"/>
        <w:rPr>
          <w:i/>
          <w:sz w:val="20"/>
          <w:szCs w:val="20"/>
        </w:rPr>
      </w:pPr>
      <w:r>
        <w:rPr>
          <w:noProof/>
        </w:rPr>
        <w:lastRenderedPageBreak/>
        <w:drawing>
          <wp:inline distT="0" distB="0" distL="0" distR="0" wp14:anchorId="238A12F0" wp14:editId="03054C58">
            <wp:extent cx="5943600" cy="44577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2"/>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784D80">
        <w:rPr>
          <w:b/>
          <w:sz w:val="20"/>
          <w:szCs w:val="20"/>
        </w:rPr>
        <w:t>4.104</w:t>
      </w:r>
      <w:r>
        <w:rPr>
          <w:b/>
          <w:sz w:val="20"/>
          <w:szCs w:val="20"/>
        </w:rPr>
        <w:t xml:space="preserve">. Faulty Case 14 Mahalanobis Distance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s</w:t>
      </w:r>
      <w:r>
        <w:rPr>
          <w:i/>
          <w:sz w:val="20"/>
          <w:szCs w:val="20"/>
        </w:rPr>
        <w:t xml:space="preserve"> detectable fault</w:t>
      </w:r>
      <w:r>
        <w:rPr>
          <w:rFonts w:eastAsiaTheme="minorEastAsia"/>
          <w:i/>
          <w:sz w:val="20"/>
          <w:szCs w:val="20"/>
        </w:rPr>
        <w:t>.</w:t>
      </w:r>
    </w:p>
    <w:p w:rsidR="00E664E4" w:rsidRDefault="00E664E4" w:rsidP="00E664E4">
      <w:pPr>
        <w:rPr>
          <w:i/>
          <w:sz w:val="20"/>
          <w:szCs w:val="20"/>
        </w:rPr>
      </w:pPr>
    </w:p>
    <w:p w:rsidR="00E664E4" w:rsidRPr="00EE2556" w:rsidRDefault="00F61233" w:rsidP="00E664E4">
      <w:pPr>
        <w:jc w:val="center"/>
        <w:rPr>
          <w:i/>
          <w:sz w:val="20"/>
          <w:szCs w:val="20"/>
        </w:rPr>
      </w:pPr>
      <w:r>
        <w:rPr>
          <w:noProof/>
        </w:rPr>
        <w:lastRenderedPageBreak/>
        <w:drawing>
          <wp:inline distT="0" distB="0" distL="0" distR="0" wp14:anchorId="7D4E868F" wp14:editId="488D1DCD">
            <wp:extent cx="5943600" cy="4457700"/>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3"/>
                    <a:stretch>
                      <a:fillRect/>
                    </a:stretch>
                  </pic:blipFill>
                  <pic:spPr>
                    <a:xfrm>
                      <a:off x="0" y="0"/>
                      <a:ext cx="5943600" cy="4457700"/>
                    </a:xfrm>
                    <a:prstGeom prst="rect">
                      <a:avLst/>
                    </a:prstGeom>
                  </pic:spPr>
                </pic:pic>
              </a:graphicData>
            </a:graphic>
          </wp:inline>
        </w:drawing>
      </w:r>
    </w:p>
    <w:p w:rsidR="00E664E4" w:rsidRDefault="00E664E4" w:rsidP="00E664E4">
      <w:pPr>
        <w:rPr>
          <w:i/>
          <w:sz w:val="20"/>
          <w:szCs w:val="20"/>
        </w:rPr>
      </w:pPr>
      <w:r>
        <w:rPr>
          <w:b/>
          <w:sz w:val="20"/>
          <w:szCs w:val="20"/>
        </w:rPr>
        <w:t xml:space="preserve">Figure </w:t>
      </w:r>
      <w:r w:rsidR="00784D80">
        <w:rPr>
          <w:b/>
          <w:sz w:val="20"/>
          <w:szCs w:val="20"/>
        </w:rPr>
        <w:t>4.105</w:t>
      </w:r>
      <w:r>
        <w:rPr>
          <w:b/>
          <w:sz w:val="20"/>
          <w:szCs w:val="20"/>
        </w:rPr>
        <w:t xml:space="preserve">. Faulty Case 14 </w:t>
      </w:r>
      <m:oMath>
        <m:r>
          <m:rPr>
            <m:sty m:val="bi"/>
          </m:rPr>
          <w:rPr>
            <w:rFonts w:ascii="Cambria Math" w:hAnsi="Cambria Math"/>
            <w:sz w:val="20"/>
            <w:szCs w:val="20"/>
          </w:rPr>
          <m:t>Q</m:t>
        </m:r>
      </m:oMath>
      <w:r>
        <w:rPr>
          <w:b/>
          <w:sz w:val="20"/>
          <w:szCs w:val="20"/>
        </w:rPr>
        <w:t xml:space="preserve">-Statistic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s</w:t>
      </w:r>
      <w:r>
        <w:rPr>
          <w:i/>
          <w:sz w:val="20"/>
          <w:szCs w:val="20"/>
        </w:rPr>
        <w:t xml:space="preserve"> detectable fault</w:t>
      </w:r>
      <w:r>
        <w:rPr>
          <w:rFonts w:eastAsiaTheme="minorEastAsia"/>
          <w:i/>
          <w:sz w:val="20"/>
          <w:szCs w:val="20"/>
        </w:rPr>
        <w:t>.</w:t>
      </w:r>
    </w:p>
    <w:p w:rsidR="00E664E4" w:rsidRDefault="00E664E4" w:rsidP="00E664E4">
      <w:pPr>
        <w:rPr>
          <w:i/>
          <w:sz w:val="20"/>
          <w:szCs w:val="20"/>
        </w:rPr>
      </w:pPr>
    </w:p>
    <w:p w:rsidR="00E664E4" w:rsidRPr="00EE2556" w:rsidRDefault="00784D80" w:rsidP="00E664E4">
      <w:pPr>
        <w:jc w:val="center"/>
        <w:rPr>
          <w:i/>
          <w:sz w:val="20"/>
          <w:szCs w:val="20"/>
        </w:rPr>
      </w:pPr>
      <w:r>
        <w:rPr>
          <w:noProof/>
        </w:rPr>
        <w:lastRenderedPageBreak/>
        <w:drawing>
          <wp:inline distT="0" distB="0" distL="0" distR="0" wp14:anchorId="68BD29FF" wp14:editId="3C010463">
            <wp:extent cx="5943600" cy="445770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4"/>
                    <a:stretch>
                      <a:fillRect/>
                    </a:stretch>
                  </pic:blipFill>
                  <pic:spPr>
                    <a:xfrm>
                      <a:off x="0" y="0"/>
                      <a:ext cx="5943600" cy="4457700"/>
                    </a:xfrm>
                    <a:prstGeom prst="rect">
                      <a:avLst/>
                    </a:prstGeom>
                  </pic:spPr>
                </pic:pic>
              </a:graphicData>
            </a:graphic>
          </wp:inline>
        </w:drawing>
      </w:r>
    </w:p>
    <w:p w:rsidR="00E664E4" w:rsidRDefault="00E664E4" w:rsidP="00E664E4">
      <w:pPr>
        <w:rPr>
          <w:rFonts w:eastAsiaTheme="minorEastAsia"/>
          <w:i/>
          <w:sz w:val="20"/>
          <w:szCs w:val="20"/>
        </w:rPr>
      </w:pPr>
      <w:r>
        <w:rPr>
          <w:b/>
          <w:sz w:val="20"/>
          <w:szCs w:val="20"/>
        </w:rPr>
        <w:t xml:space="preserve">Figure </w:t>
      </w:r>
      <w:r w:rsidR="00784D80">
        <w:rPr>
          <w:b/>
          <w:sz w:val="20"/>
          <w:szCs w:val="20"/>
        </w:rPr>
        <w:t>4.106</w:t>
      </w:r>
      <w:r>
        <w:rPr>
          <w:b/>
          <w:sz w:val="20"/>
          <w:szCs w:val="20"/>
        </w:rPr>
        <w:t xml:space="preserve">. Faulty Case 14 PC1, PC2, and </w:t>
      </w:r>
      <m:oMath>
        <m:r>
          <m:rPr>
            <m:sty m:val="bi"/>
          </m:rPr>
          <w:rPr>
            <w:rFonts w:ascii="Cambria Math" w:hAnsi="Cambria Math"/>
            <w:sz w:val="20"/>
            <w:szCs w:val="20"/>
          </w:rPr>
          <m:t>Q</m:t>
        </m:r>
      </m:oMath>
      <w:r>
        <w:rPr>
          <w:b/>
          <w:sz w:val="20"/>
          <w:szCs w:val="20"/>
        </w:rPr>
        <w:t xml:space="preserve">-Statistic Plot. </w:t>
      </w:r>
      <w:r w:rsidRPr="00EE2556">
        <w:rPr>
          <w:i/>
          <w:sz w:val="20"/>
          <w:szCs w:val="20"/>
        </w:rPr>
        <w:t xml:space="preserve">Note: </w:t>
      </w:r>
      <w:r>
        <w:rPr>
          <w:i/>
          <w:sz w:val="20"/>
          <w:szCs w:val="20"/>
        </w:rPr>
        <w:t xml:space="preserve">Only </w:t>
      </w:r>
      <w:r w:rsidRPr="00EE2556">
        <w:rPr>
          <w:i/>
          <w:sz w:val="20"/>
          <w:szCs w:val="20"/>
        </w:rPr>
        <w:t>the faulty data is shown</w:t>
      </w:r>
      <w:r>
        <w:rPr>
          <w:i/>
          <w:sz w:val="20"/>
          <w:szCs w:val="20"/>
        </w:rPr>
        <w:t xml:space="preserve"> with the </w:t>
      </w:r>
      <w:r w:rsidRPr="00EE2556">
        <w:rPr>
          <w:i/>
          <w:sz w:val="20"/>
          <w:szCs w:val="20"/>
        </w:rPr>
        <w:t xml:space="preserve">base case 95% confidence boundary displayed </w:t>
      </w:r>
      <w:r>
        <w:rPr>
          <w:i/>
          <w:sz w:val="20"/>
          <w:szCs w:val="20"/>
        </w:rPr>
        <w:t>in red</w:t>
      </w:r>
      <w:r w:rsidRPr="00EE2556">
        <w:rPr>
          <w:i/>
          <w:sz w:val="20"/>
          <w:szCs w:val="20"/>
        </w:rPr>
        <w:t>. The</w:t>
      </w:r>
      <w:r>
        <w:rPr>
          <w:i/>
          <w:sz w:val="20"/>
          <w:szCs w:val="20"/>
        </w:rPr>
        <w:t>re wa</w:t>
      </w:r>
      <w:r w:rsidRPr="00EE2556">
        <w:rPr>
          <w:i/>
          <w:sz w:val="20"/>
          <w:szCs w:val="20"/>
        </w:rPr>
        <w:t>s</w:t>
      </w:r>
      <w:r>
        <w:rPr>
          <w:i/>
          <w:sz w:val="20"/>
          <w:szCs w:val="20"/>
        </w:rPr>
        <w:t xml:space="preserve"> detectable fault in the </w:t>
      </w:r>
      <m:oMath>
        <m:r>
          <w:rPr>
            <w:rFonts w:ascii="Cambria Math" w:hAnsi="Cambria Math"/>
            <w:sz w:val="20"/>
            <w:szCs w:val="20"/>
          </w:rPr>
          <m:t>Q</m:t>
        </m:r>
      </m:oMath>
      <w:r>
        <w:rPr>
          <w:rFonts w:eastAsiaTheme="minorEastAsia"/>
          <w:i/>
          <w:sz w:val="20"/>
          <w:szCs w:val="20"/>
        </w:rPr>
        <w:t>-statistic.</w:t>
      </w:r>
    </w:p>
    <w:p w:rsidR="00E664E4" w:rsidRDefault="00E664E4" w:rsidP="00E664E4"/>
    <w:p w:rsidR="00567A68" w:rsidRDefault="00567A68" w:rsidP="00E664E4"/>
    <w:p w:rsidR="001B675F" w:rsidRDefault="001B675F">
      <w:pPr>
        <w:rPr>
          <w:rFonts w:asciiTheme="majorHAnsi" w:hAnsiTheme="majorHAnsi"/>
          <w:b/>
        </w:rPr>
      </w:pPr>
      <w:r>
        <w:rPr>
          <w:rFonts w:asciiTheme="majorHAnsi" w:hAnsiTheme="majorHAnsi"/>
          <w:b/>
        </w:rPr>
        <w:br w:type="page"/>
      </w:r>
    </w:p>
    <w:p w:rsidR="0083379F" w:rsidRDefault="0083379F" w:rsidP="0083379F">
      <w:pPr>
        <w:rPr>
          <w:rFonts w:asciiTheme="majorHAnsi" w:hAnsiTheme="majorHAnsi"/>
          <w:b/>
        </w:rPr>
      </w:pPr>
      <w:r>
        <w:rPr>
          <w:rFonts w:asciiTheme="majorHAnsi" w:hAnsiTheme="majorHAnsi"/>
          <w:b/>
        </w:rPr>
        <w:lastRenderedPageBreak/>
        <w:t>4.3.15 Summary of Faulty Results</w:t>
      </w:r>
    </w:p>
    <w:p w:rsidR="0083379F" w:rsidRDefault="0083379F" w:rsidP="0083379F">
      <w:r>
        <w:t>Faulty Case 1 tested increasing the total throughput (10% and 50%) and the uranium throughput (15% and 25%). Increasing the total throughput resulted in a fault in PC1</w:t>
      </w:r>
      <w:r w:rsidR="00E62112">
        <w:t xml:space="preserve"> scores</w:t>
      </w:r>
      <w:r>
        <w:t xml:space="preserve">, the Mahalanobis distance, and the </w:t>
      </w:r>
      <m:oMath>
        <m:r>
          <w:rPr>
            <w:rFonts w:ascii="Cambria Math" w:hAnsi="Cambria Math"/>
          </w:rPr>
          <m:t>Q</m:t>
        </m:r>
      </m:oMath>
      <w:r>
        <w:t xml:space="preserve">-statistic. For a 10% increase in total throughput, the </w:t>
      </w:r>
      <m:oMath>
        <m:r>
          <w:rPr>
            <w:rFonts w:ascii="Cambria Math" w:hAnsi="Cambria Math"/>
          </w:rPr>
          <m:t>Q</m:t>
        </m:r>
      </m:oMath>
      <w:r>
        <w:t>-statistic fault was the only detectable fault while the 50% increase caused both the fault in PC1</w:t>
      </w:r>
      <w:r w:rsidR="00E62112">
        <w:t xml:space="preserve"> scores</w:t>
      </w:r>
      <w:r>
        <w:t xml:space="preserve">, the Mahalanobis distance, and the </w:t>
      </w:r>
      <m:oMath>
        <m:r>
          <w:rPr>
            <w:rFonts w:ascii="Cambria Math" w:hAnsi="Cambria Math"/>
          </w:rPr>
          <m:t>Q</m:t>
        </m:r>
      </m:oMath>
      <w:r w:rsidR="007063C2">
        <w:noBreakHyphen/>
      </w:r>
      <w:r>
        <w:t xml:space="preserve">statistic to be detectable. Based on these results and the magnitude of the fault in the </w:t>
      </w:r>
      <m:oMath>
        <m:r>
          <w:rPr>
            <w:rFonts w:ascii="Cambria Math" w:hAnsi="Cambria Math"/>
          </w:rPr>
          <m:t>Q</m:t>
        </m:r>
      </m:oMath>
      <w:r>
        <w:rPr>
          <w:rFonts w:eastAsiaTheme="minorEastAsia"/>
        </w:rPr>
        <w:t>-statistic</w:t>
      </w:r>
      <w:r>
        <w:t>, a 10% increase in all incoming flow rates was still easily detectable which indicates that a smaller increase in total throughput may be detectable as well. The goal was to detect the diversion of 10% of the uranium throughput on this size conversion plant which was satisfied in the case of total plant throughput. Increasing the uranium throughput by 25% resulted in a fault in PC1</w:t>
      </w:r>
      <w:r w:rsidR="00E62112">
        <w:t xml:space="preserve"> scores</w:t>
      </w:r>
      <w:r>
        <w:t xml:space="preserve">, a detectable </w:t>
      </w:r>
      <w:r w:rsidR="004E68DC">
        <w:t>increase</w:t>
      </w:r>
      <w:r>
        <w:t xml:space="preserve"> in the Mahalanobis distance, and no obvious change in the </w:t>
      </w:r>
      <m:oMath>
        <m:r>
          <w:rPr>
            <w:rFonts w:ascii="Cambria Math" w:hAnsi="Cambria Math"/>
          </w:rPr>
          <m:t>Q</m:t>
        </m:r>
      </m:oMath>
      <w:r>
        <w:t>-statistic. The fault in PC1</w:t>
      </w:r>
      <w:r w:rsidR="00E62112">
        <w:t xml:space="preserve"> scores</w:t>
      </w:r>
      <w:r>
        <w:t xml:space="preserve"> was expected since the loadings vector for PC1 was dominated by the incoming uranium flow rate and the model was very sensitive to changes in the incoming uranium. The 15% increase in uranium throughput was not detectable in any of the diagnostic plots. However, this was still reasonable since ±10% variation was built into the base case for the incoming uranium. Therefore, the minimum detectable level was between 5–15% and the goal was 10% which means that the goal was also met for the case of increasing uranium throughput only. </w:t>
      </w:r>
      <w:r w:rsidR="000F1371">
        <w:t xml:space="preserve">Additional scaling may improve the detectability of this fault. </w:t>
      </w:r>
      <w:r>
        <w:t>It is recommended that the uranium feed to the plant be monitored for both flow rate and uranium content. Additionally, it is recommended that the streams exiting each major process (e.g., dissolution, solvent extraction, fluorination) as product or waste be monitored for flow rate and uranium content.</w:t>
      </w:r>
    </w:p>
    <w:p w:rsidR="0083379F" w:rsidRDefault="0083379F" w:rsidP="0083379F">
      <w:r>
        <w:t xml:space="preserve">Increasing the purity of the uranium feed by approximately 6% (Case 2) was easily detectable in the </w:t>
      </w:r>
      <m:oMath>
        <m:r>
          <w:rPr>
            <w:rFonts w:ascii="Cambria Math" w:hAnsi="Cambria Math"/>
          </w:rPr>
          <m:t>Q</m:t>
        </m:r>
      </m:oMath>
      <w:r w:rsidR="007063C2">
        <w:rPr>
          <w:rFonts w:eastAsiaTheme="minorEastAsia"/>
        </w:rPr>
        <w:noBreakHyphen/>
      </w:r>
      <w:r>
        <w:rPr>
          <w:rFonts w:eastAsiaTheme="minorEastAsia"/>
        </w:rPr>
        <w:t>statistic</w:t>
      </w:r>
      <w:r>
        <w:t xml:space="preserve"> </w:t>
      </w:r>
      <w:r>
        <w:rPr>
          <w:rFonts w:eastAsiaTheme="minorEastAsia"/>
        </w:rPr>
        <w:t xml:space="preserve">and may also be detectable in PC3 </w:t>
      </w:r>
      <w:r w:rsidR="00CE21E4">
        <w:rPr>
          <w:rFonts w:eastAsiaTheme="minorEastAsia"/>
        </w:rPr>
        <w:t xml:space="preserve">scores </w:t>
      </w:r>
      <w:r>
        <w:rPr>
          <w:rFonts w:eastAsiaTheme="minorEastAsia"/>
        </w:rPr>
        <w:t>and the Mahalanobis distance depending on operating conditions. Since the model was developed based the</w:t>
      </w:r>
      <w:r>
        <w:t xml:space="preserve"> feed to the plant being specified as the mass of elemental uranium not concentration, this case physically represented a reduction in the impurities that were also fed to the plant along with the uranium. Monitoring the uranium feed for both flow rate and uranium content would be the recommended approach for detecting this type of fault. However, monitoring the streams exiting each major process (e.g., dissolution, solvent extraction, fluorination) as product or waste for flow rate and uranium content would also detect this fault.</w:t>
      </w:r>
    </w:p>
    <w:p w:rsidR="0083379F" w:rsidRDefault="0083379F" w:rsidP="0083379F">
      <w:pPr>
        <w:rPr>
          <w:rFonts w:eastAsiaTheme="minorEastAsia"/>
        </w:rPr>
      </w:pPr>
      <w:r>
        <w:t xml:space="preserve">Even a relatively small (~3%) reduction in the efficiency of the dissolver operation (Case 3) was easily detectable </w:t>
      </w:r>
      <w:r>
        <w:rPr>
          <w:rFonts w:eastAsiaTheme="minorEastAsia"/>
        </w:rPr>
        <w:t>in PC3</w:t>
      </w:r>
      <w:r w:rsidR="00CE21E4">
        <w:rPr>
          <w:rFonts w:eastAsiaTheme="minorEastAsia"/>
        </w:rPr>
        <w:t xml:space="preserve"> scores</w:t>
      </w:r>
      <w:r>
        <w:rPr>
          <w:rFonts w:eastAsiaTheme="minorEastAsia"/>
        </w:rPr>
        <w:t xml:space="preserve">, the Mahalanobis distance, and the </w:t>
      </w:r>
      <m:oMath>
        <m:r>
          <w:rPr>
            <w:rFonts w:ascii="Cambria Math" w:eastAsiaTheme="minorEastAsia" w:hAnsi="Cambria Math"/>
          </w:rPr>
          <m:t>Q</m:t>
        </m:r>
      </m:oMath>
      <w:r>
        <w:rPr>
          <w:rFonts w:eastAsiaTheme="minorEastAsia"/>
        </w:rPr>
        <w:t xml:space="preserve">-statistic. </w:t>
      </w:r>
      <w:r>
        <w:t xml:space="preserve">Inefficient operations would result in the uranium not being completely dissolved and therefore additional uranium would leave the process as waste. </w:t>
      </w:r>
      <w:r>
        <w:rPr>
          <w:rFonts w:eastAsiaTheme="minorEastAsia"/>
        </w:rPr>
        <w:t>The U</w:t>
      </w:r>
      <w:r w:rsidRPr="00FF2F8C">
        <w:rPr>
          <w:rFonts w:eastAsiaTheme="minorEastAsia"/>
          <w:vertAlign w:val="subscript"/>
        </w:rPr>
        <w:t>3</w:t>
      </w:r>
      <w:r>
        <w:rPr>
          <w:rFonts w:eastAsiaTheme="minorEastAsia"/>
        </w:rPr>
        <w:t>O</w:t>
      </w:r>
      <w:r w:rsidRPr="00FF2F8C">
        <w:rPr>
          <w:rFonts w:eastAsiaTheme="minorEastAsia"/>
          <w:vertAlign w:val="subscript"/>
        </w:rPr>
        <w:t>8</w:t>
      </w:r>
      <w:r>
        <w:rPr>
          <w:rFonts w:eastAsiaTheme="minorEastAsia"/>
        </w:rPr>
        <w:t xml:space="preserve"> component in the waste from both the dissolution and solvent extraction processes was extremely sensitive to a decrease the extent of the dissolution reaction. Due to this, it is recommended that the waste streams from both the dissolution and solvent extraction processes be monitored for both flow rate and uranium content. </w:t>
      </w:r>
    </w:p>
    <w:p w:rsidR="0083379F" w:rsidRDefault="0083379F" w:rsidP="0083379F">
      <w:r>
        <w:lastRenderedPageBreak/>
        <w:t xml:space="preserve">A reduction of approximately 10% in the efficiency of the re-extraction of uranium from the organic phase (Case 4) may be detectable in the PC3 scores, the Mahalanobis distance, and the </w:t>
      </w:r>
      <m:oMath>
        <m:r>
          <w:rPr>
            <w:rFonts w:ascii="Cambria Math" w:hAnsi="Cambria Math"/>
          </w:rPr>
          <m:t>Q</m:t>
        </m:r>
      </m:oMath>
      <w:r>
        <w:rPr>
          <w:rFonts w:eastAsiaTheme="minorEastAsia"/>
        </w:rPr>
        <w:t xml:space="preserve">-statistic but </w:t>
      </w:r>
      <w:r>
        <w:t xml:space="preserve">only under certain operating conditions. </w:t>
      </w:r>
      <w:r w:rsidR="000F1371">
        <w:t xml:space="preserve">Additional scaling may improve the detectability of this fault. </w:t>
      </w:r>
      <w:r>
        <w:t xml:space="preserve">Inefficient re-extraction results in additional uranium being diverted to the organic waste stream where it could be recovered and purified at an undeclared location. </w:t>
      </w:r>
      <w:r>
        <w:rPr>
          <w:rFonts w:eastAsiaTheme="minorEastAsia"/>
        </w:rPr>
        <w:t>Due to this and since this is a high priority for safeguards, it is very strongly recommended that the product and waste streams from the solvent extraction process be monitored for both flow rate and uranium content.</w:t>
      </w:r>
    </w:p>
    <w:p w:rsidR="0083379F" w:rsidRPr="00C32EEF" w:rsidRDefault="0083379F" w:rsidP="0083379F">
      <w:pPr>
        <w:rPr>
          <w:rFonts w:eastAsiaTheme="minorEastAsia"/>
        </w:rPr>
      </w:pPr>
      <w:r>
        <w:t xml:space="preserve">Diverting only 0.25% of the material in the evaporator in Module 3A to waste (Case 5) </w:t>
      </w:r>
      <w:r>
        <w:rPr>
          <w:rFonts w:eastAsiaTheme="minorEastAsia"/>
        </w:rPr>
        <w:t xml:space="preserve">produced large faults in </w:t>
      </w:r>
      <w:r>
        <w:t xml:space="preserve">all of the diagnostic plots (scores, Mahalanobis distance, and </w:t>
      </w:r>
      <m:oMath>
        <m:r>
          <w:rPr>
            <w:rFonts w:ascii="Cambria Math" w:hAnsi="Cambria Math"/>
          </w:rPr>
          <m:t>Q</m:t>
        </m:r>
      </m:oMath>
      <w:r>
        <w:t xml:space="preserve">-statistic). From a safeguards perspective, it would be expected that a diversion of this nature would be very small so as not to be detected. </w:t>
      </w:r>
      <w:r>
        <w:rPr>
          <w:rFonts w:eastAsiaTheme="minorEastAsia"/>
        </w:rPr>
        <w:t xml:space="preserve">The model was extremely sensitive to diversion of material within the evaporation and precipitation portion of the process. It is recommended that the stream leaving the evaporator to feed the precipitation process be monitored for both flow rate and uranium content. This area of the plant should also be inspected for additional piping which may be diverting material to another location. Additionally, the waste stream from the evaporator should be monitored for flow rate and uranium content as well in case material is being diverted to the waste directly. </w:t>
      </w:r>
    </w:p>
    <w:p w:rsidR="0083379F" w:rsidRDefault="0083379F" w:rsidP="0083379F">
      <w:r>
        <w:t xml:space="preserve">Case 6 determined that adding a small amount (~12% of the original incoming uranium) of pure uranyl nitrate to the precipitation process was easily detectable in the </w:t>
      </w:r>
      <m:oMath>
        <m:r>
          <w:rPr>
            <w:rFonts w:ascii="Cambria Math" w:hAnsi="Cambria Math"/>
          </w:rPr>
          <m:t>Q</m:t>
        </m:r>
      </m:oMath>
      <w:r>
        <w:t>-statistic. This fault may also be detectable in PC3</w:t>
      </w:r>
      <w:r w:rsidR="00CE21E4">
        <w:t xml:space="preserve"> scores</w:t>
      </w:r>
      <w:r>
        <w:t xml:space="preserve"> and the Mahalanobis distance depending on operating conditions. Since the base case incoming uranium was allowed to vary by ±10%, it was reasonable that the scores and Mahalanobis distance plots did not produce a detectable fault under all conditions since this was only slightly more than the normal operating conditions. For this case, it is recommended that the uranium feed to the plant be monitored for both flow rate and uranium content. It is also recommended that the streams exiting each major process (e.g., dissolution, solvent extraction, fluorination) as product or waste be monitored for flow rate and uranium content. Additionally, this area of the plant should be inspected to determine that there is not additional uranium being fed to the process.</w:t>
      </w:r>
    </w:p>
    <w:p w:rsidR="0083379F" w:rsidRDefault="0083379F" w:rsidP="0083379F">
      <w:r>
        <w:t xml:space="preserve">A 10% reduction in the efficiency of the precipitation process in Module 3 (Case 7) produced an easily detectable fault in the </w:t>
      </w:r>
      <m:oMath>
        <m:r>
          <w:rPr>
            <w:rFonts w:ascii="Cambria Math" w:hAnsi="Cambria Math"/>
          </w:rPr>
          <m:t>Q</m:t>
        </m:r>
      </m:oMath>
      <w:r>
        <w:t>-statistic. Inefficient operations results in uranyl nitrate not being completely converted AUC and therefore additional uranium would leave the process as waste. It is recommended that the product and waste streams in the evaporation and precipitation process areas of the facility be monitored for both flow rate and uranium content. For this fault specifically, it is recommended that the outlet stream from the precipitation process be monitored for flow rate and uranium content as well as type of uranium compound.</w:t>
      </w:r>
    </w:p>
    <w:p w:rsidR="0083379F" w:rsidRDefault="0083379F" w:rsidP="0083379F">
      <w:r>
        <w:t xml:space="preserve">Inefficient separation operations of the filtration system downstream of the </w:t>
      </w:r>
      <w:proofErr w:type="spellStart"/>
      <w:r>
        <w:t>hydrofluorination</w:t>
      </w:r>
      <w:proofErr w:type="spellEnd"/>
      <w:r>
        <w:t xml:space="preserve"> reaction Module 4 (Case 8) resulted in additional uranium being diverted to the off-gas waste stream. </w:t>
      </w:r>
      <w:r>
        <w:rPr>
          <w:rFonts w:eastAsiaTheme="minorEastAsia"/>
        </w:rPr>
        <w:t xml:space="preserve">This fault was only detectable in the </w:t>
      </w:r>
      <m:oMath>
        <m:r>
          <w:rPr>
            <w:rFonts w:ascii="Cambria Math" w:eastAsiaTheme="minorEastAsia" w:hAnsi="Cambria Math"/>
          </w:rPr>
          <m:t>Q</m:t>
        </m:r>
      </m:oMath>
      <w:r>
        <w:rPr>
          <w:rFonts w:eastAsiaTheme="minorEastAsia"/>
        </w:rPr>
        <w:t xml:space="preserve">-statistic. </w:t>
      </w:r>
      <w:r>
        <w:t xml:space="preserve">These parameters were increased significantly even though the </w:t>
      </w:r>
      <w:r>
        <w:lastRenderedPageBreak/>
        <w:t xml:space="preserve">values were very small so that there was not a significant change in the amount of uranium diverted to waste. It is recommended that the off-gas stream from the </w:t>
      </w:r>
      <w:proofErr w:type="spellStart"/>
      <w:r>
        <w:t>hydrofluorination</w:t>
      </w:r>
      <w:proofErr w:type="spellEnd"/>
      <w:r>
        <w:t xml:space="preserve"> process be monitored for uranium content</w:t>
      </w:r>
      <w:r w:rsidR="008E6F8C">
        <w:t xml:space="preserve">. </w:t>
      </w:r>
    </w:p>
    <w:p w:rsidR="0083379F" w:rsidRDefault="0083379F" w:rsidP="0083379F">
      <w:r>
        <w:t xml:space="preserve">Case 9 </w:t>
      </w:r>
      <w:r w:rsidRPr="00BA45D9">
        <w:t>tested the ability of the model to detect the diversion of UF</w:t>
      </w:r>
      <w:r w:rsidRPr="00BA45D9">
        <w:rPr>
          <w:vertAlign w:val="subscript"/>
        </w:rPr>
        <w:t>6</w:t>
      </w:r>
      <w:r w:rsidRPr="00BA45D9">
        <w:t xml:space="preserve"> from the secondary fluorination process in Module 5</w:t>
      </w:r>
      <w:r>
        <w:t xml:space="preserve">; several diversion scenarios were tested but 75% was determined to be the minimum detectable limit and the fault was only detectable in the </w:t>
      </w:r>
      <m:oMath>
        <m:r>
          <w:rPr>
            <w:rFonts w:ascii="Cambria Math" w:hAnsi="Cambria Math"/>
          </w:rPr>
          <m:t>Q</m:t>
        </m:r>
      </m:oMath>
      <w:r>
        <w:t xml:space="preserve">-statistic. This appeared to be a very large diversion but since only 10% of the incoming uranium to Module 5 was sent to the secondary reactor this diversion was not significant (~7.5% overall diversion). Additionally, this was within the detection goal for the monitoring framework. </w:t>
      </w:r>
      <w:r w:rsidR="000F1371">
        <w:t xml:space="preserve">Additional scaling may improve the detection limits of this fault. </w:t>
      </w:r>
      <w:r>
        <w:t>It is highly recommended that the final product from the NUCP be monitored and correlated to the uranium feed to the plant.</w:t>
      </w:r>
    </w:p>
    <w:p w:rsidR="0083379F" w:rsidRDefault="0083379F" w:rsidP="0083379F">
      <w:r>
        <w:t xml:space="preserve">A small reduction (~5%) in the efficiency of both of the fluorination processes in Module 5 (Case 10) produced a detectable fault the </w:t>
      </w:r>
      <m:oMath>
        <m:r>
          <w:rPr>
            <w:rFonts w:ascii="Cambria Math" w:hAnsi="Cambria Math"/>
          </w:rPr>
          <m:t>Q</m:t>
        </m:r>
      </m:oMath>
      <w:r>
        <w:t>-statistic. In real operations, this would result in less UF</w:t>
      </w:r>
      <w:r w:rsidRPr="001C29B4">
        <w:rPr>
          <w:vertAlign w:val="subscript"/>
        </w:rPr>
        <w:t>4</w:t>
      </w:r>
      <w:r>
        <w:t xml:space="preserve"> being converted to UF</w:t>
      </w:r>
      <w:r w:rsidRPr="001C29B4">
        <w:rPr>
          <w:vertAlign w:val="subscript"/>
        </w:rPr>
        <w:t>6</w:t>
      </w:r>
      <w:r>
        <w:t xml:space="preserve"> and would cause an increase in the amount of UF</w:t>
      </w:r>
      <w:r w:rsidRPr="001C29B4">
        <w:rPr>
          <w:vertAlign w:val="subscript"/>
        </w:rPr>
        <w:t>4</w:t>
      </w:r>
      <w:r>
        <w:t xml:space="preserve"> in the waste streams which could be recovered and processed elsewhere. It is recommended that the feed, product, and waste streams in the fluorination process area be monitored for flow rate and uranium content. </w:t>
      </w:r>
    </w:p>
    <w:p w:rsidR="0083379F" w:rsidRDefault="0083379F" w:rsidP="0083379F">
      <w:r>
        <w:t>A diversion of 20% of the UF</w:t>
      </w:r>
      <w:r w:rsidRPr="00C85CDC">
        <w:rPr>
          <w:vertAlign w:val="subscript"/>
        </w:rPr>
        <w:t>6</w:t>
      </w:r>
      <w:r>
        <w:t xml:space="preserve"> product from the final mixer in Module 5 to an undeclared product stream (Case 11) was detectable in the </w:t>
      </w:r>
      <m:oMath>
        <m:r>
          <w:rPr>
            <w:rFonts w:ascii="Cambria Math" w:hAnsi="Cambria Math"/>
          </w:rPr>
          <m:t>Q</m:t>
        </m:r>
      </m:oMath>
      <w:r>
        <w:noBreakHyphen/>
        <w:t>statistic plot only. This case is of ext</w:t>
      </w:r>
      <w:proofErr w:type="spellStart"/>
      <w:r>
        <w:t>remely</w:t>
      </w:r>
      <w:proofErr w:type="spellEnd"/>
      <w:r>
        <w:t xml:space="preserve"> high concern for safeguards and the goal of this detection framework was to be able to detect 10% diversion which was possible since this case represents 10% over the maximum of the base case allowed variation in uranium of ±10%. It is highly recommended that the final product from the NUCP be monitored and correlated to the uranium feed to the plant. </w:t>
      </w:r>
    </w:p>
    <w:p w:rsidR="0083379F" w:rsidRDefault="0083379F" w:rsidP="0083379F">
      <w:r>
        <w:t>Case 12 combined two previous cases: Case 1D (uranium input flow rate increased by 25%) and Case 11 (20% of the UF</w:t>
      </w:r>
      <w:r w:rsidRPr="00B73A82">
        <w:rPr>
          <w:vertAlign w:val="subscript"/>
        </w:rPr>
        <w:t>6</w:t>
      </w:r>
      <w:r>
        <w:t xml:space="preserve"> product diverted through a new output stream). This case models the scenario where additional uranium is fed to the process and then additional purified uranium is diverted before declaration at the end of the process. This fault was detectable under all conditions using the </w:t>
      </w:r>
      <m:oMath>
        <m:r>
          <w:rPr>
            <w:rFonts w:ascii="Cambria Math" w:hAnsi="Cambria Math"/>
          </w:rPr>
          <m:t>Q</m:t>
        </m:r>
      </m:oMath>
      <w:r>
        <w:rPr>
          <w:rFonts w:eastAsiaTheme="minorEastAsia"/>
        </w:rPr>
        <w:t>-statistic. Additionally, under some conditions, this fault was detectable using PC1</w:t>
      </w:r>
      <w:r w:rsidR="00E62112">
        <w:rPr>
          <w:rFonts w:eastAsiaTheme="minorEastAsia"/>
        </w:rPr>
        <w:t xml:space="preserve"> scores</w:t>
      </w:r>
      <w:r>
        <w:rPr>
          <w:rFonts w:eastAsiaTheme="minorEastAsia"/>
        </w:rPr>
        <w:t xml:space="preserve"> and the Mahalanobis distance. </w:t>
      </w:r>
      <w:r>
        <w:t>It is recommended that the uranium feed to the plant be monitored for both flow rate and uranium content. Additionally, it is recommended that the streams exiting each major process (e.g., dissolution, solvent extraction, fluorination) as product or waste be monitored for flow rate and uranium content. It is highly recommended that the final product from the NUCP be monitored and correlated to the uranium feed to the plant.</w:t>
      </w:r>
    </w:p>
    <w:p w:rsidR="0083379F" w:rsidRDefault="0083379F" w:rsidP="0083379F">
      <w:r>
        <w:t xml:space="preserve">Case 13 also combined two previous cases that both investigated inefficient operations: Case 7 (precipitation process) and Case 10 (fluorination processes). There was a large fault in the </w:t>
      </w:r>
      <m:oMath>
        <m:r>
          <w:rPr>
            <w:rFonts w:ascii="Cambria Math" w:hAnsi="Cambria Math"/>
          </w:rPr>
          <m:t>Q</m:t>
        </m:r>
      </m:oMath>
      <w:r>
        <w:rPr>
          <w:rFonts w:eastAsiaTheme="minorEastAsia"/>
        </w:rPr>
        <w:t>-stat</w:t>
      </w:r>
      <w:proofErr w:type="spellStart"/>
      <w:r>
        <w:rPr>
          <w:rFonts w:eastAsiaTheme="minorEastAsia"/>
        </w:rPr>
        <w:t>istic</w:t>
      </w:r>
      <w:proofErr w:type="spellEnd"/>
      <w:r>
        <w:rPr>
          <w:rFonts w:eastAsiaTheme="minorEastAsia"/>
        </w:rPr>
        <w:t xml:space="preserve"> which was </w:t>
      </w:r>
      <w:r>
        <w:t xml:space="preserve">larger than that of the individual cases showing that multiple faults can have an additive effect on the diagnostic plot results. Case 13 had similar results to Case 7 in the scores and Mahalanobis </w:t>
      </w:r>
      <w:r>
        <w:lastRenderedPageBreak/>
        <w:t xml:space="preserve">distance. There were no detectable faults in the scores or Mahalanobis distance in Case 10 to impact the results of Case 13. However, the faults in Case 13 </w:t>
      </w:r>
      <w:r>
        <w:rPr>
          <w:rFonts w:eastAsiaTheme="minorEastAsia"/>
        </w:rPr>
        <w:t>would only be detectable under certain conditions using the scores or Mahalanobis distance since many of the data points were still within the 95% confidence boundary.</w:t>
      </w:r>
      <w:r>
        <w:t xml:space="preserve"> Since this case was a combination of inefficient operations, it was also expected that the faults would be larger due to an additive effects of the faults which was the case for the </w:t>
      </w:r>
      <m:oMath>
        <m:r>
          <w:rPr>
            <w:rFonts w:ascii="Cambria Math" w:eastAsiaTheme="minorEastAsia" w:hAnsi="Cambria Math"/>
          </w:rPr>
          <m:t>Q</m:t>
        </m:r>
      </m:oMath>
      <w:r w:rsidR="007063C2">
        <w:rPr>
          <w:rFonts w:eastAsiaTheme="minorEastAsia"/>
        </w:rPr>
        <w:noBreakHyphen/>
      </w:r>
      <w:r>
        <w:rPr>
          <w:rFonts w:eastAsiaTheme="minorEastAsia"/>
        </w:rPr>
        <w:t>statistic since it was the only diagnostic plot that resulted in a fault for both individual cases</w:t>
      </w:r>
      <w:r>
        <w:t>. It is recommended that the outlet stream from the precipitation process be monitored for flow rate and uranium content as well as type of uranium compound. It is also recommended that the feed, product, and waste streams in the fluorination process area be monitored for flow rate and uranium content.</w:t>
      </w:r>
    </w:p>
    <w:p w:rsidR="0083379F" w:rsidRDefault="0083379F" w:rsidP="0083379F">
      <w:r>
        <w:t xml:space="preserve">Case 14 combined two previous cases: Case 2 (increased purity of uranium feed) and Case 3 (inefficient dissolver operations). </w:t>
      </w:r>
      <w:r>
        <w:rPr>
          <w:rFonts w:eastAsiaTheme="minorEastAsia"/>
        </w:rPr>
        <w:t xml:space="preserve">This case was detectable in all of the diagnostic plots. </w:t>
      </w:r>
      <w:r>
        <w:t xml:space="preserve">For Case 14, it was hypothesized that based on the direction of the faults in the scores of Cases 2 and 3 that it was possible for these faults to cancel one another out. However, the faults caused by Case 3 were so large that the overall faults were not canceled but the fault magnitude was reduced slightly in both the scores and the Mahalanobis distance. For the </w:t>
      </w:r>
      <m:oMath>
        <m:r>
          <w:rPr>
            <w:rFonts w:ascii="Cambria Math" w:hAnsi="Cambria Math"/>
          </w:rPr>
          <m:t>Q</m:t>
        </m:r>
      </m:oMath>
      <w:r>
        <w:t>-statistic the combined fault was larger than the individual cases showing an additive effect such as that in Case 13. It is recommended that the streams exiting each major process (e.g., dissolution, solvent extraction, fluorination) as product or waste be monitored for flow rate and uranium content would also detect this fault. It is possible that there is a combination of faults that could cancel out one another’s effects such that the fault is not detectable.</w:t>
      </w:r>
    </w:p>
    <w:p w:rsidR="00080E78" w:rsidRDefault="00080E78" w:rsidP="0083379F">
      <w:r>
        <w:t>Table 4.35 summarizes which diagnostic plots detected the fault represented by each case.</w:t>
      </w:r>
    </w:p>
    <w:p w:rsidR="00080E78" w:rsidRDefault="00080E78" w:rsidP="0083379F"/>
    <w:p w:rsidR="00080E78" w:rsidRDefault="00080E78" w:rsidP="00080E78">
      <w:pPr>
        <w:rPr>
          <w:rFonts w:asciiTheme="majorHAnsi" w:hAnsiTheme="majorHAnsi"/>
          <w:b/>
        </w:rPr>
      </w:pPr>
      <w:r>
        <w:rPr>
          <w:rFonts w:asciiTheme="majorHAnsi" w:hAnsiTheme="majorHAnsi"/>
          <w:b/>
        </w:rPr>
        <w:t>4.3.16 Recommendations for Safeguards Monitoring</w:t>
      </w:r>
    </w:p>
    <w:p w:rsidR="00080E78" w:rsidRDefault="00080E78">
      <w:r>
        <w:t>Based on the results of this work, the following recommendations are made more monitoring an NUCP for safeguards. At a minimum, the uranium feed to the plant must be monitored both for feed rate and uranium content as well as the final product from the plant. These need to be correlated such that it can be determined that all of the uranium fed was converted and exited the plant in the final UF</w:t>
      </w:r>
      <w:r w:rsidRPr="00C01533">
        <w:rPr>
          <w:vertAlign w:val="subscript"/>
        </w:rPr>
        <w:t>6</w:t>
      </w:r>
      <w:r>
        <w:t xml:space="preserve"> product with the exception of acceptable loses to waste (total loss of up to 10%). If the uranium loses are greater than expected, then it must be determined where the uranium was lost/diverted. Since the IAEA safeguards goal for a small NUCP (100 MTU/</w:t>
      </w:r>
      <w:proofErr w:type="spellStart"/>
      <w:r>
        <w:t>yr</w:t>
      </w:r>
      <w:proofErr w:type="spellEnd"/>
      <w:r>
        <w:t xml:space="preserve">) is to detect the diversion of 10 MT of natural uranium </w:t>
      </w:r>
      <w:r w:rsidRPr="007D43E5">
        <w:t>with a timeliness period of one year and</w:t>
      </w:r>
      <w:r>
        <w:t xml:space="preserve"> a detection probability of 50%, a loss of 10% to waste may not be acceptable. Therefore, it is also recommended that all of the waste streams be monitored to detect excess uranium. Since the process operates serially where the product of one process becomes the feed to the next process, monitoring the feed, product, and all waste streams provides the minimum monitoring necessary to close the material balance and offer any certainty that uranium is not be diverted or additional uranium is not be fed to the plant. If it is not reasonable to monitor all wastes </w:t>
      </w:r>
      <w:r>
        <w:br w:type="page"/>
      </w:r>
    </w:p>
    <w:tbl>
      <w:tblPr>
        <w:tblW w:w="8640" w:type="dxa"/>
        <w:jc w:val="center"/>
        <w:tblLook w:val="04A0" w:firstRow="1" w:lastRow="0" w:firstColumn="1" w:lastColumn="0" w:noHBand="0" w:noVBand="1"/>
      </w:tblPr>
      <w:tblGrid>
        <w:gridCol w:w="713"/>
        <w:gridCol w:w="1303"/>
        <w:gridCol w:w="4002"/>
        <w:gridCol w:w="2622"/>
      </w:tblGrid>
      <w:tr w:rsidR="00080E78" w:rsidRPr="00080E78" w:rsidTr="00080E78">
        <w:trPr>
          <w:trHeight w:val="270"/>
          <w:jc w:val="center"/>
        </w:trPr>
        <w:tc>
          <w:tcPr>
            <w:tcW w:w="8640" w:type="dxa"/>
            <w:gridSpan w:val="4"/>
            <w:tcBorders>
              <w:top w:val="nil"/>
              <w:left w:val="nil"/>
              <w:bottom w:val="single" w:sz="8"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b/>
                <w:bCs/>
                <w:color w:val="000000"/>
                <w:sz w:val="20"/>
                <w:szCs w:val="20"/>
              </w:rPr>
            </w:pPr>
            <w:r w:rsidRPr="00080E78">
              <w:rPr>
                <w:rFonts w:ascii="Calibri" w:eastAsia="Times New Roman" w:hAnsi="Calibri" w:cs="Times New Roman"/>
                <w:b/>
                <w:bCs/>
                <w:color w:val="000000"/>
                <w:sz w:val="20"/>
                <w:szCs w:val="20"/>
              </w:rPr>
              <w:lastRenderedPageBreak/>
              <w:t>Table 4.35. Summary of Faulty Case Results</w:t>
            </w:r>
          </w:p>
        </w:tc>
      </w:tr>
      <w:tr w:rsidR="00080E78" w:rsidRPr="00080E78" w:rsidTr="00080E78">
        <w:trPr>
          <w:trHeight w:val="510"/>
          <w:jc w:val="center"/>
        </w:trPr>
        <w:tc>
          <w:tcPr>
            <w:tcW w:w="713"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b/>
                <w:bCs/>
                <w:sz w:val="20"/>
                <w:szCs w:val="20"/>
              </w:rPr>
            </w:pPr>
            <w:r w:rsidRPr="00080E78">
              <w:rPr>
                <w:rFonts w:ascii="Calibri" w:eastAsia="Times New Roman" w:hAnsi="Calibri" w:cs="Times New Roman"/>
                <w:b/>
                <w:bCs/>
                <w:sz w:val="20"/>
                <w:szCs w:val="20"/>
              </w:rPr>
              <w:t>Case #</w:t>
            </w:r>
          </w:p>
        </w:tc>
        <w:tc>
          <w:tcPr>
            <w:tcW w:w="1303"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b/>
                <w:bCs/>
                <w:sz w:val="20"/>
                <w:szCs w:val="20"/>
              </w:rPr>
            </w:pPr>
            <w:r w:rsidRPr="00080E78">
              <w:rPr>
                <w:rFonts w:ascii="Calibri" w:eastAsia="Times New Roman" w:hAnsi="Calibri" w:cs="Times New Roman"/>
                <w:b/>
                <w:bCs/>
                <w:sz w:val="20"/>
                <w:szCs w:val="20"/>
              </w:rPr>
              <w:t>Safeguards Priority</w:t>
            </w:r>
          </w:p>
        </w:tc>
        <w:tc>
          <w:tcPr>
            <w:tcW w:w="4002"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b/>
                <w:bCs/>
                <w:sz w:val="20"/>
                <w:szCs w:val="20"/>
              </w:rPr>
            </w:pPr>
            <w:r w:rsidRPr="00080E78">
              <w:rPr>
                <w:rFonts w:ascii="Calibri" w:eastAsia="Times New Roman" w:hAnsi="Calibri" w:cs="Times New Roman"/>
                <w:b/>
                <w:bCs/>
                <w:sz w:val="20"/>
                <w:szCs w:val="20"/>
              </w:rPr>
              <w:t>Description</w:t>
            </w:r>
          </w:p>
        </w:tc>
        <w:tc>
          <w:tcPr>
            <w:tcW w:w="2622"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b/>
                <w:bCs/>
                <w:color w:val="000000"/>
                <w:sz w:val="20"/>
                <w:szCs w:val="20"/>
              </w:rPr>
            </w:pPr>
            <w:r w:rsidRPr="00080E78">
              <w:rPr>
                <w:rFonts w:ascii="Calibri" w:eastAsia="Times New Roman" w:hAnsi="Calibri" w:cs="Times New Roman"/>
                <w:b/>
                <w:bCs/>
                <w:color w:val="000000"/>
                <w:sz w:val="20"/>
                <w:szCs w:val="20"/>
              </w:rPr>
              <w:t>Detectable Faults</w:t>
            </w:r>
          </w:p>
        </w:tc>
      </w:tr>
      <w:tr w:rsidR="00080E78" w:rsidRPr="00080E78" w:rsidTr="00080E78">
        <w:trPr>
          <w:trHeight w:val="255"/>
          <w:jc w:val="center"/>
        </w:trPr>
        <w:tc>
          <w:tcPr>
            <w:tcW w:w="713"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sz w:val="20"/>
                <w:szCs w:val="20"/>
              </w:rPr>
            </w:pPr>
            <w:r w:rsidRPr="00080E78">
              <w:rPr>
                <w:rFonts w:ascii="Calibri" w:eastAsia="Times New Roman" w:hAnsi="Calibri" w:cs="Times New Roman"/>
                <w:sz w:val="20"/>
                <w:szCs w:val="20"/>
              </w:rPr>
              <w:t>1A</w:t>
            </w:r>
          </w:p>
        </w:tc>
        <w:tc>
          <w:tcPr>
            <w:tcW w:w="1303"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sz w:val="20"/>
                <w:szCs w:val="20"/>
              </w:rPr>
            </w:pPr>
            <w:r w:rsidRPr="00080E78">
              <w:rPr>
                <w:rFonts w:ascii="Calibri" w:eastAsia="Times New Roman" w:hAnsi="Calibri" w:cs="Times New Roman"/>
                <w:sz w:val="20"/>
                <w:szCs w:val="20"/>
              </w:rPr>
              <w:t>High</w:t>
            </w:r>
          </w:p>
        </w:tc>
        <w:tc>
          <w:tcPr>
            <w:tcW w:w="4002"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sz w:val="20"/>
                <w:szCs w:val="20"/>
              </w:rPr>
            </w:pPr>
            <w:r w:rsidRPr="00080E78">
              <w:rPr>
                <w:rFonts w:ascii="Calibri" w:eastAsia="Times New Roman" w:hAnsi="Calibri" w:cs="Times New Roman"/>
                <w:sz w:val="20"/>
                <w:szCs w:val="20"/>
              </w:rPr>
              <w:t>Increase total plant throughput by 50%</w:t>
            </w:r>
          </w:p>
        </w:tc>
        <w:tc>
          <w:tcPr>
            <w:tcW w:w="2622"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PC1 scores, T2, Q</w:t>
            </w:r>
          </w:p>
        </w:tc>
      </w:tr>
      <w:tr w:rsidR="00080E78" w:rsidRPr="00080E78" w:rsidTr="00080E78">
        <w:trPr>
          <w:trHeight w:val="255"/>
          <w:jc w:val="center"/>
        </w:trPr>
        <w:tc>
          <w:tcPr>
            <w:tcW w:w="713"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sz w:val="20"/>
                <w:szCs w:val="20"/>
              </w:rPr>
            </w:pPr>
            <w:r w:rsidRPr="00080E78">
              <w:rPr>
                <w:rFonts w:ascii="Calibri" w:eastAsia="Times New Roman" w:hAnsi="Calibri" w:cs="Times New Roman"/>
                <w:sz w:val="20"/>
                <w:szCs w:val="20"/>
              </w:rPr>
              <w:t>1B</w:t>
            </w:r>
          </w:p>
        </w:tc>
        <w:tc>
          <w:tcPr>
            <w:tcW w:w="1303"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sz w:val="20"/>
                <w:szCs w:val="20"/>
              </w:rPr>
            </w:pPr>
            <w:r w:rsidRPr="00080E78">
              <w:rPr>
                <w:rFonts w:ascii="Calibri" w:eastAsia="Times New Roman" w:hAnsi="Calibri" w:cs="Times New Roman"/>
                <w:sz w:val="20"/>
                <w:szCs w:val="20"/>
              </w:rPr>
              <w:t>High</w:t>
            </w:r>
          </w:p>
        </w:tc>
        <w:tc>
          <w:tcPr>
            <w:tcW w:w="4002"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sz w:val="20"/>
                <w:szCs w:val="20"/>
              </w:rPr>
            </w:pPr>
            <w:r w:rsidRPr="00080E78">
              <w:rPr>
                <w:rFonts w:ascii="Calibri" w:eastAsia="Times New Roman" w:hAnsi="Calibri" w:cs="Times New Roman"/>
                <w:sz w:val="20"/>
                <w:szCs w:val="20"/>
              </w:rPr>
              <w:t>Increase total plant throughput by 10%</w:t>
            </w:r>
          </w:p>
        </w:tc>
        <w:tc>
          <w:tcPr>
            <w:tcW w:w="2622"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Q</w:t>
            </w:r>
          </w:p>
        </w:tc>
      </w:tr>
      <w:tr w:rsidR="00080E78" w:rsidRPr="00080E78" w:rsidTr="00080E78">
        <w:trPr>
          <w:trHeight w:val="255"/>
          <w:jc w:val="center"/>
        </w:trPr>
        <w:tc>
          <w:tcPr>
            <w:tcW w:w="713"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sz w:val="20"/>
                <w:szCs w:val="20"/>
              </w:rPr>
            </w:pPr>
            <w:r w:rsidRPr="00080E78">
              <w:rPr>
                <w:rFonts w:ascii="Calibri" w:eastAsia="Times New Roman" w:hAnsi="Calibri" w:cs="Times New Roman"/>
                <w:sz w:val="20"/>
                <w:szCs w:val="20"/>
              </w:rPr>
              <w:t>1C</w:t>
            </w:r>
          </w:p>
        </w:tc>
        <w:tc>
          <w:tcPr>
            <w:tcW w:w="1303"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sz w:val="20"/>
                <w:szCs w:val="20"/>
              </w:rPr>
            </w:pPr>
            <w:r w:rsidRPr="00080E78">
              <w:rPr>
                <w:rFonts w:ascii="Calibri" w:eastAsia="Times New Roman" w:hAnsi="Calibri" w:cs="Times New Roman"/>
                <w:sz w:val="20"/>
                <w:szCs w:val="20"/>
              </w:rPr>
              <w:t>High</w:t>
            </w:r>
          </w:p>
        </w:tc>
        <w:tc>
          <w:tcPr>
            <w:tcW w:w="4002"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sz w:val="20"/>
                <w:szCs w:val="20"/>
              </w:rPr>
            </w:pPr>
            <w:r w:rsidRPr="00080E78">
              <w:rPr>
                <w:rFonts w:ascii="Calibri" w:eastAsia="Times New Roman" w:hAnsi="Calibri" w:cs="Times New Roman"/>
                <w:sz w:val="20"/>
                <w:szCs w:val="20"/>
              </w:rPr>
              <w:t>Increase uranium throughput by 15%</w:t>
            </w:r>
          </w:p>
        </w:tc>
        <w:tc>
          <w:tcPr>
            <w:tcW w:w="2622"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None, maybe T2</w:t>
            </w:r>
          </w:p>
        </w:tc>
      </w:tr>
      <w:tr w:rsidR="00080E78" w:rsidRPr="00080E78" w:rsidTr="00080E78">
        <w:trPr>
          <w:trHeight w:val="255"/>
          <w:jc w:val="center"/>
        </w:trPr>
        <w:tc>
          <w:tcPr>
            <w:tcW w:w="713"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sz w:val="20"/>
                <w:szCs w:val="20"/>
              </w:rPr>
            </w:pPr>
            <w:r w:rsidRPr="00080E78">
              <w:rPr>
                <w:rFonts w:ascii="Calibri" w:eastAsia="Times New Roman" w:hAnsi="Calibri" w:cs="Times New Roman"/>
                <w:sz w:val="20"/>
                <w:szCs w:val="20"/>
              </w:rPr>
              <w:t>1D</w:t>
            </w:r>
          </w:p>
        </w:tc>
        <w:tc>
          <w:tcPr>
            <w:tcW w:w="1303"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sz w:val="20"/>
                <w:szCs w:val="20"/>
              </w:rPr>
            </w:pPr>
            <w:r w:rsidRPr="00080E78">
              <w:rPr>
                <w:rFonts w:ascii="Calibri" w:eastAsia="Times New Roman" w:hAnsi="Calibri" w:cs="Times New Roman"/>
                <w:sz w:val="20"/>
                <w:szCs w:val="20"/>
              </w:rPr>
              <w:t>High</w:t>
            </w:r>
          </w:p>
        </w:tc>
        <w:tc>
          <w:tcPr>
            <w:tcW w:w="4002"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sz w:val="20"/>
                <w:szCs w:val="20"/>
              </w:rPr>
            </w:pPr>
            <w:r w:rsidRPr="00080E78">
              <w:rPr>
                <w:rFonts w:ascii="Calibri" w:eastAsia="Times New Roman" w:hAnsi="Calibri" w:cs="Times New Roman"/>
                <w:sz w:val="20"/>
                <w:szCs w:val="20"/>
              </w:rPr>
              <w:t>Increase uranium throughput by 25%</w:t>
            </w:r>
          </w:p>
        </w:tc>
        <w:tc>
          <w:tcPr>
            <w:tcW w:w="2622"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T2, maybe PC1 scores</w:t>
            </w:r>
          </w:p>
        </w:tc>
      </w:tr>
      <w:tr w:rsidR="00080E78" w:rsidRPr="00080E78" w:rsidTr="00080E78">
        <w:trPr>
          <w:trHeight w:val="510"/>
          <w:jc w:val="center"/>
        </w:trPr>
        <w:tc>
          <w:tcPr>
            <w:tcW w:w="713"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sz w:val="20"/>
                <w:szCs w:val="20"/>
              </w:rPr>
            </w:pPr>
            <w:r w:rsidRPr="00080E78">
              <w:rPr>
                <w:rFonts w:ascii="Calibri" w:eastAsia="Times New Roman" w:hAnsi="Calibri" w:cs="Times New Roman"/>
                <w:sz w:val="20"/>
                <w:szCs w:val="20"/>
              </w:rPr>
              <w:t>2</w:t>
            </w:r>
          </w:p>
        </w:tc>
        <w:tc>
          <w:tcPr>
            <w:tcW w:w="1303"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sz w:val="20"/>
                <w:szCs w:val="20"/>
              </w:rPr>
            </w:pPr>
            <w:r w:rsidRPr="00080E78">
              <w:rPr>
                <w:rFonts w:ascii="Calibri" w:eastAsia="Times New Roman" w:hAnsi="Calibri" w:cs="Times New Roman"/>
                <w:sz w:val="20"/>
                <w:szCs w:val="20"/>
              </w:rPr>
              <w:t>Low</w:t>
            </w:r>
          </w:p>
        </w:tc>
        <w:tc>
          <w:tcPr>
            <w:tcW w:w="4002"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sz w:val="20"/>
                <w:szCs w:val="20"/>
              </w:rPr>
            </w:pPr>
            <w:r w:rsidRPr="00080E78">
              <w:rPr>
                <w:rFonts w:ascii="Calibri" w:eastAsia="Times New Roman" w:hAnsi="Calibri" w:cs="Times New Roman"/>
                <w:sz w:val="20"/>
                <w:szCs w:val="20"/>
              </w:rPr>
              <w:t>Increase the incoming uranium purity by 5.9%</w:t>
            </w:r>
          </w:p>
        </w:tc>
        <w:tc>
          <w:tcPr>
            <w:tcW w:w="2622"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Q, maybe PC3 scores and T2</w:t>
            </w:r>
          </w:p>
        </w:tc>
      </w:tr>
      <w:tr w:rsidR="00080E78" w:rsidRPr="00080E78" w:rsidTr="00080E78">
        <w:trPr>
          <w:trHeight w:val="765"/>
          <w:jc w:val="center"/>
        </w:trPr>
        <w:tc>
          <w:tcPr>
            <w:tcW w:w="713"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sz w:val="20"/>
                <w:szCs w:val="20"/>
              </w:rPr>
            </w:pPr>
            <w:r w:rsidRPr="00080E78">
              <w:rPr>
                <w:rFonts w:ascii="Calibri" w:eastAsia="Times New Roman" w:hAnsi="Calibri" w:cs="Times New Roman"/>
                <w:sz w:val="20"/>
                <w:szCs w:val="20"/>
              </w:rPr>
              <w:t>3</w:t>
            </w:r>
          </w:p>
        </w:tc>
        <w:tc>
          <w:tcPr>
            <w:tcW w:w="1303"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sz w:val="20"/>
                <w:szCs w:val="20"/>
              </w:rPr>
            </w:pPr>
            <w:r w:rsidRPr="00080E78">
              <w:rPr>
                <w:rFonts w:ascii="Calibri" w:eastAsia="Times New Roman" w:hAnsi="Calibri" w:cs="Times New Roman"/>
                <w:sz w:val="20"/>
                <w:szCs w:val="20"/>
              </w:rPr>
              <w:t>Medium</w:t>
            </w:r>
          </w:p>
        </w:tc>
        <w:tc>
          <w:tcPr>
            <w:tcW w:w="4002"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sz w:val="20"/>
                <w:szCs w:val="20"/>
              </w:rPr>
            </w:pPr>
            <w:r w:rsidRPr="00080E78">
              <w:rPr>
                <w:rFonts w:ascii="Calibri" w:eastAsia="Times New Roman" w:hAnsi="Calibri" w:cs="Times New Roman"/>
                <w:sz w:val="20"/>
                <w:szCs w:val="20"/>
              </w:rPr>
              <w:t>Inefficient dissolver operations, reduce extent of reaction by 3%</w:t>
            </w:r>
          </w:p>
        </w:tc>
        <w:tc>
          <w:tcPr>
            <w:tcW w:w="2622"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PC3 scores, T2, Q, maybe PC1 scores and PC2 scores</w:t>
            </w:r>
          </w:p>
        </w:tc>
      </w:tr>
      <w:tr w:rsidR="00080E78" w:rsidRPr="00080E78" w:rsidTr="00080E78">
        <w:trPr>
          <w:trHeight w:val="510"/>
          <w:jc w:val="center"/>
        </w:trPr>
        <w:tc>
          <w:tcPr>
            <w:tcW w:w="713"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4</w:t>
            </w:r>
          </w:p>
        </w:tc>
        <w:tc>
          <w:tcPr>
            <w:tcW w:w="1303"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High</w:t>
            </w:r>
          </w:p>
        </w:tc>
        <w:tc>
          <w:tcPr>
            <w:tcW w:w="4002"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sz w:val="20"/>
                <w:szCs w:val="20"/>
              </w:rPr>
            </w:pPr>
            <w:r w:rsidRPr="00080E78">
              <w:rPr>
                <w:rFonts w:ascii="Calibri" w:eastAsia="Times New Roman" w:hAnsi="Calibri" w:cs="Times New Roman"/>
                <w:sz w:val="20"/>
                <w:szCs w:val="20"/>
              </w:rPr>
              <w:t>Inefficient re-extraction operations, reduce uranyl nitrate extraction by 9.9%</w:t>
            </w:r>
          </w:p>
        </w:tc>
        <w:tc>
          <w:tcPr>
            <w:tcW w:w="2622"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PC3 scores, T2, Q but only under certain conditions</w:t>
            </w:r>
          </w:p>
        </w:tc>
      </w:tr>
      <w:tr w:rsidR="00080E78" w:rsidRPr="00080E78" w:rsidTr="00080E78">
        <w:trPr>
          <w:trHeight w:val="510"/>
          <w:jc w:val="center"/>
        </w:trPr>
        <w:tc>
          <w:tcPr>
            <w:tcW w:w="713"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5</w:t>
            </w:r>
          </w:p>
        </w:tc>
        <w:tc>
          <w:tcPr>
            <w:tcW w:w="1303"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High</w:t>
            </w:r>
          </w:p>
        </w:tc>
        <w:tc>
          <w:tcPr>
            <w:tcW w:w="4002"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Diversion of 0.25% of the uranium from the evaporator</w:t>
            </w:r>
          </w:p>
        </w:tc>
        <w:tc>
          <w:tcPr>
            <w:tcW w:w="2622"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All diagnostic plots</w:t>
            </w:r>
          </w:p>
        </w:tc>
      </w:tr>
      <w:tr w:rsidR="00080E78" w:rsidRPr="00080E78" w:rsidTr="00080E78">
        <w:trPr>
          <w:trHeight w:val="510"/>
          <w:jc w:val="center"/>
        </w:trPr>
        <w:tc>
          <w:tcPr>
            <w:tcW w:w="713"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6</w:t>
            </w:r>
          </w:p>
        </w:tc>
        <w:tc>
          <w:tcPr>
            <w:tcW w:w="1303"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High</w:t>
            </w:r>
          </w:p>
        </w:tc>
        <w:tc>
          <w:tcPr>
            <w:tcW w:w="4002"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Addition of uranyl nitrate to the precipitation process</w:t>
            </w:r>
          </w:p>
        </w:tc>
        <w:tc>
          <w:tcPr>
            <w:tcW w:w="2622"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Q, maybe PC3 scores and T2</w:t>
            </w:r>
          </w:p>
        </w:tc>
      </w:tr>
      <w:tr w:rsidR="00080E78" w:rsidRPr="00080E78" w:rsidTr="00080E78">
        <w:trPr>
          <w:trHeight w:val="765"/>
          <w:jc w:val="center"/>
        </w:trPr>
        <w:tc>
          <w:tcPr>
            <w:tcW w:w="713"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7</w:t>
            </w:r>
          </w:p>
        </w:tc>
        <w:tc>
          <w:tcPr>
            <w:tcW w:w="1303"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Low</w:t>
            </w:r>
          </w:p>
        </w:tc>
        <w:tc>
          <w:tcPr>
            <w:tcW w:w="4002"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Inefficient precipitation process operations, reduce extent of reaction by 10%</w:t>
            </w:r>
          </w:p>
        </w:tc>
        <w:tc>
          <w:tcPr>
            <w:tcW w:w="2622"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Q</w:t>
            </w:r>
          </w:p>
        </w:tc>
      </w:tr>
      <w:tr w:rsidR="00080E78" w:rsidRPr="00080E78" w:rsidTr="00080E78">
        <w:trPr>
          <w:trHeight w:val="510"/>
          <w:jc w:val="center"/>
        </w:trPr>
        <w:tc>
          <w:tcPr>
            <w:tcW w:w="713"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8</w:t>
            </w:r>
          </w:p>
        </w:tc>
        <w:tc>
          <w:tcPr>
            <w:tcW w:w="1303"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Medium</w:t>
            </w:r>
          </w:p>
        </w:tc>
        <w:tc>
          <w:tcPr>
            <w:tcW w:w="4002"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 xml:space="preserve">Inefficient separation downstream of the </w:t>
            </w:r>
            <w:proofErr w:type="spellStart"/>
            <w:r w:rsidRPr="00080E78">
              <w:rPr>
                <w:rFonts w:ascii="Calibri" w:eastAsia="Times New Roman" w:hAnsi="Calibri" w:cs="Times New Roman"/>
                <w:color w:val="000000"/>
                <w:sz w:val="20"/>
                <w:szCs w:val="20"/>
              </w:rPr>
              <w:t>hydrofluorination</w:t>
            </w:r>
            <w:proofErr w:type="spellEnd"/>
            <w:r w:rsidRPr="00080E78">
              <w:rPr>
                <w:rFonts w:ascii="Calibri" w:eastAsia="Times New Roman" w:hAnsi="Calibri" w:cs="Times New Roman"/>
                <w:color w:val="000000"/>
                <w:sz w:val="20"/>
                <w:szCs w:val="20"/>
              </w:rPr>
              <w:t xml:space="preserve"> reaction</w:t>
            </w:r>
          </w:p>
        </w:tc>
        <w:tc>
          <w:tcPr>
            <w:tcW w:w="2622"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Q</w:t>
            </w:r>
          </w:p>
        </w:tc>
      </w:tr>
      <w:tr w:rsidR="00080E78" w:rsidRPr="00080E78" w:rsidTr="00080E78">
        <w:trPr>
          <w:trHeight w:val="540"/>
          <w:jc w:val="center"/>
        </w:trPr>
        <w:tc>
          <w:tcPr>
            <w:tcW w:w="713"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9</w:t>
            </w:r>
          </w:p>
        </w:tc>
        <w:tc>
          <w:tcPr>
            <w:tcW w:w="1303"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Medium</w:t>
            </w:r>
          </w:p>
        </w:tc>
        <w:tc>
          <w:tcPr>
            <w:tcW w:w="4002"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Diversion of 75% of the UF</w:t>
            </w:r>
            <w:r w:rsidRPr="00080E78">
              <w:rPr>
                <w:rFonts w:ascii="Calibri" w:eastAsia="Times New Roman" w:hAnsi="Calibri" w:cs="Times New Roman"/>
                <w:color w:val="000000"/>
                <w:sz w:val="20"/>
                <w:szCs w:val="20"/>
                <w:vertAlign w:val="subscript"/>
              </w:rPr>
              <w:t>6</w:t>
            </w:r>
            <w:r w:rsidRPr="00080E78">
              <w:rPr>
                <w:rFonts w:ascii="Calibri" w:eastAsia="Times New Roman" w:hAnsi="Calibri" w:cs="Times New Roman"/>
                <w:color w:val="000000"/>
                <w:sz w:val="20"/>
                <w:szCs w:val="20"/>
              </w:rPr>
              <w:t xml:space="preserve"> from the secondary fluorination process</w:t>
            </w:r>
          </w:p>
        </w:tc>
        <w:tc>
          <w:tcPr>
            <w:tcW w:w="2622"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Q</w:t>
            </w:r>
          </w:p>
        </w:tc>
      </w:tr>
      <w:tr w:rsidR="00080E78" w:rsidRPr="00080E78" w:rsidTr="00080E78">
        <w:trPr>
          <w:trHeight w:val="765"/>
          <w:jc w:val="center"/>
        </w:trPr>
        <w:tc>
          <w:tcPr>
            <w:tcW w:w="713"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10</w:t>
            </w:r>
          </w:p>
        </w:tc>
        <w:tc>
          <w:tcPr>
            <w:tcW w:w="1303"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High</w:t>
            </w:r>
          </w:p>
        </w:tc>
        <w:tc>
          <w:tcPr>
            <w:tcW w:w="4002"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Inefficient operations of the fluorination processes, reduce extent of reaction by 4.9%</w:t>
            </w:r>
          </w:p>
        </w:tc>
        <w:tc>
          <w:tcPr>
            <w:tcW w:w="2622"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Q</w:t>
            </w:r>
          </w:p>
        </w:tc>
      </w:tr>
      <w:tr w:rsidR="00080E78" w:rsidRPr="00080E78" w:rsidTr="00080E78">
        <w:trPr>
          <w:trHeight w:val="285"/>
          <w:jc w:val="center"/>
        </w:trPr>
        <w:tc>
          <w:tcPr>
            <w:tcW w:w="713"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11</w:t>
            </w:r>
          </w:p>
        </w:tc>
        <w:tc>
          <w:tcPr>
            <w:tcW w:w="1303"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High</w:t>
            </w:r>
          </w:p>
        </w:tc>
        <w:tc>
          <w:tcPr>
            <w:tcW w:w="4002"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Diversion of 20% of the purified UF</w:t>
            </w:r>
            <w:r w:rsidRPr="00080E78">
              <w:rPr>
                <w:rFonts w:ascii="Calibri" w:eastAsia="Times New Roman" w:hAnsi="Calibri" w:cs="Times New Roman"/>
                <w:color w:val="000000"/>
                <w:sz w:val="20"/>
                <w:szCs w:val="20"/>
                <w:vertAlign w:val="subscript"/>
              </w:rPr>
              <w:t>6</w:t>
            </w:r>
            <w:r w:rsidRPr="00080E78">
              <w:rPr>
                <w:rFonts w:ascii="Calibri" w:eastAsia="Times New Roman" w:hAnsi="Calibri" w:cs="Times New Roman"/>
                <w:color w:val="000000"/>
                <w:sz w:val="20"/>
                <w:szCs w:val="20"/>
              </w:rPr>
              <w:t xml:space="preserve"> </w:t>
            </w:r>
          </w:p>
        </w:tc>
        <w:tc>
          <w:tcPr>
            <w:tcW w:w="2622"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Q</w:t>
            </w:r>
          </w:p>
        </w:tc>
      </w:tr>
      <w:tr w:rsidR="00080E78" w:rsidRPr="00080E78" w:rsidTr="00080E78">
        <w:trPr>
          <w:trHeight w:val="510"/>
          <w:jc w:val="center"/>
        </w:trPr>
        <w:tc>
          <w:tcPr>
            <w:tcW w:w="713"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12</w:t>
            </w:r>
          </w:p>
        </w:tc>
        <w:tc>
          <w:tcPr>
            <w:tcW w:w="1303"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High</w:t>
            </w:r>
          </w:p>
        </w:tc>
        <w:tc>
          <w:tcPr>
            <w:tcW w:w="4002"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 xml:space="preserve">multiple parameters </w:t>
            </w:r>
          </w:p>
        </w:tc>
        <w:tc>
          <w:tcPr>
            <w:tcW w:w="2622"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Q, maybe PC1 scores and T2</w:t>
            </w:r>
          </w:p>
        </w:tc>
      </w:tr>
      <w:tr w:rsidR="00080E78" w:rsidRPr="00080E78" w:rsidTr="00080E78">
        <w:trPr>
          <w:trHeight w:val="255"/>
          <w:jc w:val="center"/>
        </w:trPr>
        <w:tc>
          <w:tcPr>
            <w:tcW w:w="713"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13</w:t>
            </w:r>
          </w:p>
        </w:tc>
        <w:tc>
          <w:tcPr>
            <w:tcW w:w="1303"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High</w:t>
            </w:r>
          </w:p>
        </w:tc>
        <w:tc>
          <w:tcPr>
            <w:tcW w:w="4002"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 xml:space="preserve">multiple parameters </w:t>
            </w:r>
          </w:p>
        </w:tc>
        <w:tc>
          <w:tcPr>
            <w:tcW w:w="2622" w:type="dxa"/>
            <w:tcBorders>
              <w:top w:val="nil"/>
              <w:left w:val="nil"/>
              <w:bottom w:val="single" w:sz="4"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Q, maybe T2</w:t>
            </w:r>
          </w:p>
        </w:tc>
      </w:tr>
      <w:tr w:rsidR="00080E78" w:rsidRPr="00080E78" w:rsidTr="00080E78">
        <w:trPr>
          <w:trHeight w:val="270"/>
          <w:jc w:val="center"/>
        </w:trPr>
        <w:tc>
          <w:tcPr>
            <w:tcW w:w="713" w:type="dxa"/>
            <w:tcBorders>
              <w:top w:val="nil"/>
              <w:left w:val="nil"/>
              <w:bottom w:val="single" w:sz="8"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14</w:t>
            </w:r>
          </w:p>
        </w:tc>
        <w:tc>
          <w:tcPr>
            <w:tcW w:w="1303" w:type="dxa"/>
            <w:tcBorders>
              <w:top w:val="nil"/>
              <w:left w:val="nil"/>
              <w:bottom w:val="single" w:sz="8"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Low</w:t>
            </w:r>
          </w:p>
        </w:tc>
        <w:tc>
          <w:tcPr>
            <w:tcW w:w="4002" w:type="dxa"/>
            <w:tcBorders>
              <w:top w:val="nil"/>
              <w:left w:val="nil"/>
              <w:bottom w:val="single" w:sz="8"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 xml:space="preserve">multiple parameters </w:t>
            </w:r>
          </w:p>
        </w:tc>
        <w:tc>
          <w:tcPr>
            <w:tcW w:w="2622" w:type="dxa"/>
            <w:tcBorders>
              <w:top w:val="nil"/>
              <w:left w:val="nil"/>
              <w:bottom w:val="single" w:sz="8" w:space="0" w:color="auto"/>
              <w:right w:val="nil"/>
            </w:tcBorders>
            <w:shd w:val="clear" w:color="auto" w:fill="auto"/>
            <w:vAlign w:val="center"/>
            <w:hideMark/>
          </w:tcPr>
          <w:p w:rsidR="00080E78" w:rsidRPr="00080E78" w:rsidRDefault="00080E78" w:rsidP="00080E78">
            <w:pPr>
              <w:spacing w:after="0" w:line="240" w:lineRule="auto"/>
              <w:jc w:val="center"/>
              <w:rPr>
                <w:rFonts w:ascii="Calibri" w:eastAsia="Times New Roman" w:hAnsi="Calibri" w:cs="Times New Roman"/>
                <w:color w:val="000000"/>
                <w:sz w:val="20"/>
                <w:szCs w:val="20"/>
              </w:rPr>
            </w:pPr>
            <w:r w:rsidRPr="00080E78">
              <w:rPr>
                <w:rFonts w:ascii="Calibri" w:eastAsia="Times New Roman" w:hAnsi="Calibri" w:cs="Times New Roman"/>
                <w:color w:val="000000"/>
                <w:sz w:val="20"/>
                <w:szCs w:val="20"/>
              </w:rPr>
              <w:t>All diagnostic plots</w:t>
            </w:r>
          </w:p>
        </w:tc>
      </w:tr>
    </w:tbl>
    <w:p w:rsidR="00080E78" w:rsidRDefault="00080E78" w:rsidP="0083379F"/>
    <w:p w:rsidR="00080E78" w:rsidRDefault="00080E78">
      <w:r>
        <w:br w:type="page"/>
      </w:r>
    </w:p>
    <w:p w:rsidR="00080E78" w:rsidRDefault="00080E78" w:rsidP="00080E78">
      <w:proofErr w:type="gramStart"/>
      <w:r>
        <w:lastRenderedPageBreak/>
        <w:t>then</w:t>
      </w:r>
      <w:proofErr w:type="gramEnd"/>
      <w:r>
        <w:t xml:space="preserve"> the waste streams that are most likely to contain diverted uranium must be monitored. These would be Module 1 Stream 8, Module 2 Stream 20, Module 3 Stream 31, Module 4 Stream 43, and Module 5 Stream 50.</w:t>
      </w:r>
    </w:p>
    <w:p w:rsidR="0040247D" w:rsidRDefault="0040247D" w:rsidP="0040247D">
      <w:r>
        <w:t>The second option for monitoring that is recommended would be to add monitoring of the intermediate products throughout the process to the recommendation above. These are the product</w:t>
      </w:r>
      <w:r w:rsidR="00952797">
        <w:t>s</w:t>
      </w:r>
      <w:r>
        <w:t xml:space="preserve"> from each module that becomes the feed to the next module: Module 1 Stream 12, Module 2 Stream 19, Module 3 Stream 30, and Module 4 Stream 44. Since there is normally some time lag between processes in actual plants, these would need to be monitored as the product of one process and then the feed to the next process. Monitoring both the rate and the uranium content would be necessary to determine that diversion of uranium had not occurred. </w:t>
      </w:r>
    </w:p>
    <w:p w:rsidR="0040247D" w:rsidRDefault="0040247D" w:rsidP="0040247D">
      <w:r>
        <w:t>The third option for monitoring that could confirm that diversion was not or had not occurred would be the monitoring of select intermediate streams. These streams could be correlated with the feed, product, and waste streams in that process area to determine that uranium was not diverted or added to the process. These streams are Module 1 Streams 1 and 4; Module 2 Stream 14; Module 3 Streams 22 and 27; Module 4 Streams 34, 39, and 42; and Module 5 Streams 46, 49, 52, 55, and 59.</w:t>
      </w:r>
    </w:p>
    <w:p w:rsidR="0040247D" w:rsidRDefault="0040247D" w:rsidP="0040247D">
      <w:r>
        <w:t>The final level of monitoring that would be able to completely close the material balance and ensure that no additional uranium is fed to the process and that no uranium is diverted from the process would require monitoring all of the streams throughout the plant for both flow rate and uranium content. However, this would be too challenging to implement both from the perspective of the plant and the costs required to purchase and install that number of monitoring points. Additionally, based on this research, it is likely unnecessary to monitor all of the streams in the plant.</w:t>
      </w:r>
    </w:p>
    <w:p w:rsidR="0040247D" w:rsidRDefault="0040247D" w:rsidP="0040247D">
      <w:r>
        <w:t xml:space="preserve">Therefore, if not cost prohibitive, the third option would be the best safeguards monitoring system to be applied with this detection framework. This framework could also be applied to the less intrusive options 1 and 2 as well. However, the likelihood of detection is reduced as the </w:t>
      </w:r>
      <w:r w:rsidR="003C5182">
        <w:t>number of monitoring points is</w:t>
      </w:r>
      <w:r>
        <w:t xml:space="preserve"> reduced. </w:t>
      </w:r>
    </w:p>
    <w:p w:rsidR="0040247D" w:rsidRDefault="0040247D" w:rsidP="0040247D"/>
    <w:p w:rsidR="0040247D" w:rsidRDefault="0040247D" w:rsidP="0040247D">
      <w:pPr>
        <w:rPr>
          <w:rFonts w:asciiTheme="majorHAnsi" w:hAnsiTheme="majorHAnsi"/>
          <w:b/>
        </w:rPr>
      </w:pPr>
      <w:r>
        <w:rPr>
          <w:rFonts w:asciiTheme="majorHAnsi" w:hAnsiTheme="majorHAnsi"/>
          <w:b/>
        </w:rPr>
        <w:t xml:space="preserve">4.3.17 </w:t>
      </w:r>
      <w:r w:rsidR="00080E78">
        <w:rPr>
          <w:rFonts w:asciiTheme="majorHAnsi" w:hAnsiTheme="majorHAnsi"/>
          <w:b/>
        </w:rPr>
        <w:t>Implementation of Monitoring Framework</w:t>
      </w:r>
    </w:p>
    <w:p w:rsidR="00080E78" w:rsidRDefault="002C250F" w:rsidP="00080E78">
      <w:r>
        <w:t>Table 4.3</w:t>
      </w:r>
      <w:r w:rsidR="00080E78">
        <w:t>6</w:t>
      </w:r>
      <w:r>
        <w:t xml:space="preserve"> provides a lookup table to determine which type of fault may be occurring based on the results from the diagnostic plots. If this framework was applied to an operating plant, the operator or in the case of safeguards applications, an IAEA inspector, would be monitoring the diagnostic plots each time new monitoring data was supplied (hourly, daily, etc.). The plots would include the 95% confidence boundary for normal operations at that particular plant and the recent operating data (data points representing the last few weeks or months of operations). A lookup table such as Table 4.3</w:t>
      </w:r>
      <w:r w:rsidR="00080E78">
        <w:t>6</w:t>
      </w:r>
      <w:r>
        <w:t xml:space="preserve"> would also be available to possibly determine the cause if new data is outside the boundary. This table is based on </w:t>
      </w:r>
      <w:r>
        <w:lastRenderedPageBreak/>
        <w:t>the results of the faulty cases investigated</w:t>
      </w:r>
      <w:r w:rsidR="007819F5">
        <w:t xml:space="preserve"> in this work</w:t>
      </w:r>
      <w:r>
        <w:t>; additional faults could occur that may not be on the table or</w:t>
      </w:r>
      <w:r w:rsidR="00080E78">
        <w:t xml:space="preserve"> may have the same result as a different type of fault than is included in the table. The person monitoring the new data would also be watching if the data is trending in one direction or not such that it may be approaching the confidence boundary but not yet outside the boundary. The table could possibly be used to determine the cause of the trend as well. It is also expected that data will occasionally be outside of the boundary, if this is only an occasional occurrence and the following few data points return within the boundary there is likely no cause for concern about an actual fault occurring.</w:t>
      </w:r>
    </w:p>
    <w:p w:rsidR="00080E78" w:rsidRDefault="00080E78" w:rsidP="00080E78">
      <w:pPr>
        <w:rPr>
          <w:rFonts w:eastAsiaTheme="minorEastAsia"/>
        </w:rPr>
      </w:pPr>
      <w:r>
        <w:t>Table 4.3</w:t>
      </w:r>
      <w:r w:rsidR="007819F5">
        <w:t>6</w:t>
      </w:r>
      <w:r>
        <w:t xml:space="preserve"> shows both the direction and the detectability of the possible faults. Direction refers to whether the fault in is in the positive or negative direction for the scores. The </w:t>
      </w:r>
      <m:oMath>
        <m:r>
          <w:rPr>
            <w:rFonts w:ascii="Cambria Math" w:hAnsi="Cambria Math"/>
          </w:rPr>
          <m:t>Q</m:t>
        </m:r>
      </m:oMath>
      <w:r>
        <w:rPr>
          <w:rFonts w:eastAsiaTheme="minorEastAsia"/>
        </w:rPr>
        <w:t>-statistic and Mahalanobis distance can only have faults in the positive direction. Additionally, an indication of magnitude of the fault was prov</w:t>
      </w:r>
      <w:proofErr w:type="spellStart"/>
      <w:r>
        <w:rPr>
          <w:rFonts w:eastAsiaTheme="minorEastAsia"/>
        </w:rPr>
        <w:t>ided</w:t>
      </w:r>
      <w:proofErr w:type="spellEnd"/>
      <w:r>
        <w:rPr>
          <w:rFonts w:eastAsiaTheme="minorEastAsia"/>
        </w:rPr>
        <w:t xml:space="preserve"> by using multiple ‘+’ or ‘-</w:t>
      </w:r>
      <w:proofErr w:type="gramStart"/>
      <w:r>
        <w:rPr>
          <w:rFonts w:eastAsiaTheme="minorEastAsia"/>
        </w:rPr>
        <w:t>‘ signs</w:t>
      </w:r>
      <w:proofErr w:type="gramEnd"/>
      <w:r>
        <w:rPr>
          <w:rFonts w:eastAsiaTheme="minorEastAsia"/>
        </w:rPr>
        <w:t>. If there was no shift in the diagnostic plot then ‘0’ was used. The detectability is given be yes, no, possibly, or not likely. A ‘yes’ indicates that all data points were outside the confidence boundary while a ‘no’ indicates that there was no detectable fault and most if not all of the data points were within the confidence boundary. If ‘possibly’ or ‘not likely’ was listed then some of the data points were outside the boundary; ‘possibly’ indicates that approximately 50% or more of the data points were outside the boundary while ‘not likely’ indicates that less than 50% of the data points were outside the boundary.</w:t>
      </w:r>
    </w:p>
    <w:p w:rsidR="00080E78" w:rsidRDefault="00080E78" w:rsidP="00080E78">
      <w:r>
        <w:t>The Mahalanobis distance is not independent of the scores and one would not expect to have a fault in the Mahalanobis distance without a fault in at least one of the scores. However in Case 1B, there was an increase in the number of data points above the Mahalanobis confidence boundary without a scores fault. This was slight increase in the Mahalanobis distance was not truly a detectable fault and there was a very slight shift in the PC1 scores. This is another indication that the system is not linear.</w:t>
      </w:r>
    </w:p>
    <w:p w:rsidR="00FD70EC" w:rsidRDefault="00FD70EC" w:rsidP="00FD70EC">
      <w:r>
        <w:t>Figures 4.107–4.109 provide examples of what actual diagnostic plots may look like. Figure 4.107 is a PC1 scores vs. PC2 scores plot based on Faulty Case 1A. The normal data (blue) is within the 95% confidence boundary while the faulty data (green) is outside the boundary.</w:t>
      </w:r>
      <w:r w:rsidRPr="00FD70EC">
        <w:t xml:space="preserve"> </w:t>
      </w:r>
      <w:r>
        <w:t xml:space="preserve">Figure 4.108 is a Mahalanobis distance plot based on Faulty Case 1A. The normal data (blue) is within the 95% confidence boundary while the faulty data (green) is outside the boundary. Figure 4.109 is a </w:t>
      </w:r>
      <m:oMath>
        <m:r>
          <w:rPr>
            <w:rFonts w:ascii="Cambria Math" w:hAnsi="Cambria Math"/>
          </w:rPr>
          <m:t>Q</m:t>
        </m:r>
      </m:oMath>
      <w:r>
        <w:rPr>
          <w:rFonts w:eastAsiaTheme="minorEastAsia"/>
        </w:rPr>
        <w:t xml:space="preserve">-statistic </w:t>
      </w:r>
      <w:r>
        <w:t>plot based on a slight increase over normal operation. The normal data (blue) is within the 95% confidence boundary while the faulty data (green) is outside the boundary.</w:t>
      </w:r>
    </w:p>
    <w:p w:rsidR="00FD70EC" w:rsidRDefault="00FD70EC" w:rsidP="00FD70EC"/>
    <w:p w:rsidR="00FD70EC" w:rsidRDefault="00FD70EC" w:rsidP="00FD70EC"/>
    <w:p w:rsidR="00FD70EC" w:rsidRDefault="00FD70EC">
      <w:r>
        <w:br w:type="page"/>
      </w:r>
    </w:p>
    <w:tbl>
      <w:tblPr>
        <w:tblW w:w="8800" w:type="dxa"/>
        <w:jc w:val="center"/>
        <w:tblInd w:w="93" w:type="dxa"/>
        <w:tblLook w:val="04A0" w:firstRow="1" w:lastRow="0" w:firstColumn="1" w:lastColumn="0" w:noHBand="0" w:noVBand="1"/>
      </w:tblPr>
      <w:tblGrid>
        <w:gridCol w:w="1069"/>
        <w:gridCol w:w="1145"/>
        <w:gridCol w:w="993"/>
        <w:gridCol w:w="993"/>
        <w:gridCol w:w="1031"/>
        <w:gridCol w:w="2644"/>
        <w:gridCol w:w="925"/>
      </w:tblGrid>
      <w:tr w:rsidR="00B22868" w:rsidRPr="00B22868" w:rsidTr="00FD70EC">
        <w:trPr>
          <w:trHeight w:val="270"/>
          <w:jc w:val="center"/>
        </w:trPr>
        <w:tc>
          <w:tcPr>
            <w:tcW w:w="8800" w:type="dxa"/>
            <w:gridSpan w:val="7"/>
            <w:tcBorders>
              <w:top w:val="nil"/>
              <w:left w:val="nil"/>
              <w:bottom w:val="single" w:sz="8" w:space="0" w:color="auto"/>
              <w:right w:val="nil"/>
            </w:tcBorders>
            <w:shd w:val="clear" w:color="auto" w:fill="auto"/>
            <w:vAlign w:val="center"/>
            <w:hideMark/>
          </w:tcPr>
          <w:p w:rsidR="00B22868" w:rsidRPr="00B22868" w:rsidRDefault="00B22868" w:rsidP="007819F5">
            <w:pPr>
              <w:spacing w:after="0" w:line="240" w:lineRule="auto"/>
              <w:jc w:val="center"/>
              <w:rPr>
                <w:rFonts w:ascii="Calibri" w:eastAsia="Times New Roman" w:hAnsi="Calibri" w:cs="Times New Roman"/>
                <w:b/>
                <w:bCs/>
                <w:color w:val="000000"/>
                <w:sz w:val="20"/>
                <w:szCs w:val="20"/>
              </w:rPr>
            </w:pPr>
            <w:r w:rsidRPr="00B22868">
              <w:rPr>
                <w:rFonts w:ascii="Calibri" w:eastAsia="Times New Roman" w:hAnsi="Calibri" w:cs="Times New Roman"/>
                <w:b/>
                <w:bCs/>
                <w:color w:val="000000"/>
                <w:sz w:val="20"/>
                <w:szCs w:val="20"/>
              </w:rPr>
              <w:lastRenderedPageBreak/>
              <w:t>Table 4.3</w:t>
            </w:r>
            <w:r w:rsidR="007819F5">
              <w:rPr>
                <w:rFonts w:ascii="Calibri" w:eastAsia="Times New Roman" w:hAnsi="Calibri" w:cs="Times New Roman"/>
                <w:b/>
                <w:bCs/>
                <w:color w:val="000000"/>
                <w:sz w:val="20"/>
                <w:szCs w:val="20"/>
              </w:rPr>
              <w:t>6</w:t>
            </w:r>
            <w:r w:rsidRPr="00B22868">
              <w:rPr>
                <w:rFonts w:ascii="Calibri" w:eastAsia="Times New Roman" w:hAnsi="Calibri" w:cs="Times New Roman"/>
                <w:b/>
                <w:bCs/>
                <w:color w:val="000000"/>
                <w:sz w:val="20"/>
                <w:szCs w:val="20"/>
              </w:rPr>
              <w:t>. Lookup Table of Possible Faults Based on Results from PCA Diagnostic Plots</w:t>
            </w:r>
          </w:p>
        </w:tc>
      </w:tr>
      <w:tr w:rsidR="00B22868" w:rsidRPr="00B22868" w:rsidTr="00FD70EC">
        <w:trPr>
          <w:trHeight w:val="255"/>
          <w:jc w:val="center"/>
        </w:trPr>
        <w:tc>
          <w:tcPr>
            <w:tcW w:w="5231" w:type="dxa"/>
            <w:gridSpan w:val="5"/>
            <w:tcBorders>
              <w:top w:val="single" w:sz="8" w:space="0" w:color="auto"/>
              <w:left w:val="nil"/>
              <w:bottom w:val="nil"/>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b/>
                <w:bCs/>
                <w:color w:val="000000"/>
                <w:sz w:val="20"/>
                <w:szCs w:val="20"/>
              </w:rPr>
            </w:pPr>
            <w:r w:rsidRPr="00B22868">
              <w:rPr>
                <w:rFonts w:ascii="Calibri" w:eastAsia="Times New Roman" w:hAnsi="Calibri" w:cs="Times New Roman"/>
                <w:b/>
                <w:bCs/>
                <w:color w:val="000000"/>
                <w:sz w:val="20"/>
                <w:szCs w:val="20"/>
              </w:rPr>
              <w:t>Faults (Direction, Detectable)</w:t>
            </w:r>
          </w:p>
        </w:tc>
        <w:tc>
          <w:tcPr>
            <w:tcW w:w="2644" w:type="dxa"/>
            <w:vMerge w:val="restart"/>
            <w:tcBorders>
              <w:top w:val="nil"/>
              <w:left w:val="nil"/>
              <w:bottom w:val="single" w:sz="4" w:space="0" w:color="000000"/>
              <w:right w:val="nil"/>
            </w:tcBorders>
            <w:shd w:val="clear" w:color="auto" w:fill="auto"/>
            <w:vAlign w:val="bottom"/>
            <w:hideMark/>
          </w:tcPr>
          <w:p w:rsidR="00B22868" w:rsidRPr="00B22868" w:rsidRDefault="00B22868" w:rsidP="00B22868">
            <w:pPr>
              <w:spacing w:after="0" w:line="240" w:lineRule="auto"/>
              <w:jc w:val="center"/>
              <w:rPr>
                <w:rFonts w:ascii="Calibri" w:eastAsia="Times New Roman" w:hAnsi="Calibri" w:cs="Times New Roman"/>
                <w:b/>
                <w:bCs/>
                <w:color w:val="000000"/>
                <w:sz w:val="20"/>
                <w:szCs w:val="20"/>
              </w:rPr>
            </w:pPr>
            <w:r w:rsidRPr="00B22868">
              <w:rPr>
                <w:rFonts w:ascii="Calibri" w:eastAsia="Times New Roman" w:hAnsi="Calibri" w:cs="Times New Roman"/>
                <w:b/>
                <w:bCs/>
                <w:color w:val="000000"/>
                <w:sz w:val="20"/>
                <w:szCs w:val="20"/>
              </w:rPr>
              <w:t>Possible Cause of Fault</w:t>
            </w:r>
          </w:p>
        </w:tc>
        <w:tc>
          <w:tcPr>
            <w:tcW w:w="925" w:type="dxa"/>
            <w:tcBorders>
              <w:top w:val="nil"/>
              <w:left w:val="nil"/>
              <w:bottom w:val="nil"/>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b/>
                <w:bCs/>
                <w:color w:val="000000"/>
                <w:sz w:val="20"/>
                <w:szCs w:val="20"/>
              </w:rPr>
            </w:pPr>
            <w:r w:rsidRPr="00B22868">
              <w:rPr>
                <w:rFonts w:ascii="Calibri" w:eastAsia="Times New Roman" w:hAnsi="Calibri" w:cs="Times New Roman"/>
                <w:b/>
                <w:bCs/>
                <w:color w:val="000000"/>
                <w:sz w:val="20"/>
                <w:szCs w:val="20"/>
              </w:rPr>
              <w:t>Example</w:t>
            </w:r>
          </w:p>
        </w:tc>
      </w:tr>
      <w:tr w:rsidR="00B22868" w:rsidRPr="00B22868" w:rsidTr="00FD70EC">
        <w:trPr>
          <w:trHeight w:val="255"/>
          <w:jc w:val="center"/>
        </w:trPr>
        <w:tc>
          <w:tcPr>
            <w:tcW w:w="1069"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b/>
                <w:bCs/>
                <w:color w:val="000000"/>
                <w:sz w:val="20"/>
                <w:szCs w:val="20"/>
              </w:rPr>
            </w:pPr>
            <w:r w:rsidRPr="00B22868">
              <w:rPr>
                <w:rFonts w:ascii="Calibri" w:eastAsia="Times New Roman" w:hAnsi="Calibri" w:cs="Times New Roman"/>
                <w:b/>
                <w:bCs/>
                <w:color w:val="000000"/>
                <w:sz w:val="20"/>
                <w:szCs w:val="20"/>
              </w:rPr>
              <w:t>Q</w:t>
            </w:r>
          </w:p>
        </w:tc>
        <w:tc>
          <w:tcPr>
            <w:tcW w:w="1145"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b/>
                <w:bCs/>
                <w:color w:val="000000"/>
                <w:sz w:val="20"/>
                <w:szCs w:val="20"/>
              </w:rPr>
            </w:pPr>
            <w:r w:rsidRPr="00B22868">
              <w:rPr>
                <w:rFonts w:ascii="Calibri" w:eastAsia="Times New Roman" w:hAnsi="Calibri" w:cs="Times New Roman"/>
                <w:b/>
                <w:bCs/>
                <w:color w:val="000000"/>
                <w:sz w:val="20"/>
                <w:szCs w:val="20"/>
              </w:rPr>
              <w:t>T2</w:t>
            </w:r>
          </w:p>
        </w:tc>
        <w:tc>
          <w:tcPr>
            <w:tcW w:w="993" w:type="dxa"/>
            <w:tcBorders>
              <w:top w:val="nil"/>
              <w:left w:val="nil"/>
              <w:bottom w:val="single" w:sz="4" w:space="0" w:color="auto"/>
              <w:right w:val="nil"/>
            </w:tcBorders>
            <w:shd w:val="clear" w:color="auto" w:fill="auto"/>
            <w:vAlign w:val="center"/>
            <w:hideMark/>
          </w:tcPr>
          <w:p w:rsidR="00B22868" w:rsidRDefault="00B22868" w:rsidP="00B22868">
            <w:pPr>
              <w:spacing w:after="0" w:line="240" w:lineRule="auto"/>
              <w:jc w:val="center"/>
              <w:rPr>
                <w:rFonts w:ascii="Calibri" w:eastAsia="Times New Roman" w:hAnsi="Calibri" w:cs="Times New Roman"/>
                <w:b/>
                <w:bCs/>
                <w:sz w:val="20"/>
                <w:szCs w:val="20"/>
              </w:rPr>
            </w:pPr>
            <w:r w:rsidRPr="00B22868">
              <w:rPr>
                <w:rFonts w:ascii="Calibri" w:eastAsia="Times New Roman" w:hAnsi="Calibri" w:cs="Times New Roman"/>
                <w:b/>
                <w:bCs/>
                <w:sz w:val="20"/>
                <w:szCs w:val="20"/>
              </w:rPr>
              <w:t>PC1</w:t>
            </w:r>
          </w:p>
          <w:p w:rsidR="007819F5" w:rsidRPr="00B22868" w:rsidRDefault="007819F5" w:rsidP="00B22868">
            <w:pPr>
              <w:spacing w:after="0" w:line="240" w:lineRule="auto"/>
              <w:jc w:val="center"/>
              <w:rPr>
                <w:rFonts w:ascii="Calibri" w:eastAsia="Times New Roman" w:hAnsi="Calibri" w:cs="Times New Roman"/>
                <w:b/>
                <w:bCs/>
                <w:sz w:val="20"/>
                <w:szCs w:val="20"/>
              </w:rPr>
            </w:pPr>
            <w:r>
              <w:rPr>
                <w:rFonts w:ascii="Calibri" w:eastAsia="Times New Roman" w:hAnsi="Calibri" w:cs="Times New Roman"/>
                <w:b/>
                <w:bCs/>
                <w:sz w:val="20"/>
                <w:szCs w:val="20"/>
              </w:rPr>
              <w:t>Scores</w:t>
            </w:r>
          </w:p>
        </w:tc>
        <w:tc>
          <w:tcPr>
            <w:tcW w:w="993" w:type="dxa"/>
            <w:tcBorders>
              <w:top w:val="nil"/>
              <w:left w:val="nil"/>
              <w:bottom w:val="single" w:sz="4" w:space="0" w:color="auto"/>
              <w:right w:val="nil"/>
            </w:tcBorders>
            <w:shd w:val="clear" w:color="auto" w:fill="auto"/>
            <w:vAlign w:val="center"/>
            <w:hideMark/>
          </w:tcPr>
          <w:p w:rsidR="00B22868" w:rsidRDefault="00B22868" w:rsidP="00B22868">
            <w:pPr>
              <w:spacing w:after="0" w:line="240" w:lineRule="auto"/>
              <w:jc w:val="center"/>
              <w:rPr>
                <w:rFonts w:ascii="Calibri" w:eastAsia="Times New Roman" w:hAnsi="Calibri" w:cs="Times New Roman"/>
                <w:b/>
                <w:bCs/>
                <w:color w:val="000000"/>
                <w:sz w:val="20"/>
                <w:szCs w:val="20"/>
              </w:rPr>
            </w:pPr>
            <w:r w:rsidRPr="00B22868">
              <w:rPr>
                <w:rFonts w:ascii="Calibri" w:eastAsia="Times New Roman" w:hAnsi="Calibri" w:cs="Times New Roman"/>
                <w:b/>
                <w:bCs/>
                <w:color w:val="000000"/>
                <w:sz w:val="20"/>
                <w:szCs w:val="20"/>
              </w:rPr>
              <w:t>PC2</w:t>
            </w:r>
          </w:p>
          <w:p w:rsidR="007819F5" w:rsidRPr="00B22868" w:rsidRDefault="007819F5" w:rsidP="00B22868">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1031" w:type="dxa"/>
            <w:tcBorders>
              <w:top w:val="nil"/>
              <w:left w:val="nil"/>
              <w:bottom w:val="single" w:sz="4" w:space="0" w:color="auto"/>
              <w:right w:val="nil"/>
            </w:tcBorders>
            <w:shd w:val="clear" w:color="auto" w:fill="auto"/>
            <w:vAlign w:val="center"/>
            <w:hideMark/>
          </w:tcPr>
          <w:p w:rsidR="00B22868" w:rsidRDefault="00B22868" w:rsidP="00B22868">
            <w:pPr>
              <w:spacing w:after="0" w:line="240" w:lineRule="auto"/>
              <w:jc w:val="center"/>
              <w:rPr>
                <w:rFonts w:ascii="Calibri" w:eastAsia="Times New Roman" w:hAnsi="Calibri" w:cs="Times New Roman"/>
                <w:b/>
                <w:bCs/>
                <w:color w:val="000000"/>
                <w:sz w:val="20"/>
                <w:szCs w:val="20"/>
              </w:rPr>
            </w:pPr>
            <w:r w:rsidRPr="00B22868">
              <w:rPr>
                <w:rFonts w:ascii="Calibri" w:eastAsia="Times New Roman" w:hAnsi="Calibri" w:cs="Times New Roman"/>
                <w:b/>
                <w:bCs/>
                <w:color w:val="000000"/>
                <w:sz w:val="20"/>
                <w:szCs w:val="20"/>
              </w:rPr>
              <w:t>PC3</w:t>
            </w:r>
          </w:p>
          <w:p w:rsidR="007819F5" w:rsidRPr="00B22868" w:rsidRDefault="007819F5" w:rsidP="00B22868">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2644" w:type="dxa"/>
            <w:vMerge/>
            <w:tcBorders>
              <w:top w:val="nil"/>
              <w:left w:val="nil"/>
              <w:bottom w:val="single" w:sz="4" w:space="0" w:color="000000"/>
              <w:right w:val="nil"/>
            </w:tcBorders>
            <w:vAlign w:val="center"/>
            <w:hideMark/>
          </w:tcPr>
          <w:p w:rsidR="00B22868" w:rsidRPr="00B22868" w:rsidRDefault="00B22868" w:rsidP="00B22868">
            <w:pPr>
              <w:spacing w:after="0" w:line="240" w:lineRule="auto"/>
              <w:rPr>
                <w:rFonts w:ascii="Calibri" w:eastAsia="Times New Roman" w:hAnsi="Calibri" w:cs="Times New Roman"/>
                <w:b/>
                <w:bCs/>
                <w:color w:val="000000"/>
                <w:sz w:val="20"/>
                <w:szCs w:val="20"/>
              </w:rPr>
            </w:pPr>
          </w:p>
        </w:tc>
        <w:tc>
          <w:tcPr>
            <w:tcW w:w="925"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b/>
                <w:bCs/>
                <w:color w:val="000000"/>
                <w:sz w:val="20"/>
                <w:szCs w:val="20"/>
              </w:rPr>
            </w:pPr>
            <w:r w:rsidRPr="00B22868">
              <w:rPr>
                <w:rFonts w:ascii="Calibri" w:eastAsia="Times New Roman" w:hAnsi="Calibri" w:cs="Times New Roman"/>
                <w:b/>
                <w:bCs/>
                <w:color w:val="000000"/>
                <w:sz w:val="20"/>
                <w:szCs w:val="20"/>
              </w:rPr>
              <w:t>Case</w:t>
            </w:r>
          </w:p>
        </w:tc>
      </w:tr>
      <w:tr w:rsidR="00B22868" w:rsidRPr="00B22868" w:rsidTr="00FD70EC">
        <w:trPr>
          <w:trHeight w:val="255"/>
          <w:jc w:val="center"/>
        </w:trPr>
        <w:tc>
          <w:tcPr>
            <w:tcW w:w="1069"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Yes</w:t>
            </w:r>
          </w:p>
        </w:tc>
        <w:tc>
          <w:tcPr>
            <w:tcW w:w="1145"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Yes</w:t>
            </w:r>
          </w:p>
        </w:tc>
        <w:tc>
          <w:tcPr>
            <w:tcW w:w="993"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sz w:val="20"/>
                <w:szCs w:val="20"/>
              </w:rPr>
            </w:pPr>
            <w:r w:rsidRPr="00B22868">
              <w:rPr>
                <w:rFonts w:ascii="Calibri" w:eastAsia="Times New Roman" w:hAnsi="Calibri" w:cs="Times New Roman"/>
                <w:sz w:val="20"/>
                <w:szCs w:val="20"/>
              </w:rPr>
              <w:t>---, Yes</w:t>
            </w:r>
          </w:p>
        </w:tc>
        <w:tc>
          <w:tcPr>
            <w:tcW w:w="993"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No</w:t>
            </w:r>
          </w:p>
        </w:tc>
        <w:tc>
          <w:tcPr>
            <w:tcW w:w="1031"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0, No</w:t>
            </w:r>
          </w:p>
        </w:tc>
        <w:tc>
          <w:tcPr>
            <w:tcW w:w="2644" w:type="dxa"/>
            <w:tcBorders>
              <w:top w:val="nil"/>
              <w:left w:val="nil"/>
              <w:bottom w:val="single" w:sz="4" w:space="0" w:color="auto"/>
              <w:right w:val="nil"/>
            </w:tcBorders>
            <w:shd w:val="clear" w:color="auto" w:fill="auto"/>
            <w:vAlign w:val="bottom"/>
            <w:hideMark/>
          </w:tcPr>
          <w:p w:rsidR="00B22868" w:rsidRPr="00B22868" w:rsidRDefault="00B22868" w:rsidP="00B22868">
            <w:pPr>
              <w:spacing w:after="0" w:line="240" w:lineRule="auto"/>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Large increase in all flow rates</w:t>
            </w:r>
          </w:p>
        </w:tc>
        <w:tc>
          <w:tcPr>
            <w:tcW w:w="925"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1A</w:t>
            </w:r>
          </w:p>
        </w:tc>
      </w:tr>
      <w:tr w:rsidR="00B22868" w:rsidRPr="00B22868" w:rsidTr="00FD70EC">
        <w:trPr>
          <w:trHeight w:val="510"/>
          <w:jc w:val="center"/>
        </w:trPr>
        <w:tc>
          <w:tcPr>
            <w:tcW w:w="1069"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Yes</w:t>
            </w:r>
          </w:p>
        </w:tc>
        <w:tc>
          <w:tcPr>
            <w:tcW w:w="1145"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No</w:t>
            </w:r>
          </w:p>
        </w:tc>
        <w:tc>
          <w:tcPr>
            <w:tcW w:w="993"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0, No</w:t>
            </w:r>
          </w:p>
        </w:tc>
        <w:tc>
          <w:tcPr>
            <w:tcW w:w="993"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0, No</w:t>
            </w:r>
          </w:p>
        </w:tc>
        <w:tc>
          <w:tcPr>
            <w:tcW w:w="1031"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0, No</w:t>
            </w:r>
          </w:p>
        </w:tc>
        <w:tc>
          <w:tcPr>
            <w:tcW w:w="2644" w:type="dxa"/>
            <w:tcBorders>
              <w:top w:val="nil"/>
              <w:left w:val="nil"/>
              <w:bottom w:val="single" w:sz="4" w:space="0" w:color="auto"/>
              <w:right w:val="nil"/>
            </w:tcBorders>
            <w:shd w:val="clear" w:color="auto" w:fill="auto"/>
            <w:vAlign w:val="bottom"/>
            <w:hideMark/>
          </w:tcPr>
          <w:p w:rsidR="00B22868" w:rsidRPr="00B22868" w:rsidRDefault="00B22868" w:rsidP="00B22868">
            <w:pPr>
              <w:spacing w:after="0" w:line="240" w:lineRule="auto"/>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Slight increase in all flow rates</w:t>
            </w:r>
          </w:p>
        </w:tc>
        <w:tc>
          <w:tcPr>
            <w:tcW w:w="925"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1B</w:t>
            </w:r>
          </w:p>
        </w:tc>
      </w:tr>
      <w:tr w:rsidR="00B22868" w:rsidRPr="00B22868" w:rsidTr="00FD70EC">
        <w:trPr>
          <w:trHeight w:val="540"/>
          <w:jc w:val="center"/>
        </w:trPr>
        <w:tc>
          <w:tcPr>
            <w:tcW w:w="1069"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0, No</w:t>
            </w:r>
          </w:p>
        </w:tc>
        <w:tc>
          <w:tcPr>
            <w:tcW w:w="1145"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Not likely</w:t>
            </w:r>
          </w:p>
        </w:tc>
        <w:tc>
          <w:tcPr>
            <w:tcW w:w="993"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No</w:t>
            </w:r>
          </w:p>
        </w:tc>
        <w:tc>
          <w:tcPr>
            <w:tcW w:w="993"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0, No</w:t>
            </w:r>
          </w:p>
        </w:tc>
        <w:tc>
          <w:tcPr>
            <w:tcW w:w="1031"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0, No</w:t>
            </w:r>
          </w:p>
        </w:tc>
        <w:tc>
          <w:tcPr>
            <w:tcW w:w="2644" w:type="dxa"/>
            <w:tcBorders>
              <w:top w:val="nil"/>
              <w:left w:val="nil"/>
              <w:bottom w:val="single" w:sz="4" w:space="0" w:color="auto"/>
              <w:right w:val="nil"/>
            </w:tcBorders>
            <w:shd w:val="clear" w:color="auto" w:fill="auto"/>
            <w:vAlign w:val="bottom"/>
            <w:hideMark/>
          </w:tcPr>
          <w:p w:rsidR="00B22868" w:rsidRPr="00B22868" w:rsidRDefault="00B22868" w:rsidP="00B22868">
            <w:pPr>
              <w:spacing w:after="0" w:line="240" w:lineRule="auto"/>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Increase in F</w:t>
            </w:r>
            <w:r w:rsidRPr="00B22868">
              <w:rPr>
                <w:rFonts w:ascii="Calibri" w:eastAsia="Times New Roman" w:hAnsi="Calibri" w:cs="Times New Roman"/>
                <w:color w:val="000000"/>
                <w:sz w:val="20"/>
                <w:szCs w:val="20"/>
                <w:vertAlign w:val="subscript"/>
              </w:rPr>
              <w:t>1A,U</w:t>
            </w:r>
            <w:r w:rsidRPr="00B22868">
              <w:rPr>
                <w:rFonts w:ascii="Calibri" w:eastAsia="Times New Roman" w:hAnsi="Calibri" w:cs="Times New Roman"/>
                <w:color w:val="000000"/>
                <w:sz w:val="20"/>
                <w:szCs w:val="20"/>
              </w:rPr>
              <w:t xml:space="preserve"> only slightly above normal</w:t>
            </w:r>
          </w:p>
        </w:tc>
        <w:tc>
          <w:tcPr>
            <w:tcW w:w="925"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1C</w:t>
            </w:r>
          </w:p>
        </w:tc>
      </w:tr>
      <w:tr w:rsidR="00B22868" w:rsidRPr="00B22868" w:rsidTr="00FD70EC">
        <w:trPr>
          <w:trHeight w:val="285"/>
          <w:jc w:val="center"/>
        </w:trPr>
        <w:tc>
          <w:tcPr>
            <w:tcW w:w="1069"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0, No</w:t>
            </w:r>
          </w:p>
        </w:tc>
        <w:tc>
          <w:tcPr>
            <w:tcW w:w="1145"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Yes</w:t>
            </w:r>
          </w:p>
        </w:tc>
        <w:tc>
          <w:tcPr>
            <w:tcW w:w="993"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Possibly</w:t>
            </w:r>
          </w:p>
        </w:tc>
        <w:tc>
          <w:tcPr>
            <w:tcW w:w="993"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0, No</w:t>
            </w:r>
          </w:p>
        </w:tc>
        <w:tc>
          <w:tcPr>
            <w:tcW w:w="1031"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0, No</w:t>
            </w:r>
          </w:p>
        </w:tc>
        <w:tc>
          <w:tcPr>
            <w:tcW w:w="2644" w:type="dxa"/>
            <w:tcBorders>
              <w:top w:val="nil"/>
              <w:left w:val="nil"/>
              <w:bottom w:val="single" w:sz="4" w:space="0" w:color="auto"/>
              <w:right w:val="nil"/>
            </w:tcBorders>
            <w:shd w:val="clear" w:color="auto" w:fill="auto"/>
            <w:vAlign w:val="bottom"/>
            <w:hideMark/>
          </w:tcPr>
          <w:p w:rsidR="00B22868" w:rsidRPr="00B22868" w:rsidRDefault="00B22868" w:rsidP="00B22868">
            <w:pPr>
              <w:spacing w:after="0" w:line="240" w:lineRule="auto"/>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Increase in F</w:t>
            </w:r>
            <w:r w:rsidRPr="00B22868">
              <w:rPr>
                <w:rFonts w:ascii="Calibri" w:eastAsia="Times New Roman" w:hAnsi="Calibri" w:cs="Times New Roman"/>
                <w:color w:val="000000"/>
                <w:sz w:val="20"/>
                <w:szCs w:val="20"/>
                <w:vertAlign w:val="subscript"/>
              </w:rPr>
              <w:t>1A,U</w:t>
            </w:r>
            <w:r w:rsidRPr="00B22868">
              <w:rPr>
                <w:rFonts w:ascii="Calibri" w:eastAsia="Times New Roman" w:hAnsi="Calibri" w:cs="Times New Roman"/>
                <w:color w:val="000000"/>
                <w:sz w:val="20"/>
                <w:szCs w:val="20"/>
              </w:rPr>
              <w:t xml:space="preserve"> above normal</w:t>
            </w:r>
          </w:p>
        </w:tc>
        <w:tc>
          <w:tcPr>
            <w:tcW w:w="925"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1D</w:t>
            </w:r>
          </w:p>
        </w:tc>
      </w:tr>
      <w:tr w:rsidR="00B22868" w:rsidRPr="00B22868" w:rsidTr="00FD70EC">
        <w:trPr>
          <w:trHeight w:val="1275"/>
          <w:jc w:val="center"/>
        </w:trPr>
        <w:tc>
          <w:tcPr>
            <w:tcW w:w="1069"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Possibly</w:t>
            </w:r>
          </w:p>
        </w:tc>
        <w:tc>
          <w:tcPr>
            <w:tcW w:w="1145"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Possibly</w:t>
            </w:r>
          </w:p>
        </w:tc>
        <w:tc>
          <w:tcPr>
            <w:tcW w:w="993"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No</w:t>
            </w:r>
          </w:p>
        </w:tc>
        <w:tc>
          <w:tcPr>
            <w:tcW w:w="993"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No</w:t>
            </w:r>
          </w:p>
        </w:tc>
        <w:tc>
          <w:tcPr>
            <w:tcW w:w="1031"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Possibly</w:t>
            </w:r>
          </w:p>
        </w:tc>
        <w:tc>
          <w:tcPr>
            <w:tcW w:w="2644" w:type="dxa"/>
            <w:tcBorders>
              <w:top w:val="nil"/>
              <w:left w:val="nil"/>
              <w:bottom w:val="single" w:sz="4" w:space="0" w:color="auto"/>
              <w:right w:val="nil"/>
            </w:tcBorders>
            <w:shd w:val="clear" w:color="auto" w:fill="auto"/>
            <w:vAlign w:val="bottom"/>
            <w:hideMark/>
          </w:tcPr>
          <w:p w:rsidR="00B22868" w:rsidRPr="00B22868" w:rsidRDefault="00B22868" w:rsidP="00B22868">
            <w:pPr>
              <w:spacing w:after="0" w:line="240" w:lineRule="auto"/>
              <w:rPr>
                <w:rFonts w:ascii="Calibri" w:eastAsia="Times New Roman" w:hAnsi="Calibri" w:cs="Times New Roman"/>
                <w:sz w:val="20"/>
                <w:szCs w:val="20"/>
              </w:rPr>
            </w:pPr>
            <w:r w:rsidRPr="00B22868">
              <w:rPr>
                <w:rFonts w:ascii="Calibri" w:eastAsia="Times New Roman" w:hAnsi="Calibri" w:cs="Times New Roman"/>
                <w:sz w:val="20"/>
                <w:szCs w:val="20"/>
              </w:rPr>
              <w:t>Inefficient re-extraction operations, reduce uranyl nitrate extraction in Module 2 resulting in more U in Module 2 waste</w:t>
            </w:r>
          </w:p>
        </w:tc>
        <w:tc>
          <w:tcPr>
            <w:tcW w:w="925"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4</w:t>
            </w:r>
          </w:p>
        </w:tc>
      </w:tr>
      <w:tr w:rsidR="00B22868" w:rsidRPr="00B22868" w:rsidTr="00FD70EC">
        <w:trPr>
          <w:trHeight w:val="510"/>
          <w:jc w:val="center"/>
        </w:trPr>
        <w:tc>
          <w:tcPr>
            <w:tcW w:w="1069"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yes</w:t>
            </w:r>
          </w:p>
        </w:tc>
        <w:tc>
          <w:tcPr>
            <w:tcW w:w="1145"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Yes</w:t>
            </w:r>
          </w:p>
        </w:tc>
        <w:tc>
          <w:tcPr>
            <w:tcW w:w="993"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Possibly</w:t>
            </w:r>
          </w:p>
        </w:tc>
        <w:tc>
          <w:tcPr>
            <w:tcW w:w="993"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Possibly</w:t>
            </w:r>
          </w:p>
        </w:tc>
        <w:tc>
          <w:tcPr>
            <w:tcW w:w="1031"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Yes</w:t>
            </w:r>
          </w:p>
        </w:tc>
        <w:tc>
          <w:tcPr>
            <w:tcW w:w="2644" w:type="dxa"/>
            <w:tcBorders>
              <w:top w:val="nil"/>
              <w:left w:val="nil"/>
              <w:bottom w:val="single" w:sz="4" w:space="0" w:color="auto"/>
              <w:right w:val="nil"/>
            </w:tcBorders>
            <w:shd w:val="clear" w:color="auto" w:fill="auto"/>
            <w:vAlign w:val="bottom"/>
            <w:hideMark/>
          </w:tcPr>
          <w:p w:rsidR="00B22868" w:rsidRPr="00B22868" w:rsidRDefault="00B22868" w:rsidP="00B22868">
            <w:pPr>
              <w:spacing w:after="0" w:line="240" w:lineRule="auto"/>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Slight diversion from the evaporator in Module 3</w:t>
            </w:r>
          </w:p>
        </w:tc>
        <w:tc>
          <w:tcPr>
            <w:tcW w:w="925"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5</w:t>
            </w:r>
          </w:p>
        </w:tc>
      </w:tr>
      <w:tr w:rsidR="00B22868" w:rsidRPr="00B22868" w:rsidTr="00FD70EC">
        <w:trPr>
          <w:trHeight w:val="510"/>
          <w:jc w:val="center"/>
        </w:trPr>
        <w:tc>
          <w:tcPr>
            <w:tcW w:w="1069"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Yes</w:t>
            </w:r>
          </w:p>
        </w:tc>
        <w:tc>
          <w:tcPr>
            <w:tcW w:w="1145"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Possibly</w:t>
            </w:r>
          </w:p>
        </w:tc>
        <w:tc>
          <w:tcPr>
            <w:tcW w:w="993"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No</w:t>
            </w:r>
          </w:p>
        </w:tc>
        <w:tc>
          <w:tcPr>
            <w:tcW w:w="993"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No</w:t>
            </w:r>
          </w:p>
        </w:tc>
        <w:tc>
          <w:tcPr>
            <w:tcW w:w="1031"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Possibly</w:t>
            </w:r>
          </w:p>
        </w:tc>
        <w:tc>
          <w:tcPr>
            <w:tcW w:w="2644" w:type="dxa"/>
            <w:tcBorders>
              <w:top w:val="nil"/>
              <w:left w:val="nil"/>
              <w:bottom w:val="single" w:sz="4" w:space="0" w:color="auto"/>
              <w:right w:val="nil"/>
            </w:tcBorders>
            <w:shd w:val="clear" w:color="auto" w:fill="auto"/>
            <w:vAlign w:val="bottom"/>
            <w:hideMark/>
          </w:tcPr>
          <w:p w:rsidR="00B22868" w:rsidRPr="00B22868" w:rsidRDefault="00B22868" w:rsidP="00B22868">
            <w:pPr>
              <w:spacing w:after="0" w:line="240" w:lineRule="auto"/>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Addition of uranyl nitrate to the precipitation process</w:t>
            </w:r>
          </w:p>
        </w:tc>
        <w:tc>
          <w:tcPr>
            <w:tcW w:w="925"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6</w:t>
            </w:r>
          </w:p>
        </w:tc>
      </w:tr>
      <w:tr w:rsidR="00B22868" w:rsidRPr="00B22868" w:rsidTr="00FD70EC">
        <w:trPr>
          <w:trHeight w:val="510"/>
          <w:jc w:val="center"/>
        </w:trPr>
        <w:tc>
          <w:tcPr>
            <w:tcW w:w="1069"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Yes</w:t>
            </w:r>
          </w:p>
        </w:tc>
        <w:tc>
          <w:tcPr>
            <w:tcW w:w="1145"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0, No</w:t>
            </w:r>
          </w:p>
        </w:tc>
        <w:tc>
          <w:tcPr>
            <w:tcW w:w="993"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0, No</w:t>
            </w:r>
          </w:p>
        </w:tc>
        <w:tc>
          <w:tcPr>
            <w:tcW w:w="993"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0, No</w:t>
            </w:r>
          </w:p>
        </w:tc>
        <w:tc>
          <w:tcPr>
            <w:tcW w:w="1031"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0, No</w:t>
            </w:r>
          </w:p>
        </w:tc>
        <w:tc>
          <w:tcPr>
            <w:tcW w:w="2644" w:type="dxa"/>
            <w:tcBorders>
              <w:top w:val="nil"/>
              <w:left w:val="nil"/>
              <w:bottom w:val="single" w:sz="4" w:space="0" w:color="auto"/>
              <w:right w:val="nil"/>
            </w:tcBorders>
            <w:shd w:val="clear" w:color="auto" w:fill="auto"/>
            <w:vAlign w:val="bottom"/>
            <w:hideMark/>
          </w:tcPr>
          <w:p w:rsidR="00B22868" w:rsidRPr="00B22868" w:rsidRDefault="00B22868" w:rsidP="00B22868">
            <w:pPr>
              <w:spacing w:after="0" w:line="240" w:lineRule="auto"/>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Diversion of uranium in Module 5</w:t>
            </w:r>
          </w:p>
        </w:tc>
        <w:tc>
          <w:tcPr>
            <w:tcW w:w="925"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9, 10, 11</w:t>
            </w:r>
          </w:p>
        </w:tc>
      </w:tr>
      <w:tr w:rsidR="00B22868" w:rsidRPr="00B22868" w:rsidTr="00FD70EC">
        <w:trPr>
          <w:trHeight w:val="765"/>
          <w:jc w:val="center"/>
        </w:trPr>
        <w:tc>
          <w:tcPr>
            <w:tcW w:w="1069"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Yes</w:t>
            </w:r>
          </w:p>
        </w:tc>
        <w:tc>
          <w:tcPr>
            <w:tcW w:w="1145"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Possibly</w:t>
            </w:r>
          </w:p>
        </w:tc>
        <w:tc>
          <w:tcPr>
            <w:tcW w:w="993"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Possibly</w:t>
            </w:r>
          </w:p>
        </w:tc>
        <w:tc>
          <w:tcPr>
            <w:tcW w:w="993"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No</w:t>
            </w:r>
          </w:p>
        </w:tc>
        <w:tc>
          <w:tcPr>
            <w:tcW w:w="1031"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No</w:t>
            </w:r>
          </w:p>
        </w:tc>
        <w:tc>
          <w:tcPr>
            <w:tcW w:w="2644" w:type="dxa"/>
            <w:tcBorders>
              <w:top w:val="nil"/>
              <w:left w:val="nil"/>
              <w:bottom w:val="single" w:sz="4" w:space="0" w:color="auto"/>
              <w:right w:val="nil"/>
            </w:tcBorders>
            <w:shd w:val="clear" w:color="auto" w:fill="auto"/>
            <w:vAlign w:val="bottom"/>
            <w:hideMark/>
          </w:tcPr>
          <w:p w:rsidR="00B22868" w:rsidRPr="00B22868" w:rsidRDefault="00B22868" w:rsidP="00B22868">
            <w:pPr>
              <w:spacing w:after="0" w:line="240" w:lineRule="auto"/>
              <w:rPr>
                <w:rFonts w:ascii="Calibri" w:eastAsia="Times New Roman" w:hAnsi="Calibri" w:cs="Times New Roman"/>
                <w:sz w:val="20"/>
                <w:szCs w:val="20"/>
              </w:rPr>
            </w:pPr>
            <w:r w:rsidRPr="00B22868">
              <w:rPr>
                <w:rFonts w:ascii="Calibri" w:eastAsia="Times New Roman" w:hAnsi="Calibri" w:cs="Times New Roman"/>
                <w:sz w:val="20"/>
                <w:szCs w:val="20"/>
              </w:rPr>
              <w:t>Increased throughput of uranium and diverted a fraction of final product</w:t>
            </w:r>
          </w:p>
        </w:tc>
        <w:tc>
          <w:tcPr>
            <w:tcW w:w="925"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12</w:t>
            </w:r>
          </w:p>
        </w:tc>
      </w:tr>
      <w:tr w:rsidR="00B22868" w:rsidRPr="00B22868" w:rsidTr="00FD70EC">
        <w:trPr>
          <w:trHeight w:val="765"/>
          <w:jc w:val="center"/>
        </w:trPr>
        <w:tc>
          <w:tcPr>
            <w:tcW w:w="1069"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Yes</w:t>
            </w:r>
          </w:p>
        </w:tc>
        <w:tc>
          <w:tcPr>
            <w:tcW w:w="1145"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Possibly</w:t>
            </w:r>
          </w:p>
        </w:tc>
        <w:tc>
          <w:tcPr>
            <w:tcW w:w="993"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0, No</w:t>
            </w:r>
          </w:p>
        </w:tc>
        <w:tc>
          <w:tcPr>
            <w:tcW w:w="993"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0, No</w:t>
            </w:r>
          </w:p>
        </w:tc>
        <w:tc>
          <w:tcPr>
            <w:tcW w:w="1031"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Not likely</w:t>
            </w:r>
          </w:p>
        </w:tc>
        <w:tc>
          <w:tcPr>
            <w:tcW w:w="2644" w:type="dxa"/>
            <w:tcBorders>
              <w:top w:val="nil"/>
              <w:left w:val="nil"/>
              <w:bottom w:val="single" w:sz="4" w:space="0" w:color="auto"/>
              <w:right w:val="nil"/>
            </w:tcBorders>
            <w:shd w:val="clear" w:color="auto" w:fill="auto"/>
            <w:vAlign w:val="bottom"/>
            <w:hideMark/>
          </w:tcPr>
          <w:p w:rsidR="00B22868" w:rsidRPr="00B22868" w:rsidRDefault="00B22868" w:rsidP="00B22868">
            <w:pPr>
              <w:spacing w:after="0" w:line="240" w:lineRule="auto"/>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Multiple inefficient operations resulting more U in more than one waste stream</w:t>
            </w:r>
          </w:p>
        </w:tc>
        <w:tc>
          <w:tcPr>
            <w:tcW w:w="925"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13</w:t>
            </w:r>
          </w:p>
        </w:tc>
      </w:tr>
      <w:tr w:rsidR="00B22868" w:rsidRPr="00B22868" w:rsidTr="00FD70EC">
        <w:trPr>
          <w:trHeight w:val="1305"/>
          <w:jc w:val="center"/>
        </w:trPr>
        <w:tc>
          <w:tcPr>
            <w:tcW w:w="1069"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Yes</w:t>
            </w:r>
          </w:p>
        </w:tc>
        <w:tc>
          <w:tcPr>
            <w:tcW w:w="1145"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Yes</w:t>
            </w:r>
          </w:p>
        </w:tc>
        <w:tc>
          <w:tcPr>
            <w:tcW w:w="993"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Possibly</w:t>
            </w:r>
          </w:p>
        </w:tc>
        <w:tc>
          <w:tcPr>
            <w:tcW w:w="993"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Possibly</w:t>
            </w:r>
          </w:p>
        </w:tc>
        <w:tc>
          <w:tcPr>
            <w:tcW w:w="1031"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Yes</w:t>
            </w:r>
          </w:p>
        </w:tc>
        <w:tc>
          <w:tcPr>
            <w:tcW w:w="2644" w:type="dxa"/>
            <w:tcBorders>
              <w:top w:val="nil"/>
              <w:left w:val="nil"/>
              <w:bottom w:val="single" w:sz="4" w:space="0" w:color="auto"/>
              <w:right w:val="nil"/>
            </w:tcBorders>
            <w:shd w:val="clear" w:color="auto" w:fill="auto"/>
            <w:vAlign w:val="bottom"/>
            <w:hideMark/>
          </w:tcPr>
          <w:p w:rsidR="00B22868" w:rsidRPr="00B22868" w:rsidRDefault="00B22868" w:rsidP="00B22868">
            <w:pPr>
              <w:spacing w:after="0" w:line="240" w:lineRule="auto"/>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Inefficient dissolver operations resulting in a reduction of  the amount of U</w:t>
            </w:r>
            <w:r w:rsidRPr="00B22868">
              <w:rPr>
                <w:rFonts w:ascii="Calibri" w:eastAsia="Times New Roman" w:hAnsi="Calibri" w:cs="Times New Roman"/>
                <w:color w:val="000000"/>
                <w:sz w:val="20"/>
                <w:szCs w:val="20"/>
                <w:vertAlign w:val="subscript"/>
              </w:rPr>
              <w:t>3</w:t>
            </w:r>
            <w:r w:rsidRPr="00B22868">
              <w:rPr>
                <w:rFonts w:ascii="Calibri" w:eastAsia="Times New Roman" w:hAnsi="Calibri" w:cs="Times New Roman"/>
                <w:color w:val="000000"/>
                <w:sz w:val="20"/>
                <w:szCs w:val="20"/>
              </w:rPr>
              <w:t>O</w:t>
            </w:r>
            <w:r w:rsidRPr="00B22868">
              <w:rPr>
                <w:rFonts w:ascii="Calibri" w:eastAsia="Times New Roman" w:hAnsi="Calibri" w:cs="Times New Roman"/>
                <w:color w:val="000000"/>
                <w:sz w:val="20"/>
                <w:szCs w:val="20"/>
                <w:vertAlign w:val="subscript"/>
              </w:rPr>
              <w:t>8</w:t>
            </w:r>
            <w:r w:rsidRPr="00B22868">
              <w:rPr>
                <w:rFonts w:ascii="Calibri" w:eastAsia="Times New Roman" w:hAnsi="Calibri" w:cs="Times New Roman"/>
                <w:color w:val="000000"/>
                <w:sz w:val="20"/>
                <w:szCs w:val="20"/>
              </w:rPr>
              <w:t xml:space="preserve"> converted to UN and more U in waste streams</w:t>
            </w:r>
          </w:p>
        </w:tc>
        <w:tc>
          <w:tcPr>
            <w:tcW w:w="925"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3</w:t>
            </w:r>
          </w:p>
        </w:tc>
      </w:tr>
      <w:tr w:rsidR="00B22868" w:rsidRPr="00B22868" w:rsidTr="00FD70EC">
        <w:trPr>
          <w:trHeight w:val="1290"/>
          <w:jc w:val="center"/>
        </w:trPr>
        <w:tc>
          <w:tcPr>
            <w:tcW w:w="1069" w:type="dxa"/>
            <w:tcBorders>
              <w:top w:val="nil"/>
              <w:left w:val="nil"/>
              <w:bottom w:val="single" w:sz="8"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Yes</w:t>
            </w:r>
          </w:p>
        </w:tc>
        <w:tc>
          <w:tcPr>
            <w:tcW w:w="1145" w:type="dxa"/>
            <w:tcBorders>
              <w:top w:val="nil"/>
              <w:left w:val="nil"/>
              <w:bottom w:val="single" w:sz="8"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Not likely</w:t>
            </w:r>
          </w:p>
        </w:tc>
        <w:tc>
          <w:tcPr>
            <w:tcW w:w="993" w:type="dxa"/>
            <w:tcBorders>
              <w:top w:val="nil"/>
              <w:left w:val="nil"/>
              <w:bottom w:val="single" w:sz="8"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No</w:t>
            </w:r>
          </w:p>
        </w:tc>
        <w:tc>
          <w:tcPr>
            <w:tcW w:w="993" w:type="dxa"/>
            <w:tcBorders>
              <w:top w:val="nil"/>
              <w:left w:val="nil"/>
              <w:bottom w:val="single" w:sz="8"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No</w:t>
            </w:r>
          </w:p>
        </w:tc>
        <w:tc>
          <w:tcPr>
            <w:tcW w:w="1031" w:type="dxa"/>
            <w:tcBorders>
              <w:top w:val="nil"/>
              <w:left w:val="nil"/>
              <w:bottom w:val="single" w:sz="8"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No</w:t>
            </w:r>
          </w:p>
        </w:tc>
        <w:tc>
          <w:tcPr>
            <w:tcW w:w="2644" w:type="dxa"/>
            <w:tcBorders>
              <w:top w:val="nil"/>
              <w:left w:val="nil"/>
              <w:bottom w:val="single" w:sz="8" w:space="0" w:color="auto"/>
              <w:right w:val="nil"/>
            </w:tcBorders>
            <w:shd w:val="clear" w:color="auto" w:fill="auto"/>
            <w:vAlign w:val="bottom"/>
            <w:hideMark/>
          </w:tcPr>
          <w:p w:rsidR="00B22868" w:rsidRPr="00B22868" w:rsidRDefault="00B22868" w:rsidP="00B22868">
            <w:pPr>
              <w:spacing w:after="0" w:line="240" w:lineRule="auto"/>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xml:space="preserve">Inefficient separation downstream of the </w:t>
            </w:r>
            <w:proofErr w:type="spellStart"/>
            <w:r w:rsidRPr="00B22868">
              <w:rPr>
                <w:rFonts w:ascii="Calibri" w:eastAsia="Times New Roman" w:hAnsi="Calibri" w:cs="Times New Roman"/>
                <w:color w:val="000000"/>
                <w:sz w:val="20"/>
                <w:szCs w:val="20"/>
              </w:rPr>
              <w:t>hydrofluorination</w:t>
            </w:r>
            <w:proofErr w:type="spellEnd"/>
            <w:r w:rsidRPr="00B22868">
              <w:rPr>
                <w:rFonts w:ascii="Calibri" w:eastAsia="Times New Roman" w:hAnsi="Calibri" w:cs="Times New Roman"/>
                <w:color w:val="000000"/>
                <w:sz w:val="20"/>
                <w:szCs w:val="20"/>
              </w:rPr>
              <w:t xml:space="preserve"> reaction results in more U in Module 4 waste</w:t>
            </w:r>
          </w:p>
        </w:tc>
        <w:tc>
          <w:tcPr>
            <w:tcW w:w="925" w:type="dxa"/>
            <w:tcBorders>
              <w:top w:val="nil"/>
              <w:left w:val="nil"/>
              <w:bottom w:val="single" w:sz="8"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8</w:t>
            </w:r>
          </w:p>
        </w:tc>
      </w:tr>
    </w:tbl>
    <w:p w:rsidR="00B22868" w:rsidRDefault="00B22868"/>
    <w:p w:rsidR="00FD70EC" w:rsidRDefault="00FD70EC">
      <w:r>
        <w:br w:type="page"/>
      </w:r>
    </w:p>
    <w:tbl>
      <w:tblPr>
        <w:tblW w:w="8800" w:type="dxa"/>
        <w:jc w:val="center"/>
        <w:tblInd w:w="93" w:type="dxa"/>
        <w:tblLook w:val="04A0" w:firstRow="1" w:lastRow="0" w:firstColumn="1" w:lastColumn="0" w:noHBand="0" w:noVBand="1"/>
      </w:tblPr>
      <w:tblGrid>
        <w:gridCol w:w="1063"/>
        <w:gridCol w:w="1148"/>
        <w:gridCol w:w="995"/>
        <w:gridCol w:w="995"/>
        <w:gridCol w:w="1033"/>
        <w:gridCol w:w="2641"/>
        <w:gridCol w:w="925"/>
      </w:tblGrid>
      <w:tr w:rsidR="00B22868" w:rsidRPr="00B22868" w:rsidTr="00FD70EC">
        <w:trPr>
          <w:trHeight w:val="270"/>
          <w:jc w:val="center"/>
        </w:trPr>
        <w:tc>
          <w:tcPr>
            <w:tcW w:w="8800" w:type="dxa"/>
            <w:gridSpan w:val="7"/>
            <w:tcBorders>
              <w:top w:val="nil"/>
              <w:left w:val="nil"/>
              <w:bottom w:val="single" w:sz="8" w:space="0" w:color="auto"/>
              <w:right w:val="nil"/>
            </w:tcBorders>
            <w:shd w:val="clear" w:color="auto" w:fill="auto"/>
            <w:vAlign w:val="center"/>
            <w:hideMark/>
          </w:tcPr>
          <w:p w:rsidR="00B22868" w:rsidRPr="00B22868" w:rsidRDefault="00B22868" w:rsidP="007819F5">
            <w:pPr>
              <w:spacing w:after="0" w:line="240" w:lineRule="auto"/>
              <w:jc w:val="center"/>
              <w:rPr>
                <w:rFonts w:ascii="Calibri" w:eastAsia="Times New Roman" w:hAnsi="Calibri" w:cs="Times New Roman"/>
                <w:b/>
                <w:bCs/>
                <w:color w:val="000000"/>
                <w:sz w:val="20"/>
                <w:szCs w:val="20"/>
              </w:rPr>
            </w:pPr>
            <w:r w:rsidRPr="00B22868">
              <w:rPr>
                <w:rFonts w:ascii="Calibri" w:eastAsia="Times New Roman" w:hAnsi="Calibri" w:cs="Times New Roman"/>
                <w:b/>
                <w:bCs/>
                <w:color w:val="000000"/>
                <w:sz w:val="20"/>
                <w:szCs w:val="20"/>
              </w:rPr>
              <w:lastRenderedPageBreak/>
              <w:t>Table 4.3</w:t>
            </w:r>
            <w:r w:rsidR="007819F5">
              <w:rPr>
                <w:rFonts w:ascii="Calibri" w:eastAsia="Times New Roman" w:hAnsi="Calibri" w:cs="Times New Roman"/>
                <w:b/>
                <w:bCs/>
                <w:color w:val="000000"/>
                <w:sz w:val="20"/>
                <w:szCs w:val="20"/>
              </w:rPr>
              <w:t>6</w:t>
            </w:r>
            <w:r w:rsidRPr="00B22868">
              <w:rPr>
                <w:rFonts w:ascii="Calibri" w:eastAsia="Times New Roman" w:hAnsi="Calibri" w:cs="Times New Roman"/>
                <w:b/>
                <w:bCs/>
                <w:color w:val="000000"/>
                <w:sz w:val="20"/>
                <w:szCs w:val="20"/>
              </w:rPr>
              <w:t>. Lookup Table of Possible Faults Based on Results from PCA Diagnostic Plots (continued)</w:t>
            </w:r>
          </w:p>
        </w:tc>
      </w:tr>
      <w:tr w:rsidR="00B22868" w:rsidRPr="00B22868" w:rsidTr="00FD70EC">
        <w:trPr>
          <w:trHeight w:val="255"/>
          <w:jc w:val="center"/>
        </w:trPr>
        <w:tc>
          <w:tcPr>
            <w:tcW w:w="5234" w:type="dxa"/>
            <w:gridSpan w:val="5"/>
            <w:tcBorders>
              <w:top w:val="single" w:sz="8" w:space="0" w:color="auto"/>
              <w:left w:val="nil"/>
              <w:bottom w:val="nil"/>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b/>
                <w:bCs/>
                <w:color w:val="000000"/>
                <w:sz w:val="20"/>
                <w:szCs w:val="20"/>
              </w:rPr>
            </w:pPr>
            <w:r w:rsidRPr="00B22868">
              <w:rPr>
                <w:rFonts w:ascii="Calibri" w:eastAsia="Times New Roman" w:hAnsi="Calibri" w:cs="Times New Roman"/>
                <w:b/>
                <w:bCs/>
                <w:color w:val="000000"/>
                <w:sz w:val="20"/>
                <w:szCs w:val="20"/>
              </w:rPr>
              <w:t>Faults (Direction, Detectable)</w:t>
            </w:r>
          </w:p>
        </w:tc>
        <w:tc>
          <w:tcPr>
            <w:tcW w:w="2641" w:type="dxa"/>
            <w:vMerge w:val="restart"/>
            <w:tcBorders>
              <w:top w:val="nil"/>
              <w:left w:val="nil"/>
              <w:bottom w:val="single" w:sz="4" w:space="0" w:color="000000"/>
              <w:right w:val="nil"/>
            </w:tcBorders>
            <w:shd w:val="clear" w:color="auto" w:fill="auto"/>
            <w:vAlign w:val="bottom"/>
            <w:hideMark/>
          </w:tcPr>
          <w:p w:rsidR="00B22868" w:rsidRPr="00B22868" w:rsidRDefault="00B22868" w:rsidP="00B22868">
            <w:pPr>
              <w:spacing w:after="0" w:line="240" w:lineRule="auto"/>
              <w:jc w:val="center"/>
              <w:rPr>
                <w:rFonts w:ascii="Calibri" w:eastAsia="Times New Roman" w:hAnsi="Calibri" w:cs="Times New Roman"/>
                <w:b/>
                <w:bCs/>
                <w:color w:val="000000"/>
                <w:sz w:val="20"/>
                <w:szCs w:val="20"/>
              </w:rPr>
            </w:pPr>
            <w:r w:rsidRPr="00B22868">
              <w:rPr>
                <w:rFonts w:ascii="Calibri" w:eastAsia="Times New Roman" w:hAnsi="Calibri" w:cs="Times New Roman"/>
                <w:b/>
                <w:bCs/>
                <w:color w:val="000000"/>
                <w:sz w:val="20"/>
                <w:szCs w:val="20"/>
              </w:rPr>
              <w:t>Possible Cause of Fault</w:t>
            </w:r>
          </w:p>
        </w:tc>
        <w:tc>
          <w:tcPr>
            <w:tcW w:w="925" w:type="dxa"/>
            <w:tcBorders>
              <w:top w:val="nil"/>
              <w:left w:val="nil"/>
              <w:bottom w:val="nil"/>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b/>
                <w:bCs/>
                <w:color w:val="000000"/>
                <w:sz w:val="20"/>
                <w:szCs w:val="20"/>
              </w:rPr>
            </w:pPr>
            <w:r w:rsidRPr="00B22868">
              <w:rPr>
                <w:rFonts w:ascii="Calibri" w:eastAsia="Times New Roman" w:hAnsi="Calibri" w:cs="Times New Roman"/>
                <w:b/>
                <w:bCs/>
                <w:color w:val="000000"/>
                <w:sz w:val="20"/>
                <w:szCs w:val="20"/>
              </w:rPr>
              <w:t>Example</w:t>
            </w:r>
          </w:p>
        </w:tc>
      </w:tr>
      <w:tr w:rsidR="00B22868" w:rsidRPr="00B22868" w:rsidTr="00FD70EC">
        <w:trPr>
          <w:trHeight w:val="255"/>
          <w:jc w:val="center"/>
        </w:trPr>
        <w:tc>
          <w:tcPr>
            <w:tcW w:w="1063"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b/>
                <w:bCs/>
                <w:color w:val="000000"/>
                <w:sz w:val="20"/>
                <w:szCs w:val="20"/>
              </w:rPr>
            </w:pPr>
            <w:r w:rsidRPr="00B22868">
              <w:rPr>
                <w:rFonts w:ascii="Calibri" w:eastAsia="Times New Roman" w:hAnsi="Calibri" w:cs="Times New Roman"/>
                <w:b/>
                <w:bCs/>
                <w:color w:val="000000"/>
                <w:sz w:val="20"/>
                <w:szCs w:val="20"/>
              </w:rPr>
              <w:t>Q</w:t>
            </w:r>
          </w:p>
        </w:tc>
        <w:tc>
          <w:tcPr>
            <w:tcW w:w="1148"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b/>
                <w:bCs/>
                <w:color w:val="000000"/>
                <w:sz w:val="20"/>
                <w:szCs w:val="20"/>
              </w:rPr>
            </w:pPr>
            <w:r w:rsidRPr="00B22868">
              <w:rPr>
                <w:rFonts w:ascii="Calibri" w:eastAsia="Times New Roman" w:hAnsi="Calibri" w:cs="Times New Roman"/>
                <w:b/>
                <w:bCs/>
                <w:color w:val="000000"/>
                <w:sz w:val="20"/>
                <w:szCs w:val="20"/>
              </w:rPr>
              <w:t>T2</w:t>
            </w:r>
          </w:p>
        </w:tc>
        <w:tc>
          <w:tcPr>
            <w:tcW w:w="995" w:type="dxa"/>
            <w:tcBorders>
              <w:top w:val="nil"/>
              <w:left w:val="nil"/>
              <w:bottom w:val="single" w:sz="4" w:space="0" w:color="auto"/>
              <w:right w:val="nil"/>
            </w:tcBorders>
            <w:shd w:val="clear" w:color="auto" w:fill="auto"/>
            <w:vAlign w:val="center"/>
            <w:hideMark/>
          </w:tcPr>
          <w:p w:rsidR="00B22868" w:rsidRDefault="00B22868" w:rsidP="00B22868">
            <w:pPr>
              <w:spacing w:after="0" w:line="240" w:lineRule="auto"/>
              <w:jc w:val="center"/>
              <w:rPr>
                <w:rFonts w:ascii="Calibri" w:eastAsia="Times New Roman" w:hAnsi="Calibri" w:cs="Times New Roman"/>
                <w:b/>
                <w:bCs/>
                <w:sz w:val="20"/>
                <w:szCs w:val="20"/>
              </w:rPr>
            </w:pPr>
            <w:r w:rsidRPr="00B22868">
              <w:rPr>
                <w:rFonts w:ascii="Calibri" w:eastAsia="Times New Roman" w:hAnsi="Calibri" w:cs="Times New Roman"/>
                <w:b/>
                <w:bCs/>
                <w:sz w:val="20"/>
                <w:szCs w:val="20"/>
              </w:rPr>
              <w:t>PC1</w:t>
            </w:r>
          </w:p>
          <w:p w:rsidR="007819F5" w:rsidRPr="00B22868" w:rsidRDefault="007819F5" w:rsidP="00B22868">
            <w:pPr>
              <w:spacing w:after="0" w:line="240" w:lineRule="auto"/>
              <w:jc w:val="center"/>
              <w:rPr>
                <w:rFonts w:ascii="Calibri" w:eastAsia="Times New Roman" w:hAnsi="Calibri" w:cs="Times New Roman"/>
                <w:b/>
                <w:bCs/>
                <w:sz w:val="20"/>
                <w:szCs w:val="20"/>
              </w:rPr>
            </w:pPr>
            <w:r>
              <w:rPr>
                <w:rFonts w:ascii="Calibri" w:eastAsia="Times New Roman" w:hAnsi="Calibri" w:cs="Times New Roman"/>
                <w:b/>
                <w:bCs/>
                <w:sz w:val="20"/>
                <w:szCs w:val="20"/>
              </w:rPr>
              <w:t>Scores</w:t>
            </w:r>
          </w:p>
        </w:tc>
        <w:tc>
          <w:tcPr>
            <w:tcW w:w="995" w:type="dxa"/>
            <w:tcBorders>
              <w:top w:val="nil"/>
              <w:left w:val="nil"/>
              <w:bottom w:val="single" w:sz="4" w:space="0" w:color="auto"/>
              <w:right w:val="nil"/>
            </w:tcBorders>
            <w:shd w:val="clear" w:color="auto" w:fill="auto"/>
            <w:vAlign w:val="center"/>
            <w:hideMark/>
          </w:tcPr>
          <w:p w:rsidR="00B22868" w:rsidRDefault="00B22868" w:rsidP="00B22868">
            <w:pPr>
              <w:spacing w:after="0" w:line="240" w:lineRule="auto"/>
              <w:jc w:val="center"/>
              <w:rPr>
                <w:rFonts w:ascii="Calibri" w:eastAsia="Times New Roman" w:hAnsi="Calibri" w:cs="Times New Roman"/>
                <w:b/>
                <w:bCs/>
                <w:color w:val="000000"/>
                <w:sz w:val="20"/>
                <w:szCs w:val="20"/>
              </w:rPr>
            </w:pPr>
            <w:r w:rsidRPr="00B22868">
              <w:rPr>
                <w:rFonts w:ascii="Calibri" w:eastAsia="Times New Roman" w:hAnsi="Calibri" w:cs="Times New Roman"/>
                <w:b/>
                <w:bCs/>
                <w:color w:val="000000"/>
                <w:sz w:val="20"/>
                <w:szCs w:val="20"/>
              </w:rPr>
              <w:t>PC2</w:t>
            </w:r>
          </w:p>
          <w:p w:rsidR="007819F5" w:rsidRPr="00B22868" w:rsidRDefault="007819F5" w:rsidP="00B22868">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1033" w:type="dxa"/>
            <w:tcBorders>
              <w:top w:val="nil"/>
              <w:left w:val="nil"/>
              <w:bottom w:val="single" w:sz="4" w:space="0" w:color="auto"/>
              <w:right w:val="nil"/>
            </w:tcBorders>
            <w:shd w:val="clear" w:color="auto" w:fill="auto"/>
            <w:vAlign w:val="center"/>
            <w:hideMark/>
          </w:tcPr>
          <w:p w:rsidR="00B22868" w:rsidRDefault="00B22868" w:rsidP="00B22868">
            <w:pPr>
              <w:spacing w:after="0" w:line="240" w:lineRule="auto"/>
              <w:jc w:val="center"/>
              <w:rPr>
                <w:rFonts w:ascii="Calibri" w:eastAsia="Times New Roman" w:hAnsi="Calibri" w:cs="Times New Roman"/>
                <w:b/>
                <w:bCs/>
                <w:color w:val="000000"/>
                <w:sz w:val="20"/>
                <w:szCs w:val="20"/>
              </w:rPr>
            </w:pPr>
            <w:r w:rsidRPr="00B22868">
              <w:rPr>
                <w:rFonts w:ascii="Calibri" w:eastAsia="Times New Roman" w:hAnsi="Calibri" w:cs="Times New Roman"/>
                <w:b/>
                <w:bCs/>
                <w:color w:val="000000"/>
                <w:sz w:val="20"/>
                <w:szCs w:val="20"/>
              </w:rPr>
              <w:t>PC3</w:t>
            </w:r>
          </w:p>
          <w:p w:rsidR="007819F5" w:rsidRPr="00B22868" w:rsidRDefault="007819F5" w:rsidP="00B22868">
            <w:pPr>
              <w:spacing w:after="0" w:line="240" w:lineRule="auto"/>
              <w:jc w:val="center"/>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Scores</w:t>
            </w:r>
          </w:p>
        </w:tc>
        <w:tc>
          <w:tcPr>
            <w:tcW w:w="2641" w:type="dxa"/>
            <w:vMerge/>
            <w:tcBorders>
              <w:top w:val="nil"/>
              <w:left w:val="nil"/>
              <w:bottom w:val="single" w:sz="4" w:space="0" w:color="000000"/>
              <w:right w:val="nil"/>
            </w:tcBorders>
            <w:vAlign w:val="center"/>
            <w:hideMark/>
          </w:tcPr>
          <w:p w:rsidR="00B22868" w:rsidRPr="00B22868" w:rsidRDefault="00B22868" w:rsidP="00B22868">
            <w:pPr>
              <w:spacing w:after="0" w:line="240" w:lineRule="auto"/>
              <w:rPr>
                <w:rFonts w:ascii="Calibri" w:eastAsia="Times New Roman" w:hAnsi="Calibri" w:cs="Times New Roman"/>
                <w:b/>
                <w:bCs/>
                <w:color w:val="000000"/>
                <w:sz w:val="20"/>
                <w:szCs w:val="20"/>
              </w:rPr>
            </w:pPr>
          </w:p>
        </w:tc>
        <w:tc>
          <w:tcPr>
            <w:tcW w:w="925"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b/>
                <w:bCs/>
                <w:color w:val="000000"/>
                <w:sz w:val="20"/>
                <w:szCs w:val="20"/>
              </w:rPr>
            </w:pPr>
            <w:r w:rsidRPr="00B22868">
              <w:rPr>
                <w:rFonts w:ascii="Calibri" w:eastAsia="Times New Roman" w:hAnsi="Calibri" w:cs="Times New Roman"/>
                <w:b/>
                <w:bCs/>
                <w:color w:val="000000"/>
                <w:sz w:val="20"/>
                <w:szCs w:val="20"/>
              </w:rPr>
              <w:t>Case</w:t>
            </w:r>
          </w:p>
        </w:tc>
      </w:tr>
      <w:tr w:rsidR="00B22868" w:rsidRPr="00B22868" w:rsidTr="00FD70EC">
        <w:trPr>
          <w:trHeight w:val="510"/>
          <w:jc w:val="center"/>
        </w:trPr>
        <w:tc>
          <w:tcPr>
            <w:tcW w:w="1063"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Yes</w:t>
            </w:r>
          </w:p>
        </w:tc>
        <w:tc>
          <w:tcPr>
            <w:tcW w:w="1148"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Possibly</w:t>
            </w:r>
          </w:p>
        </w:tc>
        <w:tc>
          <w:tcPr>
            <w:tcW w:w="995"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No</w:t>
            </w:r>
          </w:p>
        </w:tc>
        <w:tc>
          <w:tcPr>
            <w:tcW w:w="995"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No</w:t>
            </w:r>
          </w:p>
        </w:tc>
        <w:tc>
          <w:tcPr>
            <w:tcW w:w="1033"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Possibly</w:t>
            </w:r>
          </w:p>
        </w:tc>
        <w:tc>
          <w:tcPr>
            <w:tcW w:w="2641" w:type="dxa"/>
            <w:tcBorders>
              <w:top w:val="nil"/>
              <w:left w:val="nil"/>
              <w:bottom w:val="single" w:sz="4" w:space="0" w:color="auto"/>
              <w:right w:val="nil"/>
            </w:tcBorders>
            <w:shd w:val="clear" w:color="auto" w:fill="auto"/>
            <w:vAlign w:val="bottom"/>
            <w:hideMark/>
          </w:tcPr>
          <w:p w:rsidR="00B22868" w:rsidRPr="00B22868" w:rsidRDefault="00B22868" w:rsidP="00B22868">
            <w:pPr>
              <w:spacing w:after="0" w:line="240" w:lineRule="auto"/>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Decrease in impurities of uranium feed to plant</w:t>
            </w:r>
          </w:p>
        </w:tc>
        <w:tc>
          <w:tcPr>
            <w:tcW w:w="925"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2</w:t>
            </w:r>
          </w:p>
        </w:tc>
      </w:tr>
      <w:tr w:rsidR="00B22868" w:rsidRPr="00B22868" w:rsidTr="00FD70EC">
        <w:trPr>
          <w:trHeight w:val="1020"/>
          <w:jc w:val="center"/>
        </w:trPr>
        <w:tc>
          <w:tcPr>
            <w:tcW w:w="1063"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Yes</w:t>
            </w:r>
          </w:p>
        </w:tc>
        <w:tc>
          <w:tcPr>
            <w:tcW w:w="1148"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Possibly</w:t>
            </w:r>
          </w:p>
        </w:tc>
        <w:tc>
          <w:tcPr>
            <w:tcW w:w="995"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No</w:t>
            </w:r>
          </w:p>
        </w:tc>
        <w:tc>
          <w:tcPr>
            <w:tcW w:w="995"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No</w:t>
            </w:r>
          </w:p>
        </w:tc>
        <w:tc>
          <w:tcPr>
            <w:tcW w:w="1033"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Not likely</w:t>
            </w:r>
          </w:p>
        </w:tc>
        <w:tc>
          <w:tcPr>
            <w:tcW w:w="2641" w:type="dxa"/>
            <w:tcBorders>
              <w:top w:val="nil"/>
              <w:left w:val="nil"/>
              <w:bottom w:val="single" w:sz="4" w:space="0" w:color="auto"/>
              <w:right w:val="nil"/>
            </w:tcBorders>
            <w:shd w:val="clear" w:color="auto" w:fill="auto"/>
            <w:vAlign w:val="bottom"/>
            <w:hideMark/>
          </w:tcPr>
          <w:p w:rsidR="00B22868" w:rsidRPr="00B22868" w:rsidRDefault="00B22868" w:rsidP="00B22868">
            <w:pPr>
              <w:spacing w:after="0" w:line="240" w:lineRule="auto"/>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Inefficient precipitation process operations resulted in less UN converted AUC and more U in waste streams</w:t>
            </w:r>
          </w:p>
        </w:tc>
        <w:tc>
          <w:tcPr>
            <w:tcW w:w="925" w:type="dxa"/>
            <w:tcBorders>
              <w:top w:val="nil"/>
              <w:left w:val="nil"/>
              <w:bottom w:val="single" w:sz="4"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7</w:t>
            </w:r>
          </w:p>
        </w:tc>
      </w:tr>
      <w:tr w:rsidR="00B22868" w:rsidRPr="00B22868" w:rsidTr="00FD70EC">
        <w:trPr>
          <w:trHeight w:val="1320"/>
          <w:jc w:val="center"/>
        </w:trPr>
        <w:tc>
          <w:tcPr>
            <w:tcW w:w="1063" w:type="dxa"/>
            <w:tcBorders>
              <w:top w:val="nil"/>
              <w:left w:val="nil"/>
              <w:bottom w:val="single" w:sz="8"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Yes</w:t>
            </w:r>
          </w:p>
        </w:tc>
        <w:tc>
          <w:tcPr>
            <w:tcW w:w="1148" w:type="dxa"/>
            <w:tcBorders>
              <w:top w:val="nil"/>
              <w:left w:val="nil"/>
              <w:bottom w:val="single" w:sz="8"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Yes</w:t>
            </w:r>
          </w:p>
        </w:tc>
        <w:tc>
          <w:tcPr>
            <w:tcW w:w="995" w:type="dxa"/>
            <w:tcBorders>
              <w:top w:val="nil"/>
              <w:left w:val="nil"/>
              <w:bottom w:val="single" w:sz="8"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Possibly</w:t>
            </w:r>
          </w:p>
        </w:tc>
        <w:tc>
          <w:tcPr>
            <w:tcW w:w="995" w:type="dxa"/>
            <w:tcBorders>
              <w:top w:val="nil"/>
              <w:left w:val="nil"/>
              <w:bottom w:val="single" w:sz="8"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Possibly</w:t>
            </w:r>
          </w:p>
        </w:tc>
        <w:tc>
          <w:tcPr>
            <w:tcW w:w="1033" w:type="dxa"/>
            <w:tcBorders>
              <w:top w:val="nil"/>
              <w:left w:val="nil"/>
              <w:bottom w:val="single" w:sz="8"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 Yes</w:t>
            </w:r>
          </w:p>
        </w:tc>
        <w:tc>
          <w:tcPr>
            <w:tcW w:w="2641" w:type="dxa"/>
            <w:tcBorders>
              <w:top w:val="nil"/>
              <w:left w:val="nil"/>
              <w:bottom w:val="single" w:sz="8" w:space="0" w:color="auto"/>
              <w:right w:val="nil"/>
            </w:tcBorders>
            <w:shd w:val="clear" w:color="auto" w:fill="auto"/>
            <w:vAlign w:val="bottom"/>
            <w:hideMark/>
          </w:tcPr>
          <w:p w:rsidR="00B22868" w:rsidRPr="00B22868" w:rsidRDefault="00B22868" w:rsidP="00B22868">
            <w:pPr>
              <w:spacing w:after="0" w:line="240" w:lineRule="auto"/>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Decrease the impurities in the uranium feed and reduce the amount of U</w:t>
            </w:r>
            <w:r w:rsidRPr="00B22868">
              <w:rPr>
                <w:rFonts w:ascii="Calibri" w:eastAsia="Times New Roman" w:hAnsi="Calibri" w:cs="Times New Roman"/>
                <w:color w:val="000000"/>
                <w:sz w:val="20"/>
                <w:szCs w:val="20"/>
                <w:vertAlign w:val="subscript"/>
              </w:rPr>
              <w:t>3</w:t>
            </w:r>
            <w:r w:rsidRPr="00B22868">
              <w:rPr>
                <w:rFonts w:ascii="Calibri" w:eastAsia="Times New Roman" w:hAnsi="Calibri" w:cs="Times New Roman"/>
                <w:color w:val="000000"/>
                <w:sz w:val="20"/>
                <w:szCs w:val="20"/>
              </w:rPr>
              <w:t>O</w:t>
            </w:r>
            <w:r w:rsidRPr="00B22868">
              <w:rPr>
                <w:rFonts w:ascii="Calibri" w:eastAsia="Times New Roman" w:hAnsi="Calibri" w:cs="Times New Roman"/>
                <w:color w:val="000000"/>
                <w:sz w:val="20"/>
                <w:szCs w:val="20"/>
                <w:vertAlign w:val="subscript"/>
              </w:rPr>
              <w:t>8</w:t>
            </w:r>
            <w:r w:rsidRPr="00B22868">
              <w:rPr>
                <w:rFonts w:ascii="Calibri" w:eastAsia="Times New Roman" w:hAnsi="Calibri" w:cs="Times New Roman"/>
                <w:color w:val="000000"/>
                <w:sz w:val="20"/>
                <w:szCs w:val="20"/>
              </w:rPr>
              <w:t xml:space="preserve"> converted to UN resulting in more U in waste streams</w:t>
            </w:r>
          </w:p>
        </w:tc>
        <w:tc>
          <w:tcPr>
            <w:tcW w:w="925" w:type="dxa"/>
            <w:tcBorders>
              <w:top w:val="nil"/>
              <w:left w:val="nil"/>
              <w:bottom w:val="single" w:sz="8" w:space="0" w:color="auto"/>
              <w:right w:val="nil"/>
            </w:tcBorders>
            <w:shd w:val="clear" w:color="auto" w:fill="auto"/>
            <w:vAlign w:val="center"/>
            <w:hideMark/>
          </w:tcPr>
          <w:p w:rsidR="00B22868" w:rsidRPr="00B22868" w:rsidRDefault="00B22868" w:rsidP="00B22868">
            <w:pPr>
              <w:spacing w:after="0" w:line="240" w:lineRule="auto"/>
              <w:jc w:val="center"/>
              <w:rPr>
                <w:rFonts w:ascii="Calibri" w:eastAsia="Times New Roman" w:hAnsi="Calibri" w:cs="Times New Roman"/>
                <w:color w:val="000000"/>
                <w:sz w:val="20"/>
                <w:szCs w:val="20"/>
              </w:rPr>
            </w:pPr>
            <w:r w:rsidRPr="00B22868">
              <w:rPr>
                <w:rFonts w:ascii="Calibri" w:eastAsia="Times New Roman" w:hAnsi="Calibri" w:cs="Times New Roman"/>
                <w:color w:val="000000"/>
                <w:sz w:val="20"/>
                <w:szCs w:val="20"/>
              </w:rPr>
              <w:t>14</w:t>
            </w:r>
          </w:p>
        </w:tc>
      </w:tr>
    </w:tbl>
    <w:p w:rsidR="00B22868" w:rsidRDefault="00B22868"/>
    <w:p w:rsidR="00B22868" w:rsidRDefault="00B22868"/>
    <w:p w:rsidR="00060B2B" w:rsidRDefault="00060B2B" w:rsidP="0083379F">
      <w:pPr>
        <w:rPr>
          <w:rFonts w:eastAsiaTheme="minorEastAsia"/>
        </w:rPr>
      </w:pPr>
    </w:p>
    <w:p w:rsidR="00F97CA4" w:rsidRDefault="00F97CA4" w:rsidP="00F97CA4">
      <w:pPr>
        <w:jc w:val="center"/>
        <w:rPr>
          <w:rFonts w:eastAsiaTheme="minorEastAsia"/>
        </w:rPr>
      </w:pPr>
      <w:r>
        <w:rPr>
          <w:rFonts w:eastAsiaTheme="minorEastAsia"/>
          <w:noProof/>
        </w:rPr>
        <w:drawing>
          <wp:inline distT="0" distB="0" distL="0" distR="0">
            <wp:extent cx="5939406" cy="2382473"/>
            <wp:effectExtent l="0" t="0" r="444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215">
                      <a:extLst>
                        <a:ext uri="{28A0092B-C50C-407E-A947-70E740481C1C}">
                          <a14:useLocalDpi xmlns:a14="http://schemas.microsoft.com/office/drawing/2010/main" val="0"/>
                        </a:ext>
                      </a:extLst>
                    </a:blip>
                    <a:srcRect t="23352" b="23164"/>
                    <a:stretch/>
                  </pic:blipFill>
                  <pic:spPr bwMode="auto">
                    <a:xfrm>
                      <a:off x="0" y="0"/>
                      <a:ext cx="5943600" cy="2384155"/>
                    </a:xfrm>
                    <a:prstGeom prst="rect">
                      <a:avLst/>
                    </a:prstGeom>
                    <a:noFill/>
                    <a:ln>
                      <a:noFill/>
                    </a:ln>
                    <a:extLst>
                      <a:ext uri="{53640926-AAD7-44D8-BBD7-CCE9431645EC}">
                        <a14:shadowObscured xmlns:a14="http://schemas.microsoft.com/office/drawing/2010/main"/>
                      </a:ext>
                    </a:extLst>
                  </pic:spPr>
                </pic:pic>
              </a:graphicData>
            </a:graphic>
          </wp:inline>
        </w:drawing>
      </w:r>
    </w:p>
    <w:p w:rsidR="00C370EF" w:rsidRDefault="00F97CA4" w:rsidP="00C370EF">
      <w:pPr>
        <w:rPr>
          <w:i/>
          <w:sz w:val="20"/>
          <w:szCs w:val="20"/>
        </w:rPr>
      </w:pPr>
      <w:proofErr w:type="gramStart"/>
      <w:r>
        <w:rPr>
          <w:b/>
          <w:sz w:val="20"/>
          <w:szCs w:val="20"/>
        </w:rPr>
        <w:t>Figure 4.107.</w:t>
      </w:r>
      <w:proofErr w:type="gramEnd"/>
      <w:r>
        <w:rPr>
          <w:b/>
          <w:sz w:val="20"/>
          <w:szCs w:val="20"/>
        </w:rPr>
        <w:t xml:space="preserve"> </w:t>
      </w:r>
      <w:proofErr w:type="gramStart"/>
      <w:r>
        <w:rPr>
          <w:b/>
          <w:sz w:val="20"/>
          <w:szCs w:val="20"/>
        </w:rPr>
        <w:t>Example of PC1 vs. PC2 Scores for Implementation of the Monitoring Framework.</w:t>
      </w:r>
      <w:proofErr w:type="gramEnd"/>
      <w:r>
        <w:rPr>
          <w:b/>
          <w:sz w:val="20"/>
          <w:szCs w:val="20"/>
        </w:rPr>
        <w:t xml:space="preserve"> </w:t>
      </w:r>
      <w:r w:rsidRPr="00EE2556">
        <w:rPr>
          <w:i/>
          <w:sz w:val="20"/>
          <w:szCs w:val="20"/>
        </w:rPr>
        <w:t xml:space="preserve">Note: </w:t>
      </w:r>
      <w:r>
        <w:rPr>
          <w:i/>
          <w:sz w:val="20"/>
          <w:szCs w:val="20"/>
        </w:rPr>
        <w:t>The base case data is shown in blue while the</w:t>
      </w:r>
      <w:r w:rsidR="00C370EF">
        <w:rPr>
          <w:i/>
          <w:sz w:val="20"/>
          <w:szCs w:val="20"/>
        </w:rPr>
        <w:t xml:space="preserve"> faulty data is shown in green. </w:t>
      </w:r>
      <w:proofErr w:type="gramStart"/>
      <w:r w:rsidR="00C370EF">
        <w:rPr>
          <w:i/>
          <w:sz w:val="20"/>
          <w:szCs w:val="20"/>
        </w:rPr>
        <w:t xml:space="preserve">The </w:t>
      </w:r>
      <w:r w:rsidR="00C370EF" w:rsidRPr="00EE2556">
        <w:rPr>
          <w:i/>
          <w:sz w:val="20"/>
          <w:szCs w:val="20"/>
        </w:rPr>
        <w:t xml:space="preserve">base case 95% confidence boundary displayed </w:t>
      </w:r>
      <w:r w:rsidR="00C370EF">
        <w:rPr>
          <w:i/>
          <w:sz w:val="20"/>
          <w:szCs w:val="20"/>
        </w:rPr>
        <w:t>in red</w:t>
      </w:r>
      <w:r w:rsidR="00C370EF" w:rsidRPr="00EE2556">
        <w:rPr>
          <w:i/>
          <w:sz w:val="20"/>
          <w:szCs w:val="20"/>
        </w:rPr>
        <w:t>.</w:t>
      </w:r>
      <w:proofErr w:type="gramEnd"/>
      <w:r w:rsidR="00C370EF">
        <w:rPr>
          <w:i/>
          <w:sz w:val="20"/>
          <w:szCs w:val="20"/>
        </w:rPr>
        <w:t xml:space="preserve"> </w:t>
      </w:r>
    </w:p>
    <w:p w:rsidR="00F97CA4" w:rsidRDefault="00F97CA4" w:rsidP="00F97CA4">
      <w:pPr>
        <w:rPr>
          <w:i/>
          <w:sz w:val="20"/>
          <w:szCs w:val="20"/>
        </w:rPr>
      </w:pPr>
    </w:p>
    <w:p w:rsidR="00F97CA4" w:rsidRDefault="00F97CA4" w:rsidP="00F97CA4">
      <w:pPr>
        <w:rPr>
          <w:i/>
          <w:sz w:val="20"/>
          <w:szCs w:val="20"/>
        </w:rPr>
      </w:pPr>
    </w:p>
    <w:p w:rsidR="00F97CA4" w:rsidRDefault="002D04E3" w:rsidP="002D04E3">
      <w:pPr>
        <w:jc w:val="center"/>
        <w:rPr>
          <w:rFonts w:eastAsiaTheme="minorEastAsia"/>
          <w:i/>
          <w:sz w:val="20"/>
          <w:szCs w:val="20"/>
        </w:rPr>
      </w:pPr>
      <w:r>
        <w:rPr>
          <w:rFonts w:eastAsiaTheme="minorEastAsia"/>
          <w:i/>
          <w:noProof/>
          <w:sz w:val="20"/>
          <w:szCs w:val="20"/>
        </w:rPr>
        <w:lastRenderedPageBreak/>
        <w:drawing>
          <wp:inline distT="0" distB="0" distL="0" distR="0">
            <wp:extent cx="5943600" cy="4457700"/>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F97CA4" w:rsidRDefault="00F97CA4" w:rsidP="00F97CA4">
      <w:pPr>
        <w:rPr>
          <w:i/>
          <w:sz w:val="20"/>
          <w:szCs w:val="20"/>
        </w:rPr>
      </w:pPr>
      <w:proofErr w:type="gramStart"/>
      <w:r>
        <w:rPr>
          <w:b/>
          <w:sz w:val="20"/>
          <w:szCs w:val="20"/>
        </w:rPr>
        <w:t>Figure 4.108.</w:t>
      </w:r>
      <w:proofErr w:type="gramEnd"/>
      <w:r>
        <w:rPr>
          <w:b/>
          <w:sz w:val="20"/>
          <w:szCs w:val="20"/>
        </w:rPr>
        <w:t xml:space="preserve"> Example </w:t>
      </w:r>
      <w:r w:rsidR="00C370EF">
        <w:rPr>
          <w:b/>
          <w:sz w:val="20"/>
          <w:szCs w:val="20"/>
        </w:rPr>
        <w:t xml:space="preserve">Mahalanobis Distance Plot </w:t>
      </w:r>
      <w:r>
        <w:rPr>
          <w:b/>
          <w:sz w:val="20"/>
          <w:szCs w:val="20"/>
        </w:rPr>
        <w:t xml:space="preserve">for Implementation of the Monitoring Framework. </w:t>
      </w:r>
      <w:r w:rsidRPr="00EE2556">
        <w:rPr>
          <w:i/>
          <w:sz w:val="20"/>
          <w:szCs w:val="20"/>
        </w:rPr>
        <w:t xml:space="preserve">Note: </w:t>
      </w:r>
      <w:r>
        <w:rPr>
          <w:i/>
          <w:sz w:val="20"/>
          <w:szCs w:val="20"/>
        </w:rPr>
        <w:t>The base case data is shown in blue while th</w:t>
      </w:r>
      <w:r w:rsidR="00C370EF">
        <w:rPr>
          <w:i/>
          <w:sz w:val="20"/>
          <w:szCs w:val="20"/>
        </w:rPr>
        <w:t xml:space="preserve">e faulty data is shown in green. </w:t>
      </w:r>
      <w:proofErr w:type="gramStart"/>
      <w:r w:rsidR="00C370EF">
        <w:rPr>
          <w:i/>
          <w:sz w:val="20"/>
          <w:szCs w:val="20"/>
        </w:rPr>
        <w:t xml:space="preserve">The </w:t>
      </w:r>
      <w:r w:rsidR="00C370EF" w:rsidRPr="00EE2556">
        <w:rPr>
          <w:i/>
          <w:sz w:val="20"/>
          <w:szCs w:val="20"/>
        </w:rPr>
        <w:t xml:space="preserve">base case 95% confidence boundary displayed </w:t>
      </w:r>
      <w:r w:rsidR="00C370EF">
        <w:rPr>
          <w:i/>
          <w:sz w:val="20"/>
          <w:szCs w:val="20"/>
        </w:rPr>
        <w:t>in red</w:t>
      </w:r>
      <w:r w:rsidR="00C370EF" w:rsidRPr="00EE2556">
        <w:rPr>
          <w:i/>
          <w:sz w:val="20"/>
          <w:szCs w:val="20"/>
        </w:rPr>
        <w:t>.</w:t>
      </w:r>
      <w:proofErr w:type="gramEnd"/>
      <w:r>
        <w:rPr>
          <w:i/>
          <w:sz w:val="20"/>
          <w:szCs w:val="20"/>
        </w:rPr>
        <w:t xml:space="preserve"> </w:t>
      </w:r>
    </w:p>
    <w:p w:rsidR="00F97CA4" w:rsidRDefault="00F97CA4" w:rsidP="00871E7A"/>
    <w:p w:rsidR="00F97CA4" w:rsidRDefault="00F97CA4" w:rsidP="00871E7A"/>
    <w:p w:rsidR="00F97CA4" w:rsidRDefault="00F97CA4" w:rsidP="00871E7A"/>
    <w:p w:rsidR="00F97CA4" w:rsidRDefault="00F97CA4" w:rsidP="00F97CA4">
      <w:pPr>
        <w:rPr>
          <w:i/>
          <w:sz w:val="20"/>
          <w:szCs w:val="20"/>
        </w:rPr>
      </w:pPr>
    </w:p>
    <w:p w:rsidR="00F97CA4" w:rsidRPr="00EE2556" w:rsidRDefault="002D04E3" w:rsidP="00F97CA4">
      <w:pPr>
        <w:jc w:val="center"/>
        <w:rPr>
          <w:i/>
          <w:sz w:val="20"/>
          <w:szCs w:val="20"/>
        </w:rPr>
      </w:pPr>
      <w:r>
        <w:rPr>
          <w:i/>
          <w:noProof/>
          <w:sz w:val="20"/>
          <w:szCs w:val="20"/>
        </w:rPr>
        <w:lastRenderedPageBreak/>
        <w:drawing>
          <wp:inline distT="0" distB="0" distL="0" distR="0">
            <wp:extent cx="5943600" cy="44577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C370EF" w:rsidRDefault="00F97CA4" w:rsidP="00C370EF">
      <w:pPr>
        <w:rPr>
          <w:i/>
          <w:sz w:val="20"/>
          <w:szCs w:val="20"/>
        </w:rPr>
      </w:pPr>
      <w:proofErr w:type="gramStart"/>
      <w:r>
        <w:rPr>
          <w:b/>
          <w:sz w:val="20"/>
          <w:szCs w:val="20"/>
        </w:rPr>
        <w:t>Figure 4.10</w:t>
      </w:r>
      <w:r w:rsidR="00C370EF">
        <w:rPr>
          <w:b/>
          <w:sz w:val="20"/>
          <w:szCs w:val="20"/>
        </w:rPr>
        <w:t>9</w:t>
      </w:r>
      <w:r>
        <w:rPr>
          <w:b/>
          <w:sz w:val="20"/>
          <w:szCs w:val="20"/>
        </w:rPr>
        <w:t>.</w:t>
      </w:r>
      <w:proofErr w:type="gramEnd"/>
      <w:r>
        <w:rPr>
          <w:b/>
          <w:sz w:val="20"/>
          <w:szCs w:val="20"/>
        </w:rPr>
        <w:t xml:space="preserve"> </w:t>
      </w:r>
      <w:proofErr w:type="gramStart"/>
      <w:r w:rsidR="00C370EF">
        <w:rPr>
          <w:b/>
          <w:sz w:val="20"/>
          <w:szCs w:val="20"/>
        </w:rPr>
        <w:t>Example</w:t>
      </w:r>
      <w:r>
        <w:rPr>
          <w:b/>
          <w:sz w:val="20"/>
          <w:szCs w:val="20"/>
        </w:rPr>
        <w:t xml:space="preserve"> Case 14 </w:t>
      </w:r>
      <m:oMath>
        <m:r>
          <m:rPr>
            <m:sty m:val="bi"/>
          </m:rPr>
          <w:rPr>
            <w:rFonts w:ascii="Cambria Math" w:hAnsi="Cambria Math"/>
            <w:sz w:val="20"/>
            <w:szCs w:val="20"/>
          </w:rPr>
          <m:t>Q</m:t>
        </m:r>
      </m:oMath>
      <w:r>
        <w:rPr>
          <w:b/>
          <w:sz w:val="20"/>
          <w:szCs w:val="20"/>
        </w:rPr>
        <w:t>-Statistic Plot</w:t>
      </w:r>
      <w:r w:rsidR="00C370EF">
        <w:rPr>
          <w:b/>
          <w:sz w:val="20"/>
          <w:szCs w:val="20"/>
        </w:rPr>
        <w:t xml:space="preserve"> for Implementation of the Monitoring Framework.</w:t>
      </w:r>
      <w:proofErr w:type="gramEnd"/>
      <w:r>
        <w:rPr>
          <w:b/>
          <w:sz w:val="20"/>
          <w:szCs w:val="20"/>
        </w:rPr>
        <w:t xml:space="preserve"> </w:t>
      </w:r>
      <w:r w:rsidR="00C370EF" w:rsidRPr="00EE2556">
        <w:rPr>
          <w:i/>
          <w:sz w:val="20"/>
          <w:szCs w:val="20"/>
        </w:rPr>
        <w:t xml:space="preserve">Note: </w:t>
      </w:r>
      <w:r w:rsidR="00C370EF">
        <w:rPr>
          <w:i/>
          <w:sz w:val="20"/>
          <w:szCs w:val="20"/>
        </w:rPr>
        <w:t xml:space="preserve">The base case data is shown in blue while the faulty data is </w:t>
      </w:r>
      <w:proofErr w:type="gramStart"/>
      <w:r w:rsidR="00C370EF">
        <w:rPr>
          <w:i/>
          <w:sz w:val="20"/>
          <w:szCs w:val="20"/>
        </w:rPr>
        <w:t>shown</w:t>
      </w:r>
      <w:proofErr w:type="gramEnd"/>
      <w:r w:rsidR="00C370EF">
        <w:rPr>
          <w:i/>
          <w:sz w:val="20"/>
          <w:szCs w:val="20"/>
        </w:rPr>
        <w:t xml:space="preserve"> in green. </w:t>
      </w:r>
      <w:proofErr w:type="gramStart"/>
      <w:r w:rsidR="00C370EF">
        <w:rPr>
          <w:i/>
          <w:sz w:val="20"/>
          <w:szCs w:val="20"/>
        </w:rPr>
        <w:t xml:space="preserve">The </w:t>
      </w:r>
      <w:r w:rsidR="00C370EF" w:rsidRPr="00EE2556">
        <w:rPr>
          <w:i/>
          <w:sz w:val="20"/>
          <w:szCs w:val="20"/>
        </w:rPr>
        <w:t xml:space="preserve">base case 95% confidence boundary displayed </w:t>
      </w:r>
      <w:r w:rsidR="00C370EF">
        <w:rPr>
          <w:i/>
          <w:sz w:val="20"/>
          <w:szCs w:val="20"/>
        </w:rPr>
        <w:t>in red</w:t>
      </w:r>
      <w:r w:rsidR="00C370EF" w:rsidRPr="00EE2556">
        <w:rPr>
          <w:i/>
          <w:sz w:val="20"/>
          <w:szCs w:val="20"/>
        </w:rPr>
        <w:t>.</w:t>
      </w:r>
      <w:proofErr w:type="gramEnd"/>
      <w:r w:rsidR="00C370EF">
        <w:rPr>
          <w:i/>
          <w:sz w:val="20"/>
          <w:szCs w:val="20"/>
        </w:rPr>
        <w:t xml:space="preserve"> </w:t>
      </w:r>
    </w:p>
    <w:p w:rsidR="00F97CA4" w:rsidRDefault="00F97CA4" w:rsidP="00871E7A">
      <w:pPr>
        <w:sectPr w:rsidR="00F97CA4" w:rsidSect="00696884">
          <w:pgSz w:w="12240" w:h="15840"/>
          <w:pgMar w:top="1440" w:right="1440" w:bottom="1440" w:left="1440" w:header="1440" w:footer="1440" w:gutter="0"/>
          <w:cols w:space="720"/>
          <w:docGrid w:linePitch="360"/>
        </w:sectPr>
      </w:pPr>
    </w:p>
    <w:p w:rsidR="00E664E4" w:rsidRPr="00FF099B" w:rsidRDefault="00E664E4" w:rsidP="00E664E4">
      <w:pPr>
        <w:jc w:val="center"/>
        <w:rPr>
          <w:rFonts w:asciiTheme="majorHAnsi" w:hAnsiTheme="majorHAnsi"/>
          <w:b/>
          <w:caps/>
        </w:rPr>
      </w:pPr>
      <w:r>
        <w:rPr>
          <w:rFonts w:asciiTheme="majorHAnsi" w:hAnsiTheme="majorHAnsi"/>
          <w:b/>
          <w:caps/>
        </w:rPr>
        <w:lastRenderedPageBreak/>
        <w:t>5</w:t>
      </w:r>
      <w:r w:rsidRPr="00FF099B">
        <w:rPr>
          <w:rFonts w:asciiTheme="majorHAnsi" w:hAnsiTheme="majorHAnsi"/>
          <w:b/>
          <w:caps/>
        </w:rPr>
        <w:t xml:space="preserve">. </w:t>
      </w:r>
      <w:r>
        <w:rPr>
          <w:rFonts w:asciiTheme="majorHAnsi" w:hAnsiTheme="majorHAnsi"/>
          <w:b/>
          <w:caps/>
        </w:rPr>
        <w:t>Conclusions and Recommendations</w:t>
      </w:r>
    </w:p>
    <w:p w:rsidR="00E664E4" w:rsidRDefault="00E664E4" w:rsidP="00E664E4">
      <w:pPr>
        <w:rPr>
          <w:highlight w:val="yellow"/>
        </w:rPr>
      </w:pPr>
    </w:p>
    <w:p w:rsidR="0060566C" w:rsidRDefault="0060566C" w:rsidP="0060566C">
      <w:r w:rsidRPr="007D43E5">
        <w:t>The objective of this work was to develop a monitoring and data analysis framework that w</w:t>
      </w:r>
      <w:r>
        <w:t>ould</w:t>
      </w:r>
      <w:r w:rsidRPr="007D43E5">
        <w:t xml:space="preserve"> detect the diversion of intermediate products </w:t>
      </w:r>
      <w:r>
        <w:t>such as UO</w:t>
      </w:r>
      <w:r w:rsidRPr="002310B7">
        <w:rPr>
          <w:vertAlign w:val="subscript"/>
        </w:rPr>
        <w:t>2</w:t>
      </w:r>
      <w:r>
        <w:t>, UF</w:t>
      </w:r>
      <w:r w:rsidRPr="002310B7">
        <w:rPr>
          <w:vertAlign w:val="subscript"/>
        </w:rPr>
        <w:t>4</w:t>
      </w:r>
      <w:r>
        <w:t>, and UF</w:t>
      </w:r>
      <w:r w:rsidRPr="002310B7">
        <w:rPr>
          <w:vertAlign w:val="subscript"/>
        </w:rPr>
        <w:t>6</w:t>
      </w:r>
      <w:r>
        <w:t xml:space="preserve"> in an NUCP</w:t>
      </w:r>
      <w:r w:rsidRPr="007D43E5">
        <w:t xml:space="preserve"> using a multivariate statistical approach.</w:t>
      </w:r>
      <w:r>
        <w:t xml:space="preserve"> This was an initial effort to determine the feasibility of this approach for safeguards applications. </w:t>
      </w:r>
      <w:r w:rsidRPr="007D43E5">
        <w:t xml:space="preserve">The decision framework developed in this research </w:t>
      </w:r>
      <w:r>
        <w:t xml:space="preserve">was able to detect the simulated diversion of material in the idealized </w:t>
      </w:r>
      <w:r w:rsidRPr="007D43E5">
        <w:t>NUCP.</w:t>
      </w:r>
      <w:r>
        <w:t xml:space="preserve"> This study was </w:t>
      </w:r>
      <w:r w:rsidR="004D2F80">
        <w:t xml:space="preserve">developed for </w:t>
      </w:r>
      <w:r>
        <w:t>a 100 MTU/</w:t>
      </w:r>
      <w:proofErr w:type="spellStart"/>
      <w:r>
        <w:t>yr</w:t>
      </w:r>
      <w:proofErr w:type="spellEnd"/>
      <w:r w:rsidRPr="007D43E5">
        <w:t xml:space="preserve"> NUCP using the wet solvent extraction method for the purification of uranium ore concentrate.</w:t>
      </w:r>
      <w:r>
        <w:t xml:space="preserve"> </w:t>
      </w:r>
    </w:p>
    <w:p w:rsidR="0060566C" w:rsidRDefault="0060566C" w:rsidP="0060566C">
      <w:r>
        <w:t xml:space="preserve">A key component in the </w:t>
      </w:r>
      <w:r w:rsidRPr="00AC445B">
        <w:t>multiv</w:t>
      </w:r>
      <w:r>
        <w:t>ariate statistical methodology wa</w:t>
      </w:r>
      <w:r w:rsidRPr="00AC445B">
        <w:t xml:space="preserve">s the </w:t>
      </w:r>
      <w:r>
        <w:t>PCA</w:t>
      </w:r>
      <w:r w:rsidRPr="00AC445B">
        <w:t xml:space="preserve"> approach </w:t>
      </w:r>
      <w:r>
        <w:t>for the analysis of data</w:t>
      </w:r>
      <w:r w:rsidRPr="00AC445B">
        <w:t xml:space="preserve">, </w:t>
      </w:r>
      <w:r>
        <w:t>development of</w:t>
      </w:r>
      <w:r w:rsidRPr="00AC445B">
        <w:t xml:space="preserve"> the base model, and </w:t>
      </w:r>
      <w:r>
        <w:t>evaluation of</w:t>
      </w:r>
      <w:r w:rsidRPr="00AC445B">
        <w:t xml:space="preserve"> future operations.</w:t>
      </w:r>
      <w:r>
        <w:t xml:space="preserve"> </w:t>
      </w:r>
      <w:r w:rsidRPr="00D447F6">
        <w:t xml:space="preserve">The </w:t>
      </w:r>
      <w:r>
        <w:t xml:space="preserve">PCA approach was </w:t>
      </w:r>
      <w:r w:rsidRPr="00D447F6">
        <w:t>implement</w:t>
      </w:r>
      <w:r>
        <w:t>ed</w:t>
      </w:r>
      <w:r w:rsidRPr="00D447F6">
        <w:t xml:space="preserve"> through the use of singular value decomposition of the data matrix</w:t>
      </w:r>
      <w:r w:rsidR="008E6F8C">
        <w:t xml:space="preserve">. </w:t>
      </w:r>
      <w:r>
        <w:t>Component mole balances we</w:t>
      </w:r>
      <w:r w:rsidRPr="009D034F">
        <w:t>re used to model</w:t>
      </w:r>
      <w:r w:rsidRPr="00D01365">
        <w:t xml:space="preserve"> each of the process units in the NUCP. </w:t>
      </w:r>
      <w:r w:rsidRPr="007D43E5">
        <w:t>The decision framework could be used to determine whether or not a diversion of material has occurred at an NUCP</w:t>
      </w:r>
      <w:r>
        <w:t xml:space="preserve"> as part of an IAEA </w:t>
      </w:r>
      <w:r w:rsidRPr="007D43E5">
        <w:t>safeguards system.</w:t>
      </w:r>
      <w:r>
        <w:t xml:space="preserve"> The IAEA goal for NUCPs of this size is to have a 50% probability of detecting the diversion of 10 MTU over a period of one year; this was also used as </w:t>
      </w:r>
      <w:r w:rsidRPr="007D43E5">
        <w:t>the goal of detection for the monitoring framework.</w:t>
      </w:r>
      <w:r>
        <w:t xml:space="preserve"> Therefore the detection goal of this effort was to be able to detect the diversion of 10% of the uranium fed to the plant. </w:t>
      </w:r>
    </w:p>
    <w:p w:rsidR="0060566C" w:rsidRDefault="0060566C" w:rsidP="0060566C">
      <w:r>
        <w:t>An initial sensitivity analysis was also performed on the relationship between the component molar flow rates (state variables) and the process parameters. Based on the sensitivity analysis of the incoming flow rate, the system was most sensitive to changes in the incoming flow rate of uranium. This was to be expected since all of the compounds of interest contain uranium. This was a limited sensitivity analysis, and it is recommended that a completed sensitivity analysis be completed as part of the full development of this approach for safeguarding conversion plants.</w:t>
      </w:r>
    </w:p>
    <w:p w:rsidR="004330B5" w:rsidRDefault="0060566C" w:rsidP="0060566C">
      <w:r>
        <w:t xml:space="preserve">The base case system was reduced in dimensionality from 273 state variables and seven input variables to five degrees of freedom using PCA. </w:t>
      </w:r>
      <w:r w:rsidR="004330B5">
        <w:t>Heavy contributors to PC1 are the input uranium feed flow rate [</w:t>
      </w:r>
      <w:proofErr w:type="spellStart"/>
      <w:proofErr w:type="gramStart"/>
      <w:r w:rsidR="004330B5">
        <w:t>Xss</w:t>
      </w:r>
      <w:proofErr w:type="spellEnd"/>
      <w:r w:rsidR="004330B5">
        <w:t>(</w:t>
      </w:r>
      <w:proofErr w:type="gramEnd"/>
      <w:r w:rsidR="004330B5">
        <w:t>274)] to Module 1 and the output uranium-bearing product flow rates from each of the five modules [</w:t>
      </w:r>
      <w:proofErr w:type="spellStart"/>
      <w:r w:rsidR="004330B5">
        <w:t>Xss</w:t>
      </w:r>
      <w:proofErr w:type="spellEnd"/>
      <w:r w:rsidR="004330B5">
        <w:t xml:space="preserve">(64), </w:t>
      </w:r>
      <w:proofErr w:type="spellStart"/>
      <w:r w:rsidR="004330B5">
        <w:t>Xss</w:t>
      </w:r>
      <w:proofErr w:type="spellEnd"/>
      <w:r w:rsidR="004330B5">
        <w:t xml:space="preserve">(111), </w:t>
      </w:r>
      <w:proofErr w:type="spellStart"/>
      <w:r w:rsidR="004330B5">
        <w:t>Xss</w:t>
      </w:r>
      <w:proofErr w:type="spellEnd"/>
      <w:r w:rsidR="004330B5">
        <w:t xml:space="preserve">(163), </w:t>
      </w:r>
      <w:proofErr w:type="spellStart"/>
      <w:r w:rsidR="004330B5">
        <w:t>Xss</w:t>
      </w:r>
      <w:proofErr w:type="spellEnd"/>
      <w:r w:rsidR="004330B5">
        <w:t xml:space="preserve">(218), and </w:t>
      </w:r>
      <w:proofErr w:type="spellStart"/>
      <w:r w:rsidR="004330B5">
        <w:t>Xss</w:t>
      </w:r>
      <w:proofErr w:type="spellEnd"/>
      <w:r w:rsidR="004330B5">
        <w:t xml:space="preserve">(273)]. This correlation pattern is highly anticipated, since the molar flow rates of all uranium-bearing output streams should all be highly correlated to the main feed flow rate. </w:t>
      </w:r>
      <w:r>
        <w:t xml:space="preserve">The first principal component represented those state variables with the most variation in the data matrix. The state variables contained within PC1 were highly correlated. This makeup was expected for two reasons: (1) the first principal component represents 71.8% of the original data and (2) the uranium input flow rate to the process was the input variable that the uranium-bearing streams were most sensitive to as determined by the sensitivity analysis. </w:t>
      </w:r>
    </w:p>
    <w:p w:rsidR="0060566C" w:rsidRDefault="0060566C" w:rsidP="0060566C">
      <w:r>
        <w:t xml:space="preserve">Fourteen faulty scenarios were developed to test the monitoring framework after the base case or “normal operating conditions” of the PCA model was established. The faulty cases tested the model’s </w:t>
      </w:r>
      <w:r>
        <w:lastRenderedPageBreak/>
        <w:t xml:space="preserve">ability to detection an increase in total throughput or uranium throughput, an increase in uranium purity, inefficient operations in several of the processes, withdrawal of uranium at different points within the processes, addition of uranium to one of the processes, and a combination of faults. In each scenario, at least one of the diagnostic plots (scores, Mahalanobis distance, or </w:t>
      </w:r>
      <m:oMath>
        <m:r>
          <w:rPr>
            <w:rFonts w:ascii="Cambria Math" w:hAnsi="Cambria Math"/>
          </w:rPr>
          <m:t>Q</m:t>
        </m:r>
      </m:oMath>
      <w:r>
        <w:rPr>
          <w:rFonts w:eastAsiaTheme="minorEastAsia"/>
        </w:rPr>
        <w:t xml:space="preserve">-statistic) produced a detectable fault. </w:t>
      </w:r>
      <w:r>
        <w:t xml:space="preserve">The detection limit varied depending on the scenario, but it satisfied the limit stated above in all cases. </w:t>
      </w:r>
      <w:r w:rsidR="004330B5">
        <w:t>Additional scaling may improve the detection limits in those cases where the fault was only detectable under certain operation conditions, such as Case 4.</w:t>
      </w:r>
    </w:p>
    <w:p w:rsidR="0060566C" w:rsidRDefault="0060566C" w:rsidP="0060566C">
      <w:r>
        <w:t>Based on the results of this work, four safeguards monitoring schemes were recommended. At a minimum, the uranium feed to the plant must be monitored both for feed rate and uranium content as well as the final product from the plant. It is also recommended that all of the waste streams be monitored to detect excess uranium. However, if it is not reasonable to monitor all wastes then the waste streams that are most likely to contain diverted uranium must be monitored (Module 1 Stream 8, Module 2 Stream 20, Module 3 Stream 31, Module 4 Stream 43, and Module 5 Stream 50). Since the process operates serially where the product of one process become</w:t>
      </w:r>
      <w:r w:rsidR="004330B5">
        <w:t>s</w:t>
      </w:r>
      <w:r>
        <w:t xml:space="preserve"> the feed to the next process, monitoring the feed, product, and all waste streams provides the minimum monitoring necessary to close the material balance and offer any certainty that uranium is not be diverted or additional uranium is not be fed to the plant. </w:t>
      </w:r>
    </w:p>
    <w:p w:rsidR="0060566C" w:rsidRDefault="0060566C" w:rsidP="0060566C">
      <w:r>
        <w:t xml:space="preserve">The second option for monitoring that is recommended would be to add monitoring of the intermediate products throughout the process to the first option. These are the products from each module that becomes the feed to the next module: Module 1 Stream 12, Module 2 Stream 19, Module 3 Stream 30, and Module 4 Stream 44. Since there is normally some time lag between processes in actual plants, these would need to be monitored as the product of one process and then the feed to the next process. Monitoring both the rate and the uranium content would be necessary to determine that diversion of uranium had not occurred. </w:t>
      </w:r>
    </w:p>
    <w:p w:rsidR="0060566C" w:rsidRDefault="0060566C" w:rsidP="0060566C">
      <w:r>
        <w:t>The third option for monitoring that could confirm that diversion was not or had not occurred would be the monitoring of select intermediate streams. These streams could be correlated with the feed, product, and waste streams in that process area to determine that uranium was not diverted or added to the process. These streams are Module 1 Streams 1 and 4; Module 2 Stream 14; Module 3 Streams 22 and 27; Module 4 Streams 34, 39, and 42; and Module 5 Streams 46, 49, 52, 55, and 59.</w:t>
      </w:r>
    </w:p>
    <w:p w:rsidR="0060566C" w:rsidRDefault="0060566C" w:rsidP="0060566C">
      <w:r>
        <w:t>The final level of monitoring that would be able to completely close the material balance and ensure that no additional uranium is fed to the process and that no uranium is diverted from the process would require monitoring all of the streams throughout the plant for both flow rate and uranium content. However, this would be too challenging to implement both from the perspective of the plant and the costs required to purchase and install that number of monitoring points. Additionally, based on this research, it is likely unnecessary to monitor all of the streams in the plant.</w:t>
      </w:r>
    </w:p>
    <w:p w:rsidR="0060566C" w:rsidRDefault="0060566C" w:rsidP="0060566C">
      <w:r>
        <w:lastRenderedPageBreak/>
        <w:t xml:space="preserve">Therefore, if not cost prohibitive, the third option would be the best safeguards monitoring system to be applied with this detection framework. This framework could also be applied to the less intrusive options 1 and 2 as well. However, the likelihood of detection is reduced as the number of monitoring points is reduced. </w:t>
      </w:r>
    </w:p>
    <w:p w:rsidR="0060566C" w:rsidRDefault="0060566C" w:rsidP="0060566C">
      <w:r>
        <w:t>The following are recommendations for continuing this work in the future. These recommendations include research that is outside the scope of this effort.</w:t>
      </w:r>
    </w:p>
    <w:p w:rsidR="0060566C" w:rsidRDefault="0060566C" w:rsidP="0060566C">
      <w:pPr>
        <w:pStyle w:val="ListParagraph"/>
        <w:numPr>
          <w:ilvl w:val="0"/>
          <w:numId w:val="30"/>
        </w:numPr>
      </w:pPr>
      <w:r>
        <w:t>Complete sensitivity analysis of how all parameters and input variables affect the state variables.</w:t>
      </w:r>
    </w:p>
    <w:p w:rsidR="0060566C" w:rsidRDefault="0060566C" w:rsidP="0060566C">
      <w:pPr>
        <w:pStyle w:val="ListParagraph"/>
        <w:numPr>
          <w:ilvl w:val="0"/>
          <w:numId w:val="30"/>
        </w:numPr>
      </w:pPr>
      <w:r>
        <w:t>Update the detection framework to work for a less ideal case.</w:t>
      </w:r>
    </w:p>
    <w:p w:rsidR="0060566C" w:rsidRDefault="0060566C" w:rsidP="0060566C">
      <w:pPr>
        <w:pStyle w:val="ListParagraph"/>
        <w:numPr>
          <w:ilvl w:val="0"/>
          <w:numId w:val="30"/>
        </w:numPr>
      </w:pPr>
      <w:r>
        <w:t>Test the framework against real data.</w:t>
      </w:r>
    </w:p>
    <w:p w:rsidR="0060566C" w:rsidRDefault="0060566C" w:rsidP="0060566C">
      <w:pPr>
        <w:pStyle w:val="ListParagraph"/>
        <w:numPr>
          <w:ilvl w:val="0"/>
          <w:numId w:val="30"/>
        </w:numPr>
      </w:pPr>
      <w:r>
        <w:t>Test the limitations of the framework if data was unavailable.</w:t>
      </w:r>
    </w:p>
    <w:p w:rsidR="0060566C" w:rsidRDefault="0060566C" w:rsidP="0060566C">
      <w:pPr>
        <w:pStyle w:val="ListParagraph"/>
        <w:numPr>
          <w:ilvl w:val="0"/>
          <w:numId w:val="30"/>
        </w:numPr>
      </w:pPr>
      <w:r>
        <w:t xml:space="preserve">Complete the identification of the minimum number to streams that must be monitored to detect at least the high priority diversion scenarios. </w:t>
      </w:r>
    </w:p>
    <w:p w:rsidR="00E664E4" w:rsidRDefault="0011652C" w:rsidP="0060566C">
      <w:pPr>
        <w:pStyle w:val="ListParagraph"/>
      </w:pPr>
      <w:r>
        <w:t xml:space="preserve"> </w:t>
      </w:r>
    </w:p>
    <w:p w:rsidR="00E664E4" w:rsidRDefault="00E664E4" w:rsidP="00871E7A"/>
    <w:p w:rsidR="00871E7A" w:rsidRDefault="00871E7A" w:rsidP="00871E7A"/>
    <w:p w:rsidR="00871E7A" w:rsidRDefault="00871E7A" w:rsidP="00871E7A">
      <w:pPr>
        <w:sectPr w:rsidR="00871E7A" w:rsidSect="00696884">
          <w:pgSz w:w="12240" w:h="15840"/>
          <w:pgMar w:top="1440" w:right="1440" w:bottom="1440" w:left="1440" w:header="1440" w:footer="1440" w:gutter="0"/>
          <w:cols w:space="720"/>
          <w:docGrid w:linePitch="360"/>
        </w:sectPr>
      </w:pPr>
    </w:p>
    <w:p w:rsidR="00871E7A" w:rsidRDefault="00871E7A" w:rsidP="00871E7A">
      <w:pPr>
        <w:jc w:val="center"/>
        <w:rPr>
          <w:rFonts w:asciiTheme="majorHAnsi" w:hAnsiTheme="majorHAnsi"/>
          <w:b/>
          <w:caps/>
        </w:rPr>
      </w:pPr>
    </w:p>
    <w:p w:rsidR="00871E7A" w:rsidRDefault="00871E7A" w:rsidP="00871E7A">
      <w:pPr>
        <w:jc w:val="center"/>
        <w:rPr>
          <w:rFonts w:asciiTheme="majorHAnsi" w:hAnsiTheme="majorHAnsi"/>
          <w:b/>
          <w:caps/>
        </w:rPr>
      </w:pPr>
    </w:p>
    <w:p w:rsidR="00871E7A" w:rsidRDefault="00871E7A" w:rsidP="00871E7A">
      <w:pPr>
        <w:jc w:val="center"/>
        <w:rPr>
          <w:rFonts w:asciiTheme="majorHAnsi" w:hAnsiTheme="majorHAnsi"/>
          <w:b/>
          <w:caps/>
        </w:rPr>
      </w:pPr>
    </w:p>
    <w:p w:rsidR="00871E7A" w:rsidRDefault="00871E7A" w:rsidP="00871E7A">
      <w:pPr>
        <w:jc w:val="center"/>
        <w:rPr>
          <w:rFonts w:asciiTheme="majorHAnsi" w:hAnsiTheme="majorHAnsi"/>
          <w:b/>
          <w:caps/>
        </w:rPr>
      </w:pPr>
    </w:p>
    <w:p w:rsidR="00871E7A" w:rsidRDefault="00871E7A" w:rsidP="00871E7A">
      <w:pPr>
        <w:jc w:val="center"/>
        <w:rPr>
          <w:rFonts w:asciiTheme="majorHAnsi" w:hAnsiTheme="majorHAnsi"/>
          <w:b/>
          <w:caps/>
        </w:rPr>
      </w:pPr>
    </w:p>
    <w:p w:rsidR="00871E7A" w:rsidRDefault="00871E7A" w:rsidP="00871E7A">
      <w:pPr>
        <w:jc w:val="center"/>
        <w:rPr>
          <w:rFonts w:asciiTheme="majorHAnsi" w:hAnsiTheme="majorHAnsi"/>
          <w:b/>
          <w:caps/>
        </w:rPr>
      </w:pPr>
    </w:p>
    <w:p w:rsidR="00871E7A" w:rsidRDefault="00871E7A" w:rsidP="00871E7A">
      <w:pPr>
        <w:jc w:val="center"/>
        <w:rPr>
          <w:rFonts w:asciiTheme="majorHAnsi" w:hAnsiTheme="majorHAnsi"/>
          <w:b/>
          <w:caps/>
        </w:rPr>
      </w:pPr>
    </w:p>
    <w:p w:rsidR="00871E7A" w:rsidRDefault="00871E7A" w:rsidP="00871E7A">
      <w:pPr>
        <w:jc w:val="center"/>
        <w:rPr>
          <w:rFonts w:asciiTheme="majorHAnsi" w:hAnsiTheme="majorHAnsi"/>
          <w:b/>
          <w:caps/>
        </w:rPr>
      </w:pPr>
    </w:p>
    <w:p w:rsidR="00871E7A" w:rsidRDefault="00871E7A" w:rsidP="00871E7A">
      <w:pPr>
        <w:jc w:val="center"/>
        <w:rPr>
          <w:rFonts w:asciiTheme="majorHAnsi" w:hAnsiTheme="majorHAnsi"/>
          <w:b/>
          <w:caps/>
        </w:rPr>
      </w:pPr>
    </w:p>
    <w:p w:rsidR="00871E7A" w:rsidRDefault="00871E7A" w:rsidP="00871E7A">
      <w:pPr>
        <w:jc w:val="center"/>
        <w:rPr>
          <w:rFonts w:asciiTheme="majorHAnsi" w:hAnsiTheme="majorHAnsi"/>
          <w:b/>
          <w:caps/>
        </w:rPr>
      </w:pPr>
    </w:p>
    <w:p w:rsidR="00871E7A" w:rsidRDefault="00871E7A" w:rsidP="00871E7A">
      <w:pPr>
        <w:jc w:val="center"/>
        <w:rPr>
          <w:rFonts w:asciiTheme="majorHAnsi" w:hAnsiTheme="majorHAnsi"/>
          <w:b/>
          <w:caps/>
        </w:rPr>
      </w:pPr>
    </w:p>
    <w:p w:rsidR="00871E7A" w:rsidRPr="00EF3184" w:rsidRDefault="00871E7A" w:rsidP="00871E7A">
      <w:pPr>
        <w:jc w:val="center"/>
        <w:rPr>
          <w:rFonts w:asciiTheme="majorHAnsi" w:hAnsiTheme="majorHAnsi"/>
          <w:b/>
          <w:caps/>
        </w:rPr>
      </w:pPr>
      <w:r w:rsidRPr="00EF3184">
        <w:rPr>
          <w:rFonts w:asciiTheme="majorHAnsi" w:hAnsiTheme="majorHAnsi"/>
          <w:b/>
          <w:caps/>
        </w:rPr>
        <w:t>List of References</w:t>
      </w:r>
      <w:r w:rsidRPr="00EF3184">
        <w:rPr>
          <w:rFonts w:asciiTheme="majorHAnsi" w:hAnsiTheme="majorHAnsi"/>
          <w:b/>
          <w:caps/>
        </w:rPr>
        <w:br w:type="page"/>
      </w:r>
    </w:p>
    <w:p w:rsidR="00C06EAB" w:rsidRPr="00C06EAB" w:rsidRDefault="00C06EAB" w:rsidP="00C06EAB">
      <w:pPr>
        <w:pStyle w:val="Normal2"/>
        <w:spacing w:after="200" w:line="276" w:lineRule="auto"/>
        <w:rPr>
          <w:rFonts w:asciiTheme="minorHAnsi" w:hAnsiTheme="minorHAnsi"/>
          <w:sz w:val="22"/>
          <w:szCs w:val="22"/>
        </w:rPr>
      </w:pPr>
      <w:proofErr w:type="spellStart"/>
      <w:r w:rsidRPr="00C06EAB">
        <w:rPr>
          <w:rFonts w:asciiTheme="minorHAnsi" w:hAnsiTheme="minorHAnsi"/>
          <w:sz w:val="22"/>
          <w:szCs w:val="22"/>
        </w:rPr>
        <w:lastRenderedPageBreak/>
        <w:t>Bakshi</w:t>
      </w:r>
      <w:proofErr w:type="spellEnd"/>
      <w:r w:rsidRPr="00C06EAB">
        <w:rPr>
          <w:rFonts w:asciiTheme="minorHAnsi" w:hAnsiTheme="minorHAnsi"/>
          <w:sz w:val="22"/>
          <w:szCs w:val="22"/>
        </w:rPr>
        <w:t>, B. R. 1998. “</w:t>
      </w:r>
      <w:proofErr w:type="spellStart"/>
      <w:r w:rsidRPr="00C06EAB">
        <w:rPr>
          <w:rFonts w:asciiTheme="minorHAnsi" w:hAnsiTheme="minorHAnsi"/>
          <w:sz w:val="22"/>
          <w:szCs w:val="22"/>
        </w:rPr>
        <w:t>Multiscale</w:t>
      </w:r>
      <w:proofErr w:type="spellEnd"/>
      <w:r w:rsidRPr="00C06EAB">
        <w:rPr>
          <w:rFonts w:asciiTheme="minorHAnsi" w:hAnsiTheme="minorHAnsi"/>
          <w:sz w:val="22"/>
          <w:szCs w:val="22"/>
        </w:rPr>
        <w:t xml:space="preserve"> PCA with Application to Multivariate Statistical Process Monitoring.” </w:t>
      </w:r>
      <w:proofErr w:type="spellStart"/>
      <w:r w:rsidRPr="00C06EAB">
        <w:rPr>
          <w:rFonts w:asciiTheme="minorHAnsi" w:hAnsiTheme="minorHAnsi"/>
          <w:i/>
          <w:sz w:val="22"/>
          <w:szCs w:val="22"/>
        </w:rPr>
        <w:t>AIChE</w:t>
      </w:r>
      <w:proofErr w:type="spellEnd"/>
      <w:r w:rsidRPr="00C06EAB">
        <w:rPr>
          <w:rFonts w:asciiTheme="minorHAnsi" w:hAnsiTheme="minorHAnsi"/>
          <w:i/>
          <w:sz w:val="22"/>
          <w:szCs w:val="22"/>
        </w:rPr>
        <w:t xml:space="preserve"> Journal.</w:t>
      </w:r>
      <w:r w:rsidRPr="00C06EAB">
        <w:rPr>
          <w:rFonts w:asciiTheme="minorHAnsi" w:hAnsiTheme="minorHAnsi"/>
          <w:sz w:val="22"/>
          <w:szCs w:val="22"/>
        </w:rPr>
        <w:t xml:space="preserve"> </w:t>
      </w:r>
      <w:r w:rsidRPr="00C06EAB">
        <w:rPr>
          <w:rFonts w:asciiTheme="minorHAnsi" w:hAnsiTheme="minorHAnsi"/>
          <w:b/>
          <w:sz w:val="22"/>
          <w:szCs w:val="22"/>
        </w:rPr>
        <w:t>44</w:t>
      </w:r>
      <w:r w:rsidRPr="00C06EAB">
        <w:rPr>
          <w:rFonts w:asciiTheme="minorHAnsi" w:hAnsiTheme="minorHAnsi"/>
          <w:sz w:val="22"/>
          <w:szCs w:val="22"/>
        </w:rPr>
        <w:t xml:space="preserve"> (7), 1596–1610.</w:t>
      </w:r>
    </w:p>
    <w:p w:rsidR="00C06EAB" w:rsidRPr="00C06EAB" w:rsidRDefault="00C06EAB" w:rsidP="00C06EAB">
      <w:pPr>
        <w:pStyle w:val="Normal2"/>
        <w:spacing w:after="200" w:line="276" w:lineRule="auto"/>
        <w:rPr>
          <w:rFonts w:asciiTheme="minorHAnsi" w:hAnsiTheme="minorHAnsi"/>
          <w:sz w:val="22"/>
          <w:szCs w:val="22"/>
        </w:rPr>
      </w:pPr>
      <w:r w:rsidRPr="00C06EAB">
        <w:rPr>
          <w:rFonts w:asciiTheme="minorHAnsi" w:hAnsiTheme="minorHAnsi"/>
          <w:sz w:val="22"/>
          <w:szCs w:val="22"/>
        </w:rPr>
        <w:t xml:space="preserve">Benedict, M., T. </w:t>
      </w:r>
      <w:proofErr w:type="spellStart"/>
      <w:r w:rsidRPr="00C06EAB">
        <w:rPr>
          <w:rFonts w:asciiTheme="minorHAnsi" w:hAnsiTheme="minorHAnsi"/>
          <w:sz w:val="22"/>
          <w:szCs w:val="22"/>
        </w:rPr>
        <w:t>Pigford</w:t>
      </w:r>
      <w:proofErr w:type="spellEnd"/>
      <w:r w:rsidRPr="00C06EAB">
        <w:rPr>
          <w:rFonts w:asciiTheme="minorHAnsi" w:hAnsiTheme="minorHAnsi"/>
          <w:sz w:val="22"/>
          <w:szCs w:val="22"/>
        </w:rPr>
        <w:t xml:space="preserve">, and H. Levi. 1981. </w:t>
      </w:r>
      <w:r w:rsidRPr="00C06EAB">
        <w:rPr>
          <w:rFonts w:asciiTheme="minorHAnsi" w:hAnsiTheme="minorHAnsi"/>
          <w:i/>
          <w:sz w:val="22"/>
          <w:szCs w:val="22"/>
        </w:rPr>
        <w:t xml:space="preserve">Nuclear Chemical Engineering. </w:t>
      </w:r>
      <w:r w:rsidRPr="00C06EAB">
        <w:rPr>
          <w:rFonts w:asciiTheme="minorHAnsi" w:hAnsiTheme="minorHAnsi"/>
          <w:sz w:val="22"/>
          <w:szCs w:val="22"/>
        </w:rPr>
        <w:t>2nd ed., McGraw-Hill, New York.</w:t>
      </w:r>
    </w:p>
    <w:p w:rsidR="00C06EAB" w:rsidRPr="00C06EAB" w:rsidRDefault="00C06EAB" w:rsidP="00C06EAB">
      <w:pPr>
        <w:pStyle w:val="Normal2"/>
        <w:spacing w:after="200" w:line="276" w:lineRule="auto"/>
        <w:rPr>
          <w:rFonts w:asciiTheme="minorHAnsi" w:hAnsiTheme="minorHAnsi"/>
          <w:sz w:val="22"/>
          <w:szCs w:val="22"/>
        </w:rPr>
      </w:pPr>
      <w:r w:rsidRPr="00C06EAB">
        <w:rPr>
          <w:rFonts w:asciiTheme="minorHAnsi" w:hAnsiTheme="minorHAnsi"/>
          <w:sz w:val="22"/>
          <w:szCs w:val="22"/>
        </w:rPr>
        <w:t xml:space="preserve">Boyer, B. D., D. M. Gordon, L. G. Fishbone, and J. R. </w:t>
      </w:r>
      <w:proofErr w:type="spellStart"/>
      <w:r w:rsidRPr="00C06EAB">
        <w:rPr>
          <w:rFonts w:asciiTheme="minorHAnsi" w:hAnsiTheme="minorHAnsi"/>
          <w:sz w:val="22"/>
          <w:szCs w:val="22"/>
        </w:rPr>
        <w:t>Lemley</w:t>
      </w:r>
      <w:proofErr w:type="spellEnd"/>
      <w:r w:rsidRPr="00C06EAB">
        <w:rPr>
          <w:rFonts w:asciiTheme="minorHAnsi" w:hAnsiTheme="minorHAnsi"/>
          <w:sz w:val="22"/>
          <w:szCs w:val="22"/>
        </w:rPr>
        <w:t xml:space="preserve">. 2004. “International Safeguards Approach for Uranium Ore Concentrates to Uranium Hexafluoride Conversion Plants.” </w:t>
      </w:r>
      <w:bookmarkStart w:id="7" w:name="OLE_LINK11"/>
      <w:bookmarkStart w:id="8" w:name="OLE_LINK12"/>
      <w:r w:rsidRPr="00C06EAB">
        <w:rPr>
          <w:rFonts w:asciiTheme="minorHAnsi" w:hAnsiTheme="minorHAnsi"/>
          <w:i/>
          <w:sz w:val="22"/>
          <w:szCs w:val="22"/>
        </w:rPr>
        <w:t>Proceedings 45th Annual Meeting of Institute of Nuclear Materials Management (INMM),</w:t>
      </w:r>
      <w:bookmarkEnd w:id="7"/>
      <w:bookmarkEnd w:id="8"/>
      <w:r w:rsidRPr="00C06EAB">
        <w:rPr>
          <w:rFonts w:asciiTheme="minorHAnsi" w:hAnsiTheme="minorHAnsi"/>
          <w:sz w:val="22"/>
          <w:szCs w:val="22"/>
        </w:rPr>
        <w:t xml:space="preserve"> Orlando, July.</w:t>
      </w:r>
    </w:p>
    <w:p w:rsidR="00C06EAB" w:rsidRPr="00C06EAB" w:rsidRDefault="00C06EAB" w:rsidP="00C06EAB">
      <w:pPr>
        <w:pStyle w:val="Normal2"/>
        <w:spacing w:after="200" w:line="276" w:lineRule="auto"/>
        <w:rPr>
          <w:rFonts w:asciiTheme="minorHAnsi" w:hAnsiTheme="minorHAnsi"/>
          <w:sz w:val="22"/>
          <w:szCs w:val="22"/>
        </w:rPr>
      </w:pPr>
      <w:proofErr w:type="spellStart"/>
      <w:r w:rsidRPr="00C06EAB">
        <w:rPr>
          <w:rFonts w:asciiTheme="minorHAnsi" w:hAnsiTheme="minorHAnsi"/>
          <w:sz w:val="22"/>
          <w:szCs w:val="22"/>
        </w:rPr>
        <w:t>Brauner</w:t>
      </w:r>
      <w:proofErr w:type="spellEnd"/>
      <w:r w:rsidRPr="00C06EAB">
        <w:rPr>
          <w:rFonts w:asciiTheme="minorHAnsi" w:hAnsiTheme="minorHAnsi"/>
          <w:sz w:val="22"/>
          <w:szCs w:val="22"/>
        </w:rPr>
        <w:t xml:space="preserve">, N. and M. </w:t>
      </w:r>
      <w:proofErr w:type="spellStart"/>
      <w:r w:rsidRPr="00C06EAB">
        <w:rPr>
          <w:rFonts w:asciiTheme="minorHAnsi" w:hAnsiTheme="minorHAnsi"/>
          <w:sz w:val="22"/>
          <w:szCs w:val="22"/>
        </w:rPr>
        <w:t>Shacham</w:t>
      </w:r>
      <w:proofErr w:type="spellEnd"/>
      <w:r w:rsidRPr="00C06EAB">
        <w:rPr>
          <w:rFonts w:asciiTheme="minorHAnsi" w:hAnsiTheme="minorHAnsi"/>
          <w:sz w:val="22"/>
          <w:szCs w:val="22"/>
        </w:rPr>
        <w:t xml:space="preserve">. 2000. “Considering precision of data in reduction of dimensionality and PCA.” </w:t>
      </w:r>
      <w:r w:rsidRPr="00C06EAB">
        <w:rPr>
          <w:rFonts w:asciiTheme="minorHAnsi" w:hAnsiTheme="minorHAnsi"/>
          <w:i/>
          <w:sz w:val="22"/>
          <w:szCs w:val="22"/>
        </w:rPr>
        <w:t>Computers and Chemical Engineering.</w:t>
      </w:r>
      <w:r w:rsidRPr="00C06EAB">
        <w:rPr>
          <w:rFonts w:asciiTheme="minorHAnsi" w:hAnsiTheme="minorHAnsi"/>
          <w:sz w:val="22"/>
          <w:szCs w:val="22"/>
        </w:rPr>
        <w:t xml:space="preserve"> </w:t>
      </w:r>
      <w:r w:rsidRPr="00C06EAB">
        <w:rPr>
          <w:rFonts w:asciiTheme="minorHAnsi" w:hAnsiTheme="minorHAnsi"/>
          <w:b/>
          <w:sz w:val="22"/>
          <w:szCs w:val="22"/>
        </w:rPr>
        <w:t>24</w:t>
      </w:r>
      <w:r w:rsidRPr="00C06EAB">
        <w:rPr>
          <w:rFonts w:asciiTheme="minorHAnsi" w:hAnsiTheme="minorHAnsi"/>
          <w:sz w:val="22"/>
          <w:szCs w:val="22"/>
        </w:rPr>
        <w:t>, 2603–2611.</w:t>
      </w:r>
    </w:p>
    <w:p w:rsidR="00C06EAB" w:rsidRPr="00C06EAB" w:rsidRDefault="00C06EAB" w:rsidP="00C06EAB">
      <w:pPr>
        <w:pStyle w:val="Normal2"/>
        <w:spacing w:after="200" w:line="276" w:lineRule="auto"/>
        <w:rPr>
          <w:rFonts w:asciiTheme="minorHAnsi" w:hAnsiTheme="minorHAnsi"/>
          <w:sz w:val="22"/>
          <w:szCs w:val="22"/>
        </w:rPr>
      </w:pPr>
      <w:r w:rsidRPr="00C06EAB">
        <w:rPr>
          <w:rFonts w:asciiTheme="minorHAnsi" w:hAnsiTheme="minorHAnsi"/>
          <w:sz w:val="22"/>
          <w:szCs w:val="22"/>
        </w:rPr>
        <w:t xml:space="preserve">Cochran, R. G. and N. </w:t>
      </w:r>
      <w:proofErr w:type="spellStart"/>
      <w:r w:rsidRPr="00C06EAB">
        <w:rPr>
          <w:rFonts w:asciiTheme="minorHAnsi" w:hAnsiTheme="minorHAnsi"/>
          <w:sz w:val="22"/>
          <w:szCs w:val="22"/>
        </w:rPr>
        <w:t>Tsoulfanidis</w:t>
      </w:r>
      <w:proofErr w:type="spellEnd"/>
      <w:r w:rsidRPr="00C06EAB">
        <w:rPr>
          <w:rFonts w:asciiTheme="minorHAnsi" w:hAnsiTheme="minorHAnsi"/>
          <w:sz w:val="22"/>
          <w:szCs w:val="22"/>
        </w:rPr>
        <w:t xml:space="preserve">. 1990. </w:t>
      </w:r>
      <w:r w:rsidRPr="00C06EAB">
        <w:rPr>
          <w:rFonts w:asciiTheme="minorHAnsi" w:hAnsiTheme="minorHAnsi"/>
          <w:i/>
          <w:sz w:val="22"/>
          <w:szCs w:val="22"/>
        </w:rPr>
        <w:t>The Nuclear Fuel Cycle: Analysis and Management.</w:t>
      </w:r>
      <w:r w:rsidRPr="00C06EAB">
        <w:rPr>
          <w:rFonts w:asciiTheme="minorHAnsi" w:hAnsiTheme="minorHAnsi"/>
          <w:sz w:val="22"/>
          <w:szCs w:val="22"/>
        </w:rPr>
        <w:t xml:space="preserve"> 2nd ed., American Nuclear Society, </w:t>
      </w:r>
      <w:proofErr w:type="spellStart"/>
      <w:r w:rsidRPr="00C06EAB">
        <w:rPr>
          <w:rFonts w:asciiTheme="minorHAnsi" w:hAnsiTheme="minorHAnsi"/>
          <w:sz w:val="22"/>
          <w:szCs w:val="22"/>
        </w:rPr>
        <w:t>LaGrande</w:t>
      </w:r>
      <w:proofErr w:type="spellEnd"/>
      <w:r w:rsidRPr="00C06EAB">
        <w:rPr>
          <w:rFonts w:asciiTheme="minorHAnsi" w:hAnsiTheme="minorHAnsi"/>
          <w:sz w:val="22"/>
          <w:szCs w:val="22"/>
        </w:rPr>
        <w:t xml:space="preserve"> Park.</w:t>
      </w:r>
    </w:p>
    <w:p w:rsidR="00C06EAB" w:rsidRPr="00C06EAB" w:rsidRDefault="00C06EAB" w:rsidP="00C06EAB">
      <w:r w:rsidRPr="00C06EAB">
        <w:t xml:space="preserve">Doo, J., D. Hurt, R. </w:t>
      </w:r>
      <w:proofErr w:type="spellStart"/>
      <w:r w:rsidRPr="00C06EAB">
        <w:t>Fagerholm</w:t>
      </w:r>
      <w:proofErr w:type="spellEnd"/>
      <w:r w:rsidRPr="00C06EAB">
        <w:t xml:space="preserve">, and N. </w:t>
      </w:r>
      <w:proofErr w:type="spellStart"/>
      <w:r w:rsidRPr="00C06EAB">
        <w:t>Tuley</w:t>
      </w:r>
      <w:proofErr w:type="spellEnd"/>
      <w:r w:rsidRPr="00C06EAB">
        <w:t xml:space="preserve">. 2003. “Safeguards Approach for Natural Uranium Conversion Plants.” </w:t>
      </w:r>
      <w:r w:rsidRPr="00C06EAB">
        <w:rPr>
          <w:i/>
        </w:rPr>
        <w:t>Proceedings 44th Annual Meeting of Institute of Nuclear Materials Management (INMM),</w:t>
      </w:r>
      <w:r w:rsidRPr="00C06EAB">
        <w:t xml:space="preserve"> Phoenix, July.</w:t>
      </w:r>
    </w:p>
    <w:p w:rsidR="00C06EAB" w:rsidRPr="00C06EAB" w:rsidRDefault="00C06EAB" w:rsidP="00C06EAB">
      <w:pPr>
        <w:pStyle w:val="Normal2"/>
        <w:spacing w:after="200" w:line="276" w:lineRule="auto"/>
        <w:rPr>
          <w:rFonts w:asciiTheme="minorHAnsi" w:hAnsiTheme="minorHAnsi"/>
          <w:sz w:val="22"/>
          <w:szCs w:val="22"/>
        </w:rPr>
      </w:pPr>
      <w:proofErr w:type="spellStart"/>
      <w:r w:rsidRPr="00C06EAB">
        <w:rPr>
          <w:rFonts w:asciiTheme="minorHAnsi" w:hAnsiTheme="minorHAnsi"/>
          <w:sz w:val="22"/>
          <w:szCs w:val="22"/>
        </w:rPr>
        <w:t>Elayat</w:t>
      </w:r>
      <w:proofErr w:type="spellEnd"/>
      <w:r w:rsidRPr="00C06EAB">
        <w:rPr>
          <w:rFonts w:asciiTheme="minorHAnsi" w:hAnsiTheme="minorHAnsi"/>
          <w:sz w:val="22"/>
          <w:szCs w:val="22"/>
        </w:rPr>
        <w:t xml:space="preserve">, H. A., H. Lambert, and W. J. O’Connell. 2004. “Systems Analysis of Safeguards Effectiveness in a Uranium Conversion Facility.” </w:t>
      </w:r>
      <w:r w:rsidRPr="00C06EAB">
        <w:rPr>
          <w:rFonts w:asciiTheme="minorHAnsi" w:hAnsiTheme="minorHAnsi"/>
          <w:i/>
          <w:sz w:val="22"/>
          <w:szCs w:val="22"/>
        </w:rPr>
        <w:t>Proceedings 45th Annual Meeting of Institute of Nuclear Materials Management (INMM),</w:t>
      </w:r>
      <w:r w:rsidRPr="00C06EAB">
        <w:rPr>
          <w:rFonts w:asciiTheme="minorHAnsi" w:hAnsiTheme="minorHAnsi"/>
          <w:sz w:val="22"/>
          <w:szCs w:val="22"/>
        </w:rPr>
        <w:t xml:space="preserve"> Orlando, July.</w:t>
      </w:r>
    </w:p>
    <w:p w:rsidR="00C06EAB" w:rsidRPr="00C06EAB" w:rsidRDefault="00C06EAB" w:rsidP="00C06EAB">
      <w:pPr>
        <w:pStyle w:val="Normal2"/>
        <w:spacing w:after="200" w:line="276" w:lineRule="auto"/>
        <w:rPr>
          <w:rFonts w:asciiTheme="minorHAnsi" w:hAnsiTheme="minorHAnsi"/>
          <w:sz w:val="22"/>
          <w:szCs w:val="22"/>
        </w:rPr>
      </w:pPr>
      <w:r w:rsidRPr="00C06EAB">
        <w:rPr>
          <w:rFonts w:asciiTheme="minorHAnsi" w:hAnsiTheme="minorHAnsi"/>
          <w:sz w:val="22"/>
          <w:szCs w:val="22"/>
        </w:rPr>
        <w:t xml:space="preserve">Faulkner, R. L., J. M. </w:t>
      </w:r>
      <w:proofErr w:type="spellStart"/>
      <w:r w:rsidRPr="00C06EAB">
        <w:rPr>
          <w:rFonts w:asciiTheme="minorHAnsi" w:hAnsiTheme="minorHAnsi"/>
          <w:sz w:val="22"/>
          <w:szCs w:val="22"/>
        </w:rPr>
        <w:t>Begovich</w:t>
      </w:r>
      <w:proofErr w:type="spellEnd"/>
      <w:r w:rsidRPr="00C06EAB">
        <w:rPr>
          <w:rFonts w:asciiTheme="minorHAnsi" w:hAnsiTheme="minorHAnsi"/>
          <w:sz w:val="22"/>
          <w:szCs w:val="22"/>
        </w:rPr>
        <w:t xml:space="preserve">, J. J. </w:t>
      </w:r>
      <w:proofErr w:type="spellStart"/>
      <w:r w:rsidRPr="00C06EAB">
        <w:rPr>
          <w:rFonts w:asciiTheme="minorHAnsi" w:hAnsiTheme="minorHAnsi"/>
          <w:sz w:val="22"/>
          <w:szCs w:val="22"/>
        </w:rPr>
        <w:t>Ferrada</w:t>
      </w:r>
      <w:proofErr w:type="spellEnd"/>
      <w:r w:rsidRPr="00C06EAB">
        <w:rPr>
          <w:rFonts w:asciiTheme="minorHAnsi" w:hAnsiTheme="minorHAnsi"/>
          <w:sz w:val="22"/>
          <w:szCs w:val="22"/>
        </w:rPr>
        <w:t xml:space="preserve">, R. D. Spence, J. M. Whitaker, W. J. </w:t>
      </w:r>
      <w:proofErr w:type="spellStart"/>
      <w:r w:rsidRPr="00C06EAB">
        <w:rPr>
          <w:rFonts w:asciiTheme="minorHAnsi" w:hAnsiTheme="minorHAnsi"/>
          <w:sz w:val="22"/>
          <w:szCs w:val="22"/>
        </w:rPr>
        <w:t>Bicha</w:t>
      </w:r>
      <w:proofErr w:type="spellEnd"/>
      <w:r w:rsidRPr="00C06EAB">
        <w:rPr>
          <w:rFonts w:asciiTheme="minorHAnsi" w:hAnsiTheme="minorHAnsi"/>
          <w:sz w:val="22"/>
          <w:szCs w:val="22"/>
        </w:rPr>
        <w:t xml:space="preserve">, and L. G. </w:t>
      </w:r>
      <w:proofErr w:type="spellStart"/>
      <w:r w:rsidRPr="00C06EAB">
        <w:rPr>
          <w:rFonts w:asciiTheme="minorHAnsi" w:hAnsiTheme="minorHAnsi"/>
          <w:sz w:val="22"/>
          <w:szCs w:val="22"/>
        </w:rPr>
        <w:t>Loden</w:t>
      </w:r>
      <w:proofErr w:type="spellEnd"/>
      <w:r w:rsidRPr="00C06EAB">
        <w:rPr>
          <w:rFonts w:asciiTheme="minorHAnsi" w:hAnsiTheme="minorHAnsi"/>
          <w:sz w:val="22"/>
          <w:szCs w:val="22"/>
        </w:rPr>
        <w:t>. 2004. “Oak Ridge Efforts to Enhance Conversion Plant Safeguards.</w:t>
      </w:r>
      <w:r w:rsidRPr="00C06EAB">
        <w:rPr>
          <w:rFonts w:asciiTheme="minorHAnsi" w:hAnsiTheme="minorHAnsi"/>
          <w:iCs/>
          <w:sz w:val="22"/>
          <w:szCs w:val="22"/>
        </w:rPr>
        <w:t xml:space="preserve">” </w:t>
      </w:r>
      <w:r w:rsidRPr="00C06EAB">
        <w:rPr>
          <w:rFonts w:asciiTheme="minorHAnsi" w:hAnsiTheme="minorHAnsi"/>
          <w:i/>
          <w:sz w:val="22"/>
          <w:szCs w:val="22"/>
        </w:rPr>
        <w:t>Proceedings 45th Annual Meeting of Institute of Nuclear Materials Management (INMM),</w:t>
      </w:r>
      <w:r w:rsidRPr="00C06EAB">
        <w:rPr>
          <w:rFonts w:asciiTheme="minorHAnsi" w:hAnsiTheme="minorHAnsi"/>
          <w:sz w:val="22"/>
          <w:szCs w:val="22"/>
        </w:rPr>
        <w:t xml:space="preserve"> Orlando, July.</w:t>
      </w:r>
    </w:p>
    <w:p w:rsidR="00C06EAB" w:rsidRPr="00C06EAB" w:rsidRDefault="00C06EAB" w:rsidP="00C06EAB">
      <w:proofErr w:type="spellStart"/>
      <w:r w:rsidRPr="00C06EAB">
        <w:t>Ferrada</w:t>
      </w:r>
      <w:proofErr w:type="spellEnd"/>
      <w:r w:rsidRPr="00C06EAB">
        <w:t xml:space="preserve">, J. J. 2004. Personal communication to J. J. </w:t>
      </w:r>
      <w:proofErr w:type="spellStart"/>
      <w:r w:rsidRPr="00C06EAB">
        <w:t>Ferrada</w:t>
      </w:r>
      <w:proofErr w:type="spellEnd"/>
      <w:r w:rsidRPr="00C06EAB">
        <w:t>, Oak Ridge National Laboratory, Oak Ridge, Tenn., April 30, 2004.</w:t>
      </w:r>
    </w:p>
    <w:p w:rsidR="00C06EAB" w:rsidRDefault="00C06EAB" w:rsidP="00C06EAB">
      <w:proofErr w:type="spellStart"/>
      <w:r w:rsidRPr="00C06EAB">
        <w:t>Himmelblau</w:t>
      </w:r>
      <w:proofErr w:type="spellEnd"/>
      <w:r w:rsidRPr="00C06EAB">
        <w:t xml:space="preserve">, D. M. 1967. </w:t>
      </w:r>
      <w:r w:rsidRPr="00C06EAB">
        <w:rPr>
          <w:i/>
        </w:rPr>
        <w:t>Basic Principles and Calculations in Chemical Engineering.</w:t>
      </w:r>
      <w:r w:rsidRPr="00C06EAB">
        <w:t xml:space="preserve"> 59–62. </w:t>
      </w:r>
      <w:proofErr w:type="gramStart"/>
      <w:r w:rsidRPr="00C06EAB">
        <w:t>2nd ed., Prentice-Hall, New Jersey.</w:t>
      </w:r>
      <w:proofErr w:type="gramEnd"/>
    </w:p>
    <w:p w:rsidR="00522039" w:rsidRPr="00522039" w:rsidRDefault="00522039" w:rsidP="00522039">
      <w:proofErr w:type="gramStart"/>
      <w:r w:rsidRPr="00522039">
        <w:t xml:space="preserve">Hines, W. J., B. R. </w:t>
      </w:r>
      <w:proofErr w:type="spellStart"/>
      <w:r w:rsidRPr="00522039">
        <w:t>Upadhyaya</w:t>
      </w:r>
      <w:proofErr w:type="spellEnd"/>
      <w:r w:rsidRPr="00522039">
        <w:t>, and J. J. Henkel.</w:t>
      </w:r>
      <w:proofErr w:type="gramEnd"/>
      <w:r w:rsidRPr="00522039">
        <w:t xml:space="preserve"> 2008. “Process Monitoring Techniques Applied to Safeguards.” </w:t>
      </w:r>
      <w:proofErr w:type="gramStart"/>
      <w:r w:rsidRPr="00522039">
        <w:rPr>
          <w:i/>
        </w:rPr>
        <w:t>Proceedings 49th Annual Meeting of Institute of Nuclear Materials Management (INMM)</w:t>
      </w:r>
      <w:r w:rsidRPr="00522039">
        <w:t>, Nashville, July.</w:t>
      </w:r>
      <w:proofErr w:type="gramEnd"/>
    </w:p>
    <w:p w:rsidR="00C06EAB" w:rsidRPr="00C06EAB" w:rsidRDefault="00C06EAB" w:rsidP="00C06EAB">
      <w:pPr>
        <w:rPr>
          <w:color w:val="000000"/>
        </w:rPr>
      </w:pPr>
      <w:proofErr w:type="spellStart"/>
      <w:r w:rsidRPr="00C06EAB">
        <w:rPr>
          <w:color w:val="000000"/>
        </w:rPr>
        <w:t>Hotelling</w:t>
      </w:r>
      <w:proofErr w:type="spellEnd"/>
      <w:r w:rsidRPr="00C06EAB">
        <w:rPr>
          <w:color w:val="000000"/>
        </w:rPr>
        <w:t xml:space="preserve">, H. 1933. “Analysis of a complex of statistical variables into principal components.” </w:t>
      </w:r>
      <w:r w:rsidRPr="00C06EAB">
        <w:rPr>
          <w:i/>
          <w:color w:val="000000"/>
        </w:rPr>
        <w:t xml:space="preserve">Journal of Educational Psychology. </w:t>
      </w:r>
      <w:r w:rsidRPr="00C06EAB">
        <w:rPr>
          <w:b/>
          <w:color w:val="000000"/>
        </w:rPr>
        <w:t>24</w:t>
      </w:r>
      <w:r w:rsidRPr="00C06EAB">
        <w:rPr>
          <w:color w:val="000000"/>
        </w:rPr>
        <w:t xml:space="preserve">, 417–441 and 498–520. </w:t>
      </w:r>
    </w:p>
    <w:p w:rsidR="00C06EAB" w:rsidRPr="00C06EAB" w:rsidRDefault="00C06EAB" w:rsidP="00C06EAB">
      <w:r w:rsidRPr="00C06EAB">
        <w:t xml:space="preserve">Inoue, A. and T. </w:t>
      </w:r>
      <w:proofErr w:type="spellStart"/>
      <w:r w:rsidRPr="00C06EAB">
        <w:t>Tsujino</w:t>
      </w:r>
      <w:proofErr w:type="spellEnd"/>
      <w:r w:rsidRPr="00C06EAB">
        <w:t>. 1984. “Dissolution rates of uranium oxide (U</w:t>
      </w:r>
      <w:r w:rsidRPr="00C06EAB">
        <w:rPr>
          <w:vertAlign w:val="subscript"/>
        </w:rPr>
        <w:t>3</w:t>
      </w:r>
      <w:r w:rsidRPr="00C06EAB">
        <w:t>O</w:t>
      </w:r>
      <w:r w:rsidRPr="00C06EAB">
        <w:rPr>
          <w:vertAlign w:val="subscript"/>
        </w:rPr>
        <w:t>8</w:t>
      </w:r>
      <w:r w:rsidRPr="00C06EAB">
        <w:t xml:space="preserve">) powders in nitric acid.” </w:t>
      </w:r>
      <w:r w:rsidRPr="00C06EAB">
        <w:rPr>
          <w:i/>
        </w:rPr>
        <w:t>Industrial and Engineering Chemistry Process Design Development.</w:t>
      </w:r>
      <w:r w:rsidRPr="00C06EAB">
        <w:t xml:space="preserve"> </w:t>
      </w:r>
      <w:r w:rsidRPr="00C06EAB">
        <w:rPr>
          <w:b/>
        </w:rPr>
        <w:t>23</w:t>
      </w:r>
      <w:r w:rsidRPr="00C06EAB">
        <w:t xml:space="preserve"> (1), 122–125.</w:t>
      </w:r>
    </w:p>
    <w:p w:rsidR="00C06EAB" w:rsidRPr="00C06EAB" w:rsidRDefault="00C06EAB" w:rsidP="00C06EAB">
      <w:pPr>
        <w:rPr>
          <w:color w:val="000000"/>
        </w:rPr>
      </w:pPr>
      <w:r w:rsidRPr="00C06EAB">
        <w:rPr>
          <w:color w:val="000000"/>
        </w:rPr>
        <w:lastRenderedPageBreak/>
        <w:t>International Atomic Energy Agency (IAEA). September 1968. “</w:t>
      </w:r>
      <w:r w:rsidRPr="00C06EAB">
        <w:t>The Agency’s Safeguards Systems (1965, as Provisionally Extended in 1966 and 1968),</w:t>
      </w:r>
      <w:r w:rsidRPr="00C06EAB">
        <w:rPr>
          <w:color w:val="000000"/>
        </w:rPr>
        <w:t xml:space="preserve">” INFCIRC/66/Rev.2, </w:t>
      </w:r>
      <w:hyperlink r:id="rId218" w:history="1">
        <w:r w:rsidRPr="00C06EAB">
          <w:rPr>
            <w:rStyle w:val="Hyperlink"/>
          </w:rPr>
          <w:t>http://www.iaea.org/Publications/Documents/Infcircs/Others/inf66r2.shtml</w:t>
        </w:r>
      </w:hyperlink>
      <w:r w:rsidRPr="00C06EAB">
        <w:rPr>
          <w:color w:val="000000"/>
        </w:rPr>
        <w:t>.</w:t>
      </w:r>
    </w:p>
    <w:p w:rsidR="00C06EAB" w:rsidRDefault="00C06EAB" w:rsidP="00C06EAB">
      <w:pPr>
        <w:rPr>
          <w:color w:val="000000"/>
        </w:rPr>
      </w:pPr>
      <w:r w:rsidRPr="00C06EAB">
        <w:rPr>
          <w:color w:val="000000"/>
        </w:rPr>
        <w:t>International Atomic Energy Agency (IAEA). June 1972. “</w:t>
      </w:r>
      <w:r w:rsidRPr="00C06EAB">
        <w:t xml:space="preserve">The Structure and Content of Agreements </w:t>
      </w:r>
      <w:proofErr w:type="gramStart"/>
      <w:r w:rsidRPr="00C06EAB">
        <w:t>Between</w:t>
      </w:r>
      <w:proofErr w:type="gramEnd"/>
      <w:r w:rsidRPr="00C06EAB">
        <w:t xml:space="preserve"> the Agency and States Required in Connection with the Treaty on the Non-Proliferation of Nuclear Weapons,</w:t>
      </w:r>
      <w:r w:rsidRPr="00C06EAB">
        <w:rPr>
          <w:color w:val="000000"/>
        </w:rPr>
        <w:t xml:space="preserve">” INFCIRC/153 (corrected), </w:t>
      </w:r>
      <w:hyperlink r:id="rId219" w:history="1">
        <w:r w:rsidRPr="00C06EAB">
          <w:rPr>
            <w:rStyle w:val="Hyperlink"/>
          </w:rPr>
          <w:t>http://www.fas.org/nuke/control/npt/text/inf153.html</w:t>
        </w:r>
      </w:hyperlink>
      <w:r w:rsidRPr="00C06EAB">
        <w:rPr>
          <w:color w:val="000000"/>
        </w:rPr>
        <w:t>.</w:t>
      </w:r>
    </w:p>
    <w:p w:rsidR="002D2C33" w:rsidRPr="002D2C33" w:rsidRDefault="002D2C33" w:rsidP="002D2C33">
      <w:proofErr w:type="gramStart"/>
      <w:r w:rsidRPr="002D2C33">
        <w:t>International Atomic Energy Agency (IAEA).</w:t>
      </w:r>
      <w:proofErr w:type="gramEnd"/>
      <w:r w:rsidRPr="002D2C33">
        <w:t xml:space="preserve"> </w:t>
      </w:r>
      <w:r>
        <w:t xml:space="preserve">June 2002. </w:t>
      </w:r>
      <w:r w:rsidRPr="002D2C33">
        <w:t xml:space="preserve">“IAEA Safeguards Glossary, 2001 Edition,” </w:t>
      </w:r>
      <w:hyperlink r:id="rId220" w:history="1">
        <w:r w:rsidRPr="002D2C33">
          <w:rPr>
            <w:rStyle w:val="Hyperlink"/>
          </w:rPr>
          <w:t>http://www-pub.iaea.org/books/IAEABooks/6570/IAEA-Safeguards-Glossary-2001-Edition</w:t>
        </w:r>
      </w:hyperlink>
      <w:r>
        <w:t>.</w:t>
      </w:r>
    </w:p>
    <w:p w:rsidR="002D2C33" w:rsidRPr="002D2C33" w:rsidRDefault="002D2C33" w:rsidP="002D2C33">
      <w:proofErr w:type="gramStart"/>
      <w:r w:rsidRPr="002D2C33">
        <w:t>International Atomic Energy Agency (IAEA).</w:t>
      </w:r>
      <w:proofErr w:type="gramEnd"/>
      <w:r w:rsidRPr="002D2C33">
        <w:t xml:space="preserve"> </w:t>
      </w:r>
      <w:r>
        <w:t xml:space="preserve">August </w:t>
      </w:r>
      <w:r w:rsidRPr="002D2C33">
        <w:t xml:space="preserve">2003. “Safeguards Techniques and Equipment, 2003 Edition,” </w:t>
      </w:r>
      <w:hyperlink r:id="rId221" w:history="1">
        <w:r w:rsidRPr="001A606B">
          <w:rPr>
            <w:rStyle w:val="Hyperlink"/>
          </w:rPr>
          <w:t>http://www-pub.iaea.org/MTCD/publications/PDF/NVS1-2003_web.pdf</w:t>
        </w:r>
      </w:hyperlink>
      <w:r>
        <w:t>.</w:t>
      </w:r>
      <w:r w:rsidRPr="002D2C33">
        <w:t xml:space="preserve"> </w:t>
      </w:r>
    </w:p>
    <w:p w:rsidR="002D2C33" w:rsidRPr="002D2C33" w:rsidRDefault="002D2C33" w:rsidP="002D2C33">
      <w:proofErr w:type="gramStart"/>
      <w:r w:rsidRPr="00C06EAB">
        <w:rPr>
          <w:color w:val="000000"/>
        </w:rPr>
        <w:t>International Atomic Energy Agency (IAEA).</w:t>
      </w:r>
      <w:proofErr w:type="gramEnd"/>
      <w:r w:rsidRPr="00C06EAB">
        <w:rPr>
          <w:color w:val="000000"/>
        </w:rPr>
        <w:t xml:space="preserve"> </w:t>
      </w:r>
      <w:r>
        <w:rPr>
          <w:color w:val="000000"/>
        </w:rPr>
        <w:t xml:space="preserve">July 2007. </w:t>
      </w:r>
      <w:r w:rsidRPr="002D2C33">
        <w:t>“IAEA Safeguards: Staying Ahead of the</w:t>
      </w:r>
      <w:r>
        <w:t xml:space="preserve"> </w:t>
      </w:r>
      <w:r w:rsidRPr="002D2C33">
        <w:t xml:space="preserve">Game,” </w:t>
      </w:r>
      <w:hyperlink r:id="rId222" w:history="1">
        <w:r w:rsidRPr="002D2C33">
          <w:rPr>
            <w:rStyle w:val="Hyperlink"/>
          </w:rPr>
          <w:t>www.iaea.org/Publications/Booklets/Safeguards3/safeguards0707.pdf</w:t>
        </w:r>
      </w:hyperlink>
      <w:r w:rsidRPr="002D2C33">
        <w:t xml:space="preserve">. </w:t>
      </w:r>
    </w:p>
    <w:p w:rsidR="00C06EAB" w:rsidRPr="00C06EAB" w:rsidRDefault="00C06EAB" w:rsidP="00C06EAB">
      <w:r w:rsidRPr="00C06EAB">
        <w:t xml:space="preserve">Jackson, J. E. 2003. </w:t>
      </w:r>
      <w:r w:rsidRPr="00C06EAB">
        <w:rPr>
          <w:i/>
        </w:rPr>
        <w:t>A User’s Guide to Principal Components</w:t>
      </w:r>
      <w:r w:rsidRPr="00C06EAB">
        <w:t>. 1st ed., Wiley-</w:t>
      </w:r>
      <w:proofErr w:type="spellStart"/>
      <w:r w:rsidRPr="00C06EAB">
        <w:t>Interscience</w:t>
      </w:r>
      <w:proofErr w:type="spellEnd"/>
      <w:r w:rsidRPr="00C06EAB">
        <w:t>, New Jersey.</w:t>
      </w:r>
    </w:p>
    <w:p w:rsidR="00C06EAB" w:rsidRPr="00C06EAB" w:rsidRDefault="00C06EAB" w:rsidP="00C06EAB">
      <w:pPr>
        <w:pStyle w:val="Normal2"/>
        <w:spacing w:after="200" w:line="276" w:lineRule="auto"/>
        <w:rPr>
          <w:rFonts w:asciiTheme="minorHAnsi" w:hAnsiTheme="minorHAnsi"/>
          <w:sz w:val="22"/>
          <w:szCs w:val="22"/>
        </w:rPr>
      </w:pPr>
      <w:proofErr w:type="spellStart"/>
      <w:r w:rsidRPr="00C06EAB">
        <w:rPr>
          <w:rFonts w:asciiTheme="minorHAnsi" w:hAnsiTheme="minorHAnsi"/>
          <w:sz w:val="22"/>
          <w:szCs w:val="22"/>
        </w:rPr>
        <w:t>Jolliffe</w:t>
      </w:r>
      <w:proofErr w:type="spellEnd"/>
      <w:r w:rsidRPr="00C06EAB">
        <w:rPr>
          <w:rFonts w:asciiTheme="minorHAnsi" w:hAnsiTheme="minorHAnsi"/>
          <w:sz w:val="22"/>
          <w:szCs w:val="22"/>
        </w:rPr>
        <w:t xml:space="preserve">, I. T. 1986. </w:t>
      </w:r>
      <w:r w:rsidRPr="00C06EAB">
        <w:rPr>
          <w:rFonts w:asciiTheme="minorHAnsi" w:hAnsiTheme="minorHAnsi"/>
          <w:i/>
          <w:sz w:val="22"/>
          <w:szCs w:val="22"/>
        </w:rPr>
        <w:t xml:space="preserve">Principal Component Analysis. </w:t>
      </w:r>
      <w:r w:rsidRPr="00C06EAB">
        <w:rPr>
          <w:rFonts w:asciiTheme="minorHAnsi" w:hAnsiTheme="minorHAnsi"/>
          <w:sz w:val="22"/>
          <w:szCs w:val="22"/>
        </w:rPr>
        <w:t>1st ed., Springer-</w:t>
      </w:r>
      <w:proofErr w:type="spellStart"/>
      <w:r w:rsidRPr="00C06EAB">
        <w:rPr>
          <w:rFonts w:asciiTheme="minorHAnsi" w:hAnsiTheme="minorHAnsi"/>
          <w:sz w:val="22"/>
          <w:szCs w:val="22"/>
        </w:rPr>
        <w:t>Verlag</w:t>
      </w:r>
      <w:proofErr w:type="spellEnd"/>
      <w:r w:rsidRPr="00C06EAB">
        <w:rPr>
          <w:rFonts w:asciiTheme="minorHAnsi" w:hAnsiTheme="minorHAnsi"/>
          <w:sz w:val="22"/>
          <w:szCs w:val="22"/>
        </w:rPr>
        <w:t>, New York.</w:t>
      </w:r>
    </w:p>
    <w:p w:rsidR="00C06EAB" w:rsidRPr="00C06EAB" w:rsidRDefault="00C06EAB" w:rsidP="00C06EAB">
      <w:pPr>
        <w:pStyle w:val="Normal2"/>
        <w:spacing w:after="200" w:line="276" w:lineRule="auto"/>
        <w:rPr>
          <w:rFonts w:asciiTheme="minorHAnsi" w:hAnsiTheme="minorHAnsi"/>
          <w:sz w:val="22"/>
          <w:szCs w:val="22"/>
        </w:rPr>
      </w:pPr>
      <w:proofErr w:type="spellStart"/>
      <w:r w:rsidRPr="00C06EAB">
        <w:rPr>
          <w:rFonts w:asciiTheme="minorHAnsi" w:hAnsiTheme="minorHAnsi"/>
          <w:sz w:val="22"/>
          <w:szCs w:val="22"/>
        </w:rPr>
        <w:t>Kourti</w:t>
      </w:r>
      <w:proofErr w:type="spellEnd"/>
      <w:r w:rsidRPr="00C06EAB">
        <w:rPr>
          <w:rFonts w:asciiTheme="minorHAnsi" w:hAnsiTheme="minorHAnsi"/>
          <w:sz w:val="22"/>
          <w:szCs w:val="22"/>
        </w:rPr>
        <w:t xml:space="preserve">, T. 2002. “Process Analysis and Abnormal Situation Detection: From Theory to Practice.” </w:t>
      </w:r>
      <w:r w:rsidRPr="00C06EAB">
        <w:rPr>
          <w:rFonts w:asciiTheme="minorHAnsi" w:hAnsiTheme="minorHAnsi"/>
          <w:i/>
          <w:sz w:val="22"/>
          <w:szCs w:val="22"/>
        </w:rPr>
        <w:t>IEEE Control Systems Magazine.</w:t>
      </w:r>
      <w:r w:rsidRPr="00C06EAB">
        <w:rPr>
          <w:rFonts w:asciiTheme="minorHAnsi" w:hAnsiTheme="minorHAnsi"/>
          <w:sz w:val="22"/>
          <w:szCs w:val="22"/>
        </w:rPr>
        <w:t xml:space="preserve"> October 2002, 10–25.</w:t>
      </w:r>
    </w:p>
    <w:p w:rsidR="00C06EAB" w:rsidRPr="00C06EAB" w:rsidRDefault="00C06EAB" w:rsidP="00C06EAB">
      <w:proofErr w:type="spellStart"/>
      <w:r w:rsidRPr="00C06EAB">
        <w:t>Labaton</w:t>
      </w:r>
      <w:proofErr w:type="spellEnd"/>
      <w:r w:rsidRPr="00C06EAB">
        <w:t xml:space="preserve">, V. Y. and K. D. B. Johnson. 1959. “The Fluorides of Uranium—III: Kinetic Studies of the Fluorination of Uranium </w:t>
      </w:r>
      <w:proofErr w:type="spellStart"/>
      <w:r w:rsidRPr="00C06EAB">
        <w:t>Tetrafluoride</w:t>
      </w:r>
      <w:proofErr w:type="spellEnd"/>
      <w:r w:rsidRPr="00C06EAB">
        <w:t xml:space="preserve"> by Fluorine.” </w:t>
      </w:r>
      <w:r w:rsidRPr="00C06EAB">
        <w:rPr>
          <w:i/>
        </w:rPr>
        <w:t xml:space="preserve">Journal of Inorganic Nuclear Chemistry. </w:t>
      </w:r>
      <w:r w:rsidRPr="00C06EAB">
        <w:rPr>
          <w:b/>
        </w:rPr>
        <w:t>10</w:t>
      </w:r>
      <w:r w:rsidRPr="00C06EAB">
        <w:t>, 74–85.</w:t>
      </w:r>
    </w:p>
    <w:p w:rsidR="00C06EAB" w:rsidRDefault="00C06EAB" w:rsidP="00C06EAB">
      <w:pPr>
        <w:pStyle w:val="Normal2"/>
        <w:spacing w:after="200" w:line="276" w:lineRule="auto"/>
        <w:rPr>
          <w:rFonts w:asciiTheme="minorHAnsi" w:hAnsiTheme="minorHAnsi"/>
          <w:sz w:val="22"/>
          <w:szCs w:val="22"/>
        </w:rPr>
      </w:pPr>
      <w:proofErr w:type="spellStart"/>
      <w:r w:rsidRPr="00C06EAB">
        <w:rPr>
          <w:rFonts w:asciiTheme="minorHAnsi" w:hAnsiTheme="minorHAnsi"/>
          <w:sz w:val="22"/>
          <w:szCs w:val="22"/>
        </w:rPr>
        <w:t>MacGregor</w:t>
      </w:r>
      <w:proofErr w:type="spellEnd"/>
      <w:r w:rsidRPr="00C06EAB">
        <w:rPr>
          <w:rFonts w:asciiTheme="minorHAnsi" w:hAnsiTheme="minorHAnsi"/>
          <w:sz w:val="22"/>
          <w:szCs w:val="22"/>
        </w:rPr>
        <w:t xml:space="preserve">, J. F. and T. </w:t>
      </w:r>
      <w:proofErr w:type="spellStart"/>
      <w:r w:rsidRPr="00C06EAB">
        <w:rPr>
          <w:rFonts w:asciiTheme="minorHAnsi" w:hAnsiTheme="minorHAnsi"/>
          <w:sz w:val="22"/>
          <w:szCs w:val="22"/>
        </w:rPr>
        <w:t>Kourti</w:t>
      </w:r>
      <w:proofErr w:type="spellEnd"/>
      <w:r w:rsidRPr="00C06EAB">
        <w:rPr>
          <w:rFonts w:asciiTheme="minorHAnsi" w:hAnsiTheme="minorHAnsi"/>
          <w:sz w:val="22"/>
          <w:szCs w:val="22"/>
        </w:rPr>
        <w:t xml:space="preserve">. 1995. “Statistical Process Control of Multivariate Processes.” </w:t>
      </w:r>
      <w:r w:rsidRPr="00C06EAB">
        <w:rPr>
          <w:rFonts w:asciiTheme="minorHAnsi" w:hAnsiTheme="minorHAnsi"/>
          <w:i/>
          <w:sz w:val="22"/>
          <w:szCs w:val="22"/>
        </w:rPr>
        <w:t>Control Engineering Practice.</w:t>
      </w:r>
      <w:r w:rsidRPr="00C06EAB">
        <w:rPr>
          <w:rFonts w:asciiTheme="minorHAnsi" w:hAnsiTheme="minorHAnsi"/>
          <w:sz w:val="22"/>
          <w:szCs w:val="22"/>
        </w:rPr>
        <w:t xml:space="preserve"> </w:t>
      </w:r>
      <w:r w:rsidRPr="00C06EAB">
        <w:rPr>
          <w:rFonts w:asciiTheme="minorHAnsi" w:hAnsiTheme="minorHAnsi"/>
          <w:b/>
          <w:sz w:val="22"/>
          <w:szCs w:val="22"/>
        </w:rPr>
        <w:t>3</w:t>
      </w:r>
      <w:r w:rsidRPr="00C06EAB">
        <w:rPr>
          <w:rFonts w:asciiTheme="minorHAnsi" w:hAnsiTheme="minorHAnsi"/>
          <w:sz w:val="22"/>
          <w:szCs w:val="22"/>
        </w:rPr>
        <w:t xml:space="preserve"> (3), 403–414.</w:t>
      </w:r>
    </w:p>
    <w:p w:rsidR="00752757" w:rsidRPr="004422BF" w:rsidRDefault="00752757" w:rsidP="00752757">
      <w:r w:rsidRPr="004422BF">
        <w:t>MATLAB®</w:t>
      </w:r>
      <w:r>
        <w:t xml:space="preserve"> 2013a Documentation. 2013. “</w:t>
      </w:r>
      <w:proofErr w:type="spellStart"/>
      <w:r>
        <w:t>fsolve</w:t>
      </w:r>
      <w:proofErr w:type="spellEnd"/>
      <w:r>
        <w:t xml:space="preserve">.”  </w:t>
      </w:r>
      <w:hyperlink r:id="rId223" w:history="1">
        <w:r w:rsidRPr="005E4E18">
          <w:rPr>
            <w:rStyle w:val="Hyperlink"/>
          </w:rPr>
          <w:t>http://www.mathworks.com/help/optim/ug/fsolve.html</w:t>
        </w:r>
      </w:hyperlink>
      <w:r w:rsidR="008E6F8C">
        <w:t xml:space="preserve">. </w:t>
      </w:r>
    </w:p>
    <w:p w:rsidR="00C06EAB" w:rsidRPr="00C06EAB" w:rsidRDefault="00C06EAB" w:rsidP="00C06EAB">
      <w:pPr>
        <w:pStyle w:val="Normal2"/>
        <w:spacing w:after="200" w:line="276" w:lineRule="auto"/>
        <w:rPr>
          <w:rFonts w:asciiTheme="minorHAnsi" w:hAnsiTheme="minorHAnsi"/>
          <w:sz w:val="22"/>
          <w:szCs w:val="22"/>
        </w:rPr>
      </w:pPr>
      <w:r w:rsidRPr="00C06EAB">
        <w:rPr>
          <w:rFonts w:asciiTheme="minorHAnsi" w:hAnsiTheme="minorHAnsi"/>
          <w:sz w:val="22"/>
          <w:szCs w:val="22"/>
        </w:rPr>
        <w:t xml:space="preserve">Martin, E. B., A. J. Morris, and J. Zhang. 1996. “Process performance monitoring using multivariate statistical process control.” </w:t>
      </w:r>
      <w:r w:rsidRPr="00C06EAB">
        <w:rPr>
          <w:rFonts w:asciiTheme="minorHAnsi" w:hAnsiTheme="minorHAnsi"/>
          <w:i/>
          <w:sz w:val="22"/>
          <w:szCs w:val="22"/>
        </w:rPr>
        <w:t>IEE Proceedings-Control Theory and Applications.</w:t>
      </w:r>
      <w:r w:rsidRPr="00C06EAB">
        <w:rPr>
          <w:rFonts w:asciiTheme="minorHAnsi" w:hAnsiTheme="minorHAnsi"/>
          <w:sz w:val="22"/>
          <w:szCs w:val="22"/>
        </w:rPr>
        <w:t xml:space="preserve"> </w:t>
      </w:r>
      <w:r w:rsidRPr="00C06EAB">
        <w:rPr>
          <w:rFonts w:asciiTheme="minorHAnsi" w:hAnsiTheme="minorHAnsi"/>
          <w:b/>
          <w:sz w:val="22"/>
          <w:szCs w:val="22"/>
        </w:rPr>
        <w:t>143</w:t>
      </w:r>
      <w:r w:rsidRPr="00C06EAB">
        <w:rPr>
          <w:rFonts w:asciiTheme="minorHAnsi" w:hAnsiTheme="minorHAnsi"/>
          <w:sz w:val="22"/>
          <w:szCs w:val="22"/>
        </w:rPr>
        <w:t xml:space="preserve"> (2), 132–144.</w:t>
      </w:r>
    </w:p>
    <w:p w:rsidR="00C06EAB" w:rsidRPr="00C06EAB" w:rsidRDefault="00C06EAB" w:rsidP="00C06EAB">
      <w:pPr>
        <w:pStyle w:val="Normal2"/>
        <w:spacing w:after="200" w:line="276" w:lineRule="auto"/>
        <w:rPr>
          <w:rFonts w:asciiTheme="minorHAnsi" w:hAnsiTheme="minorHAnsi"/>
          <w:sz w:val="22"/>
          <w:szCs w:val="22"/>
        </w:rPr>
      </w:pPr>
      <w:r w:rsidRPr="00C06EAB">
        <w:rPr>
          <w:rFonts w:asciiTheme="minorHAnsi" w:hAnsiTheme="minorHAnsi"/>
          <w:sz w:val="22"/>
          <w:szCs w:val="22"/>
        </w:rPr>
        <w:t xml:space="preserve">Martin, E., J. Morris, and S. Lane. 2002. “Monitoring Process Manufacturing Performance.” </w:t>
      </w:r>
      <w:r w:rsidRPr="00C06EAB">
        <w:rPr>
          <w:rFonts w:asciiTheme="minorHAnsi" w:hAnsiTheme="minorHAnsi"/>
          <w:i/>
          <w:sz w:val="22"/>
          <w:szCs w:val="22"/>
        </w:rPr>
        <w:t>IEEE Control Systems Magazine.</w:t>
      </w:r>
      <w:r w:rsidRPr="00C06EAB">
        <w:rPr>
          <w:rFonts w:asciiTheme="minorHAnsi" w:hAnsiTheme="minorHAnsi"/>
          <w:sz w:val="22"/>
          <w:szCs w:val="22"/>
        </w:rPr>
        <w:t xml:space="preserve"> October 2002, 26–39.</w:t>
      </w:r>
    </w:p>
    <w:p w:rsidR="00C06EAB" w:rsidRPr="00C06EAB" w:rsidRDefault="00C06EAB" w:rsidP="00C06EAB">
      <w:proofErr w:type="spellStart"/>
      <w:r w:rsidRPr="00C06EAB">
        <w:t>Mellah</w:t>
      </w:r>
      <w:proofErr w:type="spellEnd"/>
      <w:r w:rsidRPr="00C06EAB">
        <w:t xml:space="preserve">, A., S. </w:t>
      </w:r>
      <w:proofErr w:type="spellStart"/>
      <w:r w:rsidRPr="00C06EAB">
        <w:t>Chegrouche</w:t>
      </w:r>
      <w:proofErr w:type="spellEnd"/>
      <w:r w:rsidRPr="00C06EAB">
        <w:t xml:space="preserve">, and M. </w:t>
      </w:r>
      <w:proofErr w:type="spellStart"/>
      <w:r w:rsidRPr="00C06EAB">
        <w:t>Barkat</w:t>
      </w:r>
      <w:proofErr w:type="spellEnd"/>
      <w:r w:rsidRPr="00C06EAB">
        <w:t xml:space="preserve">. 2007. “The precipitation of ammonium uranyl carbonate (AUC): Thermodynamic and kinetic investigations.” </w:t>
      </w:r>
      <w:r w:rsidRPr="00C06EAB">
        <w:rPr>
          <w:i/>
        </w:rPr>
        <w:t>Hydrometallurgy.</w:t>
      </w:r>
      <w:r w:rsidRPr="00C06EAB">
        <w:t xml:space="preserve"> </w:t>
      </w:r>
      <w:r w:rsidRPr="00C06EAB">
        <w:rPr>
          <w:b/>
        </w:rPr>
        <w:t>85</w:t>
      </w:r>
      <w:r w:rsidRPr="00C06EAB">
        <w:t xml:space="preserve">, 163–171. </w:t>
      </w:r>
    </w:p>
    <w:p w:rsidR="00C06EAB" w:rsidRPr="00C06EAB" w:rsidRDefault="00C06EAB" w:rsidP="00C06EAB">
      <w:r w:rsidRPr="00C06EAB">
        <w:t xml:space="preserve">McCabe, W. L., J. C. Smith, and P. </w:t>
      </w:r>
      <w:proofErr w:type="spellStart"/>
      <w:r w:rsidRPr="00C06EAB">
        <w:t>Harriott</w:t>
      </w:r>
      <w:proofErr w:type="spellEnd"/>
      <w:r w:rsidRPr="00C06EAB">
        <w:t xml:space="preserve">. 1993. </w:t>
      </w:r>
      <w:r w:rsidRPr="00C06EAB">
        <w:rPr>
          <w:i/>
        </w:rPr>
        <w:t>Unit Operations of Chemical Engineering.</w:t>
      </w:r>
      <w:r w:rsidRPr="00C06EAB">
        <w:t xml:space="preserve"> pp. 513. 5th ed., McGraw-Hill, New York.</w:t>
      </w:r>
    </w:p>
    <w:p w:rsidR="00C06EAB" w:rsidRPr="00C06EAB" w:rsidRDefault="00C06EAB" w:rsidP="00C06EAB">
      <w:r w:rsidRPr="00C06EAB">
        <w:lastRenderedPageBreak/>
        <w:t xml:space="preserve">Miller, M. C., </w:t>
      </w:r>
      <w:r w:rsidRPr="00C06EAB">
        <w:rPr>
          <w:rFonts w:eastAsia="Calibri"/>
        </w:rPr>
        <w:t xml:space="preserve">M. M. </w:t>
      </w:r>
      <w:proofErr w:type="spellStart"/>
      <w:r w:rsidRPr="00C06EAB">
        <w:rPr>
          <w:rFonts w:eastAsia="Calibri"/>
        </w:rPr>
        <w:t>Pickrell</w:t>
      </w:r>
      <w:proofErr w:type="spellEnd"/>
      <w:r w:rsidRPr="00C06EAB">
        <w:rPr>
          <w:rFonts w:eastAsia="Calibri"/>
        </w:rPr>
        <w:t xml:space="preserve">, D. H. </w:t>
      </w:r>
      <w:proofErr w:type="spellStart"/>
      <w:r w:rsidRPr="00C06EAB">
        <w:rPr>
          <w:rFonts w:eastAsia="Calibri"/>
        </w:rPr>
        <w:t>Beddingfield</w:t>
      </w:r>
      <w:proofErr w:type="spellEnd"/>
      <w:r w:rsidRPr="00C06EAB">
        <w:rPr>
          <w:rFonts w:eastAsia="Calibri"/>
        </w:rPr>
        <w:t xml:space="preserve">, D. G. </w:t>
      </w:r>
      <w:proofErr w:type="spellStart"/>
      <w:r w:rsidRPr="00C06EAB">
        <w:rPr>
          <w:rFonts w:eastAsia="Calibri"/>
        </w:rPr>
        <w:t>Langner</w:t>
      </w:r>
      <w:proofErr w:type="spellEnd"/>
      <w:r w:rsidRPr="00C06EAB">
        <w:rPr>
          <w:rFonts w:eastAsia="Calibri"/>
        </w:rPr>
        <w:t xml:space="preserve">, G. W. </w:t>
      </w:r>
      <w:proofErr w:type="spellStart"/>
      <w:r w:rsidRPr="00C06EAB">
        <w:rPr>
          <w:rFonts w:eastAsia="Calibri"/>
        </w:rPr>
        <w:t>Eccleston</w:t>
      </w:r>
      <w:proofErr w:type="spellEnd"/>
      <w:r w:rsidRPr="00C06EAB">
        <w:rPr>
          <w:rFonts w:eastAsia="Calibri"/>
        </w:rPr>
        <w:t xml:space="preserve">. </w:t>
      </w:r>
      <w:r w:rsidRPr="00C06EAB">
        <w:t>2004. “</w:t>
      </w:r>
      <w:r w:rsidRPr="00C06EAB">
        <w:rPr>
          <w:rFonts w:eastAsia="Calibri"/>
        </w:rPr>
        <w:t>Source Term Analysis in Support of Safeguards Approaches for Uranium Conversion Facilities</w:t>
      </w:r>
      <w:r w:rsidRPr="00C06EAB">
        <w:t xml:space="preserve">.” </w:t>
      </w:r>
      <w:r w:rsidRPr="00C06EAB">
        <w:rPr>
          <w:i/>
        </w:rPr>
        <w:t>Proceedings 45th Annual Meeting of Institute of Nuclear Materials Management (INMM),</w:t>
      </w:r>
      <w:r w:rsidRPr="00C06EAB">
        <w:t xml:space="preserve"> Orlando, July.</w:t>
      </w:r>
    </w:p>
    <w:p w:rsidR="00C06EAB" w:rsidRPr="00C06EAB" w:rsidRDefault="00C06EAB" w:rsidP="00C06EAB">
      <w:pPr>
        <w:pStyle w:val="Normal2"/>
        <w:spacing w:after="200" w:line="276" w:lineRule="auto"/>
        <w:rPr>
          <w:rFonts w:asciiTheme="minorHAnsi" w:hAnsiTheme="minorHAnsi"/>
          <w:sz w:val="22"/>
          <w:szCs w:val="22"/>
        </w:rPr>
      </w:pPr>
      <w:proofErr w:type="spellStart"/>
      <w:r w:rsidRPr="00C06EAB">
        <w:rPr>
          <w:rFonts w:asciiTheme="minorHAnsi" w:hAnsiTheme="minorHAnsi"/>
          <w:sz w:val="22"/>
          <w:szCs w:val="22"/>
        </w:rPr>
        <w:t>Moghissi</w:t>
      </w:r>
      <w:proofErr w:type="spellEnd"/>
      <w:r w:rsidRPr="00C06EAB">
        <w:rPr>
          <w:rFonts w:asciiTheme="minorHAnsi" w:hAnsiTheme="minorHAnsi"/>
          <w:sz w:val="22"/>
          <w:szCs w:val="22"/>
        </w:rPr>
        <w:t xml:space="preserve">, A. A., H. W. </w:t>
      </w:r>
      <w:proofErr w:type="spellStart"/>
      <w:r w:rsidRPr="00C06EAB">
        <w:rPr>
          <w:rFonts w:asciiTheme="minorHAnsi" w:hAnsiTheme="minorHAnsi"/>
          <w:sz w:val="22"/>
          <w:szCs w:val="22"/>
        </w:rPr>
        <w:t>Godbee</w:t>
      </w:r>
      <w:proofErr w:type="spellEnd"/>
      <w:r w:rsidRPr="00C06EAB">
        <w:rPr>
          <w:rFonts w:asciiTheme="minorHAnsi" w:hAnsiTheme="minorHAnsi"/>
          <w:sz w:val="22"/>
          <w:szCs w:val="22"/>
        </w:rPr>
        <w:t xml:space="preserve">, and S. A. </w:t>
      </w:r>
      <w:proofErr w:type="spellStart"/>
      <w:r w:rsidRPr="00C06EAB">
        <w:rPr>
          <w:rFonts w:asciiTheme="minorHAnsi" w:hAnsiTheme="minorHAnsi"/>
          <w:sz w:val="22"/>
          <w:szCs w:val="22"/>
        </w:rPr>
        <w:t>Hobert</w:t>
      </w:r>
      <w:proofErr w:type="spellEnd"/>
      <w:r w:rsidRPr="00C06EAB">
        <w:rPr>
          <w:rFonts w:asciiTheme="minorHAnsi" w:hAnsiTheme="minorHAnsi"/>
          <w:sz w:val="22"/>
          <w:szCs w:val="22"/>
        </w:rPr>
        <w:t xml:space="preserve">. 1992. </w:t>
      </w:r>
      <w:r w:rsidRPr="00C06EAB">
        <w:rPr>
          <w:rFonts w:asciiTheme="minorHAnsi" w:hAnsiTheme="minorHAnsi"/>
          <w:i/>
          <w:iCs/>
          <w:sz w:val="22"/>
          <w:szCs w:val="22"/>
        </w:rPr>
        <w:t>Radioactive Waste Technology.</w:t>
      </w:r>
      <w:r w:rsidRPr="00C06EAB">
        <w:rPr>
          <w:rFonts w:asciiTheme="minorHAnsi" w:hAnsiTheme="minorHAnsi"/>
          <w:sz w:val="22"/>
          <w:szCs w:val="22"/>
        </w:rPr>
        <w:t xml:space="preserve"> 1st ed., the American Society of Mechanical Engineers, New York.</w:t>
      </w:r>
    </w:p>
    <w:p w:rsidR="00C06EAB" w:rsidRPr="00C06EAB" w:rsidRDefault="00C06EAB" w:rsidP="00C06EAB">
      <w:r w:rsidRPr="00C06EAB">
        <w:t xml:space="preserve">Nicole, Ch., F. </w:t>
      </w:r>
      <w:proofErr w:type="spellStart"/>
      <w:r w:rsidRPr="00C06EAB">
        <w:t>Patisson</w:t>
      </w:r>
      <w:proofErr w:type="spellEnd"/>
      <w:r w:rsidRPr="00C06EAB">
        <w:t xml:space="preserve">, D. </w:t>
      </w:r>
      <w:proofErr w:type="spellStart"/>
      <w:r w:rsidRPr="00C06EAB">
        <w:t>Ablitzer</w:t>
      </w:r>
      <w:proofErr w:type="spellEnd"/>
      <w:r w:rsidRPr="00C06EAB">
        <w:t xml:space="preserve">, and J.-L. </w:t>
      </w:r>
      <w:proofErr w:type="spellStart"/>
      <w:r w:rsidRPr="00C06EAB">
        <w:t>Houzelot</w:t>
      </w:r>
      <w:proofErr w:type="spellEnd"/>
      <w:r w:rsidRPr="00C06EAB">
        <w:t xml:space="preserve">. 1996. “A </w:t>
      </w:r>
      <w:proofErr w:type="spellStart"/>
      <w:r w:rsidRPr="00C06EAB">
        <w:t>Thermogravimetric</w:t>
      </w:r>
      <w:proofErr w:type="spellEnd"/>
      <w:r w:rsidRPr="00C06EAB">
        <w:t xml:space="preserve"> Study of the Kinetics of </w:t>
      </w:r>
      <w:proofErr w:type="spellStart"/>
      <w:r w:rsidRPr="00C06EAB">
        <w:t>Hydrofluorination</w:t>
      </w:r>
      <w:proofErr w:type="spellEnd"/>
      <w:r w:rsidRPr="00C06EAB">
        <w:t xml:space="preserve"> of Uranium Dioxide.” </w:t>
      </w:r>
      <w:r w:rsidRPr="00C06EAB">
        <w:rPr>
          <w:i/>
        </w:rPr>
        <w:t>Chemical Engineering Science.</w:t>
      </w:r>
      <w:r w:rsidRPr="00C06EAB">
        <w:t xml:space="preserve"> </w:t>
      </w:r>
      <w:r w:rsidRPr="00C06EAB">
        <w:rPr>
          <w:b/>
        </w:rPr>
        <w:t>51</w:t>
      </w:r>
      <w:r w:rsidRPr="00C06EAB">
        <w:t xml:space="preserve"> (23), 5213–5222. </w:t>
      </w:r>
    </w:p>
    <w:p w:rsidR="00C06EAB" w:rsidRDefault="00C06EAB" w:rsidP="00C06EAB">
      <w:pPr>
        <w:pStyle w:val="Normal2"/>
        <w:spacing w:after="200" w:line="276" w:lineRule="auto"/>
        <w:rPr>
          <w:rFonts w:asciiTheme="minorHAnsi" w:hAnsiTheme="minorHAnsi"/>
          <w:sz w:val="22"/>
          <w:szCs w:val="22"/>
        </w:rPr>
      </w:pPr>
      <w:r w:rsidRPr="00C06EAB">
        <w:rPr>
          <w:rFonts w:asciiTheme="minorHAnsi" w:hAnsiTheme="minorHAnsi"/>
          <w:sz w:val="22"/>
          <w:szCs w:val="22"/>
        </w:rPr>
        <w:t xml:space="preserve">Pearson, K. 1901. “On lines and planes of closest fit to systems of points in space.” </w:t>
      </w:r>
      <w:r w:rsidRPr="00C06EAB">
        <w:rPr>
          <w:rFonts w:asciiTheme="minorHAnsi" w:hAnsiTheme="minorHAnsi"/>
          <w:i/>
          <w:sz w:val="22"/>
          <w:szCs w:val="22"/>
        </w:rPr>
        <w:t>Philosophy Magazine.</w:t>
      </w:r>
      <w:r w:rsidRPr="00C06EAB">
        <w:rPr>
          <w:rFonts w:asciiTheme="minorHAnsi" w:hAnsiTheme="minorHAnsi"/>
          <w:sz w:val="22"/>
          <w:szCs w:val="22"/>
        </w:rPr>
        <w:t xml:space="preserve"> </w:t>
      </w:r>
      <w:r w:rsidRPr="00C06EAB">
        <w:rPr>
          <w:rFonts w:asciiTheme="minorHAnsi" w:hAnsiTheme="minorHAnsi"/>
          <w:b/>
          <w:sz w:val="22"/>
          <w:szCs w:val="22"/>
        </w:rPr>
        <w:t>2</w:t>
      </w:r>
      <w:r w:rsidRPr="00C06EAB">
        <w:rPr>
          <w:rFonts w:asciiTheme="minorHAnsi" w:hAnsiTheme="minorHAnsi"/>
          <w:sz w:val="22"/>
          <w:szCs w:val="22"/>
        </w:rPr>
        <w:t>, 559–572.</w:t>
      </w:r>
    </w:p>
    <w:p w:rsidR="00390FD4" w:rsidRPr="00390FD4" w:rsidRDefault="00390FD4" w:rsidP="00390FD4">
      <w:proofErr w:type="spellStart"/>
      <w:proofErr w:type="gramStart"/>
      <w:r w:rsidRPr="00390FD4">
        <w:t>Robel</w:t>
      </w:r>
      <w:proofErr w:type="spellEnd"/>
      <w:r w:rsidRPr="00390FD4">
        <w:t xml:space="preserve">, M., M. J. </w:t>
      </w:r>
      <w:proofErr w:type="spellStart"/>
      <w:r w:rsidRPr="00390FD4">
        <w:t>Kristo</w:t>
      </w:r>
      <w:proofErr w:type="spellEnd"/>
      <w:r w:rsidRPr="00390FD4">
        <w:t>, and M. A. Heller.</w:t>
      </w:r>
      <w:proofErr w:type="gramEnd"/>
      <w:r w:rsidRPr="00390FD4">
        <w:t xml:space="preserve"> 2009. “Nuclear Forensic Inferences Using Iterative Multidimensional Statistics.” </w:t>
      </w:r>
      <w:proofErr w:type="gramStart"/>
      <w:r w:rsidRPr="00390FD4">
        <w:rPr>
          <w:i/>
        </w:rPr>
        <w:t>Proceedings 50th Annual Meeting of Institute of Nuclear Materials Management (INMM),</w:t>
      </w:r>
      <w:r w:rsidRPr="00390FD4">
        <w:t xml:space="preserve"> Tucson, July.</w:t>
      </w:r>
      <w:proofErr w:type="gramEnd"/>
    </w:p>
    <w:p w:rsidR="00C06EAB" w:rsidRPr="00C06EAB" w:rsidRDefault="00C06EAB" w:rsidP="00C06EAB">
      <w:proofErr w:type="spellStart"/>
      <w:proofErr w:type="gramStart"/>
      <w:r w:rsidRPr="00C06EAB">
        <w:t>Seader</w:t>
      </w:r>
      <w:proofErr w:type="spellEnd"/>
      <w:r w:rsidRPr="00C06EAB">
        <w:t>, J. D. and E. J. Henley.</w:t>
      </w:r>
      <w:proofErr w:type="gramEnd"/>
      <w:r w:rsidRPr="00C06EAB">
        <w:t xml:space="preserve"> 1998. </w:t>
      </w:r>
      <w:r w:rsidRPr="00C06EAB">
        <w:rPr>
          <w:i/>
        </w:rPr>
        <w:t>Separation Process Principles.</w:t>
      </w:r>
      <w:r w:rsidRPr="00C06EAB">
        <w:t xml:space="preserve"> pp. 242–246 and 514–519. John Wiley &amp; Sons, Inc., New York. </w:t>
      </w:r>
    </w:p>
    <w:p w:rsidR="00C06EAB" w:rsidRPr="00C06EAB" w:rsidRDefault="00C06EAB" w:rsidP="00C06EAB">
      <w:proofErr w:type="spellStart"/>
      <w:r w:rsidRPr="00C06EAB">
        <w:t>Strang</w:t>
      </w:r>
      <w:proofErr w:type="spellEnd"/>
      <w:r w:rsidRPr="00C06EAB">
        <w:t xml:space="preserve">, G. 2006. </w:t>
      </w:r>
      <w:r w:rsidRPr="00C06EAB">
        <w:rPr>
          <w:i/>
        </w:rPr>
        <w:t>Linear Algebra and Its Applications.</w:t>
      </w:r>
      <w:r w:rsidRPr="00C06EAB">
        <w:t xml:space="preserve"> 4th ed., Thomson, Brooks/Cole, Australia. </w:t>
      </w:r>
    </w:p>
    <w:p w:rsidR="00C06EAB" w:rsidRPr="00C06EAB" w:rsidRDefault="00C06EAB" w:rsidP="00C06EAB">
      <w:r w:rsidRPr="00C06EAB">
        <w:t xml:space="preserve">Valle, S., W. Li, and S. J. Qin. 1999. “Selection of the Number of Principal Components: The Variance of the Reconstruction Error Criterion with a Comparison to Other Methods.” </w:t>
      </w:r>
      <w:r w:rsidRPr="00C06EAB">
        <w:rPr>
          <w:i/>
        </w:rPr>
        <w:t>Industrial and Engineering Chemistry Research.</w:t>
      </w:r>
      <w:r w:rsidRPr="00C06EAB">
        <w:t xml:space="preserve"> </w:t>
      </w:r>
      <w:r w:rsidRPr="00C06EAB">
        <w:rPr>
          <w:b/>
        </w:rPr>
        <w:t>38</w:t>
      </w:r>
      <w:r w:rsidRPr="00C06EAB">
        <w:t>, 4389–4401.</w:t>
      </w:r>
    </w:p>
    <w:p w:rsidR="00C06EAB" w:rsidRPr="00C06EAB" w:rsidRDefault="00C06EAB" w:rsidP="00C06EAB">
      <w:r w:rsidRPr="00C06EAB">
        <w:t>Wang, T. 2006. “Multivariate Statistical Modeling and Data Analysis: Process Monitoring and Fault Detection.” Chemical Engineering 561 Lecture Notes.</w:t>
      </w:r>
    </w:p>
    <w:p w:rsidR="00C06EAB" w:rsidRDefault="00C06EAB" w:rsidP="00C06EAB">
      <w:proofErr w:type="spellStart"/>
      <w:r w:rsidRPr="00C06EAB">
        <w:t>Yasuike</w:t>
      </w:r>
      <w:proofErr w:type="spellEnd"/>
      <w:r w:rsidRPr="00C06EAB">
        <w:t>, Y., Y. Ikeda, and Y. Takashima. 1995. “Kinetic Study on Dissolution of U</w:t>
      </w:r>
      <w:r w:rsidRPr="00C06EAB">
        <w:rPr>
          <w:vertAlign w:val="subscript"/>
        </w:rPr>
        <w:t>3</w:t>
      </w:r>
      <w:r w:rsidRPr="00C06EAB">
        <w:t>O</w:t>
      </w:r>
      <w:r w:rsidRPr="00C06EAB">
        <w:rPr>
          <w:vertAlign w:val="subscript"/>
        </w:rPr>
        <w:t>8</w:t>
      </w:r>
      <w:r w:rsidRPr="00C06EAB">
        <w:t xml:space="preserve"> Powders in Nitric Acid.” </w:t>
      </w:r>
      <w:r w:rsidRPr="00C06EAB">
        <w:rPr>
          <w:i/>
        </w:rPr>
        <w:t>Journal of Nuclear Science and Technology.</w:t>
      </w:r>
      <w:r w:rsidRPr="00C06EAB">
        <w:t xml:space="preserve"> </w:t>
      </w:r>
      <w:r w:rsidRPr="00C06EAB">
        <w:rPr>
          <w:b/>
        </w:rPr>
        <w:t>32</w:t>
      </w:r>
      <w:r w:rsidRPr="00C06EAB">
        <w:t>(6), pp. 596–598.</w:t>
      </w:r>
    </w:p>
    <w:p w:rsidR="00C06EAB" w:rsidRDefault="00C06EAB" w:rsidP="00C06EAB"/>
    <w:p w:rsidR="00C06EAB" w:rsidRDefault="00C06EAB" w:rsidP="00C06EAB"/>
    <w:p w:rsidR="00C06EAB" w:rsidRPr="00C06EAB" w:rsidRDefault="00C06EAB" w:rsidP="00C06EAB"/>
    <w:p w:rsidR="00871E7A" w:rsidRPr="00EF3184" w:rsidRDefault="00871E7A" w:rsidP="00871E7A"/>
    <w:p w:rsidR="00871E7A" w:rsidRDefault="00871E7A" w:rsidP="00871E7A">
      <w:pPr>
        <w:sectPr w:rsidR="00871E7A" w:rsidSect="00696884">
          <w:pgSz w:w="12240" w:h="15840"/>
          <w:pgMar w:top="1440" w:right="1440" w:bottom="1440" w:left="1440" w:header="1440" w:footer="1440" w:gutter="0"/>
          <w:cols w:space="720"/>
          <w:docGrid w:linePitch="360"/>
        </w:sectPr>
      </w:pPr>
    </w:p>
    <w:p w:rsidR="00943A7E" w:rsidRDefault="00943A7E" w:rsidP="00943A7E">
      <w:pPr>
        <w:jc w:val="center"/>
        <w:rPr>
          <w:rFonts w:asciiTheme="majorHAnsi" w:hAnsiTheme="majorHAnsi"/>
          <w:b/>
          <w:caps/>
        </w:rPr>
      </w:pPr>
    </w:p>
    <w:p w:rsidR="00943A7E" w:rsidRDefault="00943A7E" w:rsidP="00943A7E">
      <w:pPr>
        <w:jc w:val="center"/>
        <w:rPr>
          <w:rFonts w:asciiTheme="majorHAnsi" w:hAnsiTheme="majorHAnsi"/>
          <w:b/>
          <w:caps/>
        </w:rPr>
      </w:pPr>
    </w:p>
    <w:p w:rsidR="00943A7E" w:rsidRDefault="00943A7E" w:rsidP="00943A7E">
      <w:pPr>
        <w:jc w:val="center"/>
        <w:rPr>
          <w:rFonts w:asciiTheme="majorHAnsi" w:hAnsiTheme="majorHAnsi"/>
          <w:b/>
          <w:caps/>
        </w:rPr>
      </w:pPr>
    </w:p>
    <w:p w:rsidR="00943A7E" w:rsidRDefault="00943A7E" w:rsidP="00943A7E">
      <w:pPr>
        <w:jc w:val="center"/>
        <w:rPr>
          <w:rFonts w:asciiTheme="majorHAnsi" w:hAnsiTheme="majorHAnsi"/>
          <w:b/>
          <w:caps/>
        </w:rPr>
      </w:pPr>
    </w:p>
    <w:p w:rsidR="00943A7E" w:rsidRDefault="00943A7E" w:rsidP="00943A7E">
      <w:pPr>
        <w:jc w:val="center"/>
        <w:rPr>
          <w:rFonts w:asciiTheme="majorHAnsi" w:hAnsiTheme="majorHAnsi"/>
          <w:b/>
          <w:caps/>
        </w:rPr>
      </w:pPr>
    </w:p>
    <w:p w:rsidR="00943A7E" w:rsidRDefault="00943A7E" w:rsidP="00943A7E">
      <w:pPr>
        <w:jc w:val="center"/>
        <w:rPr>
          <w:rFonts w:asciiTheme="majorHAnsi" w:hAnsiTheme="majorHAnsi"/>
          <w:b/>
          <w:caps/>
        </w:rPr>
      </w:pPr>
    </w:p>
    <w:p w:rsidR="00943A7E" w:rsidRDefault="00943A7E" w:rsidP="00943A7E">
      <w:pPr>
        <w:jc w:val="center"/>
        <w:rPr>
          <w:rFonts w:asciiTheme="majorHAnsi" w:hAnsiTheme="majorHAnsi"/>
          <w:b/>
          <w:caps/>
        </w:rPr>
      </w:pPr>
    </w:p>
    <w:p w:rsidR="00943A7E" w:rsidRDefault="00943A7E" w:rsidP="00943A7E">
      <w:pPr>
        <w:jc w:val="center"/>
        <w:rPr>
          <w:rFonts w:asciiTheme="majorHAnsi" w:hAnsiTheme="majorHAnsi"/>
          <w:b/>
          <w:caps/>
        </w:rPr>
      </w:pPr>
    </w:p>
    <w:p w:rsidR="00943A7E" w:rsidRDefault="00943A7E" w:rsidP="00943A7E">
      <w:pPr>
        <w:jc w:val="center"/>
        <w:rPr>
          <w:rFonts w:asciiTheme="majorHAnsi" w:hAnsiTheme="majorHAnsi"/>
          <w:b/>
          <w:caps/>
        </w:rPr>
      </w:pPr>
    </w:p>
    <w:p w:rsidR="00943A7E" w:rsidRDefault="00943A7E" w:rsidP="00943A7E">
      <w:pPr>
        <w:jc w:val="center"/>
        <w:rPr>
          <w:rFonts w:asciiTheme="majorHAnsi" w:hAnsiTheme="majorHAnsi"/>
          <w:b/>
          <w:caps/>
        </w:rPr>
      </w:pPr>
    </w:p>
    <w:p w:rsidR="00943A7E" w:rsidRDefault="00943A7E" w:rsidP="00943A7E">
      <w:pPr>
        <w:jc w:val="center"/>
        <w:rPr>
          <w:rFonts w:asciiTheme="majorHAnsi" w:hAnsiTheme="majorHAnsi"/>
          <w:b/>
          <w:caps/>
        </w:rPr>
      </w:pPr>
    </w:p>
    <w:p w:rsidR="00A33EB6" w:rsidRDefault="00A33EB6" w:rsidP="00A33EB6">
      <w:pPr>
        <w:jc w:val="center"/>
        <w:rPr>
          <w:rFonts w:asciiTheme="majorHAnsi" w:hAnsiTheme="majorHAnsi"/>
          <w:b/>
          <w:caps/>
        </w:rPr>
      </w:pPr>
      <w:proofErr w:type="gramStart"/>
      <w:r>
        <w:rPr>
          <w:rFonts w:asciiTheme="majorHAnsi" w:hAnsiTheme="majorHAnsi"/>
          <w:b/>
          <w:caps/>
        </w:rPr>
        <w:t>Appendix.</w:t>
      </w:r>
      <w:proofErr w:type="gramEnd"/>
      <w:r>
        <w:rPr>
          <w:rFonts w:asciiTheme="majorHAnsi" w:hAnsiTheme="majorHAnsi"/>
          <w:b/>
          <w:caps/>
        </w:rPr>
        <w:t xml:space="preserve"> Derivation of the Kremser Equation</w:t>
      </w:r>
    </w:p>
    <w:p w:rsidR="007E61E6" w:rsidRDefault="007E61E6">
      <w:pPr>
        <w:rPr>
          <w:rFonts w:asciiTheme="majorHAnsi" w:hAnsiTheme="majorHAnsi"/>
          <w:b/>
          <w:caps/>
        </w:rPr>
      </w:pPr>
      <w:r>
        <w:rPr>
          <w:rFonts w:asciiTheme="majorHAnsi" w:hAnsiTheme="majorHAnsi"/>
          <w:b/>
          <w:caps/>
        </w:rPr>
        <w:br w:type="page"/>
      </w:r>
    </w:p>
    <w:p w:rsidR="00943A7E" w:rsidRDefault="00943A7E" w:rsidP="00943A7E">
      <w:pPr>
        <w:jc w:val="center"/>
        <w:rPr>
          <w:rFonts w:asciiTheme="majorHAnsi" w:hAnsiTheme="majorHAnsi"/>
          <w:b/>
          <w:caps/>
        </w:rPr>
      </w:pPr>
      <w:proofErr w:type="gramStart"/>
      <w:r>
        <w:rPr>
          <w:rFonts w:asciiTheme="majorHAnsi" w:hAnsiTheme="majorHAnsi"/>
          <w:b/>
          <w:caps/>
        </w:rPr>
        <w:lastRenderedPageBreak/>
        <w:t>Appendix</w:t>
      </w:r>
      <w:r w:rsidR="006528A9">
        <w:rPr>
          <w:rFonts w:asciiTheme="majorHAnsi" w:hAnsiTheme="majorHAnsi"/>
          <w:b/>
          <w:caps/>
        </w:rPr>
        <w:t>.</w:t>
      </w:r>
      <w:proofErr w:type="gramEnd"/>
      <w:r>
        <w:rPr>
          <w:rFonts w:asciiTheme="majorHAnsi" w:hAnsiTheme="majorHAnsi"/>
          <w:b/>
          <w:caps/>
        </w:rPr>
        <w:t xml:space="preserve"> Derivation of the Kremser Equation</w:t>
      </w:r>
    </w:p>
    <w:p w:rsidR="006528A9" w:rsidRDefault="006528A9" w:rsidP="006528A9"/>
    <w:p w:rsidR="00716BF7" w:rsidRDefault="00716BF7" w:rsidP="00716BF7">
      <w:r>
        <w:t xml:space="preserve">The following is the full derivation of the </w:t>
      </w:r>
      <w:proofErr w:type="spellStart"/>
      <w:r>
        <w:t>Kremser</w:t>
      </w:r>
      <w:proofErr w:type="spellEnd"/>
      <w:r>
        <w:t xml:space="preserve"> Equation to supplement the information provided in </w:t>
      </w:r>
      <w:r w:rsidRPr="00561612">
        <w:t xml:space="preserve">Section 3.2.2.6. </w:t>
      </w:r>
      <w:r>
        <w:t xml:space="preserve">This was adapted from </w:t>
      </w:r>
      <w:r w:rsidRPr="00091653">
        <w:t>Benedict</w:t>
      </w:r>
      <w:r>
        <w:t xml:space="preserve">, </w:t>
      </w:r>
      <w:proofErr w:type="spellStart"/>
      <w:r>
        <w:t>Pigford</w:t>
      </w:r>
      <w:proofErr w:type="spellEnd"/>
      <w:r>
        <w:t xml:space="preserve">, and Levi 1981; </w:t>
      </w:r>
      <w:r w:rsidRPr="003B0783">
        <w:t>McCabe</w:t>
      </w:r>
      <w:r>
        <w:t xml:space="preserve">, </w:t>
      </w:r>
      <w:r w:rsidRPr="00D77D8A">
        <w:t xml:space="preserve">Smith, and </w:t>
      </w:r>
      <w:proofErr w:type="spellStart"/>
      <w:r w:rsidRPr="00D77D8A">
        <w:t>Harriott</w:t>
      </w:r>
      <w:proofErr w:type="spellEnd"/>
      <w:r w:rsidRPr="003B0783">
        <w:t xml:space="preserve"> 1993</w:t>
      </w:r>
      <w:r>
        <w:t>;</w:t>
      </w:r>
      <w:r w:rsidRPr="003B0783">
        <w:t xml:space="preserve"> </w:t>
      </w:r>
      <w:r>
        <w:t>an</w:t>
      </w:r>
      <w:r w:rsidRPr="003B0783">
        <w:t xml:space="preserve">d </w:t>
      </w:r>
      <w:proofErr w:type="spellStart"/>
      <w:r w:rsidRPr="003B0783">
        <w:t>Seader</w:t>
      </w:r>
      <w:proofErr w:type="spellEnd"/>
      <w:r w:rsidRPr="003B0783">
        <w:t xml:space="preserve"> and </w:t>
      </w:r>
      <w:r>
        <w:t>Henley (1998).</w:t>
      </w:r>
    </w:p>
    <w:p w:rsidR="00716BF7" w:rsidRDefault="00716BF7" w:rsidP="00716BF7">
      <w:r w:rsidRPr="00091653">
        <w:t xml:space="preserve">The </w:t>
      </w:r>
      <w:proofErr w:type="spellStart"/>
      <w:r w:rsidRPr="00091653">
        <w:t>Kremser</w:t>
      </w:r>
      <w:proofErr w:type="spellEnd"/>
      <w:r w:rsidRPr="00091653">
        <w:t xml:space="preserve"> Equation provides an algebraic solution for analyzing </w:t>
      </w:r>
      <m:oMath>
        <m:r>
          <w:rPr>
            <w:rFonts w:ascii="Cambria Math" w:hAnsi="Cambria Math"/>
          </w:rPr>
          <m:t>N</m:t>
        </m:r>
      </m:oMath>
      <w:r w:rsidRPr="00561612">
        <w:t xml:space="preserve"> ideal equilibrium stages connected with countercurrent</w:t>
      </w:r>
      <w:r>
        <w:t xml:space="preserve"> flow</w:t>
      </w:r>
      <w:r w:rsidRPr="00091653">
        <w:t xml:space="preserve">. The </w:t>
      </w:r>
      <w:proofErr w:type="spellStart"/>
      <w:r w:rsidRPr="00091653">
        <w:t>Kremser</w:t>
      </w:r>
      <w:proofErr w:type="spellEnd"/>
      <w:r w:rsidRPr="00091653">
        <w:t xml:space="preserve"> Equation, also known as the </w:t>
      </w:r>
      <w:proofErr w:type="spellStart"/>
      <w:r w:rsidRPr="00091653">
        <w:t>Kremser</w:t>
      </w:r>
      <w:proofErr w:type="spellEnd"/>
      <w:r w:rsidRPr="00091653">
        <w:t xml:space="preserve"> Group Method, was originally designed for countercurrent gas absorption. It is a group method because it is an approximate calculation method to relate compositions of streams entering and exiting cascades to the number of equilibrium stages required but does not consider detailed changes in temperature, flow rates, and composition in the individual stages.</w:t>
      </w:r>
      <w:r>
        <w:t xml:space="preserve"> The </w:t>
      </w:r>
      <w:proofErr w:type="spellStart"/>
      <w:r>
        <w:t>Kremser</w:t>
      </w:r>
      <w:proofErr w:type="spellEnd"/>
      <w:r>
        <w:t xml:space="preserve"> equation can be applied to liquid-liquid separations such as the solvent extraction process in a natural </w:t>
      </w:r>
      <w:r w:rsidRPr="00561612">
        <w:t>uranium conversion plant.</w:t>
      </w:r>
      <w:r>
        <w:t xml:space="preserve"> </w:t>
      </w:r>
      <w:r w:rsidRPr="00091653">
        <w:t>It assumes dilute solutions, so that solvent density is solution density.</w:t>
      </w:r>
    </w:p>
    <w:p w:rsidR="00716BF7" w:rsidRDefault="00716BF7" w:rsidP="00716BF7">
      <w:r>
        <w:t xml:space="preserve">This derivation starts with an extracting cascade where a feed solution containing one or more extractable components is contacted </w:t>
      </w:r>
      <w:proofErr w:type="spellStart"/>
      <w:r>
        <w:t>countercurrently</w:t>
      </w:r>
      <w:proofErr w:type="spellEnd"/>
      <w:r>
        <w:t xml:space="preserve"> with an organic solvent. Figure A.1 shows the nomenclature for the flow rates, concentrations, and stage numbers of the cascade with </w:t>
      </w:r>
      <m:oMath>
        <m:r>
          <w:rPr>
            <w:rFonts w:ascii="Cambria Math" w:hAnsi="Cambria Math"/>
          </w:rPr>
          <m:t>N</m:t>
        </m:r>
      </m:oMath>
      <w:r>
        <w:t xml:space="preserve"> ideal stages. It was assumed that equilibrium was reached between the aqueous and organic phases leaving each stage. Changes in the volume flow rates o</w:t>
      </w:r>
      <w:proofErr w:type="spellStart"/>
      <w:r>
        <w:t>f</w:t>
      </w:r>
      <w:proofErr w:type="spellEnd"/>
      <w:r>
        <w:t xml:space="preserve"> the aqueous and organic phases were neglected.</w:t>
      </w:r>
    </w:p>
    <w:p w:rsidR="00716BF7" w:rsidRDefault="00716BF7" w:rsidP="00716BF7">
      <w:pPr>
        <w:rPr>
          <w:rFonts w:eastAsiaTheme="minorEastAsia"/>
        </w:rPr>
      </w:pPr>
      <w:r>
        <w:t xml:space="preserve">A material balance on one of the extractable components in the section of the cascade below stage </w:t>
      </w:r>
      <m:oMath>
        <m:r>
          <w:rPr>
            <w:rFonts w:ascii="Cambria Math" w:hAnsi="Cambria Math"/>
          </w:rPr>
          <m:t>n</m:t>
        </m:r>
      </m:oMath>
      <w:r>
        <w:rPr>
          <w:rFonts w:eastAsiaTheme="minorEastAsia"/>
        </w:rPr>
        <w:t xml:space="preserve"> is shown in Eq. A.1.</w:t>
      </w:r>
    </w:p>
    <w:p w:rsidR="00716BF7" w:rsidRDefault="00716BF7" w:rsidP="00716BF7">
      <w:pPr>
        <w:jc w:val="right"/>
        <w:rPr>
          <w:rFonts w:eastAsiaTheme="minorEastAsia"/>
        </w:rPr>
      </w:pPr>
      <m:oMath>
        <m:r>
          <w:rPr>
            <w:rFonts w:ascii="Cambria Math" w:hAnsi="Cambria Math"/>
          </w:rPr>
          <m:t>E</m:t>
        </m:r>
        <m:sSub>
          <m:sSubPr>
            <m:ctrlPr>
              <w:rPr>
                <w:rFonts w:ascii="Cambria Math" w:hAnsi="Cambria Math"/>
                <w:i/>
              </w:rPr>
            </m:ctrlPr>
          </m:sSubPr>
          <m:e>
            <m:r>
              <w:rPr>
                <w:rFonts w:ascii="Cambria Math" w:hAnsi="Cambria Math"/>
              </w:rPr>
              <m:t>y</m:t>
            </m:r>
          </m:e>
          <m:sub>
            <m:r>
              <w:rPr>
                <w:rFonts w:ascii="Cambria Math" w:hAnsi="Cambria Math"/>
              </w:rPr>
              <m:t>0</m:t>
            </m:r>
          </m:sub>
        </m:sSub>
        <m:r>
          <w:rPr>
            <w:rFonts w:ascii="Cambria Math" w:hAnsi="Cambria Math"/>
          </w:rPr>
          <m:t>+F</m:t>
        </m:r>
        <m:sSub>
          <m:sSubPr>
            <m:ctrlPr>
              <w:rPr>
                <w:rFonts w:ascii="Cambria Math" w:hAnsi="Cambria Math"/>
                <w:i/>
              </w:rPr>
            </m:ctrlPr>
          </m:sSubPr>
          <m:e>
            <m:r>
              <w:rPr>
                <w:rFonts w:ascii="Cambria Math" w:hAnsi="Cambria Math"/>
              </w:rPr>
              <m:t>x</m:t>
            </m:r>
          </m:e>
          <m:sub>
            <m:r>
              <w:rPr>
                <w:rFonts w:ascii="Cambria Math" w:hAnsi="Cambria Math"/>
              </w:rPr>
              <m:t>n</m:t>
            </m:r>
          </m:sub>
        </m:sSub>
        <m:r>
          <w:rPr>
            <w:rFonts w:ascii="Cambria Math" w:hAnsi="Cambria Math"/>
          </w:rPr>
          <m:t>=E</m:t>
        </m:r>
        <m:sSub>
          <m:sSubPr>
            <m:ctrlPr>
              <w:rPr>
                <w:rFonts w:ascii="Cambria Math" w:hAnsi="Cambria Math"/>
                <w:i/>
              </w:rPr>
            </m:ctrlPr>
          </m:sSubPr>
          <m:e>
            <m:r>
              <w:rPr>
                <w:rFonts w:ascii="Cambria Math" w:hAnsi="Cambria Math"/>
              </w:rPr>
              <m:t>y</m:t>
            </m:r>
          </m:e>
          <m:sub>
            <m:r>
              <w:rPr>
                <w:rFonts w:ascii="Cambria Math" w:hAnsi="Cambria Math"/>
              </w:rPr>
              <m:t>n-1</m:t>
            </m:r>
          </m:sub>
        </m:sSub>
        <m:r>
          <w:rPr>
            <w:rFonts w:ascii="Cambria Math" w:hAnsi="Cambria Math"/>
          </w:rPr>
          <m:t>+F</m:t>
        </m:r>
        <m:sSub>
          <m:sSubPr>
            <m:ctrlPr>
              <w:rPr>
                <w:rFonts w:ascii="Cambria Math" w:hAnsi="Cambria Math"/>
                <w:i/>
              </w:rPr>
            </m:ctrlPr>
          </m:sSubPr>
          <m:e>
            <m:r>
              <w:rPr>
                <w:rFonts w:ascii="Cambria Math" w:hAnsi="Cambria Math"/>
              </w:rPr>
              <m:t>x</m:t>
            </m:r>
          </m:e>
          <m:sub>
            <m:r>
              <w:rPr>
                <w:rFonts w:ascii="Cambria Math" w:hAnsi="Cambria Math"/>
              </w:rPr>
              <m:t>1</m:t>
            </m:r>
          </m:sub>
        </m:sSub>
      </m:oMath>
      <w:r>
        <w:rPr>
          <w:rFonts w:eastAsiaTheme="minorEastAsia"/>
        </w:rPr>
        <w:tab/>
      </w:r>
      <w:r>
        <w:rPr>
          <w:rFonts w:eastAsiaTheme="minorEastAsia"/>
        </w:rPr>
        <w:tab/>
      </w:r>
      <w:r>
        <w:rPr>
          <w:rFonts w:eastAsiaTheme="minorEastAsia"/>
        </w:rPr>
        <w:tab/>
      </w:r>
      <w:r>
        <w:rPr>
          <w:rFonts w:eastAsiaTheme="minorEastAsia"/>
        </w:rPr>
        <w:tab/>
        <w:t>Eq. (A.1)</w:t>
      </w:r>
    </w:p>
    <w:p w:rsidR="00716BF7" w:rsidRDefault="00716BF7" w:rsidP="00716BF7">
      <w:pPr>
        <w:rPr>
          <w:rFonts w:eastAsiaTheme="minorEastAsia"/>
        </w:rPr>
      </w:pPr>
      <w:r>
        <w:rPr>
          <w:rFonts w:eastAsiaTheme="minorEastAsia"/>
        </w:rPr>
        <w:t>The input is equal to the output since there cannot be accumulation or depletion within the system. Equation A.1 can be rewritten as Eq. A.2.</w:t>
      </w:r>
    </w:p>
    <w:p w:rsidR="00716BF7" w:rsidRDefault="00C851DF" w:rsidP="00716BF7">
      <w:pPr>
        <w:jc w:val="right"/>
        <w:rPr>
          <w:rFonts w:eastAsiaTheme="minorEastAsia"/>
        </w:rPr>
      </w:pPr>
      <m:oMath>
        <m:sSub>
          <m:sSubPr>
            <m:ctrlPr>
              <w:rPr>
                <w:rFonts w:ascii="Cambria Math" w:hAnsi="Cambria Math"/>
                <w:i/>
              </w:rPr>
            </m:ctrlPr>
          </m:sSubPr>
          <m:e>
            <m:r>
              <w:rPr>
                <w:rFonts w:ascii="Cambria Math" w:hAnsi="Cambria Math"/>
              </w:rPr>
              <m:t>y</m:t>
            </m:r>
          </m:e>
          <m:sub>
            <m:r>
              <w:rPr>
                <w:rFonts w:ascii="Cambria Math" w:hAnsi="Cambria Math"/>
              </w:rPr>
              <m:t>n-1</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0</m:t>
            </m:r>
          </m:sub>
        </m:sSub>
        <m:r>
          <w:rPr>
            <w:rFonts w:ascii="Cambria Math" w:hAnsi="Cambria Math"/>
          </w:rPr>
          <m:t>=</m:t>
        </m:r>
        <m:f>
          <m:fPr>
            <m:ctrlPr>
              <w:rPr>
                <w:rFonts w:ascii="Cambria Math" w:hAnsi="Cambria Math"/>
                <w:i/>
              </w:rPr>
            </m:ctrlPr>
          </m:fPr>
          <m:num>
            <m:r>
              <w:rPr>
                <w:rFonts w:ascii="Cambria Math" w:hAnsi="Cambria Math"/>
              </w:rPr>
              <m:t>F</m:t>
            </m:r>
          </m:num>
          <m:den>
            <m:r>
              <w:rPr>
                <w:rFonts w:ascii="Cambria Math" w:hAnsi="Cambria Math"/>
              </w:rPr>
              <m:t>E</m:t>
            </m:r>
          </m:den>
        </m:f>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m:t>
                </m:r>
              </m:sub>
            </m:sSub>
          </m:e>
        </m:d>
      </m:oMath>
      <w:r w:rsidR="00716BF7">
        <w:rPr>
          <w:rFonts w:eastAsiaTheme="minorEastAsia"/>
        </w:rPr>
        <w:tab/>
      </w:r>
      <w:r w:rsidR="00716BF7">
        <w:rPr>
          <w:rFonts w:eastAsiaTheme="minorEastAsia"/>
        </w:rPr>
        <w:tab/>
      </w:r>
      <w:r w:rsidR="00716BF7">
        <w:rPr>
          <w:rFonts w:eastAsiaTheme="minorEastAsia"/>
        </w:rPr>
        <w:tab/>
      </w:r>
      <w:r w:rsidR="00716BF7">
        <w:rPr>
          <w:rFonts w:eastAsiaTheme="minorEastAsia"/>
        </w:rPr>
        <w:tab/>
        <w:t>Eq. (A.2)</w:t>
      </w:r>
    </w:p>
    <w:p w:rsidR="00716BF7" w:rsidRDefault="00716BF7" w:rsidP="00716BF7">
      <w:pPr>
        <w:rPr>
          <w:rFonts w:eastAsiaTheme="minorEastAsia"/>
        </w:rPr>
      </w:pPr>
      <w:r>
        <w:rPr>
          <w:rFonts w:eastAsiaTheme="minorEastAsia"/>
        </w:rPr>
        <w:t>Concentrations in the organic and aqueous phases leaving a stage are related by the equilibrium relationship</w:t>
      </w:r>
      <w:r w:rsidRPr="00B4185D">
        <w:rPr>
          <w:rFonts w:eastAsiaTheme="minorEastAsia"/>
        </w:rPr>
        <w:t xml:space="preserve"> </w:t>
      </w:r>
      <w:r>
        <w:rPr>
          <w:rFonts w:eastAsiaTheme="minorEastAsia"/>
        </w:rPr>
        <w:t xml:space="preserve">where </w:t>
      </w: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n</m:t>
            </m:r>
          </m:sub>
        </m:sSub>
      </m:oMath>
      <w:r>
        <w:rPr>
          <w:rFonts w:eastAsiaTheme="minorEastAsia"/>
        </w:rPr>
        <w:t xml:space="preserve"> is the distribution coefficient at the conditions of the </w:t>
      </w:r>
      <m:oMath>
        <m:r>
          <w:rPr>
            <w:rFonts w:ascii="Cambria Math" w:eastAsiaTheme="minorEastAsia" w:hAnsi="Cambria Math"/>
          </w:rPr>
          <m:t>n</m:t>
        </m:r>
      </m:oMath>
      <w:r>
        <w:rPr>
          <w:rFonts w:eastAsiaTheme="minorEastAsia"/>
        </w:rPr>
        <w:t>-</w:t>
      </w:r>
      <w:proofErr w:type="gramStart"/>
      <w:r>
        <w:rPr>
          <w:rFonts w:eastAsiaTheme="minorEastAsia"/>
        </w:rPr>
        <w:t>th</w:t>
      </w:r>
      <w:proofErr w:type="gramEnd"/>
      <w:r>
        <w:rPr>
          <w:rFonts w:eastAsiaTheme="minorEastAsia"/>
        </w:rPr>
        <w:t xml:space="preserve"> stage.</w:t>
      </w:r>
    </w:p>
    <w:p w:rsidR="00716BF7" w:rsidRPr="0007175A" w:rsidRDefault="00C851DF" w:rsidP="00716BF7">
      <w:pPr>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n</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n</m:t>
            </m:r>
          </m:sub>
        </m:sSub>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n</m:t>
            </m:r>
          </m:sub>
        </m:sSub>
      </m:oMath>
      <w:r w:rsidR="00716BF7">
        <w:rPr>
          <w:rFonts w:eastAsiaTheme="minorEastAsia"/>
        </w:rPr>
        <w:tab/>
      </w:r>
      <w:r w:rsidR="00716BF7">
        <w:rPr>
          <w:rFonts w:eastAsiaTheme="minorEastAsia"/>
        </w:rPr>
        <w:tab/>
      </w:r>
      <w:r w:rsidR="00716BF7">
        <w:rPr>
          <w:rFonts w:eastAsiaTheme="minorEastAsia"/>
        </w:rPr>
        <w:tab/>
      </w:r>
      <w:r w:rsidR="00716BF7">
        <w:rPr>
          <w:rFonts w:eastAsiaTheme="minorEastAsia"/>
        </w:rPr>
        <w:tab/>
      </w:r>
      <w:r w:rsidR="00716BF7">
        <w:rPr>
          <w:rFonts w:eastAsiaTheme="minorEastAsia"/>
        </w:rPr>
        <w:tab/>
        <w:t>Eq. (A.3)</w:t>
      </w:r>
    </w:p>
    <w:p w:rsidR="00716BF7" w:rsidRDefault="00716BF7" w:rsidP="00716BF7">
      <w:r>
        <w:rPr>
          <w:rFonts w:eastAsiaTheme="minorEastAsia"/>
        </w:rPr>
        <w:t xml:space="preserve">Figure A.2 is the McCabe-Thiele diagram which provides a visual representation of Equations A.2 and A3. </w:t>
      </w:r>
      <w:r w:rsidRPr="00C36131">
        <w:t>The material</w:t>
      </w:r>
      <w:r>
        <w:t xml:space="preserve"> </w:t>
      </w:r>
      <w:r w:rsidRPr="00C36131">
        <w:t xml:space="preserve">balance </w:t>
      </w:r>
      <w:r>
        <w:t xml:space="preserve">(Eq. A.2) </w:t>
      </w:r>
      <w:r w:rsidRPr="00C36131">
        <w:t>is represented by the</w:t>
      </w:r>
      <w:r>
        <w:t xml:space="preserve"> </w:t>
      </w:r>
      <w:r w:rsidRPr="00C36131">
        <w:t xml:space="preserve">operating line that passes through the point </w:t>
      </w:r>
      <w:r>
        <w:t>(</w:t>
      </w:r>
      <m:oMath>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0</m:t>
            </m:r>
          </m:sub>
        </m:sSub>
      </m:oMath>
      <w:r>
        <w:rPr>
          <w:rFonts w:eastAsiaTheme="minorEastAsia"/>
        </w:rPr>
        <w:t>) a</w:t>
      </w:r>
      <w:proofErr w:type="spellStart"/>
      <w:r w:rsidRPr="00C36131">
        <w:t>nd</w:t>
      </w:r>
      <w:proofErr w:type="spellEnd"/>
      <w:r w:rsidRPr="00C36131">
        <w:t xml:space="preserve"> has the </w:t>
      </w:r>
      <w:proofErr w:type="gramStart"/>
      <w:r w:rsidRPr="00C36131">
        <w:t xml:space="preserve">slope </w:t>
      </w:r>
      <w:proofErr w:type="gramEnd"/>
      <m:oMath>
        <m:r>
          <w:rPr>
            <w:rFonts w:ascii="Cambria Math" w:hAnsi="Cambria Math"/>
          </w:rPr>
          <m:t>E/F</m:t>
        </m:r>
      </m:oMath>
      <w:r w:rsidRPr="00C36131">
        <w:t>. The equilibrium</w:t>
      </w:r>
      <w:r>
        <w:t xml:space="preserve"> relationship (Eq. A.3) </w:t>
      </w:r>
      <w:r w:rsidRPr="00C36131">
        <w:t xml:space="preserve">is represented by the equilibrium line. When </w:t>
      </w:r>
      <m:oMath>
        <m:r>
          <w:rPr>
            <w:rFonts w:ascii="Cambria Math" w:hAnsi="Cambria Math"/>
          </w:rPr>
          <m:t>D</m:t>
        </m:r>
      </m:oMath>
      <w:r w:rsidRPr="00C36131">
        <w:t xml:space="preserve"> is constant, the equilibrium line</w:t>
      </w:r>
      <w:r>
        <w:t xml:space="preserve"> </w:t>
      </w:r>
      <w:r w:rsidRPr="00C36131">
        <w:t>is a straight line</w:t>
      </w:r>
      <w:r>
        <w:t xml:space="preserve">. This would occur for </w:t>
      </w:r>
      <w:r w:rsidRPr="00C36131">
        <w:t xml:space="preserve">the extraction of trace </w:t>
      </w:r>
    </w:p>
    <w:p w:rsidR="00716BF7" w:rsidRDefault="00716BF7" w:rsidP="00716BF7">
      <w:pPr>
        <w:jc w:val="center"/>
      </w:pPr>
      <w:r>
        <w:rPr>
          <w:noProof/>
        </w:rPr>
        <w:lastRenderedPageBreak/>
        <w:drawing>
          <wp:inline distT="0" distB="0" distL="0" distR="0" wp14:anchorId="1CFA91FF" wp14:editId="53BFA0C7">
            <wp:extent cx="5943600" cy="6927813"/>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5943600" cy="6927813"/>
                    </a:xfrm>
                    <a:prstGeom prst="rect">
                      <a:avLst/>
                    </a:prstGeom>
                    <a:noFill/>
                    <a:ln>
                      <a:noFill/>
                    </a:ln>
                  </pic:spPr>
                </pic:pic>
              </a:graphicData>
            </a:graphic>
          </wp:inline>
        </w:drawing>
      </w:r>
    </w:p>
    <w:p w:rsidR="00716BF7" w:rsidRPr="00DB08A1" w:rsidRDefault="00716BF7" w:rsidP="00716BF7">
      <w:pPr>
        <w:pStyle w:val="Normal2"/>
        <w:rPr>
          <w:rFonts w:asciiTheme="minorHAnsi" w:hAnsiTheme="minorHAnsi"/>
          <w:sz w:val="20"/>
          <w:szCs w:val="20"/>
        </w:rPr>
      </w:pPr>
      <w:r w:rsidRPr="00DB08A1">
        <w:rPr>
          <w:rFonts w:asciiTheme="minorHAnsi" w:hAnsiTheme="minorHAnsi"/>
          <w:b/>
          <w:sz w:val="20"/>
          <w:szCs w:val="20"/>
        </w:rPr>
        <w:t xml:space="preserve">Figure A.1. </w:t>
      </w:r>
      <w:proofErr w:type="gramStart"/>
      <w:r w:rsidRPr="00DB08A1">
        <w:rPr>
          <w:rFonts w:asciiTheme="minorHAnsi" w:hAnsiTheme="minorHAnsi"/>
          <w:b/>
          <w:sz w:val="20"/>
          <w:szCs w:val="20"/>
        </w:rPr>
        <w:t xml:space="preserve">Nomenclature for </w:t>
      </w:r>
      <w:r>
        <w:rPr>
          <w:rFonts w:asciiTheme="minorHAnsi" w:hAnsiTheme="minorHAnsi"/>
          <w:b/>
          <w:sz w:val="20"/>
          <w:szCs w:val="20"/>
        </w:rPr>
        <w:t>C</w:t>
      </w:r>
      <w:r w:rsidRPr="00DB08A1">
        <w:rPr>
          <w:rFonts w:asciiTheme="minorHAnsi" w:hAnsiTheme="minorHAnsi"/>
          <w:b/>
          <w:sz w:val="20"/>
          <w:szCs w:val="20"/>
        </w:rPr>
        <w:t xml:space="preserve">ascade of </w:t>
      </w:r>
      <w:r>
        <w:rPr>
          <w:rFonts w:asciiTheme="minorHAnsi" w:hAnsiTheme="minorHAnsi"/>
          <w:b/>
          <w:sz w:val="20"/>
          <w:szCs w:val="20"/>
        </w:rPr>
        <w:t>S</w:t>
      </w:r>
      <w:r w:rsidRPr="00DB08A1">
        <w:rPr>
          <w:rFonts w:asciiTheme="minorHAnsi" w:hAnsiTheme="minorHAnsi"/>
          <w:b/>
          <w:sz w:val="20"/>
          <w:szCs w:val="20"/>
        </w:rPr>
        <w:t xml:space="preserve">olvent </w:t>
      </w:r>
      <w:r>
        <w:rPr>
          <w:rFonts w:asciiTheme="minorHAnsi" w:hAnsiTheme="minorHAnsi"/>
          <w:b/>
          <w:sz w:val="20"/>
          <w:szCs w:val="20"/>
        </w:rPr>
        <w:t>Extraction S</w:t>
      </w:r>
      <w:r w:rsidRPr="00DB08A1">
        <w:rPr>
          <w:rFonts w:asciiTheme="minorHAnsi" w:hAnsiTheme="minorHAnsi"/>
          <w:b/>
          <w:sz w:val="20"/>
          <w:szCs w:val="20"/>
        </w:rPr>
        <w:t>tages.</w:t>
      </w:r>
      <w:proofErr w:type="gramEnd"/>
      <w:r w:rsidRPr="00DB08A1">
        <w:rPr>
          <w:rFonts w:asciiTheme="minorHAnsi" w:hAnsiTheme="minorHAnsi"/>
          <w:sz w:val="20"/>
          <w:szCs w:val="20"/>
        </w:rPr>
        <w:t xml:space="preserve"> </w:t>
      </w:r>
      <w:proofErr w:type="gramStart"/>
      <w:r w:rsidRPr="00DB08A1">
        <w:rPr>
          <w:rFonts w:asciiTheme="minorHAnsi" w:hAnsiTheme="minorHAnsi"/>
          <w:sz w:val="20"/>
          <w:szCs w:val="20"/>
        </w:rPr>
        <w:t xml:space="preserve">(Source: Benedict, M., T. </w:t>
      </w:r>
      <w:proofErr w:type="spellStart"/>
      <w:r w:rsidRPr="00DB08A1">
        <w:rPr>
          <w:rFonts w:asciiTheme="minorHAnsi" w:hAnsiTheme="minorHAnsi"/>
          <w:sz w:val="20"/>
          <w:szCs w:val="20"/>
        </w:rPr>
        <w:t>Pigford</w:t>
      </w:r>
      <w:proofErr w:type="spellEnd"/>
      <w:r w:rsidRPr="00DB08A1">
        <w:rPr>
          <w:rFonts w:asciiTheme="minorHAnsi" w:hAnsiTheme="minorHAnsi"/>
          <w:sz w:val="20"/>
          <w:szCs w:val="20"/>
        </w:rPr>
        <w:t>, and H. Levi.</w:t>
      </w:r>
      <w:proofErr w:type="gramEnd"/>
      <w:r w:rsidRPr="00DB08A1">
        <w:rPr>
          <w:rFonts w:asciiTheme="minorHAnsi" w:hAnsiTheme="minorHAnsi"/>
          <w:sz w:val="20"/>
          <w:szCs w:val="20"/>
        </w:rPr>
        <w:t xml:space="preserve"> 1981. </w:t>
      </w:r>
      <w:r w:rsidRPr="00DB08A1">
        <w:rPr>
          <w:rFonts w:asciiTheme="minorHAnsi" w:hAnsiTheme="minorHAnsi"/>
          <w:i/>
          <w:sz w:val="20"/>
          <w:szCs w:val="20"/>
        </w:rPr>
        <w:t xml:space="preserve">Nuclear Chemical Engineering. </w:t>
      </w:r>
      <w:proofErr w:type="gramStart"/>
      <w:r w:rsidRPr="00DB08A1">
        <w:rPr>
          <w:rFonts w:asciiTheme="minorHAnsi" w:hAnsiTheme="minorHAnsi"/>
          <w:sz w:val="20"/>
          <w:szCs w:val="20"/>
        </w:rPr>
        <w:t>2nd ed., McGraw-Hill, New York.</w:t>
      </w:r>
      <w:proofErr w:type="gramEnd"/>
      <w:r w:rsidRPr="00DB08A1">
        <w:rPr>
          <w:rFonts w:asciiTheme="minorHAnsi" w:hAnsiTheme="minorHAnsi"/>
          <w:sz w:val="20"/>
          <w:szCs w:val="20"/>
        </w:rPr>
        <w:t xml:space="preserve"> </w:t>
      </w:r>
      <w:proofErr w:type="gramStart"/>
      <w:r w:rsidRPr="00DB08A1">
        <w:rPr>
          <w:rFonts w:asciiTheme="minorHAnsi" w:hAnsiTheme="minorHAnsi"/>
          <w:sz w:val="20"/>
          <w:szCs w:val="20"/>
        </w:rPr>
        <w:t>Pg. 174.)</w:t>
      </w:r>
      <w:proofErr w:type="gramEnd"/>
    </w:p>
    <w:p w:rsidR="00716BF7" w:rsidRDefault="00716BF7" w:rsidP="00716BF7"/>
    <w:p w:rsidR="00716BF7" w:rsidRDefault="00716BF7" w:rsidP="00716BF7">
      <w:pPr>
        <w:jc w:val="center"/>
      </w:pPr>
      <w:r>
        <w:rPr>
          <w:noProof/>
        </w:rPr>
        <w:lastRenderedPageBreak/>
        <w:drawing>
          <wp:inline distT="0" distB="0" distL="0" distR="0" wp14:anchorId="7987D485" wp14:editId="6AF0F789">
            <wp:extent cx="3657600" cy="3878471"/>
            <wp:effectExtent l="0" t="0" r="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3657600" cy="3878471"/>
                    </a:xfrm>
                    <a:prstGeom prst="rect">
                      <a:avLst/>
                    </a:prstGeom>
                    <a:noFill/>
                    <a:ln>
                      <a:noFill/>
                    </a:ln>
                  </pic:spPr>
                </pic:pic>
              </a:graphicData>
            </a:graphic>
          </wp:inline>
        </w:drawing>
      </w:r>
    </w:p>
    <w:p w:rsidR="00716BF7" w:rsidRPr="00DB08A1" w:rsidRDefault="00716BF7" w:rsidP="00716BF7">
      <w:pPr>
        <w:pStyle w:val="Normal2"/>
        <w:rPr>
          <w:rFonts w:asciiTheme="minorHAnsi" w:hAnsiTheme="minorHAnsi"/>
          <w:sz w:val="20"/>
          <w:szCs w:val="20"/>
        </w:rPr>
      </w:pPr>
      <w:r w:rsidRPr="00DB08A1">
        <w:rPr>
          <w:rFonts w:asciiTheme="minorHAnsi" w:hAnsiTheme="minorHAnsi"/>
          <w:b/>
          <w:sz w:val="20"/>
          <w:szCs w:val="20"/>
        </w:rPr>
        <w:t>Figure A.</w:t>
      </w:r>
      <w:r>
        <w:rPr>
          <w:rFonts w:asciiTheme="minorHAnsi" w:hAnsiTheme="minorHAnsi"/>
          <w:b/>
          <w:sz w:val="20"/>
          <w:szCs w:val="20"/>
        </w:rPr>
        <w:t>2</w:t>
      </w:r>
      <w:r w:rsidRPr="00DB08A1">
        <w:rPr>
          <w:rFonts w:asciiTheme="minorHAnsi" w:hAnsiTheme="minorHAnsi"/>
          <w:b/>
          <w:sz w:val="20"/>
          <w:szCs w:val="20"/>
        </w:rPr>
        <w:t xml:space="preserve">. </w:t>
      </w:r>
      <w:proofErr w:type="gramStart"/>
      <w:r>
        <w:rPr>
          <w:rFonts w:asciiTheme="minorHAnsi" w:hAnsiTheme="minorHAnsi"/>
          <w:b/>
          <w:sz w:val="20"/>
          <w:szCs w:val="20"/>
        </w:rPr>
        <w:t>Stage Concentration Diagram for Solvent Extraction Cascade.</w:t>
      </w:r>
      <w:proofErr w:type="gramEnd"/>
      <w:r>
        <w:rPr>
          <w:rFonts w:asciiTheme="minorHAnsi" w:hAnsiTheme="minorHAnsi"/>
          <w:b/>
          <w:sz w:val="20"/>
          <w:szCs w:val="20"/>
        </w:rPr>
        <w:t xml:space="preserve"> </w:t>
      </w:r>
      <w:proofErr w:type="gramStart"/>
      <w:r w:rsidRPr="00DB08A1">
        <w:rPr>
          <w:rFonts w:asciiTheme="minorHAnsi" w:hAnsiTheme="minorHAnsi"/>
          <w:sz w:val="20"/>
          <w:szCs w:val="20"/>
        </w:rPr>
        <w:t xml:space="preserve">(Source: Benedict, M., T. </w:t>
      </w:r>
      <w:proofErr w:type="spellStart"/>
      <w:r w:rsidRPr="00DB08A1">
        <w:rPr>
          <w:rFonts w:asciiTheme="minorHAnsi" w:hAnsiTheme="minorHAnsi"/>
          <w:sz w:val="20"/>
          <w:szCs w:val="20"/>
        </w:rPr>
        <w:t>Pigford</w:t>
      </w:r>
      <w:proofErr w:type="spellEnd"/>
      <w:r w:rsidRPr="00DB08A1">
        <w:rPr>
          <w:rFonts w:asciiTheme="minorHAnsi" w:hAnsiTheme="minorHAnsi"/>
          <w:sz w:val="20"/>
          <w:szCs w:val="20"/>
        </w:rPr>
        <w:t>, and H. Levi.</w:t>
      </w:r>
      <w:proofErr w:type="gramEnd"/>
      <w:r w:rsidRPr="00DB08A1">
        <w:rPr>
          <w:rFonts w:asciiTheme="minorHAnsi" w:hAnsiTheme="minorHAnsi"/>
          <w:sz w:val="20"/>
          <w:szCs w:val="20"/>
        </w:rPr>
        <w:t xml:space="preserve"> 1981. </w:t>
      </w:r>
      <w:r w:rsidRPr="00DB08A1">
        <w:rPr>
          <w:rFonts w:asciiTheme="minorHAnsi" w:hAnsiTheme="minorHAnsi"/>
          <w:i/>
          <w:sz w:val="20"/>
          <w:szCs w:val="20"/>
        </w:rPr>
        <w:t xml:space="preserve">Nuclear Chemical Engineering. </w:t>
      </w:r>
      <w:proofErr w:type="gramStart"/>
      <w:r w:rsidRPr="00DB08A1">
        <w:rPr>
          <w:rFonts w:asciiTheme="minorHAnsi" w:hAnsiTheme="minorHAnsi"/>
          <w:sz w:val="20"/>
          <w:szCs w:val="20"/>
        </w:rPr>
        <w:t>2nd ed., McGraw-Hill, New York.</w:t>
      </w:r>
      <w:proofErr w:type="gramEnd"/>
      <w:r w:rsidRPr="00DB08A1">
        <w:rPr>
          <w:rFonts w:asciiTheme="minorHAnsi" w:hAnsiTheme="minorHAnsi"/>
          <w:sz w:val="20"/>
          <w:szCs w:val="20"/>
        </w:rPr>
        <w:t xml:space="preserve"> </w:t>
      </w:r>
      <w:proofErr w:type="gramStart"/>
      <w:r w:rsidRPr="00DB08A1">
        <w:rPr>
          <w:rFonts w:asciiTheme="minorHAnsi" w:hAnsiTheme="minorHAnsi"/>
          <w:sz w:val="20"/>
          <w:szCs w:val="20"/>
        </w:rPr>
        <w:t>Pg. 174.)</w:t>
      </w:r>
      <w:proofErr w:type="gramEnd"/>
    </w:p>
    <w:p w:rsidR="00716BF7" w:rsidRPr="00561612" w:rsidRDefault="00716BF7" w:rsidP="00716BF7"/>
    <w:p w:rsidR="00716BF7" w:rsidRDefault="00716BF7" w:rsidP="00716BF7"/>
    <w:p w:rsidR="00716BF7" w:rsidRPr="00C36131" w:rsidRDefault="00716BF7" w:rsidP="00716BF7">
      <w:proofErr w:type="gramStart"/>
      <w:r w:rsidRPr="00C36131">
        <w:t>quantities</w:t>
      </w:r>
      <w:proofErr w:type="gramEnd"/>
      <w:r w:rsidRPr="00C36131">
        <w:t xml:space="preserve"> of solutes in the presence</w:t>
      </w:r>
      <w:r>
        <w:t xml:space="preserve"> </w:t>
      </w:r>
      <w:r w:rsidRPr="00C36131">
        <w:t>of non</w:t>
      </w:r>
      <w:r>
        <w:t>-</w:t>
      </w:r>
      <w:r w:rsidRPr="00C36131">
        <w:t xml:space="preserve">extractable salting agents, with constant concentration of uncombined </w:t>
      </w:r>
      <w:proofErr w:type="spellStart"/>
      <w:r w:rsidRPr="00C36131">
        <w:t>complexing</w:t>
      </w:r>
      <w:proofErr w:type="spellEnd"/>
      <w:r w:rsidRPr="00C36131">
        <w:t xml:space="preserve"> agent.</w:t>
      </w:r>
      <w:r>
        <w:t xml:space="preserve"> In general, </w:t>
      </w:r>
      <m:oMath>
        <m:r>
          <w:rPr>
            <w:rFonts w:ascii="Cambria Math" w:hAnsi="Cambria Math"/>
          </w:rPr>
          <m:t>D</m:t>
        </m:r>
      </m:oMath>
      <w:r>
        <w:rPr>
          <w:rFonts w:eastAsiaTheme="minorEastAsia"/>
        </w:rPr>
        <w:t xml:space="preserve"> </w:t>
      </w:r>
      <w:r w:rsidRPr="00C36131">
        <w:t>varies from stage to stage, resulting in a</w:t>
      </w:r>
      <w:r>
        <w:t xml:space="preserve"> </w:t>
      </w:r>
      <w:r w:rsidRPr="00C36131">
        <w:t xml:space="preserve">curved equilibrium line. Figure </w:t>
      </w:r>
      <w:r>
        <w:t>A.2</w:t>
      </w:r>
      <w:r w:rsidRPr="00C36131">
        <w:t xml:space="preserve"> illustrates the equilibrium line typical for the extraction of a</w:t>
      </w:r>
      <w:r>
        <w:t xml:space="preserve"> </w:t>
      </w:r>
      <w:r w:rsidRPr="00C36131">
        <w:t>single component in the presence of a non</w:t>
      </w:r>
      <w:r>
        <w:t>-</w:t>
      </w:r>
      <w:r w:rsidRPr="00C36131">
        <w:t>extractable salting agent.</w:t>
      </w:r>
    </w:p>
    <w:p w:rsidR="00716BF7" w:rsidRDefault="00716BF7" w:rsidP="00716BF7">
      <w:pPr>
        <w:rPr>
          <w:rFonts w:eastAsiaTheme="minorEastAsia"/>
        </w:rPr>
      </w:pPr>
      <w:r>
        <w:t>The overall material balance for the cascade of solvent extraction stages (Figure A.1) can be written a</w:t>
      </w:r>
      <w:r>
        <w:rPr>
          <w:rFonts w:eastAsiaTheme="minorEastAsia"/>
        </w:rPr>
        <w:t xml:space="preserve">s shown in Eq. A.4 because </w:t>
      </w:r>
      <m:oMath>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F</m:t>
            </m:r>
          </m:sup>
        </m:sSup>
      </m:oMath>
      <w:r>
        <w:rPr>
          <w:rFonts w:eastAsiaTheme="minorEastAsia"/>
        </w:rPr>
        <w:t xml:space="preserve"> is the </w:t>
      </w:r>
      <w:r w:rsidRPr="004C016C">
        <w:t xml:space="preserve">virtual aqueous effluent concentration from </w:t>
      </w:r>
      <w:proofErr w:type="gramStart"/>
      <w:r w:rsidRPr="004C016C">
        <w:t xml:space="preserve">stage </w:t>
      </w:r>
      <w:proofErr w:type="gramEnd"/>
      <m:oMath>
        <m:r>
          <w:rPr>
            <w:rFonts w:ascii="Cambria Math" w:hAnsi="Cambria Math"/>
          </w:rPr>
          <m:t>N+1</m:t>
        </m:r>
      </m:oMath>
      <w:r w:rsidRPr="004C016C">
        <w:t xml:space="preserve">. </w:t>
      </w:r>
    </w:p>
    <w:p w:rsidR="00716BF7" w:rsidRDefault="00716BF7" w:rsidP="00716BF7">
      <w:pPr>
        <w:jc w:val="right"/>
        <w:rPr>
          <w:rFonts w:eastAsiaTheme="minorEastAsia"/>
        </w:rPr>
      </w:pPr>
      <m:oMath>
        <m:r>
          <w:rPr>
            <w:rFonts w:ascii="Cambria Math" w:hAnsi="Cambria Math"/>
          </w:rPr>
          <m:t>E</m:t>
        </m:r>
        <m:sSub>
          <m:sSubPr>
            <m:ctrlPr>
              <w:rPr>
                <w:rFonts w:ascii="Cambria Math" w:hAnsi="Cambria Math"/>
                <w:i/>
              </w:rPr>
            </m:ctrlPr>
          </m:sSubPr>
          <m:e>
            <m:r>
              <w:rPr>
                <w:rFonts w:ascii="Cambria Math" w:hAnsi="Cambria Math"/>
              </w:rPr>
              <m:t>y</m:t>
            </m:r>
          </m:e>
          <m:sub>
            <m:r>
              <w:rPr>
                <w:rFonts w:ascii="Cambria Math" w:hAnsi="Cambria Math"/>
              </w:rPr>
              <m:t>0</m:t>
            </m:r>
          </m:sub>
        </m:sSub>
        <m:r>
          <w:rPr>
            <w:rFonts w:ascii="Cambria Math" w:hAnsi="Cambria Math"/>
          </w:rPr>
          <m:t>+F</m:t>
        </m:r>
        <m:sSup>
          <m:sSupPr>
            <m:ctrlPr>
              <w:rPr>
                <w:rFonts w:ascii="Cambria Math" w:hAnsi="Cambria Math"/>
                <w:i/>
              </w:rPr>
            </m:ctrlPr>
          </m:sSupPr>
          <m:e>
            <m:r>
              <w:rPr>
                <w:rFonts w:ascii="Cambria Math" w:hAnsi="Cambria Math"/>
              </w:rPr>
              <m:t>x</m:t>
            </m:r>
          </m:e>
          <m:sup>
            <m:r>
              <w:rPr>
                <w:rFonts w:ascii="Cambria Math" w:hAnsi="Cambria Math"/>
              </w:rPr>
              <m:t>F</m:t>
            </m:r>
          </m:sup>
        </m:sSup>
        <m:r>
          <w:rPr>
            <w:rFonts w:ascii="Cambria Math" w:hAnsi="Cambria Math"/>
          </w:rPr>
          <m:t>=E</m:t>
        </m:r>
        <m:sSub>
          <m:sSubPr>
            <m:ctrlPr>
              <w:rPr>
                <w:rFonts w:ascii="Cambria Math" w:hAnsi="Cambria Math"/>
                <w:i/>
              </w:rPr>
            </m:ctrlPr>
          </m:sSubPr>
          <m:e>
            <m:r>
              <w:rPr>
                <w:rFonts w:ascii="Cambria Math" w:hAnsi="Cambria Math"/>
              </w:rPr>
              <m:t>y</m:t>
            </m:r>
          </m:e>
          <m:sub>
            <m:r>
              <w:rPr>
                <w:rFonts w:ascii="Cambria Math" w:hAnsi="Cambria Math"/>
              </w:rPr>
              <m:t>N</m:t>
            </m:r>
          </m:sub>
        </m:sSub>
        <m:r>
          <w:rPr>
            <w:rFonts w:ascii="Cambria Math" w:hAnsi="Cambria Math"/>
          </w:rPr>
          <m:t>+F</m:t>
        </m:r>
        <m:sSub>
          <m:sSubPr>
            <m:ctrlPr>
              <w:rPr>
                <w:rFonts w:ascii="Cambria Math" w:hAnsi="Cambria Math"/>
                <w:i/>
              </w:rPr>
            </m:ctrlPr>
          </m:sSubPr>
          <m:e>
            <m:r>
              <w:rPr>
                <w:rFonts w:ascii="Cambria Math" w:hAnsi="Cambria Math"/>
              </w:rPr>
              <m:t>x</m:t>
            </m:r>
          </m:e>
          <m:sub>
            <m:r>
              <w:rPr>
                <w:rFonts w:ascii="Cambria Math" w:hAnsi="Cambria Math"/>
              </w:rPr>
              <m:t>1</m:t>
            </m:r>
          </m:sub>
        </m:sSub>
      </m:oMath>
      <w:r>
        <w:rPr>
          <w:rFonts w:eastAsiaTheme="minorEastAsia"/>
        </w:rPr>
        <w:tab/>
      </w:r>
      <w:r>
        <w:rPr>
          <w:rFonts w:eastAsiaTheme="minorEastAsia"/>
        </w:rPr>
        <w:tab/>
      </w:r>
      <w:r>
        <w:rPr>
          <w:rFonts w:eastAsiaTheme="minorEastAsia"/>
        </w:rPr>
        <w:tab/>
      </w:r>
      <w:r>
        <w:rPr>
          <w:rFonts w:eastAsiaTheme="minorEastAsia"/>
        </w:rPr>
        <w:tab/>
        <w:t>Eq. (A.4)</w:t>
      </w:r>
    </w:p>
    <w:p w:rsidR="00716BF7" w:rsidRDefault="00716BF7" w:rsidP="00716BF7">
      <w:r>
        <w:t>By rearranging E</w:t>
      </w:r>
      <w:r w:rsidRPr="004C016C">
        <w:t>q</w:t>
      </w:r>
      <w:r>
        <w:t xml:space="preserve">. A.4, </w:t>
      </w:r>
      <w:r w:rsidRPr="004C016C">
        <w:t>it is apparent that the ratio of</w:t>
      </w:r>
      <w:r>
        <w:t xml:space="preserve"> </w:t>
      </w:r>
      <w:r w:rsidRPr="004C016C">
        <w:t>organic flow rate to aqueous flow rate is given by</w:t>
      </w:r>
      <w:r>
        <w:t xml:space="preserve"> Eq. A.5.</w:t>
      </w:r>
    </w:p>
    <w:p w:rsidR="00716BF7" w:rsidRDefault="00C851DF" w:rsidP="00716BF7">
      <w:pPr>
        <w:jc w:val="right"/>
        <w:rPr>
          <w:rFonts w:eastAsiaTheme="minorEastAsia"/>
        </w:rPr>
      </w:pPr>
      <m:oMath>
        <m:f>
          <m:fPr>
            <m:ctrlPr>
              <w:rPr>
                <w:rFonts w:ascii="Cambria Math" w:hAnsi="Cambria Math"/>
                <w:i/>
              </w:rPr>
            </m:ctrlPr>
          </m:fPr>
          <m:num>
            <m:r>
              <w:rPr>
                <w:rFonts w:ascii="Cambria Math" w:hAnsi="Cambria Math"/>
              </w:rPr>
              <m:t>E</m:t>
            </m:r>
          </m:num>
          <m:den>
            <m:r>
              <w:rPr>
                <w:rFonts w:ascii="Cambria Math" w:hAnsi="Cambria Math"/>
              </w:rPr>
              <m:t>F</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x</m:t>
                </m:r>
              </m:e>
              <m:sup>
                <m:r>
                  <w:rPr>
                    <w:rFonts w:ascii="Cambria Math" w:hAnsi="Cambria Math"/>
                  </w:rPr>
                  <m:t>F</m:t>
                </m:r>
              </m:sup>
            </m:sSup>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m:t>
                </m:r>
              </m:sub>
            </m:sSub>
          </m:num>
          <m:den>
            <m:sSub>
              <m:sSubPr>
                <m:ctrlPr>
                  <w:rPr>
                    <w:rFonts w:ascii="Cambria Math" w:hAnsi="Cambria Math"/>
                    <w:i/>
                  </w:rPr>
                </m:ctrlPr>
              </m:sSubPr>
              <m:e>
                <m:r>
                  <w:rPr>
                    <w:rFonts w:ascii="Cambria Math" w:hAnsi="Cambria Math"/>
                  </w:rPr>
                  <m:t>y</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0</m:t>
                </m:r>
              </m:sub>
            </m:sSub>
          </m:den>
        </m:f>
      </m:oMath>
      <w:r w:rsidR="00716BF7">
        <w:rPr>
          <w:rFonts w:eastAsiaTheme="minorEastAsia"/>
        </w:rPr>
        <w:tab/>
      </w:r>
      <w:r w:rsidR="00716BF7">
        <w:rPr>
          <w:rFonts w:eastAsiaTheme="minorEastAsia"/>
        </w:rPr>
        <w:tab/>
      </w:r>
      <w:r w:rsidR="00716BF7">
        <w:rPr>
          <w:rFonts w:eastAsiaTheme="minorEastAsia"/>
        </w:rPr>
        <w:tab/>
      </w:r>
      <w:r w:rsidR="00716BF7">
        <w:rPr>
          <w:rFonts w:eastAsiaTheme="minorEastAsia"/>
        </w:rPr>
        <w:tab/>
      </w:r>
      <w:r w:rsidR="00716BF7">
        <w:rPr>
          <w:rFonts w:eastAsiaTheme="minorEastAsia"/>
        </w:rPr>
        <w:tab/>
        <w:t>Eq. (A.5)</w:t>
      </w:r>
    </w:p>
    <w:p w:rsidR="00716BF7" w:rsidRDefault="00716BF7" w:rsidP="00716BF7">
      <w:r>
        <w:lastRenderedPageBreak/>
        <w:t>W</w:t>
      </w:r>
      <w:r w:rsidRPr="002055A4">
        <w:t>hen the distribution coefficients are independent of stage number</w:t>
      </w:r>
      <w:r>
        <w:t>, meaning the distribution coefficients are constant</w:t>
      </w:r>
      <w:r w:rsidRPr="002055A4">
        <w:t>, an equation can be derived</w:t>
      </w:r>
      <w:r>
        <w:t xml:space="preserve"> </w:t>
      </w:r>
      <w:r w:rsidRPr="002055A4">
        <w:t xml:space="preserve">for </w:t>
      </w:r>
      <w:r>
        <w:t xml:space="preserve">the </w:t>
      </w:r>
      <w:r w:rsidRPr="002055A4">
        <w:t>analytical calculation of the number of stages.</w:t>
      </w:r>
      <w:r>
        <w:t xml:space="preserve"> </w:t>
      </w:r>
      <w:r w:rsidRPr="002055A4">
        <w:t xml:space="preserve">For any extractable component with a constant distribution coefficient, </w:t>
      </w:r>
      <w:r>
        <w:t>a constant extraction factor</w:t>
      </w:r>
      <w:proofErr w:type="gramStart"/>
      <w:r>
        <w:t xml:space="preserve">, </w:t>
      </w:r>
      <w:proofErr w:type="gramEnd"/>
      <m:oMath>
        <m:r>
          <w:rPr>
            <w:rFonts w:ascii="Cambria Math" w:hAnsi="Cambria Math"/>
          </w:rPr>
          <m:t>β</m:t>
        </m:r>
      </m:oMath>
      <w:r>
        <w:rPr>
          <w:rFonts w:eastAsiaTheme="minorEastAsia"/>
        </w:rPr>
        <w:t xml:space="preserve">, </w:t>
      </w:r>
      <w:r>
        <w:t>can be defined as Eq. A.6.</w:t>
      </w:r>
    </w:p>
    <w:p w:rsidR="00716BF7" w:rsidRDefault="00716BF7" w:rsidP="00716BF7">
      <w:pPr>
        <w:jc w:val="right"/>
      </w:pPr>
      <m:oMath>
        <m:r>
          <w:rPr>
            <w:rFonts w:ascii="Cambria Math" w:hAnsi="Cambria Math"/>
          </w:rPr>
          <m:t>β</m:t>
        </m:r>
        <m:r>
          <m:rPr>
            <m:sty m:val="p"/>
          </m:rPr>
          <w:rPr>
            <w:rFonts w:ascii="Cambria Math" w:hAnsi="Cambria Math"/>
          </w:rPr>
          <m:t>≡</m:t>
        </m:r>
        <m:f>
          <m:fPr>
            <m:ctrlPr>
              <w:rPr>
                <w:rFonts w:ascii="Cambria Math" w:hAnsi="Cambria Math"/>
              </w:rPr>
            </m:ctrlPr>
          </m:fPr>
          <m:num>
            <m:r>
              <w:rPr>
                <w:rFonts w:ascii="Cambria Math" w:hAnsi="Cambria Math"/>
              </w:rPr>
              <m:t>DE</m:t>
            </m:r>
          </m:num>
          <m:den>
            <m:r>
              <w:rPr>
                <w:rFonts w:ascii="Cambria Math" w:hAnsi="Cambria Math"/>
              </w:rPr>
              <m:t>F</m:t>
            </m:r>
          </m:den>
        </m:f>
      </m:oMath>
      <w:r w:rsidRPr="00091653">
        <w:t xml:space="preserve"> </w:t>
      </w:r>
      <w:r w:rsidRPr="00091653">
        <w:tab/>
      </w:r>
      <w:r w:rsidRPr="00091653">
        <w:tab/>
      </w:r>
      <w:r>
        <w:tab/>
      </w:r>
      <w:r>
        <w:tab/>
      </w:r>
      <w:r>
        <w:tab/>
      </w:r>
      <w:r>
        <w:tab/>
        <w:t>Eq. (A.6</w:t>
      </w:r>
      <w:r w:rsidRPr="00091653">
        <w:t>)</w:t>
      </w:r>
    </w:p>
    <w:p w:rsidR="00716BF7" w:rsidRDefault="00716BF7" w:rsidP="00716BF7">
      <w:r>
        <w:t xml:space="preserve">Equation A.3 can be written for the constant </w:t>
      </w:r>
      <w:r w:rsidRPr="002055A4">
        <w:t>distribution coefficient</w:t>
      </w:r>
      <w:r>
        <w:t>.</w:t>
      </w:r>
    </w:p>
    <w:p w:rsidR="00716BF7" w:rsidRDefault="00C851DF" w:rsidP="00716BF7">
      <w:pPr>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n</m:t>
            </m:r>
          </m:sub>
        </m:sSub>
        <m:r>
          <w:rPr>
            <w:rFonts w:ascii="Cambria Math" w:eastAsiaTheme="minorEastAsia" w:hAnsi="Cambria Math"/>
          </w:rPr>
          <m:t>=D</m:t>
        </m:r>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n</m:t>
            </m:r>
          </m:sub>
        </m:sSub>
      </m:oMath>
      <w:r w:rsidR="00716BF7">
        <w:rPr>
          <w:rFonts w:eastAsiaTheme="minorEastAsia"/>
        </w:rPr>
        <w:tab/>
      </w:r>
      <w:r w:rsidR="00716BF7">
        <w:rPr>
          <w:rFonts w:eastAsiaTheme="minorEastAsia"/>
        </w:rPr>
        <w:tab/>
      </w:r>
      <w:r w:rsidR="00716BF7">
        <w:rPr>
          <w:rFonts w:eastAsiaTheme="minorEastAsia"/>
        </w:rPr>
        <w:tab/>
      </w:r>
      <w:r w:rsidR="00716BF7">
        <w:rPr>
          <w:rFonts w:eastAsiaTheme="minorEastAsia"/>
        </w:rPr>
        <w:tab/>
      </w:r>
      <w:r w:rsidR="00716BF7">
        <w:rPr>
          <w:rFonts w:eastAsiaTheme="minorEastAsia"/>
        </w:rPr>
        <w:tab/>
        <w:t>Eq. (A.7)</w:t>
      </w:r>
    </w:p>
    <w:p w:rsidR="00716BF7" w:rsidRDefault="00716BF7" w:rsidP="00716BF7">
      <w:pPr>
        <w:rPr>
          <w:rFonts w:eastAsiaTheme="minorEastAsia"/>
        </w:rPr>
      </w:pPr>
      <w:r w:rsidRPr="002055A4">
        <w:t>Eq</w:t>
      </w:r>
      <w:r>
        <w:t xml:space="preserve">uations A.1 and A.3 </w:t>
      </w:r>
      <w:r w:rsidRPr="002055A4">
        <w:t xml:space="preserve">can be rewritten in terms </w:t>
      </w:r>
      <w:proofErr w:type="gramStart"/>
      <w:r>
        <w:t xml:space="preserve">of </w:t>
      </w:r>
      <w:proofErr w:type="gramEnd"/>
      <m:oMath>
        <m:r>
          <w:rPr>
            <w:rFonts w:ascii="Cambria Math" w:hAnsi="Cambria Math"/>
          </w:rPr>
          <m:t>β</m:t>
        </m:r>
      </m:oMath>
      <w:r>
        <w:rPr>
          <w:rFonts w:eastAsiaTheme="minorEastAsia"/>
        </w:rPr>
        <w:t>.</w:t>
      </w:r>
    </w:p>
    <w:p w:rsidR="00716BF7" w:rsidRDefault="00716BF7" w:rsidP="00716BF7">
      <w:pPr>
        <w:jc w:val="right"/>
        <w:rPr>
          <w:rFonts w:eastAsiaTheme="minorEastAsia"/>
        </w:rPr>
      </w:pPr>
      <m:oMath>
        <m:r>
          <w:rPr>
            <w:rFonts w:ascii="Cambria Math" w:hAnsi="Cambria Math"/>
          </w:rPr>
          <m:t>E</m:t>
        </m:r>
        <m:sSub>
          <m:sSubPr>
            <m:ctrlPr>
              <w:rPr>
                <w:rFonts w:ascii="Cambria Math" w:hAnsi="Cambria Math"/>
                <w:i/>
              </w:rPr>
            </m:ctrlPr>
          </m:sSubPr>
          <m:e>
            <m:r>
              <w:rPr>
                <w:rFonts w:ascii="Cambria Math" w:hAnsi="Cambria Math"/>
              </w:rPr>
              <m:t>y</m:t>
            </m:r>
          </m:e>
          <m:sub>
            <m:r>
              <w:rPr>
                <w:rFonts w:ascii="Cambria Math" w:hAnsi="Cambria Math"/>
              </w:rPr>
              <m:t>0</m:t>
            </m:r>
          </m:sub>
        </m:sSub>
        <m:r>
          <w:rPr>
            <w:rFonts w:ascii="Cambria Math" w:hAnsi="Cambria Math"/>
          </w:rPr>
          <m:t>+F</m:t>
        </m:r>
        <m:sSub>
          <m:sSubPr>
            <m:ctrlPr>
              <w:rPr>
                <w:rFonts w:ascii="Cambria Math" w:hAnsi="Cambria Math"/>
                <w:i/>
              </w:rPr>
            </m:ctrlPr>
          </m:sSubPr>
          <m:e>
            <m:r>
              <w:rPr>
                <w:rFonts w:ascii="Cambria Math" w:hAnsi="Cambria Math"/>
              </w:rPr>
              <m:t>x</m:t>
            </m:r>
          </m:e>
          <m:sub>
            <m:r>
              <w:rPr>
                <w:rFonts w:ascii="Cambria Math" w:hAnsi="Cambria Math"/>
              </w:rPr>
              <m:t>n</m:t>
            </m:r>
          </m:sub>
        </m:sSub>
        <m:r>
          <w:rPr>
            <w:rFonts w:ascii="Cambria Math" w:hAnsi="Cambria Math"/>
          </w:rPr>
          <m:t>=E</m:t>
        </m:r>
        <m:sSub>
          <m:sSubPr>
            <m:ctrlPr>
              <w:rPr>
                <w:rFonts w:ascii="Cambria Math" w:hAnsi="Cambria Math"/>
                <w:i/>
              </w:rPr>
            </m:ctrlPr>
          </m:sSubPr>
          <m:e>
            <m:r>
              <w:rPr>
                <w:rFonts w:ascii="Cambria Math" w:hAnsi="Cambria Math"/>
              </w:rPr>
              <m:t>y</m:t>
            </m:r>
          </m:e>
          <m:sub>
            <m:r>
              <w:rPr>
                <w:rFonts w:ascii="Cambria Math" w:hAnsi="Cambria Math"/>
              </w:rPr>
              <m:t>n-1</m:t>
            </m:r>
          </m:sub>
        </m:sSub>
        <m:r>
          <w:rPr>
            <w:rFonts w:ascii="Cambria Math" w:hAnsi="Cambria Math"/>
          </w:rPr>
          <m:t>+F</m:t>
        </m:r>
        <m:sSub>
          <m:sSubPr>
            <m:ctrlPr>
              <w:rPr>
                <w:rFonts w:ascii="Cambria Math" w:hAnsi="Cambria Math"/>
                <w:i/>
              </w:rPr>
            </m:ctrlPr>
          </m:sSubPr>
          <m:e>
            <m:r>
              <w:rPr>
                <w:rFonts w:ascii="Cambria Math" w:hAnsi="Cambria Math"/>
              </w:rPr>
              <m:t>x</m:t>
            </m:r>
          </m:e>
          <m:sub>
            <m:r>
              <w:rPr>
                <w:rFonts w:ascii="Cambria Math" w:hAnsi="Cambria Math"/>
              </w:rPr>
              <m:t>1</m:t>
            </m:r>
          </m:sub>
        </m:sSub>
      </m:oMath>
      <w:r>
        <w:rPr>
          <w:rFonts w:eastAsiaTheme="minorEastAsia"/>
        </w:rPr>
        <w:tab/>
      </w:r>
      <w:r>
        <w:rPr>
          <w:rFonts w:eastAsiaTheme="minorEastAsia"/>
        </w:rPr>
        <w:tab/>
      </w:r>
      <w:r>
        <w:rPr>
          <w:rFonts w:eastAsiaTheme="minorEastAsia"/>
        </w:rPr>
        <w:tab/>
      </w:r>
      <w:r>
        <w:rPr>
          <w:rFonts w:eastAsiaTheme="minorEastAsia"/>
        </w:rPr>
        <w:tab/>
        <w:t>Eq. (A.1)</w:t>
      </w:r>
    </w:p>
    <w:p w:rsidR="00716BF7" w:rsidRDefault="00716BF7" w:rsidP="00716BF7">
      <w:pPr>
        <w:rPr>
          <w:rFonts w:eastAsiaTheme="minorEastAsia"/>
        </w:rPr>
      </w:pPr>
      <w:r>
        <w:rPr>
          <w:rFonts w:eastAsiaTheme="minorEastAsia"/>
        </w:rPr>
        <w:t xml:space="preserve">Rearrange Eq. A.7 </w:t>
      </w:r>
      <w:proofErr w:type="gramStart"/>
      <w:r>
        <w:rPr>
          <w:rFonts w:eastAsiaTheme="minorEastAsia"/>
        </w:rPr>
        <w:t xml:space="preserve">for </w:t>
      </w:r>
      <w:proofErr w:type="gramEnd"/>
      <m:oMath>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n</m:t>
            </m:r>
          </m:sub>
        </m:sSub>
      </m:oMath>
      <w:r>
        <w:rPr>
          <w:rFonts w:eastAsiaTheme="minorEastAsia"/>
        </w:rPr>
        <w:t>.</w:t>
      </w:r>
    </w:p>
    <w:p w:rsidR="00716BF7" w:rsidRDefault="00C851DF" w:rsidP="00716BF7">
      <w:pPr>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n</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n</m:t>
                </m:r>
              </m:sub>
            </m:sSub>
          </m:num>
          <m:den>
            <m:r>
              <w:rPr>
                <w:rFonts w:ascii="Cambria Math" w:eastAsiaTheme="minorEastAsia" w:hAnsi="Cambria Math"/>
              </w:rPr>
              <m:t>D</m:t>
            </m:r>
          </m:den>
        </m:f>
      </m:oMath>
      <w:r w:rsidR="00716BF7">
        <w:rPr>
          <w:rFonts w:eastAsiaTheme="minorEastAsia"/>
        </w:rPr>
        <w:tab/>
        <w:t xml:space="preserve"> </w:t>
      </w:r>
      <w:r w:rsidR="00716BF7">
        <w:rPr>
          <w:rFonts w:eastAsiaTheme="minorEastAsia"/>
        </w:rPr>
        <w:tab/>
      </w:r>
      <w:r w:rsidR="00716BF7">
        <w:rPr>
          <w:rFonts w:eastAsiaTheme="minorEastAsia"/>
        </w:rPr>
        <w:tab/>
      </w:r>
      <w:r w:rsidR="00716BF7">
        <w:rPr>
          <w:rFonts w:eastAsiaTheme="minorEastAsia"/>
        </w:rPr>
        <w:tab/>
      </w:r>
      <w:r w:rsidR="00716BF7">
        <w:rPr>
          <w:rFonts w:eastAsiaTheme="minorEastAsia"/>
        </w:rPr>
        <w:tab/>
      </w:r>
      <w:r w:rsidR="00716BF7">
        <w:rPr>
          <w:rFonts w:eastAsiaTheme="minorEastAsia"/>
        </w:rPr>
        <w:tab/>
        <w:t>Eq. (A.8)</w:t>
      </w:r>
    </w:p>
    <w:p w:rsidR="00716BF7" w:rsidRPr="00970666" w:rsidRDefault="00716BF7" w:rsidP="00716BF7">
      <w:pPr>
        <w:rPr>
          <w:rFonts w:eastAsiaTheme="minorEastAsia"/>
        </w:rPr>
      </w:pPr>
      <w:r>
        <w:rPr>
          <w:rFonts w:eastAsiaTheme="minorEastAsia"/>
        </w:rPr>
        <w:t xml:space="preserve">Substitute for </w:t>
      </w:r>
      <m:oMath>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n</m:t>
            </m:r>
          </m:sub>
        </m:sSub>
      </m:oMath>
      <w:r>
        <w:rPr>
          <w:rFonts w:eastAsiaTheme="minorEastAsia"/>
        </w:rPr>
        <w:t xml:space="preserve"> in Eq. A.1.</w:t>
      </w:r>
    </w:p>
    <w:p w:rsidR="00716BF7" w:rsidRDefault="00716BF7" w:rsidP="00716BF7">
      <w:pPr>
        <w:jc w:val="right"/>
        <w:rPr>
          <w:rFonts w:eastAsiaTheme="minorEastAsia"/>
        </w:rPr>
      </w:pPr>
      <m:oMath>
        <m:r>
          <w:rPr>
            <w:rFonts w:ascii="Cambria Math" w:hAnsi="Cambria Math"/>
          </w:rPr>
          <m:t>E</m:t>
        </m:r>
        <m:sSub>
          <m:sSubPr>
            <m:ctrlPr>
              <w:rPr>
                <w:rFonts w:ascii="Cambria Math" w:hAnsi="Cambria Math"/>
                <w:i/>
              </w:rPr>
            </m:ctrlPr>
          </m:sSubPr>
          <m:e>
            <m:r>
              <w:rPr>
                <w:rFonts w:ascii="Cambria Math" w:hAnsi="Cambria Math"/>
              </w:rPr>
              <m:t>y</m:t>
            </m:r>
          </m:e>
          <m:sub>
            <m:r>
              <w:rPr>
                <w:rFonts w:ascii="Cambria Math" w:hAnsi="Cambria Math"/>
              </w:rPr>
              <m:t>0</m:t>
            </m:r>
          </m:sub>
        </m:sSub>
        <m:r>
          <w:rPr>
            <w:rFonts w:ascii="Cambria Math" w:hAnsi="Cambria Math"/>
          </w:rPr>
          <m:t>+F</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n</m:t>
                </m:r>
              </m:sub>
            </m:sSub>
          </m:num>
          <m:den>
            <m:r>
              <w:rPr>
                <w:rFonts w:ascii="Cambria Math" w:eastAsiaTheme="minorEastAsia" w:hAnsi="Cambria Math"/>
              </w:rPr>
              <m:t>D</m:t>
            </m:r>
          </m:den>
        </m:f>
        <m:r>
          <w:rPr>
            <w:rFonts w:ascii="Cambria Math" w:hAnsi="Cambria Math"/>
          </w:rPr>
          <m:t>=E</m:t>
        </m:r>
        <m:sSub>
          <m:sSubPr>
            <m:ctrlPr>
              <w:rPr>
                <w:rFonts w:ascii="Cambria Math" w:hAnsi="Cambria Math"/>
                <w:i/>
              </w:rPr>
            </m:ctrlPr>
          </m:sSubPr>
          <m:e>
            <m:r>
              <w:rPr>
                <w:rFonts w:ascii="Cambria Math" w:hAnsi="Cambria Math"/>
              </w:rPr>
              <m:t>y</m:t>
            </m:r>
          </m:e>
          <m:sub>
            <m:r>
              <w:rPr>
                <w:rFonts w:ascii="Cambria Math" w:hAnsi="Cambria Math"/>
              </w:rPr>
              <m:t>n-1</m:t>
            </m:r>
          </m:sub>
        </m:sSub>
        <m:r>
          <w:rPr>
            <w:rFonts w:ascii="Cambria Math" w:hAnsi="Cambria Math"/>
          </w:rPr>
          <m:t>+F</m:t>
        </m:r>
        <m:sSub>
          <m:sSubPr>
            <m:ctrlPr>
              <w:rPr>
                <w:rFonts w:ascii="Cambria Math" w:hAnsi="Cambria Math"/>
                <w:i/>
              </w:rPr>
            </m:ctrlPr>
          </m:sSubPr>
          <m:e>
            <m:r>
              <w:rPr>
                <w:rFonts w:ascii="Cambria Math" w:hAnsi="Cambria Math"/>
              </w:rPr>
              <m:t>x</m:t>
            </m:r>
          </m:e>
          <m:sub>
            <m:r>
              <w:rPr>
                <w:rFonts w:ascii="Cambria Math" w:hAnsi="Cambria Math"/>
              </w:rPr>
              <m:t>1</m:t>
            </m:r>
          </m:sub>
        </m:sSub>
      </m:oMath>
      <w:r>
        <w:rPr>
          <w:rFonts w:eastAsiaTheme="minorEastAsia"/>
        </w:rPr>
        <w:t xml:space="preserve"> </w:t>
      </w:r>
      <w:r>
        <w:rPr>
          <w:rFonts w:eastAsiaTheme="minorEastAsia"/>
        </w:rPr>
        <w:tab/>
      </w:r>
      <w:r>
        <w:rPr>
          <w:rFonts w:eastAsiaTheme="minorEastAsia"/>
        </w:rPr>
        <w:tab/>
      </w:r>
      <w:r>
        <w:rPr>
          <w:rFonts w:eastAsiaTheme="minorEastAsia"/>
        </w:rPr>
        <w:tab/>
      </w:r>
      <w:r>
        <w:rPr>
          <w:rFonts w:eastAsiaTheme="minorEastAsia"/>
        </w:rPr>
        <w:tab/>
        <w:t>Eq. (A.9)</w:t>
      </w:r>
    </w:p>
    <w:p w:rsidR="00716BF7" w:rsidRDefault="00716BF7" w:rsidP="00716BF7">
      <w:pPr>
        <w:rPr>
          <w:rFonts w:eastAsiaTheme="minorEastAsia"/>
        </w:rPr>
      </w:pPr>
      <w:r>
        <w:rPr>
          <w:rFonts w:eastAsiaTheme="minorEastAsia"/>
        </w:rPr>
        <w:t xml:space="preserve">Rearrange Eq. A.9 to solve </w:t>
      </w:r>
      <w:proofErr w:type="gramStart"/>
      <w:r>
        <w:rPr>
          <w:rFonts w:eastAsiaTheme="minorEastAsia"/>
        </w:rPr>
        <w:t xml:space="preserve">for </w:t>
      </w:r>
      <w:proofErr w:type="gramEnd"/>
      <m:oMath>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n</m:t>
            </m:r>
          </m:sub>
        </m:sSub>
      </m:oMath>
      <w:r>
        <w:rPr>
          <w:rFonts w:eastAsiaTheme="minorEastAsia"/>
        </w:rPr>
        <w:t>.</w:t>
      </w:r>
    </w:p>
    <w:p w:rsidR="00716BF7" w:rsidRPr="00970666" w:rsidRDefault="00C851DF" w:rsidP="00716BF7">
      <w:pPr>
        <w:jc w:val="right"/>
        <w:rPr>
          <w:rFonts w:eastAsiaTheme="minorEastAsia"/>
        </w:rPr>
      </w:pPr>
      <m:oMath>
        <m:sSub>
          <m:sSubPr>
            <m:ctrlPr>
              <w:rPr>
                <w:rFonts w:ascii="Cambria Math" w:hAnsi="Cambria Math"/>
              </w:rPr>
            </m:ctrlPr>
          </m:sSubPr>
          <m:e>
            <m:r>
              <w:rPr>
                <w:rFonts w:ascii="Cambria Math" w:hAnsi="Cambria Math"/>
              </w:rPr>
              <m:t>y</m:t>
            </m:r>
          </m:e>
          <m:sub>
            <m:r>
              <w:rPr>
                <w:rFonts w:ascii="Cambria Math" w:hAnsi="Cambria Math"/>
              </w:rPr>
              <m:t>n</m:t>
            </m:r>
          </m:sub>
        </m:sSub>
        <m:r>
          <m:rPr>
            <m:sty m:val="p"/>
          </m:rPr>
          <w:rPr>
            <w:rFonts w:ascii="Cambria Math" w:hAnsi="Cambria Math"/>
          </w:rPr>
          <m:t>=</m:t>
        </m:r>
        <m:f>
          <m:fPr>
            <m:ctrlPr>
              <w:rPr>
                <w:rFonts w:ascii="Cambria Math" w:hAnsi="Cambria Math"/>
              </w:rPr>
            </m:ctrlPr>
          </m:fPr>
          <m:num>
            <m:r>
              <w:rPr>
                <w:rFonts w:ascii="Cambria Math" w:hAnsi="Cambria Math"/>
              </w:rPr>
              <m:t>DE</m:t>
            </m:r>
          </m:num>
          <m:den>
            <m:r>
              <w:rPr>
                <w:rFonts w:ascii="Cambria Math" w:hAnsi="Cambria Math"/>
              </w:rPr>
              <m:t>F</m:t>
            </m:r>
          </m:den>
        </m:f>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n</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m:rPr>
                    <m:sty m:val="p"/>
                  </m:rPr>
                  <w:rPr>
                    <w:rFonts w:ascii="Cambria Math" w:hAnsi="Cambria Math"/>
                  </w:rPr>
                  <m:t>0</m:t>
                </m:r>
              </m:sub>
            </m:sSub>
          </m:e>
        </m:d>
        <m:r>
          <m:rPr>
            <m:sty m:val="p"/>
          </m:rPr>
          <w:rPr>
            <w:rFonts w:ascii="Cambria Math" w:hAnsi="Cambria Math"/>
          </w:rPr>
          <m:t>+</m:t>
        </m:r>
        <m:f>
          <m:fPr>
            <m:ctrlPr>
              <w:rPr>
                <w:rFonts w:ascii="Cambria Math" w:hAnsi="Cambria Math"/>
              </w:rPr>
            </m:ctrlPr>
          </m:fPr>
          <m:num>
            <m:r>
              <w:rPr>
                <w:rFonts w:ascii="Cambria Math" w:hAnsi="Cambria Math"/>
              </w:rPr>
              <m:t>Fβ</m:t>
            </m:r>
          </m:num>
          <m:den>
            <m:r>
              <w:rPr>
                <w:rFonts w:ascii="Cambria Math" w:hAnsi="Cambria Math"/>
              </w:rPr>
              <m:t>E</m:t>
            </m:r>
          </m:den>
        </m:f>
        <m:sSub>
          <m:sSubPr>
            <m:ctrlPr>
              <w:rPr>
                <w:rFonts w:ascii="Cambria Math" w:hAnsi="Cambria Math"/>
              </w:rPr>
            </m:ctrlPr>
          </m:sSubPr>
          <m:e>
            <m:r>
              <w:rPr>
                <w:rFonts w:ascii="Cambria Math" w:hAnsi="Cambria Math"/>
              </w:rPr>
              <m:t>x</m:t>
            </m:r>
          </m:e>
          <m:sub>
            <m:r>
              <m:rPr>
                <m:sty m:val="p"/>
              </m:rPr>
              <w:rPr>
                <w:rFonts w:ascii="Cambria Math" w:hAnsi="Cambria Math"/>
              </w:rPr>
              <m:t>1</m:t>
            </m:r>
          </m:sub>
        </m:sSub>
      </m:oMath>
      <w:r w:rsidR="00716BF7">
        <w:rPr>
          <w:rFonts w:eastAsiaTheme="minorEastAsia"/>
        </w:rPr>
        <w:t xml:space="preserve"> </w:t>
      </w:r>
      <w:r w:rsidR="00716BF7">
        <w:rPr>
          <w:rFonts w:eastAsiaTheme="minorEastAsia"/>
        </w:rPr>
        <w:tab/>
      </w:r>
      <w:r w:rsidR="00716BF7">
        <w:rPr>
          <w:rFonts w:eastAsiaTheme="minorEastAsia"/>
        </w:rPr>
        <w:tab/>
      </w:r>
      <w:r w:rsidR="00716BF7">
        <w:rPr>
          <w:rFonts w:eastAsiaTheme="minorEastAsia"/>
        </w:rPr>
        <w:tab/>
      </w:r>
      <w:r w:rsidR="00716BF7">
        <w:rPr>
          <w:rFonts w:eastAsiaTheme="minorEastAsia"/>
        </w:rPr>
        <w:tab/>
        <w:t>Eq. (A.10)</w:t>
      </w:r>
    </w:p>
    <w:p w:rsidR="00716BF7" w:rsidRPr="00970666" w:rsidRDefault="00716BF7" w:rsidP="00716BF7">
      <w:pPr>
        <w:rPr>
          <w:rFonts w:eastAsiaTheme="minorEastAsia"/>
        </w:rPr>
      </w:pPr>
      <w:r>
        <w:rPr>
          <w:rFonts w:eastAsiaTheme="minorEastAsia"/>
        </w:rPr>
        <w:t xml:space="preserve">Substitute </w:t>
      </w:r>
      <m:oMath>
        <m:r>
          <w:rPr>
            <w:rFonts w:ascii="Cambria Math" w:eastAsiaTheme="minorEastAsia" w:hAnsi="Cambria Math"/>
          </w:rPr>
          <m:t>D</m:t>
        </m:r>
      </m:oMath>
      <w:r>
        <w:rPr>
          <w:rFonts w:eastAsiaTheme="minorEastAsia"/>
        </w:rPr>
        <w:t xml:space="preserve"> or </w:t>
      </w:r>
      <m:oMath>
        <m:r>
          <w:rPr>
            <w:rFonts w:ascii="Cambria Math" w:eastAsiaTheme="minorEastAsia" w:hAnsi="Cambria Math"/>
          </w:rPr>
          <m:t>β</m:t>
        </m:r>
      </m:oMath>
      <w:r>
        <w:rPr>
          <w:rFonts w:eastAsiaTheme="minorEastAsia"/>
        </w:rPr>
        <w:t xml:space="preserve"> in Eq. A. 10 as appropriate to obtain Eq. A.11.</w:t>
      </w:r>
    </w:p>
    <w:p w:rsidR="00716BF7" w:rsidRDefault="00C851DF" w:rsidP="00716BF7">
      <w:pPr>
        <w:jc w:val="right"/>
      </w:pPr>
      <m:oMath>
        <m:sSub>
          <m:sSubPr>
            <m:ctrlPr>
              <w:rPr>
                <w:rFonts w:ascii="Cambria Math" w:hAnsi="Cambria Math"/>
              </w:rPr>
            </m:ctrlPr>
          </m:sSubPr>
          <m:e>
            <m:r>
              <w:rPr>
                <w:rFonts w:ascii="Cambria Math" w:hAnsi="Cambria Math"/>
              </w:rPr>
              <m:t>y</m:t>
            </m:r>
          </m:e>
          <m:sub>
            <m:r>
              <w:rPr>
                <w:rFonts w:ascii="Cambria Math" w:hAnsi="Cambria Math"/>
              </w:rPr>
              <m:t>n</m:t>
            </m:r>
          </m:sub>
        </m:sSub>
        <m:r>
          <m:rPr>
            <m:sty m:val="p"/>
          </m:rPr>
          <w:rPr>
            <w:rFonts w:ascii="Cambria Math" w:hAnsi="Cambria Math"/>
          </w:rPr>
          <m:t>=</m:t>
        </m:r>
        <m:r>
          <w:rPr>
            <w:rFonts w:ascii="Cambria Math" w:hAnsi="Cambria Math"/>
          </w:rPr>
          <m:t>β</m:t>
        </m:r>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n</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m:rPr>
                    <m:sty m:val="p"/>
                  </m:rPr>
                  <w:rPr>
                    <w:rFonts w:ascii="Cambria Math" w:hAnsi="Cambria Math"/>
                  </w:rPr>
                  <m:t>0</m:t>
                </m:r>
              </m:sub>
            </m:sSub>
          </m:e>
        </m:d>
        <m:r>
          <m:rPr>
            <m:sty m:val="p"/>
          </m:rPr>
          <w:rPr>
            <w:rFonts w:ascii="Cambria Math" w:hAnsi="Cambria Math"/>
          </w:rPr>
          <m:t>+</m:t>
        </m:r>
        <m:r>
          <w:rPr>
            <w:rFonts w:ascii="Cambria Math" w:hAnsi="Cambria Math"/>
          </w:rPr>
          <m:t>D</m:t>
        </m:r>
        <m:sSub>
          <m:sSubPr>
            <m:ctrlPr>
              <w:rPr>
                <w:rFonts w:ascii="Cambria Math" w:hAnsi="Cambria Math"/>
              </w:rPr>
            </m:ctrlPr>
          </m:sSubPr>
          <m:e>
            <m:r>
              <w:rPr>
                <w:rFonts w:ascii="Cambria Math" w:hAnsi="Cambria Math"/>
              </w:rPr>
              <m:t>x</m:t>
            </m:r>
          </m:e>
          <m:sub>
            <m:r>
              <m:rPr>
                <m:sty m:val="p"/>
              </m:rPr>
              <w:rPr>
                <w:rFonts w:ascii="Cambria Math" w:hAnsi="Cambria Math"/>
              </w:rPr>
              <m:t>1</m:t>
            </m:r>
          </m:sub>
        </m:sSub>
      </m:oMath>
      <w:r w:rsidR="00716BF7" w:rsidRPr="00091653">
        <w:t xml:space="preserve"> </w:t>
      </w:r>
      <w:r w:rsidR="00716BF7" w:rsidRPr="00091653">
        <w:tab/>
      </w:r>
      <w:r w:rsidR="00716BF7">
        <w:tab/>
      </w:r>
      <w:r w:rsidR="00716BF7">
        <w:tab/>
      </w:r>
      <w:r w:rsidR="00716BF7">
        <w:tab/>
        <w:t>Eq. (A.11</w:t>
      </w:r>
      <w:r w:rsidR="00716BF7" w:rsidRPr="00091653">
        <w:t>)</w:t>
      </w:r>
    </w:p>
    <w:p w:rsidR="00716BF7" w:rsidRDefault="00716BF7" w:rsidP="00716BF7">
      <w:pPr>
        <w:rPr>
          <w:rFonts w:eastAsiaTheme="minorEastAsia"/>
        </w:rPr>
      </w:pPr>
      <w:proofErr w:type="gramStart"/>
      <w:r>
        <w:rPr>
          <w:rFonts w:eastAsiaTheme="minorEastAsia"/>
        </w:rPr>
        <w:t xml:space="preserve">When </w:t>
      </w:r>
      <w:proofErr w:type="gramEnd"/>
      <m:oMath>
        <m:r>
          <w:rPr>
            <w:rFonts w:ascii="Cambria Math" w:eastAsiaTheme="minorEastAsia" w:hAnsi="Cambria Math"/>
          </w:rPr>
          <m:t>n=1</m:t>
        </m:r>
      </m:oMath>
      <w:r>
        <w:rPr>
          <w:rFonts w:eastAsiaTheme="minorEastAsia"/>
        </w:rPr>
        <w:t>, Eq. A.11 becomes</w:t>
      </w:r>
    </w:p>
    <w:p w:rsidR="00716BF7" w:rsidRDefault="00C851DF" w:rsidP="00716BF7">
      <w:pPr>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1</m:t>
            </m:r>
          </m:sub>
        </m:sSub>
        <m:r>
          <w:rPr>
            <w:rFonts w:ascii="Cambria Math" w:eastAsiaTheme="minorEastAsia" w:hAnsi="Cambria Math"/>
          </w:rPr>
          <m:t>=D</m:t>
        </m:r>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1</m:t>
            </m:r>
          </m:sub>
        </m:sSub>
      </m:oMath>
      <w:r w:rsidR="00716BF7">
        <w:rPr>
          <w:rFonts w:eastAsiaTheme="minorEastAsia"/>
        </w:rPr>
        <w:tab/>
      </w:r>
      <w:r w:rsidR="00716BF7">
        <w:rPr>
          <w:rFonts w:eastAsiaTheme="minorEastAsia"/>
        </w:rPr>
        <w:tab/>
      </w:r>
      <w:r w:rsidR="00716BF7">
        <w:rPr>
          <w:rFonts w:eastAsiaTheme="minorEastAsia"/>
        </w:rPr>
        <w:tab/>
      </w:r>
      <w:r w:rsidR="00716BF7">
        <w:rPr>
          <w:rFonts w:eastAsiaTheme="minorEastAsia"/>
        </w:rPr>
        <w:tab/>
      </w:r>
      <w:r w:rsidR="00716BF7">
        <w:rPr>
          <w:rFonts w:eastAsiaTheme="minorEastAsia"/>
        </w:rPr>
        <w:tab/>
        <w:t>Eq. (A.12)</w:t>
      </w:r>
    </w:p>
    <w:p w:rsidR="00716BF7" w:rsidRPr="0007175A" w:rsidRDefault="00716BF7" w:rsidP="00716BF7">
      <w:pPr>
        <w:rPr>
          <w:rFonts w:eastAsiaTheme="minorEastAsia"/>
        </w:rPr>
      </w:pPr>
      <w:proofErr w:type="gramStart"/>
      <w:r>
        <w:rPr>
          <w:rFonts w:eastAsiaTheme="minorEastAsia"/>
        </w:rPr>
        <w:t xml:space="preserve">When </w:t>
      </w:r>
      <w:proofErr w:type="gramEnd"/>
      <m:oMath>
        <m:r>
          <w:rPr>
            <w:rFonts w:ascii="Cambria Math" w:eastAsiaTheme="minorEastAsia" w:hAnsi="Cambria Math"/>
          </w:rPr>
          <m:t>n=2</m:t>
        </m:r>
      </m:oMath>
      <w:r>
        <w:rPr>
          <w:rFonts w:eastAsiaTheme="minorEastAsia"/>
        </w:rPr>
        <w:t>, Eq. A.11 becomes</w:t>
      </w:r>
    </w:p>
    <w:p w:rsidR="00716BF7" w:rsidRDefault="00C851DF" w:rsidP="00716BF7">
      <w:pPr>
        <w:jc w:val="right"/>
      </w:pPr>
      <m:oMath>
        <m:sSub>
          <m:sSubPr>
            <m:ctrlPr>
              <w:rPr>
                <w:rFonts w:ascii="Cambria Math" w:hAnsi="Cambria Math"/>
              </w:rPr>
            </m:ctrlPr>
          </m:sSubPr>
          <m:e>
            <m:r>
              <w:rPr>
                <w:rFonts w:ascii="Cambria Math" w:hAnsi="Cambria Math"/>
              </w:rPr>
              <m:t>y</m:t>
            </m:r>
          </m:e>
          <m:sub>
            <m:r>
              <w:rPr>
                <w:rFonts w:ascii="Cambria Math" w:hAnsi="Cambria Math"/>
              </w:rPr>
              <m:t>2</m:t>
            </m:r>
          </m:sub>
        </m:sSub>
        <m:r>
          <m:rPr>
            <m:sty m:val="p"/>
          </m:rPr>
          <w:rPr>
            <w:rFonts w:ascii="Cambria Math" w:hAnsi="Cambria Math"/>
          </w:rPr>
          <m:t>=</m:t>
        </m:r>
        <m:r>
          <w:rPr>
            <w:rFonts w:ascii="Cambria Math" w:hAnsi="Cambria Math"/>
          </w:rPr>
          <m:t>β</m:t>
        </m:r>
        <m:d>
          <m:dPr>
            <m:ctrlPr>
              <w:rPr>
                <w:rFonts w:ascii="Cambria Math" w:hAnsi="Cambria Math"/>
              </w:rPr>
            </m:ctrlPr>
          </m:dPr>
          <m:e>
            <m:sSub>
              <m:sSubPr>
                <m:ctrlPr>
                  <w:rPr>
                    <w:rFonts w:ascii="Cambria Math" w:hAnsi="Cambria Math"/>
                  </w:rPr>
                </m:ctrlPr>
              </m:sSubPr>
              <m:e>
                <m:r>
                  <w:rPr>
                    <w:rFonts w:ascii="Cambria Math" w:hAnsi="Cambria Math"/>
                  </w:rPr>
                  <m:t>y</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m:rPr>
                    <m:sty m:val="p"/>
                  </m:rPr>
                  <w:rPr>
                    <w:rFonts w:ascii="Cambria Math" w:hAnsi="Cambria Math"/>
                  </w:rPr>
                  <m:t>0</m:t>
                </m:r>
              </m:sub>
            </m:sSub>
          </m:e>
        </m:d>
        <m:r>
          <m:rPr>
            <m:sty m:val="p"/>
          </m:rPr>
          <w:rPr>
            <w:rFonts w:ascii="Cambria Math" w:hAnsi="Cambria Math"/>
          </w:rPr>
          <m:t>+</m:t>
        </m:r>
        <m:r>
          <w:rPr>
            <w:rFonts w:ascii="Cambria Math" w:hAnsi="Cambria Math"/>
          </w:rPr>
          <m:t>D</m:t>
        </m:r>
        <m:sSub>
          <m:sSubPr>
            <m:ctrlPr>
              <w:rPr>
                <w:rFonts w:ascii="Cambria Math" w:hAnsi="Cambria Math"/>
              </w:rPr>
            </m:ctrlPr>
          </m:sSubPr>
          <m:e>
            <m:r>
              <w:rPr>
                <w:rFonts w:ascii="Cambria Math" w:hAnsi="Cambria Math"/>
              </w:rPr>
              <m:t>x</m:t>
            </m:r>
          </m:e>
          <m:sub>
            <m:r>
              <m:rPr>
                <m:sty m:val="p"/>
              </m:rPr>
              <w:rPr>
                <w:rFonts w:ascii="Cambria Math" w:hAnsi="Cambria Math"/>
              </w:rPr>
              <m:t>1</m:t>
            </m:r>
          </m:sub>
        </m:sSub>
      </m:oMath>
      <w:r w:rsidR="00716BF7" w:rsidRPr="00091653">
        <w:t xml:space="preserve"> </w:t>
      </w:r>
      <w:r w:rsidR="00716BF7" w:rsidRPr="00091653">
        <w:tab/>
      </w:r>
      <w:r w:rsidR="00716BF7">
        <w:tab/>
      </w:r>
      <w:r w:rsidR="00716BF7">
        <w:tab/>
      </w:r>
      <w:r w:rsidR="00716BF7">
        <w:tab/>
        <w:t>Eq. (A.13</w:t>
      </w:r>
      <w:r w:rsidR="00716BF7" w:rsidRPr="00091653">
        <w:t>)</w:t>
      </w:r>
    </w:p>
    <w:p w:rsidR="00716BF7" w:rsidRDefault="00716BF7" w:rsidP="00716BF7">
      <w:pPr>
        <w:rPr>
          <w:rFonts w:eastAsiaTheme="minorEastAsia"/>
        </w:rPr>
      </w:pPr>
      <w:r>
        <w:t xml:space="preserve">Equation A.13 becomes Eq. A.14 when Eq. A.12 is substituted </w:t>
      </w:r>
      <w:proofErr w:type="gramStart"/>
      <w:r>
        <w:t xml:space="preserve">for </w:t>
      </w:r>
      <w:proofErr w:type="gramEnd"/>
      <m:oMath>
        <m:sSub>
          <m:sSubPr>
            <m:ctrlPr>
              <w:rPr>
                <w:rFonts w:ascii="Cambria Math" w:hAnsi="Cambria Math"/>
                <w:i/>
              </w:rPr>
            </m:ctrlPr>
          </m:sSubPr>
          <m:e>
            <m:r>
              <w:rPr>
                <w:rFonts w:ascii="Cambria Math" w:hAnsi="Cambria Math"/>
              </w:rPr>
              <m:t>y</m:t>
            </m:r>
          </m:e>
          <m:sub>
            <m:r>
              <w:rPr>
                <w:rFonts w:ascii="Cambria Math" w:hAnsi="Cambria Math"/>
              </w:rPr>
              <m:t>1</m:t>
            </m:r>
          </m:sub>
        </m:sSub>
      </m:oMath>
      <w:r>
        <w:rPr>
          <w:rFonts w:eastAsiaTheme="minorEastAsia"/>
        </w:rPr>
        <w:t>.</w:t>
      </w:r>
    </w:p>
    <w:p w:rsidR="00716BF7" w:rsidRDefault="00C851DF" w:rsidP="00716BF7">
      <w:pPr>
        <w:jc w:val="right"/>
      </w:pPr>
      <m:oMath>
        <m:sSub>
          <m:sSubPr>
            <m:ctrlPr>
              <w:rPr>
                <w:rFonts w:ascii="Cambria Math" w:hAnsi="Cambria Math"/>
              </w:rPr>
            </m:ctrlPr>
          </m:sSubPr>
          <m:e>
            <m:r>
              <w:rPr>
                <w:rFonts w:ascii="Cambria Math" w:hAnsi="Cambria Math"/>
              </w:rPr>
              <m:t>y</m:t>
            </m:r>
          </m:e>
          <m:sub>
            <m:r>
              <w:rPr>
                <w:rFonts w:ascii="Cambria Math" w:hAnsi="Cambria Math"/>
              </w:rPr>
              <m:t>2</m:t>
            </m:r>
          </m:sub>
        </m:sSub>
        <m:r>
          <m:rPr>
            <m:sty m:val="p"/>
          </m:rPr>
          <w:rPr>
            <w:rFonts w:ascii="Cambria Math" w:hAnsi="Cambria Math"/>
          </w:rPr>
          <m:t>=</m:t>
        </m:r>
        <m:d>
          <m:dPr>
            <m:ctrlPr>
              <w:rPr>
                <w:rFonts w:ascii="Cambria Math" w:hAnsi="Cambria Math"/>
                <w:i/>
              </w:rPr>
            </m:ctrlPr>
          </m:dPr>
          <m:e>
            <m:r>
              <w:rPr>
                <w:rFonts w:ascii="Cambria Math" w:hAnsi="Cambria Math"/>
              </w:rPr>
              <m:t>β+1</m:t>
            </m:r>
          </m:e>
        </m:d>
        <m:r>
          <w:rPr>
            <w:rFonts w:ascii="Cambria Math" w:hAnsi="Cambria Math"/>
          </w:rPr>
          <m:t>D</m:t>
        </m:r>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-β</m:t>
        </m:r>
        <m:sSub>
          <m:sSubPr>
            <m:ctrlPr>
              <w:rPr>
                <w:rFonts w:ascii="Cambria Math" w:hAnsi="Cambria Math"/>
                <w:i/>
              </w:rPr>
            </m:ctrlPr>
          </m:sSubPr>
          <m:e>
            <m:r>
              <w:rPr>
                <w:rFonts w:ascii="Cambria Math" w:hAnsi="Cambria Math"/>
              </w:rPr>
              <m:t>y</m:t>
            </m:r>
          </m:e>
          <m:sub>
            <m:r>
              <w:rPr>
                <w:rFonts w:ascii="Cambria Math" w:hAnsi="Cambria Math"/>
              </w:rPr>
              <m:t>0</m:t>
            </m:r>
          </m:sub>
        </m:sSub>
      </m:oMath>
      <w:r w:rsidR="00716BF7" w:rsidRPr="00091653">
        <w:t xml:space="preserve"> </w:t>
      </w:r>
      <w:r w:rsidR="00716BF7" w:rsidRPr="00091653">
        <w:tab/>
      </w:r>
      <w:r w:rsidR="00716BF7">
        <w:tab/>
      </w:r>
      <w:r w:rsidR="00716BF7">
        <w:tab/>
      </w:r>
      <w:r w:rsidR="00716BF7">
        <w:tab/>
        <w:t>Eq. (A.14</w:t>
      </w:r>
      <w:r w:rsidR="00716BF7" w:rsidRPr="00091653">
        <w:t>)</w:t>
      </w:r>
    </w:p>
    <w:p w:rsidR="00716BF7" w:rsidRPr="0007175A" w:rsidRDefault="00716BF7" w:rsidP="00716BF7">
      <w:pPr>
        <w:rPr>
          <w:rFonts w:eastAsiaTheme="minorEastAsia"/>
        </w:rPr>
      </w:pPr>
      <w:proofErr w:type="gramStart"/>
      <w:r>
        <w:rPr>
          <w:rFonts w:eastAsiaTheme="minorEastAsia"/>
        </w:rPr>
        <w:t xml:space="preserve">When </w:t>
      </w:r>
      <w:proofErr w:type="gramEnd"/>
      <m:oMath>
        <m:r>
          <w:rPr>
            <w:rFonts w:ascii="Cambria Math" w:eastAsiaTheme="minorEastAsia" w:hAnsi="Cambria Math"/>
          </w:rPr>
          <m:t>n=3</m:t>
        </m:r>
      </m:oMath>
      <w:r>
        <w:rPr>
          <w:rFonts w:eastAsiaTheme="minorEastAsia"/>
        </w:rPr>
        <w:t>, Eq. A.11 becomes</w:t>
      </w:r>
    </w:p>
    <w:p w:rsidR="00716BF7" w:rsidRDefault="00C851DF" w:rsidP="00716BF7">
      <w:pPr>
        <w:jc w:val="right"/>
      </w:pPr>
      <m:oMath>
        <m:sSub>
          <m:sSubPr>
            <m:ctrlPr>
              <w:rPr>
                <w:rFonts w:ascii="Cambria Math" w:hAnsi="Cambria Math"/>
              </w:rPr>
            </m:ctrlPr>
          </m:sSubPr>
          <m:e>
            <m:r>
              <w:rPr>
                <w:rFonts w:ascii="Cambria Math" w:hAnsi="Cambria Math"/>
              </w:rPr>
              <m:t>y</m:t>
            </m:r>
          </m:e>
          <m:sub>
            <m:r>
              <w:rPr>
                <w:rFonts w:ascii="Cambria Math" w:hAnsi="Cambria Math"/>
              </w:rPr>
              <m:t>3</m:t>
            </m:r>
          </m:sub>
        </m:sSub>
        <m:r>
          <m:rPr>
            <m:sty m:val="p"/>
          </m:rPr>
          <w:rPr>
            <w:rFonts w:ascii="Cambria Math" w:hAnsi="Cambria Math"/>
          </w:rPr>
          <m:t>=</m:t>
        </m:r>
        <m:r>
          <w:rPr>
            <w:rFonts w:ascii="Cambria Math" w:hAnsi="Cambria Math"/>
          </w:rPr>
          <m:t>β</m:t>
        </m:r>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m:rPr>
                    <m:sty m:val="p"/>
                  </m:rPr>
                  <w:rPr>
                    <w:rFonts w:ascii="Cambria Math" w:hAnsi="Cambria Math"/>
                  </w:rPr>
                  <m:t>0</m:t>
                </m:r>
              </m:sub>
            </m:sSub>
          </m:e>
        </m:d>
        <m:r>
          <m:rPr>
            <m:sty m:val="p"/>
          </m:rPr>
          <w:rPr>
            <w:rFonts w:ascii="Cambria Math" w:hAnsi="Cambria Math"/>
          </w:rPr>
          <m:t>+</m:t>
        </m:r>
        <m:r>
          <w:rPr>
            <w:rFonts w:ascii="Cambria Math" w:hAnsi="Cambria Math"/>
          </w:rPr>
          <m:t>D</m:t>
        </m:r>
        <m:sSub>
          <m:sSubPr>
            <m:ctrlPr>
              <w:rPr>
                <w:rFonts w:ascii="Cambria Math" w:hAnsi="Cambria Math"/>
              </w:rPr>
            </m:ctrlPr>
          </m:sSubPr>
          <m:e>
            <m:r>
              <w:rPr>
                <w:rFonts w:ascii="Cambria Math" w:hAnsi="Cambria Math"/>
              </w:rPr>
              <m:t>x</m:t>
            </m:r>
          </m:e>
          <m:sub>
            <m:r>
              <m:rPr>
                <m:sty m:val="p"/>
              </m:rPr>
              <w:rPr>
                <w:rFonts w:ascii="Cambria Math" w:hAnsi="Cambria Math"/>
              </w:rPr>
              <m:t>1</m:t>
            </m:r>
          </m:sub>
        </m:sSub>
      </m:oMath>
      <w:r w:rsidR="00716BF7" w:rsidRPr="00091653">
        <w:t xml:space="preserve"> </w:t>
      </w:r>
      <w:r w:rsidR="00716BF7" w:rsidRPr="00091653">
        <w:tab/>
      </w:r>
      <w:r w:rsidR="00716BF7">
        <w:tab/>
      </w:r>
      <w:r w:rsidR="00716BF7">
        <w:tab/>
      </w:r>
      <w:r w:rsidR="00716BF7">
        <w:tab/>
        <w:t>Eq. (A.15</w:t>
      </w:r>
      <w:r w:rsidR="00716BF7" w:rsidRPr="00091653">
        <w:t>)</w:t>
      </w:r>
    </w:p>
    <w:p w:rsidR="00716BF7" w:rsidRDefault="00716BF7" w:rsidP="00716BF7">
      <w:pPr>
        <w:rPr>
          <w:rFonts w:eastAsiaTheme="minorEastAsia"/>
        </w:rPr>
      </w:pPr>
      <w:r>
        <w:t xml:space="preserve">Equation A.15 becomes Eq. A.16 when Eq. A.14 is substituted </w:t>
      </w:r>
      <w:proofErr w:type="gramStart"/>
      <w:r>
        <w:t xml:space="preserve">for </w:t>
      </w:r>
      <w:proofErr w:type="gramEnd"/>
      <m:oMath>
        <m:sSub>
          <m:sSubPr>
            <m:ctrlPr>
              <w:rPr>
                <w:rFonts w:ascii="Cambria Math" w:hAnsi="Cambria Math"/>
                <w:i/>
              </w:rPr>
            </m:ctrlPr>
          </m:sSubPr>
          <m:e>
            <m:r>
              <w:rPr>
                <w:rFonts w:ascii="Cambria Math" w:hAnsi="Cambria Math"/>
              </w:rPr>
              <m:t>y</m:t>
            </m:r>
          </m:e>
          <m:sub>
            <m:r>
              <w:rPr>
                <w:rFonts w:ascii="Cambria Math" w:hAnsi="Cambria Math"/>
              </w:rPr>
              <m:t>2</m:t>
            </m:r>
          </m:sub>
        </m:sSub>
      </m:oMath>
      <w:r>
        <w:rPr>
          <w:rFonts w:eastAsiaTheme="minorEastAsia"/>
        </w:rPr>
        <w:t>.</w:t>
      </w:r>
    </w:p>
    <w:p w:rsidR="00716BF7" w:rsidRDefault="00C851DF" w:rsidP="00716BF7">
      <w:pPr>
        <w:jc w:val="right"/>
      </w:pPr>
      <m:oMath>
        <m:sSub>
          <m:sSubPr>
            <m:ctrlPr>
              <w:rPr>
                <w:rFonts w:ascii="Cambria Math" w:hAnsi="Cambria Math"/>
              </w:rPr>
            </m:ctrlPr>
          </m:sSubPr>
          <m:e>
            <m:r>
              <w:rPr>
                <w:rFonts w:ascii="Cambria Math" w:hAnsi="Cambria Math"/>
              </w:rPr>
              <m:t>y</m:t>
            </m:r>
          </m:e>
          <m:sub>
            <m:r>
              <w:rPr>
                <w:rFonts w:ascii="Cambria Math" w:hAnsi="Cambria Math"/>
              </w:rPr>
              <m:t>3</m:t>
            </m:r>
          </m:sub>
        </m:sSub>
        <m:r>
          <m:rPr>
            <m:sty m:val="p"/>
          </m:rPr>
          <w:rPr>
            <w:rFonts w:ascii="Cambria Math" w:hAnsi="Cambria Math"/>
          </w:rPr>
          <m:t>=</m:t>
        </m:r>
        <m:d>
          <m:dPr>
            <m:ctrlPr>
              <w:rPr>
                <w:rFonts w:ascii="Cambria Math" w:hAnsi="Cambria Math"/>
                <w:i/>
              </w:rPr>
            </m:ctrlPr>
          </m:dPr>
          <m:e>
            <m:r>
              <w:rPr>
                <w:rFonts w:ascii="Cambria Math" w:hAnsi="Cambria Math"/>
              </w:rPr>
              <m:t>1+β+</m:t>
            </m:r>
            <m:sSup>
              <m:sSupPr>
                <m:ctrlPr>
                  <w:rPr>
                    <w:rFonts w:ascii="Cambria Math" w:hAnsi="Cambria Math"/>
                    <w:i/>
                  </w:rPr>
                </m:ctrlPr>
              </m:sSupPr>
              <m:e>
                <m:r>
                  <w:rPr>
                    <w:rFonts w:ascii="Cambria Math" w:hAnsi="Cambria Math"/>
                  </w:rPr>
                  <m:t>β</m:t>
                </m:r>
              </m:e>
              <m:sup>
                <m:r>
                  <w:rPr>
                    <w:rFonts w:ascii="Cambria Math" w:hAnsi="Cambria Math"/>
                  </w:rPr>
                  <m:t>2</m:t>
                </m:r>
              </m:sup>
            </m:sSup>
          </m:e>
        </m:d>
        <m:r>
          <w:rPr>
            <w:rFonts w:ascii="Cambria Math" w:hAnsi="Cambria Math"/>
          </w:rPr>
          <m:t>D</m:t>
        </m:r>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d>
          <m:dPr>
            <m:ctrlPr>
              <w:rPr>
                <w:rFonts w:ascii="Cambria Math" w:hAnsi="Cambria Math"/>
                <w:i/>
              </w:rPr>
            </m:ctrlPr>
          </m:dPr>
          <m:e>
            <m:r>
              <w:rPr>
                <w:rFonts w:ascii="Cambria Math" w:hAnsi="Cambria Math"/>
              </w:rPr>
              <m:t>β+</m:t>
            </m:r>
            <m:sSup>
              <m:sSupPr>
                <m:ctrlPr>
                  <w:rPr>
                    <w:rFonts w:ascii="Cambria Math" w:hAnsi="Cambria Math"/>
                    <w:i/>
                  </w:rPr>
                </m:ctrlPr>
              </m:sSupPr>
              <m:e>
                <m:r>
                  <w:rPr>
                    <w:rFonts w:ascii="Cambria Math" w:hAnsi="Cambria Math"/>
                  </w:rPr>
                  <m:t>β</m:t>
                </m:r>
              </m:e>
              <m:sup>
                <m:r>
                  <w:rPr>
                    <w:rFonts w:ascii="Cambria Math" w:hAnsi="Cambria Math"/>
                  </w:rPr>
                  <m:t>2</m:t>
                </m:r>
              </m:sup>
            </m:sSup>
          </m:e>
        </m:d>
        <m:sSub>
          <m:sSubPr>
            <m:ctrlPr>
              <w:rPr>
                <w:rFonts w:ascii="Cambria Math" w:hAnsi="Cambria Math"/>
                <w:i/>
              </w:rPr>
            </m:ctrlPr>
          </m:sSubPr>
          <m:e>
            <m:r>
              <w:rPr>
                <w:rFonts w:ascii="Cambria Math" w:hAnsi="Cambria Math"/>
              </w:rPr>
              <m:t>y</m:t>
            </m:r>
          </m:e>
          <m:sub>
            <m:r>
              <w:rPr>
                <w:rFonts w:ascii="Cambria Math" w:hAnsi="Cambria Math"/>
              </w:rPr>
              <m:t>0</m:t>
            </m:r>
          </m:sub>
        </m:sSub>
      </m:oMath>
      <w:r w:rsidR="00716BF7" w:rsidRPr="00091653">
        <w:t xml:space="preserve"> </w:t>
      </w:r>
      <w:r w:rsidR="00716BF7" w:rsidRPr="00091653">
        <w:tab/>
      </w:r>
      <w:r w:rsidR="00716BF7">
        <w:tab/>
      </w:r>
      <w:r w:rsidR="00716BF7">
        <w:tab/>
      </w:r>
      <w:r w:rsidR="00716BF7">
        <w:tab/>
        <w:t>Eq. (A.16</w:t>
      </w:r>
      <w:r w:rsidR="00716BF7" w:rsidRPr="00091653">
        <w:t>)</w:t>
      </w:r>
    </w:p>
    <w:p w:rsidR="00716BF7" w:rsidRDefault="00716BF7" w:rsidP="00716BF7">
      <w:pPr>
        <w:rPr>
          <w:rFonts w:eastAsiaTheme="minorEastAsia"/>
        </w:rPr>
      </w:pPr>
      <w:r>
        <w:t xml:space="preserve">Continuing in this way to </w:t>
      </w:r>
      <w:proofErr w:type="gramStart"/>
      <w:r>
        <w:t xml:space="preserve">stage </w:t>
      </w:r>
      <w:proofErr w:type="gramEnd"/>
      <m:oMath>
        <m:r>
          <w:rPr>
            <w:rFonts w:ascii="Cambria Math" w:hAnsi="Cambria Math"/>
          </w:rPr>
          <m:t>N</m:t>
        </m:r>
      </m:oMath>
      <w:r>
        <w:rPr>
          <w:rFonts w:eastAsiaTheme="minorEastAsia"/>
        </w:rPr>
        <w:t>, Eq. A.17 is obtained.</w:t>
      </w:r>
    </w:p>
    <w:p w:rsidR="00716BF7" w:rsidRDefault="00C851DF" w:rsidP="00716BF7">
      <w:pPr>
        <w:jc w:val="right"/>
      </w:pPr>
      <m:oMath>
        <m:sSub>
          <m:sSubPr>
            <m:ctrlPr>
              <w:rPr>
                <w:rFonts w:ascii="Cambria Math" w:hAnsi="Cambria Math"/>
              </w:rPr>
            </m:ctrlPr>
          </m:sSubPr>
          <m:e>
            <m:r>
              <w:rPr>
                <w:rFonts w:ascii="Cambria Math" w:hAnsi="Cambria Math"/>
              </w:rPr>
              <m:t>y</m:t>
            </m:r>
          </m:e>
          <m:sub>
            <m:r>
              <w:rPr>
                <w:rFonts w:ascii="Cambria Math" w:hAnsi="Cambria Math"/>
              </w:rPr>
              <m:t>N</m:t>
            </m:r>
          </m:sub>
        </m:sSub>
        <m:r>
          <m:rPr>
            <m:sty m:val="p"/>
          </m:rPr>
          <w:rPr>
            <w:rFonts w:ascii="Cambria Math" w:hAnsi="Cambria Math"/>
          </w:rPr>
          <m:t>=</m:t>
        </m:r>
        <m:d>
          <m:dPr>
            <m:ctrlPr>
              <w:rPr>
                <w:rFonts w:ascii="Cambria Math" w:hAnsi="Cambria Math"/>
                <w:i/>
              </w:rPr>
            </m:ctrlPr>
          </m:dPr>
          <m:e>
            <m:r>
              <w:rPr>
                <w:rFonts w:ascii="Cambria Math" w:hAnsi="Cambria Math"/>
              </w:rPr>
              <m:t>1+β+</m:t>
            </m:r>
            <m:sSup>
              <m:sSupPr>
                <m:ctrlPr>
                  <w:rPr>
                    <w:rFonts w:ascii="Cambria Math" w:hAnsi="Cambria Math"/>
                    <w:i/>
                  </w:rPr>
                </m:ctrlPr>
              </m:sSupPr>
              <m:e>
                <m:r>
                  <w:rPr>
                    <w:rFonts w:ascii="Cambria Math" w:hAnsi="Cambria Math"/>
                  </w:rPr>
                  <m:t>…+β</m:t>
                </m:r>
              </m:e>
              <m:sup>
                <m:r>
                  <w:rPr>
                    <w:rFonts w:ascii="Cambria Math" w:hAnsi="Cambria Math"/>
                  </w:rPr>
                  <m:t>N-1</m:t>
                </m:r>
              </m:sup>
            </m:sSup>
          </m:e>
        </m:d>
        <m:r>
          <w:rPr>
            <w:rFonts w:ascii="Cambria Math" w:hAnsi="Cambria Math"/>
          </w:rPr>
          <m:t>D</m:t>
        </m:r>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d>
          <m:dPr>
            <m:ctrlPr>
              <w:rPr>
                <w:rFonts w:ascii="Cambria Math" w:hAnsi="Cambria Math"/>
                <w:i/>
              </w:rPr>
            </m:ctrlPr>
          </m:dPr>
          <m:e>
            <m:r>
              <w:rPr>
                <w:rFonts w:ascii="Cambria Math" w:hAnsi="Cambria Math"/>
              </w:rPr>
              <m:t>β+…+</m:t>
            </m:r>
            <m:sSup>
              <m:sSupPr>
                <m:ctrlPr>
                  <w:rPr>
                    <w:rFonts w:ascii="Cambria Math" w:hAnsi="Cambria Math"/>
                    <w:i/>
                  </w:rPr>
                </m:ctrlPr>
              </m:sSupPr>
              <m:e>
                <m:r>
                  <w:rPr>
                    <w:rFonts w:ascii="Cambria Math" w:hAnsi="Cambria Math"/>
                  </w:rPr>
                  <m:t>β</m:t>
                </m:r>
              </m:e>
              <m:sup>
                <m:r>
                  <w:rPr>
                    <w:rFonts w:ascii="Cambria Math" w:hAnsi="Cambria Math"/>
                  </w:rPr>
                  <m:t>N-1</m:t>
                </m:r>
              </m:sup>
            </m:sSup>
          </m:e>
        </m:d>
        <m:sSub>
          <m:sSubPr>
            <m:ctrlPr>
              <w:rPr>
                <w:rFonts w:ascii="Cambria Math" w:hAnsi="Cambria Math"/>
                <w:i/>
              </w:rPr>
            </m:ctrlPr>
          </m:sSubPr>
          <m:e>
            <m:r>
              <w:rPr>
                <w:rFonts w:ascii="Cambria Math" w:hAnsi="Cambria Math"/>
              </w:rPr>
              <m:t>y</m:t>
            </m:r>
          </m:e>
          <m:sub>
            <m:r>
              <w:rPr>
                <w:rFonts w:ascii="Cambria Math" w:hAnsi="Cambria Math"/>
              </w:rPr>
              <m:t>0</m:t>
            </m:r>
          </m:sub>
        </m:sSub>
      </m:oMath>
      <w:r w:rsidR="00716BF7" w:rsidRPr="00091653">
        <w:t xml:space="preserve"> </w:t>
      </w:r>
      <w:r w:rsidR="00716BF7" w:rsidRPr="00091653">
        <w:tab/>
      </w:r>
      <w:r w:rsidR="00716BF7">
        <w:tab/>
      </w:r>
      <w:r w:rsidR="00716BF7">
        <w:tab/>
        <w:t>Eq. (A.17</w:t>
      </w:r>
      <w:r w:rsidR="00716BF7" w:rsidRPr="00091653">
        <w:t>)</w:t>
      </w:r>
    </w:p>
    <w:p w:rsidR="00716BF7" w:rsidRDefault="00716BF7" w:rsidP="00716BF7">
      <w:proofErr w:type="gramStart"/>
      <w:r>
        <w:t>Combining the series in Eq. A.17 yields Eq. A.18.</w:t>
      </w:r>
      <w:proofErr w:type="gramEnd"/>
    </w:p>
    <w:p w:rsidR="00716BF7" w:rsidRDefault="00C851DF" w:rsidP="00716BF7">
      <w:pPr>
        <w:jc w:val="right"/>
      </w:pPr>
      <m:oMath>
        <m:sSub>
          <m:sSubPr>
            <m:ctrlPr>
              <w:rPr>
                <w:rFonts w:ascii="Cambria Math" w:hAnsi="Cambria Math"/>
              </w:rPr>
            </m:ctrlPr>
          </m:sSubPr>
          <m:e>
            <m:r>
              <w:rPr>
                <w:rFonts w:ascii="Cambria Math" w:hAnsi="Cambria Math"/>
              </w:rPr>
              <m:t>y</m:t>
            </m:r>
          </m:e>
          <m:sub>
            <m:r>
              <w:rPr>
                <w:rFonts w:ascii="Cambria Math" w:hAnsi="Cambria Math"/>
              </w:rPr>
              <m:t>N</m:t>
            </m:r>
          </m:sub>
        </m:sSub>
        <m:r>
          <m:rPr>
            <m:sty m:val="p"/>
          </m:rPr>
          <w:rPr>
            <w:rFonts w:ascii="Cambria Math" w:hAnsi="Cambria Math"/>
          </w:rPr>
          <m:t>=</m:t>
        </m:r>
        <m:d>
          <m:dPr>
            <m:ctrlPr>
              <w:rPr>
                <w:rFonts w:ascii="Cambria Math" w:hAnsi="Cambria Math"/>
                <w:i/>
              </w:rPr>
            </m:ctrlPr>
          </m:dPr>
          <m:e>
            <m:r>
              <w:rPr>
                <w:rFonts w:ascii="Cambria Math" w:hAnsi="Cambria Math"/>
              </w:rPr>
              <m:t>1+β+</m:t>
            </m:r>
            <m:sSup>
              <m:sSupPr>
                <m:ctrlPr>
                  <w:rPr>
                    <w:rFonts w:ascii="Cambria Math" w:hAnsi="Cambria Math"/>
                    <w:i/>
                  </w:rPr>
                </m:ctrlPr>
              </m:sSupPr>
              <m:e>
                <m:r>
                  <w:rPr>
                    <w:rFonts w:ascii="Cambria Math" w:hAnsi="Cambria Math"/>
                  </w:rPr>
                  <m:t>…+β</m:t>
                </m:r>
              </m:e>
              <m:sup>
                <m:r>
                  <w:rPr>
                    <w:rFonts w:ascii="Cambria Math" w:hAnsi="Cambria Math"/>
                  </w:rPr>
                  <m:t>N-1</m:t>
                </m:r>
              </m:sup>
            </m:sSup>
          </m:e>
        </m:d>
        <m:d>
          <m:dPr>
            <m:ctrlPr>
              <w:rPr>
                <w:rFonts w:ascii="Cambria Math" w:hAnsi="Cambria Math"/>
                <w:i/>
              </w:rPr>
            </m:ctrlPr>
          </m:dPr>
          <m:e>
            <m:r>
              <w:rPr>
                <w:rFonts w:ascii="Cambria Math" w:hAnsi="Cambria Math"/>
              </w:rPr>
              <m:t>D</m:t>
            </m:r>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0</m:t>
                </m:r>
              </m:sub>
            </m:sSub>
          </m:e>
        </m:d>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0</m:t>
            </m:r>
          </m:sub>
        </m:sSub>
      </m:oMath>
      <w:r w:rsidR="00716BF7" w:rsidRPr="00091653">
        <w:t xml:space="preserve"> </w:t>
      </w:r>
      <w:r w:rsidR="00716BF7" w:rsidRPr="00091653">
        <w:tab/>
      </w:r>
      <w:r w:rsidR="00716BF7">
        <w:tab/>
      </w:r>
      <w:r w:rsidR="00716BF7">
        <w:tab/>
        <w:t>Eq. (A.18</w:t>
      </w:r>
      <w:r w:rsidR="00716BF7" w:rsidRPr="00091653">
        <w:t>)</w:t>
      </w:r>
    </w:p>
    <w:p w:rsidR="00716BF7" w:rsidRDefault="00716BF7" w:rsidP="00716BF7">
      <w:r>
        <w:t>The series in Eq. A.18 is a geometric series which can be written as shown in Eq. A.19.</w:t>
      </w:r>
    </w:p>
    <w:p w:rsidR="00716BF7" w:rsidRDefault="00716BF7" w:rsidP="00716BF7">
      <w:pPr>
        <w:jc w:val="right"/>
        <w:rPr>
          <w:rFonts w:eastAsiaTheme="minorEastAsia"/>
        </w:rPr>
      </w:pPr>
      <m:oMath>
        <m:r>
          <w:rPr>
            <w:rFonts w:ascii="Cambria Math" w:hAnsi="Cambria Math"/>
          </w:rPr>
          <m:t>1+β+</m:t>
        </m:r>
        <m:sSup>
          <m:sSupPr>
            <m:ctrlPr>
              <w:rPr>
                <w:rFonts w:ascii="Cambria Math" w:hAnsi="Cambria Math"/>
                <w:i/>
              </w:rPr>
            </m:ctrlPr>
          </m:sSupPr>
          <m:e>
            <m:r>
              <w:rPr>
                <w:rFonts w:ascii="Cambria Math" w:hAnsi="Cambria Math"/>
              </w:rPr>
              <m:t>…+β</m:t>
            </m:r>
          </m:e>
          <m:sup>
            <m:r>
              <w:rPr>
                <w:rFonts w:ascii="Cambria Math" w:hAnsi="Cambria Math"/>
              </w:rPr>
              <m:t>N-1</m:t>
            </m:r>
          </m:sup>
        </m:sSup>
        <m:r>
          <w:rPr>
            <w:rFonts w:ascii="Cambria Math" w:hAnsi="Cambria Math"/>
          </w:rPr>
          <m:t>=</m:t>
        </m:r>
        <m:f>
          <m:fPr>
            <m:ctrlPr>
              <w:rPr>
                <w:rFonts w:ascii="Cambria Math" w:hAnsi="Cambria Math"/>
                <w:i/>
              </w:rPr>
            </m:ctrlPr>
          </m:fPr>
          <m:num>
            <m:r>
              <w:rPr>
                <w:rFonts w:ascii="Cambria Math" w:hAnsi="Cambria Math"/>
              </w:rPr>
              <m:t>1-</m:t>
            </m:r>
            <m:sSup>
              <m:sSupPr>
                <m:ctrlPr>
                  <w:rPr>
                    <w:rFonts w:ascii="Cambria Math" w:hAnsi="Cambria Math"/>
                    <w:i/>
                  </w:rPr>
                </m:ctrlPr>
              </m:sSupPr>
              <m:e>
                <m:r>
                  <w:rPr>
                    <w:rFonts w:ascii="Cambria Math" w:hAnsi="Cambria Math"/>
                  </w:rPr>
                  <m:t>β</m:t>
                </m:r>
              </m:e>
              <m:sup>
                <m:r>
                  <w:rPr>
                    <w:rFonts w:ascii="Cambria Math" w:hAnsi="Cambria Math"/>
                  </w:rPr>
                  <m:t>N</m:t>
                </m:r>
              </m:sup>
            </m:sSup>
          </m:num>
          <m:den>
            <m:r>
              <w:rPr>
                <w:rFonts w:ascii="Cambria Math" w:hAnsi="Cambria Math"/>
              </w:rPr>
              <m:t>1-β</m:t>
            </m:r>
          </m:den>
        </m:f>
      </m:oMath>
      <w:r>
        <w:rPr>
          <w:rFonts w:eastAsiaTheme="minorEastAsia"/>
        </w:rPr>
        <w:tab/>
      </w:r>
      <w:r>
        <w:rPr>
          <w:rFonts w:eastAsiaTheme="minorEastAsia"/>
        </w:rPr>
        <w:tab/>
      </w:r>
      <w:r>
        <w:rPr>
          <w:rFonts w:eastAsiaTheme="minorEastAsia"/>
        </w:rPr>
        <w:tab/>
      </w:r>
      <w:r>
        <w:rPr>
          <w:rFonts w:eastAsiaTheme="minorEastAsia"/>
        </w:rPr>
        <w:tab/>
        <w:t>Eq. (A.19)</w:t>
      </w:r>
    </w:p>
    <w:p w:rsidR="00716BF7" w:rsidRDefault="00716BF7" w:rsidP="00716BF7">
      <w:pPr>
        <w:rPr>
          <w:rFonts w:eastAsiaTheme="minorEastAsia"/>
        </w:rPr>
      </w:pPr>
      <w:r>
        <w:rPr>
          <w:rFonts w:eastAsiaTheme="minorEastAsia"/>
        </w:rPr>
        <w:t xml:space="preserve">Substituting Eq. A.19 into Eq. A.18 and multiplying top and bottom by </w:t>
      </w:r>
      <m:oMath>
        <m:d>
          <m:dPr>
            <m:ctrlPr>
              <w:rPr>
                <w:rFonts w:ascii="Cambria Math" w:eastAsiaTheme="minorEastAsia" w:hAnsi="Cambria Math"/>
                <w:i/>
              </w:rPr>
            </m:ctrlPr>
          </m:dPr>
          <m:e>
            <m:r>
              <w:rPr>
                <w:rFonts w:ascii="Cambria Math" w:eastAsiaTheme="minorEastAsia" w:hAnsi="Cambria Math"/>
              </w:rPr>
              <m:t>β-1</m:t>
            </m:r>
          </m:e>
        </m:d>
      </m:oMath>
      <w:r>
        <w:rPr>
          <w:rFonts w:eastAsiaTheme="minorEastAsia"/>
        </w:rPr>
        <w:t xml:space="preserve"> gives Eq. A.20 which is a form of the Kremser equation.</w:t>
      </w:r>
    </w:p>
    <w:p w:rsidR="00716BF7" w:rsidRDefault="00C851DF" w:rsidP="00716BF7">
      <w:pPr>
        <w:jc w:val="right"/>
      </w:pPr>
      <m:oMath>
        <m:sSub>
          <m:sSubPr>
            <m:ctrlPr>
              <w:rPr>
                <w:rFonts w:ascii="Cambria Math" w:hAnsi="Cambria Math"/>
              </w:rPr>
            </m:ctrlPr>
          </m:sSubPr>
          <m:e>
            <m:r>
              <w:rPr>
                <w:rFonts w:ascii="Cambria Math" w:hAnsi="Cambria Math"/>
              </w:rPr>
              <m:t>y</m:t>
            </m:r>
          </m:e>
          <m:sub>
            <m:r>
              <w:rPr>
                <w:rFonts w:ascii="Cambria Math" w:hAnsi="Cambria Math"/>
              </w:rPr>
              <m:t>N</m:t>
            </m:r>
          </m:sub>
        </m:sSub>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β</m:t>
                </m:r>
              </m:e>
              <m:sup>
                <m:r>
                  <w:rPr>
                    <w:rFonts w:ascii="Cambria Math" w:hAnsi="Cambria Math"/>
                  </w:rPr>
                  <m:t>N</m:t>
                </m:r>
              </m:sup>
            </m:sSup>
            <m:r>
              <m:rPr>
                <m:sty m:val="p"/>
              </m:rPr>
              <w:rPr>
                <w:rFonts w:ascii="Cambria Math" w:hAnsi="Cambria Math"/>
              </w:rPr>
              <m:t>-1</m:t>
            </m:r>
          </m:num>
          <m:den>
            <m:r>
              <w:rPr>
                <w:rFonts w:ascii="Cambria Math" w:hAnsi="Cambria Math"/>
              </w:rPr>
              <m:t>β</m:t>
            </m:r>
            <m:r>
              <m:rPr>
                <m:sty m:val="p"/>
              </m:rPr>
              <w:rPr>
                <w:rFonts w:ascii="Cambria Math" w:hAnsi="Cambria Math"/>
              </w:rPr>
              <m:t>-1</m:t>
            </m:r>
          </m:den>
        </m:f>
        <m:d>
          <m:dPr>
            <m:ctrlPr>
              <w:rPr>
                <w:rFonts w:ascii="Cambria Math" w:hAnsi="Cambria Math"/>
              </w:rPr>
            </m:ctrlPr>
          </m:dPr>
          <m:e>
            <m:r>
              <w:rPr>
                <w:rFonts w:ascii="Cambria Math" w:hAnsi="Cambria Math"/>
              </w:rPr>
              <m:t>D</m:t>
            </m:r>
            <m:sSub>
              <m:sSubPr>
                <m:ctrlPr>
                  <w:rPr>
                    <w:rFonts w:ascii="Cambria Math" w:hAnsi="Cambria Math"/>
                  </w:rPr>
                </m:ctrlPr>
              </m:sSubPr>
              <m:e>
                <m:r>
                  <w:rPr>
                    <w:rFonts w:ascii="Cambria Math" w:hAnsi="Cambria Math"/>
                  </w:rPr>
                  <m:t>x</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m:rPr>
                    <m:sty m:val="p"/>
                  </m:rPr>
                  <w:rPr>
                    <w:rFonts w:ascii="Cambria Math" w:hAnsi="Cambria Math"/>
                  </w:rPr>
                  <m:t>0</m:t>
                </m:r>
              </m:sub>
            </m:sSub>
          </m:e>
        </m:d>
        <m:r>
          <m:rPr>
            <m:sty m:val="p"/>
          </m:rPr>
          <w:rPr>
            <w:rFonts w:ascii="Cambria Math" w:hAnsi="Cambria Math"/>
          </w:rPr>
          <m:t>+</m:t>
        </m:r>
        <m:sSub>
          <m:sSubPr>
            <m:ctrlPr>
              <w:rPr>
                <w:rFonts w:ascii="Cambria Math" w:hAnsi="Cambria Math"/>
              </w:rPr>
            </m:ctrlPr>
          </m:sSubPr>
          <m:e>
            <m:r>
              <w:rPr>
                <w:rFonts w:ascii="Cambria Math" w:hAnsi="Cambria Math"/>
              </w:rPr>
              <m:t>y</m:t>
            </m:r>
          </m:e>
          <m:sub>
            <m:r>
              <m:rPr>
                <m:sty m:val="p"/>
              </m:rPr>
              <w:rPr>
                <w:rFonts w:ascii="Cambria Math" w:hAnsi="Cambria Math"/>
              </w:rPr>
              <m:t>0</m:t>
            </m:r>
          </m:sub>
        </m:sSub>
      </m:oMath>
      <w:r w:rsidR="00716BF7" w:rsidRPr="003B0783">
        <w:t xml:space="preserve"> </w:t>
      </w:r>
      <w:r w:rsidR="00716BF7" w:rsidRPr="003B0783">
        <w:tab/>
      </w:r>
      <w:r w:rsidR="00716BF7" w:rsidRPr="003B0783">
        <w:tab/>
      </w:r>
      <w:r w:rsidR="00716BF7">
        <w:tab/>
      </w:r>
      <w:r w:rsidR="00716BF7">
        <w:tab/>
        <w:t>Eq. (A.20</w:t>
      </w:r>
      <w:r w:rsidR="00716BF7" w:rsidRPr="003B0783">
        <w:t>)</w:t>
      </w:r>
    </w:p>
    <w:p w:rsidR="006528A9" w:rsidRDefault="006528A9" w:rsidP="006528A9"/>
    <w:p w:rsidR="006528A9" w:rsidRDefault="006528A9" w:rsidP="006528A9"/>
    <w:p w:rsidR="007E61E6" w:rsidRDefault="007E61E6" w:rsidP="006528A9"/>
    <w:p w:rsidR="007E61E6" w:rsidRDefault="007E61E6" w:rsidP="006528A9">
      <w:pPr>
        <w:sectPr w:rsidR="007E61E6" w:rsidSect="00696884">
          <w:pgSz w:w="12240" w:h="15840"/>
          <w:pgMar w:top="1440" w:right="1440" w:bottom="1440" w:left="1440" w:header="1440" w:footer="1440" w:gutter="0"/>
          <w:cols w:space="720"/>
          <w:docGrid w:linePitch="360"/>
        </w:sectPr>
      </w:pPr>
    </w:p>
    <w:p w:rsidR="00AD46F7" w:rsidRDefault="00AD46F7" w:rsidP="00AD46F7">
      <w:pPr>
        <w:jc w:val="center"/>
        <w:rPr>
          <w:rFonts w:asciiTheme="majorHAnsi" w:hAnsiTheme="majorHAnsi"/>
          <w:b/>
          <w:caps/>
        </w:rPr>
      </w:pPr>
      <w:r w:rsidRPr="00AD46F7">
        <w:rPr>
          <w:rFonts w:asciiTheme="majorHAnsi" w:hAnsiTheme="majorHAnsi"/>
          <w:b/>
          <w:caps/>
        </w:rPr>
        <w:lastRenderedPageBreak/>
        <w:t>Vita</w:t>
      </w:r>
    </w:p>
    <w:p w:rsidR="00AD46F7" w:rsidRPr="00040D53" w:rsidRDefault="00AD46F7" w:rsidP="00040D53"/>
    <w:p w:rsidR="00040D53" w:rsidRPr="00040D53" w:rsidRDefault="00040D53" w:rsidP="00040D53">
      <w:r w:rsidRPr="00040D53">
        <w:t>Jennifer LeAnn Ladd</w:t>
      </w:r>
      <w:r>
        <w:t>-Lively</w:t>
      </w:r>
      <w:r w:rsidRPr="00040D53">
        <w:t xml:space="preserve"> wa</w:t>
      </w:r>
      <w:r>
        <w:t>s born in Knoxville, Tennessee</w:t>
      </w:r>
      <w:r w:rsidRPr="00040D53">
        <w:t xml:space="preserve"> on February 25, 1980</w:t>
      </w:r>
      <w:r>
        <w:t xml:space="preserve"> to John and Edith Ladd</w:t>
      </w:r>
      <w:r w:rsidR="008E6F8C">
        <w:t xml:space="preserve">. </w:t>
      </w:r>
      <w:r w:rsidRPr="00040D53">
        <w:t>Sh</w:t>
      </w:r>
      <w:r>
        <w:t xml:space="preserve">e was raised in Roane County, Tennessee. </w:t>
      </w:r>
      <w:r w:rsidRPr="00040D53">
        <w:t xml:space="preserve">Jennifer graduated as valedictorian from Oliver Springs High School in </w:t>
      </w:r>
      <w:r>
        <w:t xml:space="preserve">May </w:t>
      </w:r>
      <w:r w:rsidRPr="00040D53">
        <w:t>1998</w:t>
      </w:r>
      <w:r w:rsidR="008E6F8C">
        <w:t xml:space="preserve">. </w:t>
      </w:r>
      <w:r w:rsidRPr="00040D53">
        <w:t>From there, she received an A</w:t>
      </w:r>
      <w:r>
        <w:t>ssociate of Science</w:t>
      </w:r>
      <w:r w:rsidRPr="00040D53">
        <w:t xml:space="preserve"> in Chemical Engineering from Roane State Community College in </w:t>
      </w:r>
      <w:r w:rsidR="000E58A4">
        <w:t xml:space="preserve">May </w:t>
      </w:r>
      <w:r w:rsidRPr="00040D53">
        <w:t>2000</w:t>
      </w:r>
      <w:r w:rsidR="008E6F8C">
        <w:t xml:space="preserve">. </w:t>
      </w:r>
      <w:r w:rsidRPr="00040D53">
        <w:t>After receiving her</w:t>
      </w:r>
      <w:r>
        <w:t xml:space="preserve"> A.S.</w:t>
      </w:r>
      <w:r w:rsidRPr="00040D53">
        <w:t xml:space="preserve">, Jennifer transferred to Tennessee Technological University </w:t>
      </w:r>
      <w:r>
        <w:t xml:space="preserve">(TTU) </w:t>
      </w:r>
      <w:r w:rsidRPr="00040D53">
        <w:t>in Cookeville, T</w:t>
      </w:r>
      <w:r>
        <w:t>ennessee</w:t>
      </w:r>
      <w:r w:rsidRPr="00040D53">
        <w:t xml:space="preserve"> where she received a B</w:t>
      </w:r>
      <w:r>
        <w:t>achelor of Science</w:t>
      </w:r>
      <w:r w:rsidRPr="00040D53">
        <w:t xml:space="preserve"> in Chemical Engineering in </w:t>
      </w:r>
      <w:r w:rsidR="000E58A4">
        <w:t xml:space="preserve">May </w:t>
      </w:r>
      <w:r w:rsidRPr="00040D53">
        <w:t>2002 with a minor in chemistry and mathematics</w:t>
      </w:r>
      <w:r w:rsidR="008E6F8C">
        <w:t xml:space="preserve">. </w:t>
      </w:r>
      <w:r w:rsidRPr="00040D53">
        <w:t>Immediately</w:t>
      </w:r>
      <w:r>
        <w:t xml:space="preserve"> </w:t>
      </w:r>
      <w:r w:rsidRPr="00040D53">
        <w:t xml:space="preserve">after graduating, </w:t>
      </w:r>
      <w:r>
        <w:t>s</w:t>
      </w:r>
      <w:r w:rsidRPr="00040D53">
        <w:t>h</w:t>
      </w:r>
      <w:r>
        <w:t xml:space="preserve">e entered graduate school at the </w:t>
      </w:r>
      <w:r w:rsidRPr="00040D53">
        <w:t>University of Tennessee</w:t>
      </w:r>
      <w:r>
        <w:t xml:space="preserve"> (UTK) in </w:t>
      </w:r>
      <w:r w:rsidRPr="00040D53">
        <w:t>Knoxville</w:t>
      </w:r>
      <w:r>
        <w:t>, Tennessee. S</w:t>
      </w:r>
      <w:r w:rsidRPr="00040D53">
        <w:t xml:space="preserve">he </w:t>
      </w:r>
      <w:r>
        <w:t>was awarded a</w:t>
      </w:r>
      <w:r w:rsidRPr="00040D53">
        <w:t xml:space="preserve"> graduate fellowship from the U</w:t>
      </w:r>
      <w:r>
        <w:t>nited States Department of Energy Advanced Fuel Cycle Initiative (</w:t>
      </w:r>
      <w:r w:rsidRPr="00040D53">
        <w:t>AFCI</w:t>
      </w:r>
      <w:r>
        <w:t>)</w:t>
      </w:r>
      <w:r w:rsidRPr="00040D53">
        <w:t xml:space="preserve"> program.</w:t>
      </w:r>
      <w:r w:rsidR="000E58A4">
        <w:t xml:space="preserve"> </w:t>
      </w:r>
      <w:r w:rsidRPr="00040D53">
        <w:t>Jennifer received a M</w:t>
      </w:r>
      <w:r>
        <w:t>aster of Science</w:t>
      </w:r>
      <w:r w:rsidRPr="00040D53">
        <w:t xml:space="preserve"> in Chemical Engineering </w:t>
      </w:r>
      <w:r w:rsidR="003E6EDD">
        <w:t xml:space="preserve">with a thesis entitled “Separation of Fluoride Residue Arising from Fluoride Volatility Recovery of Uranium from Spent Nuclear Fuel” under the guidance of Robert M. </w:t>
      </w:r>
      <w:proofErr w:type="spellStart"/>
      <w:r w:rsidR="003E6EDD">
        <w:t>Counce</w:t>
      </w:r>
      <w:proofErr w:type="spellEnd"/>
      <w:r w:rsidR="003E6EDD">
        <w:t>, Ph.D. and Barry B. Spencer, Ph.D. in May 2004.</w:t>
      </w:r>
      <w:r w:rsidR="000E58A4">
        <w:t xml:space="preserve"> </w:t>
      </w:r>
      <w:r w:rsidRPr="00040D53">
        <w:t>After</w:t>
      </w:r>
      <w:r w:rsidR="000E58A4">
        <w:t xml:space="preserve"> </w:t>
      </w:r>
      <w:r w:rsidRPr="00040D53">
        <w:t xml:space="preserve">graduation, </w:t>
      </w:r>
      <w:r w:rsidR="000E58A4">
        <w:t>s</w:t>
      </w:r>
      <w:r w:rsidRPr="00040D53">
        <w:t xml:space="preserve">he was hired as a </w:t>
      </w:r>
      <w:r w:rsidR="000E58A4">
        <w:t xml:space="preserve">research engineer </w:t>
      </w:r>
      <w:r w:rsidRPr="00040D53">
        <w:t xml:space="preserve">at </w:t>
      </w:r>
      <w:r w:rsidR="000E58A4">
        <w:t>Oak Ridge National Laboratory (ORNL). Jennifer continued her</w:t>
      </w:r>
      <w:r w:rsidRPr="00040D53">
        <w:t xml:space="preserve"> education at UTK by enrolling in evening</w:t>
      </w:r>
      <w:r w:rsidR="000E58A4">
        <w:t xml:space="preserve"> classes while working at ORNL</w:t>
      </w:r>
      <w:r w:rsidRPr="00040D53">
        <w:t xml:space="preserve">. </w:t>
      </w:r>
      <w:r w:rsidR="000E58A4">
        <w:t xml:space="preserve">She received </w:t>
      </w:r>
      <w:r w:rsidRPr="00040D53">
        <w:t xml:space="preserve">a Doctor of Philosophy degree in </w:t>
      </w:r>
      <w:r w:rsidR="000E58A4">
        <w:t xml:space="preserve">Chemical </w:t>
      </w:r>
      <w:r w:rsidRPr="00040D53">
        <w:t>Engineering</w:t>
      </w:r>
      <w:r w:rsidR="000E58A4">
        <w:t xml:space="preserve"> </w:t>
      </w:r>
      <w:r w:rsidRPr="00040D53">
        <w:t xml:space="preserve">from the University of Tennessee in </w:t>
      </w:r>
      <w:r w:rsidR="000E58A4">
        <w:t xml:space="preserve">December </w:t>
      </w:r>
      <w:r w:rsidRPr="00040D53">
        <w:t>201</w:t>
      </w:r>
      <w:r w:rsidR="000E58A4">
        <w:t>3</w:t>
      </w:r>
      <w:r w:rsidRPr="00040D53">
        <w:t>. After completing h</w:t>
      </w:r>
      <w:r w:rsidR="000E58A4">
        <w:t>er</w:t>
      </w:r>
      <w:r w:rsidRPr="00040D53">
        <w:t xml:space="preserve"> doctoral degree, Dr.</w:t>
      </w:r>
      <w:r w:rsidR="000E58A4">
        <w:t xml:space="preserve"> Ladd-Lively</w:t>
      </w:r>
      <w:r w:rsidRPr="00040D53">
        <w:t xml:space="preserve"> plans to continue h</w:t>
      </w:r>
      <w:r w:rsidR="000E58A4">
        <w:t>er</w:t>
      </w:r>
      <w:r w:rsidRPr="00040D53">
        <w:t xml:space="preserve"> current research and develop related research at </w:t>
      </w:r>
      <w:r w:rsidR="000E58A4">
        <w:t>ORNL</w:t>
      </w:r>
      <w:r w:rsidRPr="00040D53">
        <w:t>.</w:t>
      </w:r>
    </w:p>
    <w:p w:rsidR="00AD46F7" w:rsidRPr="00040D53" w:rsidRDefault="00AD46F7" w:rsidP="00040D53"/>
    <w:sectPr w:rsidR="00AD46F7" w:rsidRPr="00040D53" w:rsidSect="00696884">
      <w:pgSz w:w="12240" w:h="15840"/>
      <w:pgMar w:top="1440" w:right="1440" w:bottom="1440" w:left="1440" w:header="1440" w:footer="144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78F5" w:rsidRDefault="00A078F5" w:rsidP="00A151E3">
      <w:pPr>
        <w:spacing w:after="0" w:line="240" w:lineRule="auto"/>
      </w:pPr>
      <w:r>
        <w:separator/>
      </w:r>
    </w:p>
  </w:endnote>
  <w:endnote w:type="continuationSeparator" w:id="0">
    <w:p w:rsidR="00A078F5" w:rsidRDefault="00A078F5" w:rsidP="00A15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TimesNewRoman">
    <w:altName w:val="Cambria"/>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5035844"/>
      <w:docPartObj>
        <w:docPartGallery w:val="Page Numbers (Bottom of Page)"/>
        <w:docPartUnique/>
      </w:docPartObj>
    </w:sdtPr>
    <w:sdtEndPr>
      <w:rPr>
        <w:noProof/>
      </w:rPr>
    </w:sdtEndPr>
    <w:sdtContent>
      <w:p w:rsidR="00623712" w:rsidRDefault="00623712">
        <w:pPr>
          <w:pStyle w:val="Footer"/>
          <w:jc w:val="right"/>
        </w:pPr>
        <w:r>
          <w:fldChar w:fldCharType="begin"/>
        </w:r>
        <w:r>
          <w:instrText xml:space="preserve"> PAGE   \* MERGEFORMAT </w:instrText>
        </w:r>
        <w:r>
          <w:fldChar w:fldCharType="separate"/>
        </w:r>
        <w:r w:rsidR="002C6DC7">
          <w:rPr>
            <w:noProof/>
          </w:rPr>
          <w:t>xviii</w:t>
        </w:r>
        <w:r>
          <w:rPr>
            <w:noProof/>
          </w:rPr>
          <w:fldChar w:fldCharType="end"/>
        </w:r>
      </w:p>
    </w:sdtContent>
  </w:sdt>
  <w:p w:rsidR="00623712" w:rsidRDefault="0062371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6477767"/>
      <w:docPartObj>
        <w:docPartGallery w:val="Page Numbers (Bottom of Page)"/>
        <w:docPartUnique/>
      </w:docPartObj>
    </w:sdtPr>
    <w:sdtEndPr>
      <w:rPr>
        <w:noProof/>
      </w:rPr>
    </w:sdtEndPr>
    <w:sdtContent>
      <w:p w:rsidR="00623712" w:rsidRDefault="00623712">
        <w:pPr>
          <w:pStyle w:val="Footer"/>
          <w:jc w:val="right"/>
        </w:pPr>
        <w:r>
          <w:fldChar w:fldCharType="begin"/>
        </w:r>
        <w:r>
          <w:instrText xml:space="preserve"> PAGE   \* MERGEFORMAT </w:instrText>
        </w:r>
        <w:r>
          <w:fldChar w:fldCharType="separate"/>
        </w:r>
        <w:r w:rsidR="002C6DC7">
          <w:rPr>
            <w:noProof/>
          </w:rPr>
          <w:t>ii</w:t>
        </w:r>
        <w:r>
          <w:rPr>
            <w:noProof/>
          </w:rPr>
          <w:fldChar w:fldCharType="end"/>
        </w:r>
      </w:p>
    </w:sdtContent>
  </w:sdt>
  <w:p w:rsidR="00623712" w:rsidRPr="00696884" w:rsidRDefault="00623712" w:rsidP="0069688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9186360"/>
      <w:docPartObj>
        <w:docPartGallery w:val="Page Numbers (Bottom of Page)"/>
        <w:docPartUnique/>
      </w:docPartObj>
    </w:sdtPr>
    <w:sdtEndPr>
      <w:rPr>
        <w:noProof/>
      </w:rPr>
    </w:sdtEndPr>
    <w:sdtContent>
      <w:p w:rsidR="00623712" w:rsidRDefault="00623712" w:rsidP="008C01D3">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623712" w:rsidRPr="00696884" w:rsidRDefault="00623712" w:rsidP="0069688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7430286"/>
      <w:docPartObj>
        <w:docPartGallery w:val="Page Numbers (Bottom of Page)"/>
        <w:docPartUnique/>
      </w:docPartObj>
    </w:sdtPr>
    <w:sdtEndPr>
      <w:rPr>
        <w:noProof/>
      </w:rPr>
    </w:sdtEndPr>
    <w:sdtContent>
      <w:p w:rsidR="00623712" w:rsidRDefault="00623712">
        <w:pPr>
          <w:pStyle w:val="Footer"/>
          <w:jc w:val="right"/>
        </w:pPr>
        <w:r>
          <w:fldChar w:fldCharType="begin"/>
        </w:r>
        <w:r>
          <w:instrText xml:space="preserve"> PAGE   \* MERGEFORMAT </w:instrText>
        </w:r>
        <w:r>
          <w:fldChar w:fldCharType="separate"/>
        </w:r>
        <w:r w:rsidR="002C6DC7">
          <w:rPr>
            <w:noProof/>
          </w:rPr>
          <w:t>304</w:t>
        </w:r>
        <w:r>
          <w:rPr>
            <w:noProof/>
          </w:rPr>
          <w:fldChar w:fldCharType="end"/>
        </w:r>
      </w:p>
    </w:sdtContent>
  </w:sdt>
  <w:p w:rsidR="00623712" w:rsidRPr="00696884" w:rsidRDefault="00623712" w:rsidP="006968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78F5" w:rsidRDefault="00A078F5" w:rsidP="00A151E3">
      <w:pPr>
        <w:spacing w:after="0" w:line="240" w:lineRule="auto"/>
      </w:pPr>
      <w:r>
        <w:separator/>
      </w:r>
    </w:p>
  </w:footnote>
  <w:footnote w:type="continuationSeparator" w:id="0">
    <w:p w:rsidR="00A078F5" w:rsidRDefault="00A078F5" w:rsidP="00A151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712" w:rsidRDefault="00623712" w:rsidP="009161D0">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712" w:rsidRDefault="00623712">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712" w:rsidRDefault="00623712">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16A8B"/>
    <w:multiLevelType w:val="hybridMultilevel"/>
    <w:tmpl w:val="C29A2A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065546"/>
    <w:multiLevelType w:val="hybridMultilevel"/>
    <w:tmpl w:val="5F245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8E43CD"/>
    <w:multiLevelType w:val="hybridMultilevel"/>
    <w:tmpl w:val="A53EC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996F04"/>
    <w:multiLevelType w:val="hybridMultilevel"/>
    <w:tmpl w:val="73589814"/>
    <w:lvl w:ilvl="0" w:tplc="C37E72A2">
      <w:start w:val="1"/>
      <w:numFmt w:val="bullet"/>
      <w:lvlText w:val="•"/>
      <w:lvlJc w:val="left"/>
      <w:pPr>
        <w:tabs>
          <w:tab w:val="num" w:pos="720"/>
        </w:tabs>
        <w:ind w:left="720" w:hanging="360"/>
      </w:pPr>
      <w:rPr>
        <w:rFonts w:ascii="Times New Roman" w:hAnsi="Times New Roman" w:hint="default"/>
      </w:rPr>
    </w:lvl>
    <w:lvl w:ilvl="1" w:tplc="2C1CA904" w:tentative="1">
      <w:start w:val="1"/>
      <w:numFmt w:val="bullet"/>
      <w:lvlText w:val="•"/>
      <w:lvlJc w:val="left"/>
      <w:pPr>
        <w:tabs>
          <w:tab w:val="num" w:pos="1440"/>
        </w:tabs>
        <w:ind w:left="1440" w:hanging="360"/>
      </w:pPr>
      <w:rPr>
        <w:rFonts w:ascii="Times New Roman" w:hAnsi="Times New Roman" w:hint="default"/>
      </w:rPr>
    </w:lvl>
    <w:lvl w:ilvl="2" w:tplc="7BF63386" w:tentative="1">
      <w:start w:val="1"/>
      <w:numFmt w:val="bullet"/>
      <w:lvlText w:val="•"/>
      <w:lvlJc w:val="left"/>
      <w:pPr>
        <w:tabs>
          <w:tab w:val="num" w:pos="2160"/>
        </w:tabs>
        <w:ind w:left="2160" w:hanging="360"/>
      </w:pPr>
      <w:rPr>
        <w:rFonts w:ascii="Times New Roman" w:hAnsi="Times New Roman" w:hint="default"/>
      </w:rPr>
    </w:lvl>
    <w:lvl w:ilvl="3" w:tplc="FF9A82EE" w:tentative="1">
      <w:start w:val="1"/>
      <w:numFmt w:val="bullet"/>
      <w:lvlText w:val="•"/>
      <w:lvlJc w:val="left"/>
      <w:pPr>
        <w:tabs>
          <w:tab w:val="num" w:pos="2880"/>
        </w:tabs>
        <w:ind w:left="2880" w:hanging="360"/>
      </w:pPr>
      <w:rPr>
        <w:rFonts w:ascii="Times New Roman" w:hAnsi="Times New Roman" w:hint="default"/>
      </w:rPr>
    </w:lvl>
    <w:lvl w:ilvl="4" w:tplc="730E81C2" w:tentative="1">
      <w:start w:val="1"/>
      <w:numFmt w:val="bullet"/>
      <w:lvlText w:val="•"/>
      <w:lvlJc w:val="left"/>
      <w:pPr>
        <w:tabs>
          <w:tab w:val="num" w:pos="3600"/>
        </w:tabs>
        <w:ind w:left="3600" w:hanging="360"/>
      </w:pPr>
      <w:rPr>
        <w:rFonts w:ascii="Times New Roman" w:hAnsi="Times New Roman" w:hint="default"/>
      </w:rPr>
    </w:lvl>
    <w:lvl w:ilvl="5" w:tplc="8CAE8086" w:tentative="1">
      <w:start w:val="1"/>
      <w:numFmt w:val="bullet"/>
      <w:lvlText w:val="•"/>
      <w:lvlJc w:val="left"/>
      <w:pPr>
        <w:tabs>
          <w:tab w:val="num" w:pos="4320"/>
        </w:tabs>
        <w:ind w:left="4320" w:hanging="360"/>
      </w:pPr>
      <w:rPr>
        <w:rFonts w:ascii="Times New Roman" w:hAnsi="Times New Roman" w:hint="default"/>
      </w:rPr>
    </w:lvl>
    <w:lvl w:ilvl="6" w:tplc="0C0CAD0A" w:tentative="1">
      <w:start w:val="1"/>
      <w:numFmt w:val="bullet"/>
      <w:lvlText w:val="•"/>
      <w:lvlJc w:val="left"/>
      <w:pPr>
        <w:tabs>
          <w:tab w:val="num" w:pos="5040"/>
        </w:tabs>
        <w:ind w:left="5040" w:hanging="360"/>
      </w:pPr>
      <w:rPr>
        <w:rFonts w:ascii="Times New Roman" w:hAnsi="Times New Roman" w:hint="default"/>
      </w:rPr>
    </w:lvl>
    <w:lvl w:ilvl="7" w:tplc="D242E342" w:tentative="1">
      <w:start w:val="1"/>
      <w:numFmt w:val="bullet"/>
      <w:lvlText w:val="•"/>
      <w:lvlJc w:val="left"/>
      <w:pPr>
        <w:tabs>
          <w:tab w:val="num" w:pos="5760"/>
        </w:tabs>
        <w:ind w:left="5760" w:hanging="360"/>
      </w:pPr>
      <w:rPr>
        <w:rFonts w:ascii="Times New Roman" w:hAnsi="Times New Roman" w:hint="default"/>
      </w:rPr>
    </w:lvl>
    <w:lvl w:ilvl="8" w:tplc="155CC982" w:tentative="1">
      <w:start w:val="1"/>
      <w:numFmt w:val="bullet"/>
      <w:lvlText w:val="•"/>
      <w:lvlJc w:val="left"/>
      <w:pPr>
        <w:tabs>
          <w:tab w:val="num" w:pos="6480"/>
        </w:tabs>
        <w:ind w:left="6480" w:hanging="360"/>
      </w:pPr>
      <w:rPr>
        <w:rFonts w:ascii="Times New Roman" w:hAnsi="Times New Roman" w:hint="default"/>
      </w:rPr>
    </w:lvl>
  </w:abstractNum>
  <w:abstractNum w:abstractNumId="4">
    <w:nsid w:val="14EE1DFA"/>
    <w:multiLevelType w:val="multilevel"/>
    <w:tmpl w:val="5136F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5352567"/>
    <w:multiLevelType w:val="hybridMultilevel"/>
    <w:tmpl w:val="39E0D3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96680A"/>
    <w:multiLevelType w:val="hybridMultilevel"/>
    <w:tmpl w:val="3306CA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D46CF4"/>
    <w:multiLevelType w:val="hybridMultilevel"/>
    <w:tmpl w:val="586E0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2BE6F85"/>
    <w:multiLevelType w:val="hybridMultilevel"/>
    <w:tmpl w:val="0DC83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4822E18"/>
    <w:multiLevelType w:val="hybridMultilevel"/>
    <w:tmpl w:val="35B82C92"/>
    <w:lvl w:ilvl="0" w:tplc="4CBC3E26">
      <w:start w:val="1"/>
      <w:numFmt w:val="bullet"/>
      <w:lvlText w:val="•"/>
      <w:lvlJc w:val="left"/>
      <w:pPr>
        <w:tabs>
          <w:tab w:val="num" w:pos="720"/>
        </w:tabs>
        <w:ind w:left="720" w:hanging="360"/>
      </w:pPr>
      <w:rPr>
        <w:rFonts w:ascii="Times New Roman" w:hAnsi="Times New Roman" w:hint="default"/>
      </w:rPr>
    </w:lvl>
    <w:lvl w:ilvl="1" w:tplc="8BEC47D4" w:tentative="1">
      <w:start w:val="1"/>
      <w:numFmt w:val="bullet"/>
      <w:lvlText w:val="•"/>
      <w:lvlJc w:val="left"/>
      <w:pPr>
        <w:tabs>
          <w:tab w:val="num" w:pos="1440"/>
        </w:tabs>
        <w:ind w:left="1440" w:hanging="360"/>
      </w:pPr>
      <w:rPr>
        <w:rFonts w:ascii="Times New Roman" w:hAnsi="Times New Roman" w:hint="default"/>
      </w:rPr>
    </w:lvl>
    <w:lvl w:ilvl="2" w:tplc="1E16A7F8" w:tentative="1">
      <w:start w:val="1"/>
      <w:numFmt w:val="bullet"/>
      <w:lvlText w:val="•"/>
      <w:lvlJc w:val="left"/>
      <w:pPr>
        <w:tabs>
          <w:tab w:val="num" w:pos="2160"/>
        </w:tabs>
        <w:ind w:left="2160" w:hanging="360"/>
      </w:pPr>
      <w:rPr>
        <w:rFonts w:ascii="Times New Roman" w:hAnsi="Times New Roman" w:hint="default"/>
      </w:rPr>
    </w:lvl>
    <w:lvl w:ilvl="3" w:tplc="68AE6950" w:tentative="1">
      <w:start w:val="1"/>
      <w:numFmt w:val="bullet"/>
      <w:lvlText w:val="•"/>
      <w:lvlJc w:val="left"/>
      <w:pPr>
        <w:tabs>
          <w:tab w:val="num" w:pos="2880"/>
        </w:tabs>
        <w:ind w:left="2880" w:hanging="360"/>
      </w:pPr>
      <w:rPr>
        <w:rFonts w:ascii="Times New Roman" w:hAnsi="Times New Roman" w:hint="default"/>
      </w:rPr>
    </w:lvl>
    <w:lvl w:ilvl="4" w:tplc="9B28B328" w:tentative="1">
      <w:start w:val="1"/>
      <w:numFmt w:val="bullet"/>
      <w:lvlText w:val="•"/>
      <w:lvlJc w:val="left"/>
      <w:pPr>
        <w:tabs>
          <w:tab w:val="num" w:pos="3600"/>
        </w:tabs>
        <w:ind w:left="3600" w:hanging="360"/>
      </w:pPr>
      <w:rPr>
        <w:rFonts w:ascii="Times New Roman" w:hAnsi="Times New Roman" w:hint="default"/>
      </w:rPr>
    </w:lvl>
    <w:lvl w:ilvl="5" w:tplc="A5CCFBF4" w:tentative="1">
      <w:start w:val="1"/>
      <w:numFmt w:val="bullet"/>
      <w:lvlText w:val="•"/>
      <w:lvlJc w:val="left"/>
      <w:pPr>
        <w:tabs>
          <w:tab w:val="num" w:pos="4320"/>
        </w:tabs>
        <w:ind w:left="4320" w:hanging="360"/>
      </w:pPr>
      <w:rPr>
        <w:rFonts w:ascii="Times New Roman" w:hAnsi="Times New Roman" w:hint="default"/>
      </w:rPr>
    </w:lvl>
    <w:lvl w:ilvl="6" w:tplc="6D7E19AA" w:tentative="1">
      <w:start w:val="1"/>
      <w:numFmt w:val="bullet"/>
      <w:lvlText w:val="•"/>
      <w:lvlJc w:val="left"/>
      <w:pPr>
        <w:tabs>
          <w:tab w:val="num" w:pos="5040"/>
        </w:tabs>
        <w:ind w:left="5040" w:hanging="360"/>
      </w:pPr>
      <w:rPr>
        <w:rFonts w:ascii="Times New Roman" w:hAnsi="Times New Roman" w:hint="default"/>
      </w:rPr>
    </w:lvl>
    <w:lvl w:ilvl="7" w:tplc="0DB657A6" w:tentative="1">
      <w:start w:val="1"/>
      <w:numFmt w:val="bullet"/>
      <w:lvlText w:val="•"/>
      <w:lvlJc w:val="left"/>
      <w:pPr>
        <w:tabs>
          <w:tab w:val="num" w:pos="5760"/>
        </w:tabs>
        <w:ind w:left="5760" w:hanging="360"/>
      </w:pPr>
      <w:rPr>
        <w:rFonts w:ascii="Times New Roman" w:hAnsi="Times New Roman" w:hint="default"/>
      </w:rPr>
    </w:lvl>
    <w:lvl w:ilvl="8" w:tplc="EF4E4060" w:tentative="1">
      <w:start w:val="1"/>
      <w:numFmt w:val="bullet"/>
      <w:lvlText w:val="•"/>
      <w:lvlJc w:val="left"/>
      <w:pPr>
        <w:tabs>
          <w:tab w:val="num" w:pos="6480"/>
        </w:tabs>
        <w:ind w:left="6480" w:hanging="360"/>
      </w:pPr>
      <w:rPr>
        <w:rFonts w:ascii="Times New Roman" w:hAnsi="Times New Roman" w:hint="default"/>
      </w:rPr>
    </w:lvl>
  </w:abstractNum>
  <w:abstractNum w:abstractNumId="10">
    <w:nsid w:val="34F960ED"/>
    <w:multiLevelType w:val="hybridMultilevel"/>
    <w:tmpl w:val="3E3E3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8BB1DE9"/>
    <w:multiLevelType w:val="hybridMultilevel"/>
    <w:tmpl w:val="6DFE3C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B196A59"/>
    <w:multiLevelType w:val="multilevel"/>
    <w:tmpl w:val="58E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1C20007"/>
    <w:multiLevelType w:val="hybridMultilevel"/>
    <w:tmpl w:val="C29A2A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6416191"/>
    <w:multiLevelType w:val="hybridMultilevel"/>
    <w:tmpl w:val="6106B6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71F32A8"/>
    <w:multiLevelType w:val="hybridMultilevel"/>
    <w:tmpl w:val="13A28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8F34CA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981917"/>
    <w:multiLevelType w:val="hybridMultilevel"/>
    <w:tmpl w:val="98D6C3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A1C5C38"/>
    <w:multiLevelType w:val="hybridMultilevel"/>
    <w:tmpl w:val="C29A2A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B7D43B1"/>
    <w:multiLevelType w:val="hybridMultilevel"/>
    <w:tmpl w:val="237CC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C080F07"/>
    <w:multiLevelType w:val="hybridMultilevel"/>
    <w:tmpl w:val="50DC5E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F261F45"/>
    <w:multiLevelType w:val="hybridMultilevel"/>
    <w:tmpl w:val="8AD45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06566E8"/>
    <w:multiLevelType w:val="hybridMultilevel"/>
    <w:tmpl w:val="3EF46F9A"/>
    <w:lvl w:ilvl="0" w:tplc="E8DA7F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1DA58C6"/>
    <w:multiLevelType w:val="hybridMultilevel"/>
    <w:tmpl w:val="F6965F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4150297"/>
    <w:multiLevelType w:val="multilevel"/>
    <w:tmpl w:val="10D05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46027B3"/>
    <w:multiLevelType w:val="hybridMultilevel"/>
    <w:tmpl w:val="7FF8CE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7964BAE"/>
    <w:multiLevelType w:val="hybridMultilevel"/>
    <w:tmpl w:val="0CC89D62"/>
    <w:lvl w:ilvl="0" w:tplc="278C8704">
      <w:start w:val="1"/>
      <w:numFmt w:val="bullet"/>
      <w:lvlText w:val="•"/>
      <w:lvlJc w:val="left"/>
      <w:pPr>
        <w:tabs>
          <w:tab w:val="num" w:pos="720"/>
        </w:tabs>
        <w:ind w:left="720" w:hanging="360"/>
      </w:pPr>
      <w:rPr>
        <w:rFonts w:ascii="Times New Roman" w:hAnsi="Times New Roman" w:hint="default"/>
      </w:rPr>
    </w:lvl>
    <w:lvl w:ilvl="1" w:tplc="21B21D50" w:tentative="1">
      <w:start w:val="1"/>
      <w:numFmt w:val="bullet"/>
      <w:lvlText w:val="•"/>
      <w:lvlJc w:val="left"/>
      <w:pPr>
        <w:tabs>
          <w:tab w:val="num" w:pos="1440"/>
        </w:tabs>
        <w:ind w:left="1440" w:hanging="360"/>
      </w:pPr>
      <w:rPr>
        <w:rFonts w:ascii="Times New Roman" w:hAnsi="Times New Roman" w:hint="default"/>
      </w:rPr>
    </w:lvl>
    <w:lvl w:ilvl="2" w:tplc="F116848E" w:tentative="1">
      <w:start w:val="1"/>
      <w:numFmt w:val="bullet"/>
      <w:lvlText w:val="•"/>
      <w:lvlJc w:val="left"/>
      <w:pPr>
        <w:tabs>
          <w:tab w:val="num" w:pos="2160"/>
        </w:tabs>
        <w:ind w:left="2160" w:hanging="360"/>
      </w:pPr>
      <w:rPr>
        <w:rFonts w:ascii="Times New Roman" w:hAnsi="Times New Roman" w:hint="default"/>
      </w:rPr>
    </w:lvl>
    <w:lvl w:ilvl="3" w:tplc="CDFCE1AC" w:tentative="1">
      <w:start w:val="1"/>
      <w:numFmt w:val="bullet"/>
      <w:lvlText w:val="•"/>
      <w:lvlJc w:val="left"/>
      <w:pPr>
        <w:tabs>
          <w:tab w:val="num" w:pos="2880"/>
        </w:tabs>
        <w:ind w:left="2880" w:hanging="360"/>
      </w:pPr>
      <w:rPr>
        <w:rFonts w:ascii="Times New Roman" w:hAnsi="Times New Roman" w:hint="default"/>
      </w:rPr>
    </w:lvl>
    <w:lvl w:ilvl="4" w:tplc="02FA779A" w:tentative="1">
      <w:start w:val="1"/>
      <w:numFmt w:val="bullet"/>
      <w:lvlText w:val="•"/>
      <w:lvlJc w:val="left"/>
      <w:pPr>
        <w:tabs>
          <w:tab w:val="num" w:pos="3600"/>
        </w:tabs>
        <w:ind w:left="3600" w:hanging="360"/>
      </w:pPr>
      <w:rPr>
        <w:rFonts w:ascii="Times New Roman" w:hAnsi="Times New Roman" w:hint="default"/>
      </w:rPr>
    </w:lvl>
    <w:lvl w:ilvl="5" w:tplc="BDA6262A" w:tentative="1">
      <w:start w:val="1"/>
      <w:numFmt w:val="bullet"/>
      <w:lvlText w:val="•"/>
      <w:lvlJc w:val="left"/>
      <w:pPr>
        <w:tabs>
          <w:tab w:val="num" w:pos="4320"/>
        </w:tabs>
        <w:ind w:left="4320" w:hanging="360"/>
      </w:pPr>
      <w:rPr>
        <w:rFonts w:ascii="Times New Roman" w:hAnsi="Times New Roman" w:hint="default"/>
      </w:rPr>
    </w:lvl>
    <w:lvl w:ilvl="6" w:tplc="A66C1438" w:tentative="1">
      <w:start w:val="1"/>
      <w:numFmt w:val="bullet"/>
      <w:lvlText w:val="•"/>
      <w:lvlJc w:val="left"/>
      <w:pPr>
        <w:tabs>
          <w:tab w:val="num" w:pos="5040"/>
        </w:tabs>
        <w:ind w:left="5040" w:hanging="360"/>
      </w:pPr>
      <w:rPr>
        <w:rFonts w:ascii="Times New Roman" w:hAnsi="Times New Roman" w:hint="default"/>
      </w:rPr>
    </w:lvl>
    <w:lvl w:ilvl="7" w:tplc="13808354" w:tentative="1">
      <w:start w:val="1"/>
      <w:numFmt w:val="bullet"/>
      <w:lvlText w:val="•"/>
      <w:lvlJc w:val="left"/>
      <w:pPr>
        <w:tabs>
          <w:tab w:val="num" w:pos="5760"/>
        </w:tabs>
        <w:ind w:left="5760" w:hanging="360"/>
      </w:pPr>
      <w:rPr>
        <w:rFonts w:ascii="Times New Roman" w:hAnsi="Times New Roman" w:hint="default"/>
      </w:rPr>
    </w:lvl>
    <w:lvl w:ilvl="8" w:tplc="93908874" w:tentative="1">
      <w:start w:val="1"/>
      <w:numFmt w:val="bullet"/>
      <w:lvlText w:val="•"/>
      <w:lvlJc w:val="left"/>
      <w:pPr>
        <w:tabs>
          <w:tab w:val="num" w:pos="6480"/>
        </w:tabs>
        <w:ind w:left="6480" w:hanging="360"/>
      </w:pPr>
      <w:rPr>
        <w:rFonts w:ascii="Times New Roman" w:hAnsi="Times New Roman" w:hint="default"/>
      </w:rPr>
    </w:lvl>
  </w:abstractNum>
  <w:abstractNum w:abstractNumId="27">
    <w:nsid w:val="587A0BB7"/>
    <w:multiLevelType w:val="hybridMultilevel"/>
    <w:tmpl w:val="1F2C6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A1F15B4"/>
    <w:multiLevelType w:val="hybridMultilevel"/>
    <w:tmpl w:val="82CE8C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C446810"/>
    <w:multiLevelType w:val="hybridMultilevel"/>
    <w:tmpl w:val="F4F4F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1A0700A"/>
    <w:multiLevelType w:val="hybridMultilevel"/>
    <w:tmpl w:val="C29A2A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6F75D80"/>
    <w:multiLevelType w:val="hybridMultilevel"/>
    <w:tmpl w:val="A4EC7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9F47CD9"/>
    <w:multiLevelType w:val="hybridMultilevel"/>
    <w:tmpl w:val="EBC6C7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C334147"/>
    <w:multiLevelType w:val="hybridMultilevel"/>
    <w:tmpl w:val="EA22A088"/>
    <w:lvl w:ilvl="0" w:tplc="08CCF9AE">
      <w:start w:val="1"/>
      <w:numFmt w:val="bullet"/>
      <w:lvlText w:val="•"/>
      <w:lvlJc w:val="left"/>
      <w:pPr>
        <w:tabs>
          <w:tab w:val="num" w:pos="720"/>
        </w:tabs>
        <w:ind w:left="720" w:hanging="360"/>
      </w:pPr>
      <w:rPr>
        <w:rFonts w:ascii="Times New Roman" w:hAnsi="Times New Roman" w:hint="default"/>
      </w:rPr>
    </w:lvl>
    <w:lvl w:ilvl="1" w:tplc="2FC2A29A" w:tentative="1">
      <w:start w:val="1"/>
      <w:numFmt w:val="bullet"/>
      <w:lvlText w:val="•"/>
      <w:lvlJc w:val="left"/>
      <w:pPr>
        <w:tabs>
          <w:tab w:val="num" w:pos="1440"/>
        </w:tabs>
        <w:ind w:left="1440" w:hanging="360"/>
      </w:pPr>
      <w:rPr>
        <w:rFonts w:ascii="Times New Roman" w:hAnsi="Times New Roman" w:hint="default"/>
      </w:rPr>
    </w:lvl>
    <w:lvl w:ilvl="2" w:tplc="77769032" w:tentative="1">
      <w:start w:val="1"/>
      <w:numFmt w:val="bullet"/>
      <w:lvlText w:val="•"/>
      <w:lvlJc w:val="left"/>
      <w:pPr>
        <w:tabs>
          <w:tab w:val="num" w:pos="2160"/>
        </w:tabs>
        <w:ind w:left="2160" w:hanging="360"/>
      </w:pPr>
      <w:rPr>
        <w:rFonts w:ascii="Times New Roman" w:hAnsi="Times New Roman" w:hint="default"/>
      </w:rPr>
    </w:lvl>
    <w:lvl w:ilvl="3" w:tplc="51D823B4" w:tentative="1">
      <w:start w:val="1"/>
      <w:numFmt w:val="bullet"/>
      <w:lvlText w:val="•"/>
      <w:lvlJc w:val="left"/>
      <w:pPr>
        <w:tabs>
          <w:tab w:val="num" w:pos="2880"/>
        </w:tabs>
        <w:ind w:left="2880" w:hanging="360"/>
      </w:pPr>
      <w:rPr>
        <w:rFonts w:ascii="Times New Roman" w:hAnsi="Times New Roman" w:hint="default"/>
      </w:rPr>
    </w:lvl>
    <w:lvl w:ilvl="4" w:tplc="26AAA7B8" w:tentative="1">
      <w:start w:val="1"/>
      <w:numFmt w:val="bullet"/>
      <w:lvlText w:val="•"/>
      <w:lvlJc w:val="left"/>
      <w:pPr>
        <w:tabs>
          <w:tab w:val="num" w:pos="3600"/>
        </w:tabs>
        <w:ind w:left="3600" w:hanging="360"/>
      </w:pPr>
      <w:rPr>
        <w:rFonts w:ascii="Times New Roman" w:hAnsi="Times New Roman" w:hint="default"/>
      </w:rPr>
    </w:lvl>
    <w:lvl w:ilvl="5" w:tplc="D194CD6A" w:tentative="1">
      <w:start w:val="1"/>
      <w:numFmt w:val="bullet"/>
      <w:lvlText w:val="•"/>
      <w:lvlJc w:val="left"/>
      <w:pPr>
        <w:tabs>
          <w:tab w:val="num" w:pos="4320"/>
        </w:tabs>
        <w:ind w:left="4320" w:hanging="360"/>
      </w:pPr>
      <w:rPr>
        <w:rFonts w:ascii="Times New Roman" w:hAnsi="Times New Roman" w:hint="default"/>
      </w:rPr>
    </w:lvl>
    <w:lvl w:ilvl="6" w:tplc="FBA451B0" w:tentative="1">
      <w:start w:val="1"/>
      <w:numFmt w:val="bullet"/>
      <w:lvlText w:val="•"/>
      <w:lvlJc w:val="left"/>
      <w:pPr>
        <w:tabs>
          <w:tab w:val="num" w:pos="5040"/>
        </w:tabs>
        <w:ind w:left="5040" w:hanging="360"/>
      </w:pPr>
      <w:rPr>
        <w:rFonts w:ascii="Times New Roman" w:hAnsi="Times New Roman" w:hint="default"/>
      </w:rPr>
    </w:lvl>
    <w:lvl w:ilvl="7" w:tplc="3EA8100E" w:tentative="1">
      <w:start w:val="1"/>
      <w:numFmt w:val="bullet"/>
      <w:lvlText w:val="•"/>
      <w:lvlJc w:val="left"/>
      <w:pPr>
        <w:tabs>
          <w:tab w:val="num" w:pos="5760"/>
        </w:tabs>
        <w:ind w:left="5760" w:hanging="360"/>
      </w:pPr>
      <w:rPr>
        <w:rFonts w:ascii="Times New Roman" w:hAnsi="Times New Roman" w:hint="default"/>
      </w:rPr>
    </w:lvl>
    <w:lvl w:ilvl="8" w:tplc="525AD72C" w:tentative="1">
      <w:start w:val="1"/>
      <w:numFmt w:val="bullet"/>
      <w:lvlText w:val="•"/>
      <w:lvlJc w:val="left"/>
      <w:pPr>
        <w:tabs>
          <w:tab w:val="num" w:pos="6480"/>
        </w:tabs>
        <w:ind w:left="6480" w:hanging="360"/>
      </w:pPr>
      <w:rPr>
        <w:rFonts w:ascii="Times New Roman" w:hAnsi="Times New Roman" w:hint="default"/>
      </w:rPr>
    </w:lvl>
  </w:abstractNum>
  <w:abstractNum w:abstractNumId="34">
    <w:nsid w:val="6DAB77D8"/>
    <w:multiLevelType w:val="multilevel"/>
    <w:tmpl w:val="E2EE7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30268BA"/>
    <w:multiLevelType w:val="hybridMultilevel"/>
    <w:tmpl w:val="CD141C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D8A72FB"/>
    <w:multiLevelType w:val="hybridMultilevel"/>
    <w:tmpl w:val="C29A2A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20"/>
  </w:num>
  <w:num w:numId="3">
    <w:abstractNumId w:val="27"/>
  </w:num>
  <w:num w:numId="4">
    <w:abstractNumId w:val="29"/>
  </w:num>
  <w:num w:numId="5">
    <w:abstractNumId w:val="10"/>
  </w:num>
  <w:num w:numId="6">
    <w:abstractNumId w:val="17"/>
  </w:num>
  <w:num w:numId="7">
    <w:abstractNumId w:val="7"/>
  </w:num>
  <w:num w:numId="8">
    <w:abstractNumId w:val="33"/>
  </w:num>
  <w:num w:numId="9">
    <w:abstractNumId w:val="22"/>
  </w:num>
  <w:num w:numId="10">
    <w:abstractNumId w:val="32"/>
  </w:num>
  <w:num w:numId="11">
    <w:abstractNumId w:val="9"/>
  </w:num>
  <w:num w:numId="12">
    <w:abstractNumId w:val="26"/>
  </w:num>
  <w:num w:numId="13">
    <w:abstractNumId w:val="2"/>
  </w:num>
  <w:num w:numId="14">
    <w:abstractNumId w:val="36"/>
  </w:num>
  <w:num w:numId="15">
    <w:abstractNumId w:val="18"/>
  </w:num>
  <w:num w:numId="16">
    <w:abstractNumId w:val="0"/>
  </w:num>
  <w:num w:numId="17">
    <w:abstractNumId w:val="13"/>
  </w:num>
  <w:num w:numId="18">
    <w:abstractNumId w:val="30"/>
  </w:num>
  <w:num w:numId="19">
    <w:abstractNumId w:val="5"/>
  </w:num>
  <w:num w:numId="20">
    <w:abstractNumId w:val="31"/>
  </w:num>
  <w:num w:numId="21">
    <w:abstractNumId w:val="11"/>
  </w:num>
  <w:num w:numId="22">
    <w:abstractNumId w:val="14"/>
  </w:num>
  <w:num w:numId="23">
    <w:abstractNumId w:val="6"/>
  </w:num>
  <w:num w:numId="24">
    <w:abstractNumId w:val="28"/>
  </w:num>
  <w:num w:numId="25">
    <w:abstractNumId w:val="19"/>
  </w:num>
  <w:num w:numId="26">
    <w:abstractNumId w:val="21"/>
  </w:num>
  <w:num w:numId="27">
    <w:abstractNumId w:val="25"/>
  </w:num>
  <w:num w:numId="28">
    <w:abstractNumId w:val="15"/>
  </w:num>
  <w:num w:numId="29">
    <w:abstractNumId w:val="35"/>
  </w:num>
  <w:num w:numId="30">
    <w:abstractNumId w:val="1"/>
  </w:num>
  <w:num w:numId="31">
    <w:abstractNumId w:val="34"/>
  </w:num>
  <w:num w:numId="32">
    <w:abstractNumId w:val="8"/>
  </w:num>
  <w:num w:numId="33">
    <w:abstractNumId w:val="24"/>
  </w:num>
  <w:num w:numId="34">
    <w:abstractNumId w:val="12"/>
  </w:num>
  <w:num w:numId="35">
    <w:abstractNumId w:val="4"/>
  </w:num>
  <w:num w:numId="36">
    <w:abstractNumId w:val="3"/>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746"/>
    <w:rsid w:val="00002CAE"/>
    <w:rsid w:val="00003B8C"/>
    <w:rsid w:val="000043AD"/>
    <w:rsid w:val="00013F6B"/>
    <w:rsid w:val="00014D50"/>
    <w:rsid w:val="000174E3"/>
    <w:rsid w:val="00017B95"/>
    <w:rsid w:val="00021E68"/>
    <w:rsid w:val="00032422"/>
    <w:rsid w:val="00035661"/>
    <w:rsid w:val="00040D53"/>
    <w:rsid w:val="000464BA"/>
    <w:rsid w:val="00052F6A"/>
    <w:rsid w:val="000537A8"/>
    <w:rsid w:val="00060B2B"/>
    <w:rsid w:val="0006636E"/>
    <w:rsid w:val="00077237"/>
    <w:rsid w:val="00077ECA"/>
    <w:rsid w:val="00080E78"/>
    <w:rsid w:val="000831CD"/>
    <w:rsid w:val="00090D12"/>
    <w:rsid w:val="000960D3"/>
    <w:rsid w:val="000A46A0"/>
    <w:rsid w:val="000A5246"/>
    <w:rsid w:val="000B1C81"/>
    <w:rsid w:val="000B3013"/>
    <w:rsid w:val="000B594D"/>
    <w:rsid w:val="000C148F"/>
    <w:rsid w:val="000C43F4"/>
    <w:rsid w:val="000D46F3"/>
    <w:rsid w:val="000D66E1"/>
    <w:rsid w:val="000E58A4"/>
    <w:rsid w:val="000E5ECB"/>
    <w:rsid w:val="000E6242"/>
    <w:rsid w:val="000F043C"/>
    <w:rsid w:val="000F1371"/>
    <w:rsid w:val="000F3EC8"/>
    <w:rsid w:val="00102985"/>
    <w:rsid w:val="001057C8"/>
    <w:rsid w:val="001079DC"/>
    <w:rsid w:val="00111329"/>
    <w:rsid w:val="001120C3"/>
    <w:rsid w:val="00112B04"/>
    <w:rsid w:val="00113F14"/>
    <w:rsid w:val="0011652C"/>
    <w:rsid w:val="00127427"/>
    <w:rsid w:val="00140845"/>
    <w:rsid w:val="001442E3"/>
    <w:rsid w:val="00144CDB"/>
    <w:rsid w:val="0015302C"/>
    <w:rsid w:val="001546C1"/>
    <w:rsid w:val="00164BD5"/>
    <w:rsid w:val="00176089"/>
    <w:rsid w:val="00185A08"/>
    <w:rsid w:val="00192B48"/>
    <w:rsid w:val="001A3363"/>
    <w:rsid w:val="001A442D"/>
    <w:rsid w:val="001A6618"/>
    <w:rsid w:val="001B03DA"/>
    <w:rsid w:val="001B0CB1"/>
    <w:rsid w:val="001B3AF4"/>
    <w:rsid w:val="001B479B"/>
    <w:rsid w:val="001B675F"/>
    <w:rsid w:val="001D0EF6"/>
    <w:rsid w:val="001D0F58"/>
    <w:rsid w:val="001D1D89"/>
    <w:rsid w:val="001D6C23"/>
    <w:rsid w:val="001E169B"/>
    <w:rsid w:val="001E21F9"/>
    <w:rsid w:val="001F1B02"/>
    <w:rsid w:val="001F3AD3"/>
    <w:rsid w:val="001F63AB"/>
    <w:rsid w:val="002020C3"/>
    <w:rsid w:val="002141AC"/>
    <w:rsid w:val="00215B14"/>
    <w:rsid w:val="00225266"/>
    <w:rsid w:val="00227758"/>
    <w:rsid w:val="002321EC"/>
    <w:rsid w:val="00232C49"/>
    <w:rsid w:val="00235F67"/>
    <w:rsid w:val="002570CB"/>
    <w:rsid w:val="00257EA0"/>
    <w:rsid w:val="002601EF"/>
    <w:rsid w:val="0026246D"/>
    <w:rsid w:val="002635C8"/>
    <w:rsid w:val="00267A26"/>
    <w:rsid w:val="0029136E"/>
    <w:rsid w:val="002A117F"/>
    <w:rsid w:val="002A316A"/>
    <w:rsid w:val="002A3CEA"/>
    <w:rsid w:val="002A4AD4"/>
    <w:rsid w:val="002A4C53"/>
    <w:rsid w:val="002B6CA6"/>
    <w:rsid w:val="002C250F"/>
    <w:rsid w:val="002C37A6"/>
    <w:rsid w:val="002C6DC7"/>
    <w:rsid w:val="002D04E3"/>
    <w:rsid w:val="002D2C33"/>
    <w:rsid w:val="002D2E47"/>
    <w:rsid w:val="002D4C1C"/>
    <w:rsid w:val="002E0329"/>
    <w:rsid w:val="002F2D6C"/>
    <w:rsid w:val="00317469"/>
    <w:rsid w:val="003477BF"/>
    <w:rsid w:val="003615D7"/>
    <w:rsid w:val="003621D4"/>
    <w:rsid w:val="003630C9"/>
    <w:rsid w:val="0036759F"/>
    <w:rsid w:val="0037012F"/>
    <w:rsid w:val="00371A74"/>
    <w:rsid w:val="00385418"/>
    <w:rsid w:val="00390FD4"/>
    <w:rsid w:val="00392304"/>
    <w:rsid w:val="00394DDE"/>
    <w:rsid w:val="003A2711"/>
    <w:rsid w:val="003A6C6F"/>
    <w:rsid w:val="003B40CA"/>
    <w:rsid w:val="003C1E7F"/>
    <w:rsid w:val="003C2F46"/>
    <w:rsid w:val="003C5182"/>
    <w:rsid w:val="003C7150"/>
    <w:rsid w:val="003D3F1E"/>
    <w:rsid w:val="003D53E0"/>
    <w:rsid w:val="003D664B"/>
    <w:rsid w:val="003E1DB4"/>
    <w:rsid w:val="003E1FCB"/>
    <w:rsid w:val="003E6EDD"/>
    <w:rsid w:val="003F229D"/>
    <w:rsid w:val="003F2703"/>
    <w:rsid w:val="0040178E"/>
    <w:rsid w:val="0040247D"/>
    <w:rsid w:val="00402C43"/>
    <w:rsid w:val="004045DF"/>
    <w:rsid w:val="00411471"/>
    <w:rsid w:val="00412B2C"/>
    <w:rsid w:val="00415595"/>
    <w:rsid w:val="00424396"/>
    <w:rsid w:val="004330B5"/>
    <w:rsid w:val="00434603"/>
    <w:rsid w:val="00442471"/>
    <w:rsid w:val="0045213D"/>
    <w:rsid w:val="00453873"/>
    <w:rsid w:val="00454164"/>
    <w:rsid w:val="00454A92"/>
    <w:rsid w:val="00461FA7"/>
    <w:rsid w:val="0046306D"/>
    <w:rsid w:val="00470E74"/>
    <w:rsid w:val="00482383"/>
    <w:rsid w:val="004846CD"/>
    <w:rsid w:val="00492FE9"/>
    <w:rsid w:val="004A737C"/>
    <w:rsid w:val="004C1CAC"/>
    <w:rsid w:val="004C4191"/>
    <w:rsid w:val="004D23F5"/>
    <w:rsid w:val="004D2F80"/>
    <w:rsid w:val="004E2FC0"/>
    <w:rsid w:val="004E68DC"/>
    <w:rsid w:val="004F7948"/>
    <w:rsid w:val="005018C5"/>
    <w:rsid w:val="005052B0"/>
    <w:rsid w:val="00505BBD"/>
    <w:rsid w:val="00506D69"/>
    <w:rsid w:val="005107A3"/>
    <w:rsid w:val="00510C8C"/>
    <w:rsid w:val="00522039"/>
    <w:rsid w:val="00526420"/>
    <w:rsid w:val="00540F1D"/>
    <w:rsid w:val="00543008"/>
    <w:rsid w:val="00546DF6"/>
    <w:rsid w:val="00546FDE"/>
    <w:rsid w:val="00554B06"/>
    <w:rsid w:val="00562F25"/>
    <w:rsid w:val="005641B3"/>
    <w:rsid w:val="00567A68"/>
    <w:rsid w:val="00576B22"/>
    <w:rsid w:val="00582264"/>
    <w:rsid w:val="00584E13"/>
    <w:rsid w:val="00585133"/>
    <w:rsid w:val="005853A9"/>
    <w:rsid w:val="005914FF"/>
    <w:rsid w:val="005934E2"/>
    <w:rsid w:val="005A118C"/>
    <w:rsid w:val="005A2411"/>
    <w:rsid w:val="005A339F"/>
    <w:rsid w:val="005B10C7"/>
    <w:rsid w:val="005C0718"/>
    <w:rsid w:val="005C239D"/>
    <w:rsid w:val="005C35C2"/>
    <w:rsid w:val="005D1EA5"/>
    <w:rsid w:val="005D2380"/>
    <w:rsid w:val="005F3213"/>
    <w:rsid w:val="005F5FB5"/>
    <w:rsid w:val="006046FE"/>
    <w:rsid w:val="00605303"/>
    <w:rsid w:val="0060566C"/>
    <w:rsid w:val="0061794A"/>
    <w:rsid w:val="006217F2"/>
    <w:rsid w:val="00623712"/>
    <w:rsid w:val="00632C5E"/>
    <w:rsid w:val="006444A8"/>
    <w:rsid w:val="006510DC"/>
    <w:rsid w:val="00651586"/>
    <w:rsid w:val="00651AFC"/>
    <w:rsid w:val="006528A9"/>
    <w:rsid w:val="00666824"/>
    <w:rsid w:val="006731AD"/>
    <w:rsid w:val="006766FC"/>
    <w:rsid w:val="00683944"/>
    <w:rsid w:val="006848FF"/>
    <w:rsid w:val="006869E2"/>
    <w:rsid w:val="00696884"/>
    <w:rsid w:val="00697144"/>
    <w:rsid w:val="006A3764"/>
    <w:rsid w:val="006A6E54"/>
    <w:rsid w:val="006A7AA3"/>
    <w:rsid w:val="006B0D2E"/>
    <w:rsid w:val="006B3EA2"/>
    <w:rsid w:val="006C5629"/>
    <w:rsid w:val="006D1D87"/>
    <w:rsid w:val="006E0136"/>
    <w:rsid w:val="006E25E2"/>
    <w:rsid w:val="006E6D11"/>
    <w:rsid w:val="006E7422"/>
    <w:rsid w:val="006F1843"/>
    <w:rsid w:val="006F2DD1"/>
    <w:rsid w:val="006F573D"/>
    <w:rsid w:val="006F72CC"/>
    <w:rsid w:val="00701713"/>
    <w:rsid w:val="0070214A"/>
    <w:rsid w:val="007049C4"/>
    <w:rsid w:val="007063C2"/>
    <w:rsid w:val="007076F1"/>
    <w:rsid w:val="00716BF7"/>
    <w:rsid w:val="0072226F"/>
    <w:rsid w:val="00734DF6"/>
    <w:rsid w:val="00745417"/>
    <w:rsid w:val="0074736D"/>
    <w:rsid w:val="007513DF"/>
    <w:rsid w:val="00752164"/>
    <w:rsid w:val="00752757"/>
    <w:rsid w:val="00755174"/>
    <w:rsid w:val="00761961"/>
    <w:rsid w:val="0076434E"/>
    <w:rsid w:val="007647CF"/>
    <w:rsid w:val="00770D99"/>
    <w:rsid w:val="00774757"/>
    <w:rsid w:val="007817B3"/>
    <w:rsid w:val="007819F5"/>
    <w:rsid w:val="00784905"/>
    <w:rsid w:val="00784D80"/>
    <w:rsid w:val="007A21EF"/>
    <w:rsid w:val="007A4482"/>
    <w:rsid w:val="007A7FFA"/>
    <w:rsid w:val="007C048B"/>
    <w:rsid w:val="007C6390"/>
    <w:rsid w:val="007D1E0A"/>
    <w:rsid w:val="007E47FA"/>
    <w:rsid w:val="007E5C48"/>
    <w:rsid w:val="007E61E6"/>
    <w:rsid w:val="007E6E39"/>
    <w:rsid w:val="007E76C0"/>
    <w:rsid w:val="007F1E7D"/>
    <w:rsid w:val="007F3421"/>
    <w:rsid w:val="007F5AD6"/>
    <w:rsid w:val="00800C02"/>
    <w:rsid w:val="0080501B"/>
    <w:rsid w:val="00807F0F"/>
    <w:rsid w:val="008173FF"/>
    <w:rsid w:val="008205C9"/>
    <w:rsid w:val="0083379F"/>
    <w:rsid w:val="008359B7"/>
    <w:rsid w:val="008371F3"/>
    <w:rsid w:val="00845F2A"/>
    <w:rsid w:val="00853F1D"/>
    <w:rsid w:val="008540AF"/>
    <w:rsid w:val="00854861"/>
    <w:rsid w:val="00860518"/>
    <w:rsid w:val="00871E7A"/>
    <w:rsid w:val="00882FE6"/>
    <w:rsid w:val="00891223"/>
    <w:rsid w:val="008919B1"/>
    <w:rsid w:val="0089341C"/>
    <w:rsid w:val="00893E79"/>
    <w:rsid w:val="008965CA"/>
    <w:rsid w:val="008A38B9"/>
    <w:rsid w:val="008A7E51"/>
    <w:rsid w:val="008B2B64"/>
    <w:rsid w:val="008C01D3"/>
    <w:rsid w:val="008C1AFE"/>
    <w:rsid w:val="008E02F8"/>
    <w:rsid w:val="008E6F8C"/>
    <w:rsid w:val="008F75F8"/>
    <w:rsid w:val="008F77A1"/>
    <w:rsid w:val="00902119"/>
    <w:rsid w:val="00906240"/>
    <w:rsid w:val="00907A07"/>
    <w:rsid w:val="00913E6B"/>
    <w:rsid w:val="009161D0"/>
    <w:rsid w:val="00917935"/>
    <w:rsid w:val="009237CC"/>
    <w:rsid w:val="00924671"/>
    <w:rsid w:val="0092636B"/>
    <w:rsid w:val="009313B8"/>
    <w:rsid w:val="00932C29"/>
    <w:rsid w:val="009351B1"/>
    <w:rsid w:val="009437AE"/>
    <w:rsid w:val="00943A7E"/>
    <w:rsid w:val="00944921"/>
    <w:rsid w:val="0094545D"/>
    <w:rsid w:val="00946755"/>
    <w:rsid w:val="00952797"/>
    <w:rsid w:val="009544D5"/>
    <w:rsid w:val="0095728C"/>
    <w:rsid w:val="00960707"/>
    <w:rsid w:val="00975D16"/>
    <w:rsid w:val="00983C67"/>
    <w:rsid w:val="00985971"/>
    <w:rsid w:val="009862AE"/>
    <w:rsid w:val="0098784E"/>
    <w:rsid w:val="00995E30"/>
    <w:rsid w:val="009965B4"/>
    <w:rsid w:val="009A2657"/>
    <w:rsid w:val="009A3480"/>
    <w:rsid w:val="009A3F2D"/>
    <w:rsid w:val="009A7887"/>
    <w:rsid w:val="009B0EBD"/>
    <w:rsid w:val="009B3158"/>
    <w:rsid w:val="009D4CC3"/>
    <w:rsid w:val="009E2892"/>
    <w:rsid w:val="009E5C76"/>
    <w:rsid w:val="009F0C16"/>
    <w:rsid w:val="009F48D7"/>
    <w:rsid w:val="00A01FA6"/>
    <w:rsid w:val="00A078F5"/>
    <w:rsid w:val="00A109A5"/>
    <w:rsid w:val="00A12897"/>
    <w:rsid w:val="00A151E3"/>
    <w:rsid w:val="00A17F5B"/>
    <w:rsid w:val="00A22E72"/>
    <w:rsid w:val="00A30EA0"/>
    <w:rsid w:val="00A3165C"/>
    <w:rsid w:val="00A33EB6"/>
    <w:rsid w:val="00A34905"/>
    <w:rsid w:val="00A35F22"/>
    <w:rsid w:val="00A44143"/>
    <w:rsid w:val="00A4731B"/>
    <w:rsid w:val="00A535A9"/>
    <w:rsid w:val="00A64358"/>
    <w:rsid w:val="00A659DE"/>
    <w:rsid w:val="00A721A3"/>
    <w:rsid w:val="00A72EE6"/>
    <w:rsid w:val="00A83BCA"/>
    <w:rsid w:val="00A85241"/>
    <w:rsid w:val="00A87093"/>
    <w:rsid w:val="00A87280"/>
    <w:rsid w:val="00AB14BB"/>
    <w:rsid w:val="00AB16FD"/>
    <w:rsid w:val="00AB3651"/>
    <w:rsid w:val="00AB3CD9"/>
    <w:rsid w:val="00AC241A"/>
    <w:rsid w:val="00AC63D2"/>
    <w:rsid w:val="00AC7D91"/>
    <w:rsid w:val="00AD46F7"/>
    <w:rsid w:val="00AE1892"/>
    <w:rsid w:val="00AE3A0C"/>
    <w:rsid w:val="00AE3D0F"/>
    <w:rsid w:val="00AE5A8C"/>
    <w:rsid w:val="00AF54F9"/>
    <w:rsid w:val="00AF61EE"/>
    <w:rsid w:val="00B0000F"/>
    <w:rsid w:val="00B07EE0"/>
    <w:rsid w:val="00B10664"/>
    <w:rsid w:val="00B15E8C"/>
    <w:rsid w:val="00B20B49"/>
    <w:rsid w:val="00B22868"/>
    <w:rsid w:val="00B307D4"/>
    <w:rsid w:val="00B367C7"/>
    <w:rsid w:val="00B47812"/>
    <w:rsid w:val="00B52930"/>
    <w:rsid w:val="00B545CA"/>
    <w:rsid w:val="00B57DB6"/>
    <w:rsid w:val="00B66898"/>
    <w:rsid w:val="00B72F85"/>
    <w:rsid w:val="00B7594C"/>
    <w:rsid w:val="00B77AE4"/>
    <w:rsid w:val="00B80840"/>
    <w:rsid w:val="00B81072"/>
    <w:rsid w:val="00B86BB6"/>
    <w:rsid w:val="00B93462"/>
    <w:rsid w:val="00B9743B"/>
    <w:rsid w:val="00B9794A"/>
    <w:rsid w:val="00BA003B"/>
    <w:rsid w:val="00BA2B2E"/>
    <w:rsid w:val="00BA69E8"/>
    <w:rsid w:val="00BB3FF4"/>
    <w:rsid w:val="00BC29EC"/>
    <w:rsid w:val="00BC6055"/>
    <w:rsid w:val="00BC7C3C"/>
    <w:rsid w:val="00BD27E4"/>
    <w:rsid w:val="00BD31C2"/>
    <w:rsid w:val="00BD39F5"/>
    <w:rsid w:val="00BD54B4"/>
    <w:rsid w:val="00BD70A3"/>
    <w:rsid w:val="00BE2AF1"/>
    <w:rsid w:val="00BE30DD"/>
    <w:rsid w:val="00BE36F0"/>
    <w:rsid w:val="00BF6045"/>
    <w:rsid w:val="00BF6935"/>
    <w:rsid w:val="00C0662A"/>
    <w:rsid w:val="00C06EAB"/>
    <w:rsid w:val="00C33DB3"/>
    <w:rsid w:val="00C370EF"/>
    <w:rsid w:val="00C446C1"/>
    <w:rsid w:val="00C52495"/>
    <w:rsid w:val="00C53E0E"/>
    <w:rsid w:val="00C57800"/>
    <w:rsid w:val="00C72B7D"/>
    <w:rsid w:val="00C74C0A"/>
    <w:rsid w:val="00C851DF"/>
    <w:rsid w:val="00C94BDC"/>
    <w:rsid w:val="00CA6980"/>
    <w:rsid w:val="00CA69A9"/>
    <w:rsid w:val="00CB5268"/>
    <w:rsid w:val="00CB76A8"/>
    <w:rsid w:val="00CC1381"/>
    <w:rsid w:val="00CC2819"/>
    <w:rsid w:val="00CE0BAC"/>
    <w:rsid w:val="00CE10B2"/>
    <w:rsid w:val="00CE21E4"/>
    <w:rsid w:val="00CE613A"/>
    <w:rsid w:val="00CE6FCF"/>
    <w:rsid w:val="00CF2DD4"/>
    <w:rsid w:val="00CF4407"/>
    <w:rsid w:val="00D20632"/>
    <w:rsid w:val="00D21B4C"/>
    <w:rsid w:val="00D23C83"/>
    <w:rsid w:val="00D321C9"/>
    <w:rsid w:val="00D32AA2"/>
    <w:rsid w:val="00D40E32"/>
    <w:rsid w:val="00D424F4"/>
    <w:rsid w:val="00D5612B"/>
    <w:rsid w:val="00D75FB8"/>
    <w:rsid w:val="00D766C2"/>
    <w:rsid w:val="00D8777F"/>
    <w:rsid w:val="00DB05F9"/>
    <w:rsid w:val="00DC066C"/>
    <w:rsid w:val="00DC329E"/>
    <w:rsid w:val="00DD216A"/>
    <w:rsid w:val="00DD2D97"/>
    <w:rsid w:val="00DD71F8"/>
    <w:rsid w:val="00DE1667"/>
    <w:rsid w:val="00DE479D"/>
    <w:rsid w:val="00E047D9"/>
    <w:rsid w:val="00E109BA"/>
    <w:rsid w:val="00E11F9E"/>
    <w:rsid w:val="00E20919"/>
    <w:rsid w:val="00E225B3"/>
    <w:rsid w:val="00E273B6"/>
    <w:rsid w:val="00E27BF5"/>
    <w:rsid w:val="00E32784"/>
    <w:rsid w:val="00E365C2"/>
    <w:rsid w:val="00E376F8"/>
    <w:rsid w:val="00E4364C"/>
    <w:rsid w:val="00E47889"/>
    <w:rsid w:val="00E551A6"/>
    <w:rsid w:val="00E62112"/>
    <w:rsid w:val="00E64AA5"/>
    <w:rsid w:val="00E664E4"/>
    <w:rsid w:val="00E750BE"/>
    <w:rsid w:val="00E76176"/>
    <w:rsid w:val="00E80AA1"/>
    <w:rsid w:val="00E822FA"/>
    <w:rsid w:val="00E82366"/>
    <w:rsid w:val="00E82772"/>
    <w:rsid w:val="00E829D0"/>
    <w:rsid w:val="00E859D3"/>
    <w:rsid w:val="00E85FDF"/>
    <w:rsid w:val="00E9624E"/>
    <w:rsid w:val="00E97C8B"/>
    <w:rsid w:val="00EA5FE7"/>
    <w:rsid w:val="00EC3E46"/>
    <w:rsid w:val="00EC4C87"/>
    <w:rsid w:val="00EC5877"/>
    <w:rsid w:val="00EC7BA5"/>
    <w:rsid w:val="00ED16EE"/>
    <w:rsid w:val="00ED2F10"/>
    <w:rsid w:val="00ED53C6"/>
    <w:rsid w:val="00EE0D6C"/>
    <w:rsid w:val="00EE6922"/>
    <w:rsid w:val="00EF093E"/>
    <w:rsid w:val="00EF2606"/>
    <w:rsid w:val="00EF5D26"/>
    <w:rsid w:val="00F0647A"/>
    <w:rsid w:val="00F116B2"/>
    <w:rsid w:val="00F130C0"/>
    <w:rsid w:val="00F13B60"/>
    <w:rsid w:val="00F22B72"/>
    <w:rsid w:val="00F329F3"/>
    <w:rsid w:val="00F32FD3"/>
    <w:rsid w:val="00F3345A"/>
    <w:rsid w:val="00F37760"/>
    <w:rsid w:val="00F37C4F"/>
    <w:rsid w:val="00F43358"/>
    <w:rsid w:val="00F46CDD"/>
    <w:rsid w:val="00F61233"/>
    <w:rsid w:val="00F65F48"/>
    <w:rsid w:val="00F6611D"/>
    <w:rsid w:val="00F73746"/>
    <w:rsid w:val="00F73813"/>
    <w:rsid w:val="00F817E3"/>
    <w:rsid w:val="00F905EA"/>
    <w:rsid w:val="00F938ED"/>
    <w:rsid w:val="00F93F90"/>
    <w:rsid w:val="00F94CCE"/>
    <w:rsid w:val="00F97808"/>
    <w:rsid w:val="00F97CA4"/>
    <w:rsid w:val="00FA6E96"/>
    <w:rsid w:val="00FB0AD6"/>
    <w:rsid w:val="00FB33A7"/>
    <w:rsid w:val="00FB5C20"/>
    <w:rsid w:val="00FC45C9"/>
    <w:rsid w:val="00FC4777"/>
    <w:rsid w:val="00FD388F"/>
    <w:rsid w:val="00FD70EC"/>
    <w:rsid w:val="00FE3029"/>
    <w:rsid w:val="00FE3781"/>
    <w:rsid w:val="00FE42DF"/>
    <w:rsid w:val="00FE6F69"/>
    <w:rsid w:val="00FF018E"/>
    <w:rsid w:val="00FF2F8C"/>
    <w:rsid w:val="00FF71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able of figures"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36B"/>
  </w:style>
  <w:style w:type="paragraph" w:styleId="Heading3">
    <w:name w:val="heading 3"/>
    <w:basedOn w:val="Normal"/>
    <w:next w:val="Normal"/>
    <w:link w:val="Heading3Char"/>
    <w:uiPriority w:val="9"/>
    <w:semiHidden/>
    <w:unhideWhenUsed/>
    <w:qFormat/>
    <w:rsid w:val="00AD46F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AD46F7"/>
    <w:pPr>
      <w:keepNext/>
      <w:spacing w:before="120" w:after="60" w:line="240" w:lineRule="auto"/>
      <w:outlineLvl w:val="3"/>
    </w:pPr>
    <w:rPr>
      <w:rFonts w:ascii="Arial" w:eastAsia="Times New Roman" w:hAnsi="Arial" w:cs="Times New Roman"/>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AD46F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AD46F7"/>
    <w:rPr>
      <w:rFonts w:ascii="Arial" w:eastAsia="Times New Roman" w:hAnsi="Arial" w:cs="Times New Roman"/>
      <w:b/>
      <w:bCs/>
      <w:szCs w:val="28"/>
    </w:rPr>
  </w:style>
  <w:style w:type="paragraph" w:customStyle="1" w:styleId="Level1">
    <w:name w:val="Level 1"/>
    <w:rsid w:val="007C048B"/>
    <w:pPr>
      <w:autoSpaceDE w:val="0"/>
      <w:autoSpaceDN w:val="0"/>
      <w:adjustRightInd w:val="0"/>
      <w:spacing w:after="0" w:line="240" w:lineRule="auto"/>
      <w:ind w:left="720"/>
    </w:pPr>
    <w:rPr>
      <w:rFonts w:ascii="Times New Roman" w:eastAsia="Times New Roman" w:hAnsi="Times New Roman" w:cs="Times New Roman"/>
      <w:sz w:val="24"/>
      <w:szCs w:val="24"/>
    </w:rPr>
  </w:style>
  <w:style w:type="paragraph" w:styleId="TableofFigures">
    <w:name w:val="table of figures"/>
    <w:basedOn w:val="Normal"/>
    <w:next w:val="Normal"/>
    <w:semiHidden/>
    <w:rsid w:val="007C048B"/>
    <w:pPr>
      <w:spacing w:after="0" w:line="240" w:lineRule="auto"/>
      <w:ind w:left="480" w:hanging="480"/>
    </w:pPr>
    <w:rPr>
      <w:rFonts w:ascii="Times New Roman" w:eastAsia="Times New Roman" w:hAnsi="Times New Roman" w:cs="Times New Roman"/>
      <w:sz w:val="24"/>
      <w:szCs w:val="24"/>
    </w:rPr>
  </w:style>
  <w:style w:type="character" w:styleId="Hyperlink">
    <w:name w:val="Hyperlink"/>
    <w:basedOn w:val="DefaultParagraphFont"/>
    <w:rsid w:val="007C048B"/>
    <w:rPr>
      <w:color w:val="0000FF"/>
      <w:u w:val="single"/>
    </w:rPr>
  </w:style>
  <w:style w:type="paragraph" w:styleId="TOC1">
    <w:name w:val="toc 1"/>
    <w:basedOn w:val="Normal"/>
    <w:next w:val="Normal"/>
    <w:autoRedefine/>
    <w:semiHidden/>
    <w:rsid w:val="007C048B"/>
    <w:pPr>
      <w:spacing w:after="0" w:line="240" w:lineRule="auto"/>
    </w:pPr>
    <w:rPr>
      <w:rFonts w:ascii="Times New Roman" w:eastAsia="Times New Roman" w:hAnsi="Times New Roman" w:cs="Times New Roman"/>
      <w:sz w:val="24"/>
      <w:szCs w:val="24"/>
    </w:rPr>
  </w:style>
  <w:style w:type="paragraph" w:styleId="TOC2">
    <w:name w:val="toc 2"/>
    <w:basedOn w:val="Normal"/>
    <w:next w:val="Normal"/>
    <w:autoRedefine/>
    <w:semiHidden/>
    <w:rsid w:val="007C048B"/>
    <w:pPr>
      <w:spacing w:after="0" w:line="240" w:lineRule="auto"/>
      <w:ind w:left="240"/>
    </w:pPr>
    <w:rPr>
      <w:rFonts w:ascii="Times New Roman" w:eastAsia="Times New Roman" w:hAnsi="Times New Roman" w:cs="Times New Roman"/>
      <w:sz w:val="24"/>
      <w:szCs w:val="24"/>
    </w:rPr>
  </w:style>
  <w:style w:type="paragraph" w:styleId="TOC3">
    <w:name w:val="toc 3"/>
    <w:basedOn w:val="Normal"/>
    <w:next w:val="Normal"/>
    <w:autoRedefine/>
    <w:semiHidden/>
    <w:rsid w:val="007C048B"/>
    <w:pPr>
      <w:spacing w:after="0" w:line="240" w:lineRule="auto"/>
      <w:ind w:left="480"/>
    </w:pPr>
    <w:rPr>
      <w:rFonts w:ascii="Times New Roman" w:eastAsia="Times New Roman" w:hAnsi="Times New Roman" w:cs="Times New Roman"/>
      <w:sz w:val="24"/>
      <w:szCs w:val="24"/>
    </w:rPr>
  </w:style>
  <w:style w:type="paragraph" w:styleId="ListParagraph">
    <w:name w:val="List Paragraph"/>
    <w:basedOn w:val="Normal"/>
    <w:uiPriority w:val="34"/>
    <w:qFormat/>
    <w:rsid w:val="007C048B"/>
    <w:pPr>
      <w:ind w:left="720"/>
      <w:contextualSpacing/>
    </w:pPr>
  </w:style>
  <w:style w:type="paragraph" w:styleId="BalloonText">
    <w:name w:val="Balloon Text"/>
    <w:basedOn w:val="Normal"/>
    <w:link w:val="BalloonTextChar"/>
    <w:uiPriority w:val="99"/>
    <w:semiHidden/>
    <w:unhideWhenUsed/>
    <w:rsid w:val="000537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37A8"/>
    <w:rPr>
      <w:rFonts w:ascii="Tahoma" w:hAnsi="Tahoma" w:cs="Tahoma"/>
      <w:sz w:val="16"/>
      <w:szCs w:val="16"/>
    </w:rPr>
  </w:style>
  <w:style w:type="paragraph" w:styleId="Caption">
    <w:name w:val="caption"/>
    <w:basedOn w:val="Normal"/>
    <w:next w:val="Normal"/>
    <w:qFormat/>
    <w:rsid w:val="00E109BA"/>
    <w:pPr>
      <w:spacing w:after="0" w:line="240" w:lineRule="auto"/>
    </w:pPr>
    <w:rPr>
      <w:rFonts w:ascii="Times New Roman" w:eastAsia="Times New Roman" w:hAnsi="Times New Roman" w:cs="Times New Roman"/>
      <w:b/>
      <w:bCs/>
      <w:sz w:val="20"/>
      <w:szCs w:val="20"/>
    </w:rPr>
  </w:style>
  <w:style w:type="character" w:styleId="PlaceholderText">
    <w:name w:val="Placeholder Text"/>
    <w:basedOn w:val="DefaultParagraphFont"/>
    <w:uiPriority w:val="99"/>
    <w:semiHidden/>
    <w:rsid w:val="00E109BA"/>
    <w:rPr>
      <w:color w:val="808080"/>
    </w:rPr>
  </w:style>
  <w:style w:type="paragraph" w:styleId="BodyText">
    <w:name w:val="Body Text"/>
    <w:basedOn w:val="Normal"/>
    <w:link w:val="BodyTextChar"/>
    <w:rsid w:val="00AD46F7"/>
    <w:pPr>
      <w:spacing w:after="0" w:line="240" w:lineRule="auto"/>
    </w:pPr>
    <w:rPr>
      <w:rFonts w:ascii="Times New Roman" w:eastAsia="Times New Roman" w:hAnsi="Times New Roman" w:cs="Times New Roman"/>
      <w:sz w:val="18"/>
      <w:szCs w:val="24"/>
    </w:rPr>
  </w:style>
  <w:style w:type="character" w:customStyle="1" w:styleId="BodyTextChar">
    <w:name w:val="Body Text Char"/>
    <w:basedOn w:val="DefaultParagraphFont"/>
    <w:link w:val="BodyText"/>
    <w:rsid w:val="00AD46F7"/>
    <w:rPr>
      <w:rFonts w:ascii="Times New Roman" w:eastAsia="Times New Roman" w:hAnsi="Times New Roman" w:cs="Times New Roman"/>
      <w:sz w:val="18"/>
      <w:szCs w:val="24"/>
    </w:rPr>
  </w:style>
  <w:style w:type="paragraph" w:customStyle="1" w:styleId="LABEL">
    <w:name w:val="LABEL"/>
    <w:basedOn w:val="Normal"/>
    <w:rsid w:val="00AD46F7"/>
    <w:pPr>
      <w:widowControl w:val="0"/>
      <w:spacing w:before="60" w:after="60" w:line="240" w:lineRule="auto"/>
      <w:jc w:val="center"/>
    </w:pPr>
    <w:rPr>
      <w:rFonts w:ascii="Times New Roman" w:eastAsia="Times New Roman" w:hAnsi="Times New Roman" w:cs="Times New Roman"/>
      <w:b/>
      <w:szCs w:val="20"/>
    </w:rPr>
  </w:style>
  <w:style w:type="paragraph" w:customStyle="1" w:styleId="Normal2">
    <w:name w:val="Normal+2"/>
    <w:basedOn w:val="Normal"/>
    <w:next w:val="Normal"/>
    <w:rsid w:val="00AD46F7"/>
    <w:pPr>
      <w:autoSpaceDE w:val="0"/>
      <w:autoSpaceDN w:val="0"/>
      <w:adjustRightInd w:val="0"/>
      <w:spacing w:after="0" w:line="240" w:lineRule="auto"/>
    </w:pPr>
    <w:rPr>
      <w:rFonts w:ascii="Times New Roman" w:eastAsia="Times New Roman" w:hAnsi="Times New Roman" w:cs="Times New Roman"/>
      <w:sz w:val="24"/>
      <w:szCs w:val="24"/>
    </w:rPr>
  </w:style>
  <w:style w:type="character" w:styleId="HTMLCite">
    <w:name w:val="HTML Cite"/>
    <w:uiPriority w:val="99"/>
    <w:unhideWhenUsed/>
    <w:rsid w:val="00AD46F7"/>
    <w:rPr>
      <w:i/>
      <w:iCs/>
    </w:rPr>
  </w:style>
  <w:style w:type="paragraph" w:styleId="Header">
    <w:name w:val="header"/>
    <w:basedOn w:val="Normal"/>
    <w:link w:val="HeaderChar"/>
    <w:uiPriority w:val="99"/>
    <w:unhideWhenUsed/>
    <w:rsid w:val="00A151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1E3"/>
  </w:style>
  <w:style w:type="paragraph" w:styleId="Footer">
    <w:name w:val="footer"/>
    <w:basedOn w:val="Normal"/>
    <w:link w:val="FooterChar"/>
    <w:uiPriority w:val="99"/>
    <w:unhideWhenUsed/>
    <w:rsid w:val="00A151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1E3"/>
  </w:style>
  <w:style w:type="table" w:styleId="TableGrid">
    <w:name w:val="Table Grid"/>
    <w:basedOn w:val="TableNormal"/>
    <w:rsid w:val="00871E7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E664E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able of figures"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36B"/>
  </w:style>
  <w:style w:type="paragraph" w:styleId="Heading3">
    <w:name w:val="heading 3"/>
    <w:basedOn w:val="Normal"/>
    <w:next w:val="Normal"/>
    <w:link w:val="Heading3Char"/>
    <w:uiPriority w:val="9"/>
    <w:semiHidden/>
    <w:unhideWhenUsed/>
    <w:qFormat/>
    <w:rsid w:val="00AD46F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AD46F7"/>
    <w:pPr>
      <w:keepNext/>
      <w:spacing w:before="120" w:after="60" w:line="240" w:lineRule="auto"/>
      <w:outlineLvl w:val="3"/>
    </w:pPr>
    <w:rPr>
      <w:rFonts w:ascii="Arial" w:eastAsia="Times New Roman" w:hAnsi="Arial" w:cs="Times New Roman"/>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AD46F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AD46F7"/>
    <w:rPr>
      <w:rFonts w:ascii="Arial" w:eastAsia="Times New Roman" w:hAnsi="Arial" w:cs="Times New Roman"/>
      <w:b/>
      <w:bCs/>
      <w:szCs w:val="28"/>
    </w:rPr>
  </w:style>
  <w:style w:type="paragraph" w:customStyle="1" w:styleId="Level1">
    <w:name w:val="Level 1"/>
    <w:rsid w:val="007C048B"/>
    <w:pPr>
      <w:autoSpaceDE w:val="0"/>
      <w:autoSpaceDN w:val="0"/>
      <w:adjustRightInd w:val="0"/>
      <w:spacing w:after="0" w:line="240" w:lineRule="auto"/>
      <w:ind w:left="720"/>
    </w:pPr>
    <w:rPr>
      <w:rFonts w:ascii="Times New Roman" w:eastAsia="Times New Roman" w:hAnsi="Times New Roman" w:cs="Times New Roman"/>
      <w:sz w:val="24"/>
      <w:szCs w:val="24"/>
    </w:rPr>
  </w:style>
  <w:style w:type="paragraph" w:styleId="TableofFigures">
    <w:name w:val="table of figures"/>
    <w:basedOn w:val="Normal"/>
    <w:next w:val="Normal"/>
    <w:semiHidden/>
    <w:rsid w:val="007C048B"/>
    <w:pPr>
      <w:spacing w:after="0" w:line="240" w:lineRule="auto"/>
      <w:ind w:left="480" w:hanging="480"/>
    </w:pPr>
    <w:rPr>
      <w:rFonts w:ascii="Times New Roman" w:eastAsia="Times New Roman" w:hAnsi="Times New Roman" w:cs="Times New Roman"/>
      <w:sz w:val="24"/>
      <w:szCs w:val="24"/>
    </w:rPr>
  </w:style>
  <w:style w:type="character" w:styleId="Hyperlink">
    <w:name w:val="Hyperlink"/>
    <w:basedOn w:val="DefaultParagraphFont"/>
    <w:rsid w:val="007C048B"/>
    <w:rPr>
      <w:color w:val="0000FF"/>
      <w:u w:val="single"/>
    </w:rPr>
  </w:style>
  <w:style w:type="paragraph" w:styleId="TOC1">
    <w:name w:val="toc 1"/>
    <w:basedOn w:val="Normal"/>
    <w:next w:val="Normal"/>
    <w:autoRedefine/>
    <w:semiHidden/>
    <w:rsid w:val="007C048B"/>
    <w:pPr>
      <w:spacing w:after="0" w:line="240" w:lineRule="auto"/>
    </w:pPr>
    <w:rPr>
      <w:rFonts w:ascii="Times New Roman" w:eastAsia="Times New Roman" w:hAnsi="Times New Roman" w:cs="Times New Roman"/>
      <w:sz w:val="24"/>
      <w:szCs w:val="24"/>
    </w:rPr>
  </w:style>
  <w:style w:type="paragraph" w:styleId="TOC2">
    <w:name w:val="toc 2"/>
    <w:basedOn w:val="Normal"/>
    <w:next w:val="Normal"/>
    <w:autoRedefine/>
    <w:semiHidden/>
    <w:rsid w:val="007C048B"/>
    <w:pPr>
      <w:spacing w:after="0" w:line="240" w:lineRule="auto"/>
      <w:ind w:left="240"/>
    </w:pPr>
    <w:rPr>
      <w:rFonts w:ascii="Times New Roman" w:eastAsia="Times New Roman" w:hAnsi="Times New Roman" w:cs="Times New Roman"/>
      <w:sz w:val="24"/>
      <w:szCs w:val="24"/>
    </w:rPr>
  </w:style>
  <w:style w:type="paragraph" w:styleId="TOC3">
    <w:name w:val="toc 3"/>
    <w:basedOn w:val="Normal"/>
    <w:next w:val="Normal"/>
    <w:autoRedefine/>
    <w:semiHidden/>
    <w:rsid w:val="007C048B"/>
    <w:pPr>
      <w:spacing w:after="0" w:line="240" w:lineRule="auto"/>
      <w:ind w:left="480"/>
    </w:pPr>
    <w:rPr>
      <w:rFonts w:ascii="Times New Roman" w:eastAsia="Times New Roman" w:hAnsi="Times New Roman" w:cs="Times New Roman"/>
      <w:sz w:val="24"/>
      <w:szCs w:val="24"/>
    </w:rPr>
  </w:style>
  <w:style w:type="paragraph" w:styleId="ListParagraph">
    <w:name w:val="List Paragraph"/>
    <w:basedOn w:val="Normal"/>
    <w:uiPriority w:val="34"/>
    <w:qFormat/>
    <w:rsid w:val="007C048B"/>
    <w:pPr>
      <w:ind w:left="720"/>
      <w:contextualSpacing/>
    </w:pPr>
  </w:style>
  <w:style w:type="paragraph" w:styleId="BalloonText">
    <w:name w:val="Balloon Text"/>
    <w:basedOn w:val="Normal"/>
    <w:link w:val="BalloonTextChar"/>
    <w:uiPriority w:val="99"/>
    <w:semiHidden/>
    <w:unhideWhenUsed/>
    <w:rsid w:val="000537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37A8"/>
    <w:rPr>
      <w:rFonts w:ascii="Tahoma" w:hAnsi="Tahoma" w:cs="Tahoma"/>
      <w:sz w:val="16"/>
      <w:szCs w:val="16"/>
    </w:rPr>
  </w:style>
  <w:style w:type="paragraph" w:styleId="Caption">
    <w:name w:val="caption"/>
    <w:basedOn w:val="Normal"/>
    <w:next w:val="Normal"/>
    <w:qFormat/>
    <w:rsid w:val="00E109BA"/>
    <w:pPr>
      <w:spacing w:after="0" w:line="240" w:lineRule="auto"/>
    </w:pPr>
    <w:rPr>
      <w:rFonts w:ascii="Times New Roman" w:eastAsia="Times New Roman" w:hAnsi="Times New Roman" w:cs="Times New Roman"/>
      <w:b/>
      <w:bCs/>
      <w:sz w:val="20"/>
      <w:szCs w:val="20"/>
    </w:rPr>
  </w:style>
  <w:style w:type="character" w:styleId="PlaceholderText">
    <w:name w:val="Placeholder Text"/>
    <w:basedOn w:val="DefaultParagraphFont"/>
    <w:uiPriority w:val="99"/>
    <w:semiHidden/>
    <w:rsid w:val="00E109BA"/>
    <w:rPr>
      <w:color w:val="808080"/>
    </w:rPr>
  </w:style>
  <w:style w:type="paragraph" w:styleId="BodyText">
    <w:name w:val="Body Text"/>
    <w:basedOn w:val="Normal"/>
    <w:link w:val="BodyTextChar"/>
    <w:rsid w:val="00AD46F7"/>
    <w:pPr>
      <w:spacing w:after="0" w:line="240" w:lineRule="auto"/>
    </w:pPr>
    <w:rPr>
      <w:rFonts w:ascii="Times New Roman" w:eastAsia="Times New Roman" w:hAnsi="Times New Roman" w:cs="Times New Roman"/>
      <w:sz w:val="18"/>
      <w:szCs w:val="24"/>
    </w:rPr>
  </w:style>
  <w:style w:type="character" w:customStyle="1" w:styleId="BodyTextChar">
    <w:name w:val="Body Text Char"/>
    <w:basedOn w:val="DefaultParagraphFont"/>
    <w:link w:val="BodyText"/>
    <w:rsid w:val="00AD46F7"/>
    <w:rPr>
      <w:rFonts w:ascii="Times New Roman" w:eastAsia="Times New Roman" w:hAnsi="Times New Roman" w:cs="Times New Roman"/>
      <w:sz w:val="18"/>
      <w:szCs w:val="24"/>
    </w:rPr>
  </w:style>
  <w:style w:type="paragraph" w:customStyle="1" w:styleId="LABEL">
    <w:name w:val="LABEL"/>
    <w:basedOn w:val="Normal"/>
    <w:rsid w:val="00AD46F7"/>
    <w:pPr>
      <w:widowControl w:val="0"/>
      <w:spacing w:before="60" w:after="60" w:line="240" w:lineRule="auto"/>
      <w:jc w:val="center"/>
    </w:pPr>
    <w:rPr>
      <w:rFonts w:ascii="Times New Roman" w:eastAsia="Times New Roman" w:hAnsi="Times New Roman" w:cs="Times New Roman"/>
      <w:b/>
      <w:szCs w:val="20"/>
    </w:rPr>
  </w:style>
  <w:style w:type="paragraph" w:customStyle="1" w:styleId="Normal2">
    <w:name w:val="Normal+2"/>
    <w:basedOn w:val="Normal"/>
    <w:next w:val="Normal"/>
    <w:rsid w:val="00AD46F7"/>
    <w:pPr>
      <w:autoSpaceDE w:val="0"/>
      <w:autoSpaceDN w:val="0"/>
      <w:adjustRightInd w:val="0"/>
      <w:spacing w:after="0" w:line="240" w:lineRule="auto"/>
    </w:pPr>
    <w:rPr>
      <w:rFonts w:ascii="Times New Roman" w:eastAsia="Times New Roman" w:hAnsi="Times New Roman" w:cs="Times New Roman"/>
      <w:sz w:val="24"/>
      <w:szCs w:val="24"/>
    </w:rPr>
  </w:style>
  <w:style w:type="character" w:styleId="HTMLCite">
    <w:name w:val="HTML Cite"/>
    <w:uiPriority w:val="99"/>
    <w:unhideWhenUsed/>
    <w:rsid w:val="00AD46F7"/>
    <w:rPr>
      <w:i/>
      <w:iCs/>
    </w:rPr>
  </w:style>
  <w:style w:type="paragraph" w:styleId="Header">
    <w:name w:val="header"/>
    <w:basedOn w:val="Normal"/>
    <w:link w:val="HeaderChar"/>
    <w:uiPriority w:val="99"/>
    <w:unhideWhenUsed/>
    <w:rsid w:val="00A151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1E3"/>
  </w:style>
  <w:style w:type="paragraph" w:styleId="Footer">
    <w:name w:val="footer"/>
    <w:basedOn w:val="Normal"/>
    <w:link w:val="FooterChar"/>
    <w:uiPriority w:val="99"/>
    <w:unhideWhenUsed/>
    <w:rsid w:val="00A151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1E3"/>
  </w:style>
  <w:style w:type="table" w:styleId="TableGrid">
    <w:name w:val="Table Grid"/>
    <w:basedOn w:val="TableNormal"/>
    <w:rsid w:val="00871E7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E664E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43428">
      <w:bodyDiv w:val="1"/>
      <w:marLeft w:val="0"/>
      <w:marRight w:val="0"/>
      <w:marTop w:val="0"/>
      <w:marBottom w:val="0"/>
      <w:divBdr>
        <w:top w:val="none" w:sz="0" w:space="0" w:color="auto"/>
        <w:left w:val="none" w:sz="0" w:space="0" w:color="auto"/>
        <w:bottom w:val="none" w:sz="0" w:space="0" w:color="auto"/>
        <w:right w:val="none" w:sz="0" w:space="0" w:color="auto"/>
      </w:divBdr>
    </w:div>
    <w:div w:id="35853951">
      <w:bodyDiv w:val="1"/>
      <w:marLeft w:val="0"/>
      <w:marRight w:val="0"/>
      <w:marTop w:val="0"/>
      <w:marBottom w:val="0"/>
      <w:divBdr>
        <w:top w:val="none" w:sz="0" w:space="0" w:color="auto"/>
        <w:left w:val="none" w:sz="0" w:space="0" w:color="auto"/>
        <w:bottom w:val="none" w:sz="0" w:space="0" w:color="auto"/>
        <w:right w:val="none" w:sz="0" w:space="0" w:color="auto"/>
      </w:divBdr>
    </w:div>
    <w:div w:id="36125126">
      <w:bodyDiv w:val="1"/>
      <w:marLeft w:val="0"/>
      <w:marRight w:val="0"/>
      <w:marTop w:val="0"/>
      <w:marBottom w:val="0"/>
      <w:divBdr>
        <w:top w:val="none" w:sz="0" w:space="0" w:color="auto"/>
        <w:left w:val="none" w:sz="0" w:space="0" w:color="auto"/>
        <w:bottom w:val="none" w:sz="0" w:space="0" w:color="auto"/>
        <w:right w:val="none" w:sz="0" w:space="0" w:color="auto"/>
      </w:divBdr>
    </w:div>
    <w:div w:id="64188532">
      <w:bodyDiv w:val="1"/>
      <w:marLeft w:val="0"/>
      <w:marRight w:val="0"/>
      <w:marTop w:val="0"/>
      <w:marBottom w:val="0"/>
      <w:divBdr>
        <w:top w:val="none" w:sz="0" w:space="0" w:color="auto"/>
        <w:left w:val="none" w:sz="0" w:space="0" w:color="auto"/>
        <w:bottom w:val="none" w:sz="0" w:space="0" w:color="auto"/>
        <w:right w:val="none" w:sz="0" w:space="0" w:color="auto"/>
      </w:divBdr>
    </w:div>
    <w:div w:id="65154868">
      <w:bodyDiv w:val="1"/>
      <w:marLeft w:val="0"/>
      <w:marRight w:val="0"/>
      <w:marTop w:val="0"/>
      <w:marBottom w:val="0"/>
      <w:divBdr>
        <w:top w:val="none" w:sz="0" w:space="0" w:color="auto"/>
        <w:left w:val="none" w:sz="0" w:space="0" w:color="auto"/>
        <w:bottom w:val="none" w:sz="0" w:space="0" w:color="auto"/>
        <w:right w:val="none" w:sz="0" w:space="0" w:color="auto"/>
      </w:divBdr>
    </w:div>
    <w:div w:id="68502774">
      <w:bodyDiv w:val="1"/>
      <w:marLeft w:val="0"/>
      <w:marRight w:val="0"/>
      <w:marTop w:val="0"/>
      <w:marBottom w:val="0"/>
      <w:divBdr>
        <w:top w:val="none" w:sz="0" w:space="0" w:color="auto"/>
        <w:left w:val="none" w:sz="0" w:space="0" w:color="auto"/>
        <w:bottom w:val="none" w:sz="0" w:space="0" w:color="auto"/>
        <w:right w:val="none" w:sz="0" w:space="0" w:color="auto"/>
      </w:divBdr>
    </w:div>
    <w:div w:id="135992493">
      <w:bodyDiv w:val="1"/>
      <w:marLeft w:val="0"/>
      <w:marRight w:val="0"/>
      <w:marTop w:val="0"/>
      <w:marBottom w:val="0"/>
      <w:divBdr>
        <w:top w:val="none" w:sz="0" w:space="0" w:color="auto"/>
        <w:left w:val="none" w:sz="0" w:space="0" w:color="auto"/>
        <w:bottom w:val="none" w:sz="0" w:space="0" w:color="auto"/>
        <w:right w:val="none" w:sz="0" w:space="0" w:color="auto"/>
      </w:divBdr>
    </w:div>
    <w:div w:id="160126357">
      <w:bodyDiv w:val="1"/>
      <w:marLeft w:val="0"/>
      <w:marRight w:val="0"/>
      <w:marTop w:val="0"/>
      <w:marBottom w:val="0"/>
      <w:divBdr>
        <w:top w:val="none" w:sz="0" w:space="0" w:color="auto"/>
        <w:left w:val="none" w:sz="0" w:space="0" w:color="auto"/>
        <w:bottom w:val="none" w:sz="0" w:space="0" w:color="auto"/>
        <w:right w:val="none" w:sz="0" w:space="0" w:color="auto"/>
      </w:divBdr>
    </w:div>
    <w:div w:id="164787045">
      <w:bodyDiv w:val="1"/>
      <w:marLeft w:val="0"/>
      <w:marRight w:val="0"/>
      <w:marTop w:val="0"/>
      <w:marBottom w:val="0"/>
      <w:divBdr>
        <w:top w:val="none" w:sz="0" w:space="0" w:color="auto"/>
        <w:left w:val="none" w:sz="0" w:space="0" w:color="auto"/>
        <w:bottom w:val="none" w:sz="0" w:space="0" w:color="auto"/>
        <w:right w:val="none" w:sz="0" w:space="0" w:color="auto"/>
      </w:divBdr>
    </w:div>
    <w:div w:id="229118494">
      <w:bodyDiv w:val="1"/>
      <w:marLeft w:val="0"/>
      <w:marRight w:val="0"/>
      <w:marTop w:val="0"/>
      <w:marBottom w:val="0"/>
      <w:divBdr>
        <w:top w:val="none" w:sz="0" w:space="0" w:color="auto"/>
        <w:left w:val="none" w:sz="0" w:space="0" w:color="auto"/>
        <w:bottom w:val="none" w:sz="0" w:space="0" w:color="auto"/>
        <w:right w:val="none" w:sz="0" w:space="0" w:color="auto"/>
      </w:divBdr>
    </w:div>
    <w:div w:id="247618731">
      <w:bodyDiv w:val="1"/>
      <w:marLeft w:val="0"/>
      <w:marRight w:val="0"/>
      <w:marTop w:val="0"/>
      <w:marBottom w:val="0"/>
      <w:divBdr>
        <w:top w:val="none" w:sz="0" w:space="0" w:color="auto"/>
        <w:left w:val="none" w:sz="0" w:space="0" w:color="auto"/>
        <w:bottom w:val="none" w:sz="0" w:space="0" w:color="auto"/>
        <w:right w:val="none" w:sz="0" w:space="0" w:color="auto"/>
      </w:divBdr>
    </w:div>
    <w:div w:id="263270885">
      <w:bodyDiv w:val="1"/>
      <w:marLeft w:val="0"/>
      <w:marRight w:val="0"/>
      <w:marTop w:val="0"/>
      <w:marBottom w:val="0"/>
      <w:divBdr>
        <w:top w:val="none" w:sz="0" w:space="0" w:color="auto"/>
        <w:left w:val="none" w:sz="0" w:space="0" w:color="auto"/>
        <w:bottom w:val="none" w:sz="0" w:space="0" w:color="auto"/>
        <w:right w:val="none" w:sz="0" w:space="0" w:color="auto"/>
      </w:divBdr>
    </w:div>
    <w:div w:id="298535845">
      <w:bodyDiv w:val="1"/>
      <w:marLeft w:val="0"/>
      <w:marRight w:val="0"/>
      <w:marTop w:val="0"/>
      <w:marBottom w:val="0"/>
      <w:divBdr>
        <w:top w:val="none" w:sz="0" w:space="0" w:color="auto"/>
        <w:left w:val="none" w:sz="0" w:space="0" w:color="auto"/>
        <w:bottom w:val="none" w:sz="0" w:space="0" w:color="auto"/>
        <w:right w:val="none" w:sz="0" w:space="0" w:color="auto"/>
      </w:divBdr>
    </w:div>
    <w:div w:id="301617733">
      <w:bodyDiv w:val="1"/>
      <w:marLeft w:val="0"/>
      <w:marRight w:val="0"/>
      <w:marTop w:val="0"/>
      <w:marBottom w:val="0"/>
      <w:divBdr>
        <w:top w:val="none" w:sz="0" w:space="0" w:color="auto"/>
        <w:left w:val="none" w:sz="0" w:space="0" w:color="auto"/>
        <w:bottom w:val="none" w:sz="0" w:space="0" w:color="auto"/>
        <w:right w:val="none" w:sz="0" w:space="0" w:color="auto"/>
      </w:divBdr>
    </w:div>
    <w:div w:id="302270417">
      <w:bodyDiv w:val="1"/>
      <w:marLeft w:val="0"/>
      <w:marRight w:val="0"/>
      <w:marTop w:val="0"/>
      <w:marBottom w:val="0"/>
      <w:divBdr>
        <w:top w:val="none" w:sz="0" w:space="0" w:color="auto"/>
        <w:left w:val="none" w:sz="0" w:space="0" w:color="auto"/>
        <w:bottom w:val="none" w:sz="0" w:space="0" w:color="auto"/>
        <w:right w:val="none" w:sz="0" w:space="0" w:color="auto"/>
      </w:divBdr>
    </w:div>
    <w:div w:id="335886427">
      <w:bodyDiv w:val="1"/>
      <w:marLeft w:val="0"/>
      <w:marRight w:val="0"/>
      <w:marTop w:val="0"/>
      <w:marBottom w:val="0"/>
      <w:divBdr>
        <w:top w:val="none" w:sz="0" w:space="0" w:color="auto"/>
        <w:left w:val="none" w:sz="0" w:space="0" w:color="auto"/>
        <w:bottom w:val="none" w:sz="0" w:space="0" w:color="auto"/>
        <w:right w:val="none" w:sz="0" w:space="0" w:color="auto"/>
      </w:divBdr>
    </w:div>
    <w:div w:id="353961102">
      <w:bodyDiv w:val="1"/>
      <w:marLeft w:val="0"/>
      <w:marRight w:val="0"/>
      <w:marTop w:val="0"/>
      <w:marBottom w:val="0"/>
      <w:divBdr>
        <w:top w:val="none" w:sz="0" w:space="0" w:color="auto"/>
        <w:left w:val="none" w:sz="0" w:space="0" w:color="auto"/>
        <w:bottom w:val="none" w:sz="0" w:space="0" w:color="auto"/>
        <w:right w:val="none" w:sz="0" w:space="0" w:color="auto"/>
      </w:divBdr>
    </w:div>
    <w:div w:id="354694624">
      <w:bodyDiv w:val="1"/>
      <w:marLeft w:val="0"/>
      <w:marRight w:val="0"/>
      <w:marTop w:val="0"/>
      <w:marBottom w:val="0"/>
      <w:divBdr>
        <w:top w:val="none" w:sz="0" w:space="0" w:color="auto"/>
        <w:left w:val="none" w:sz="0" w:space="0" w:color="auto"/>
        <w:bottom w:val="none" w:sz="0" w:space="0" w:color="auto"/>
        <w:right w:val="none" w:sz="0" w:space="0" w:color="auto"/>
      </w:divBdr>
    </w:div>
    <w:div w:id="364184816">
      <w:bodyDiv w:val="1"/>
      <w:marLeft w:val="0"/>
      <w:marRight w:val="0"/>
      <w:marTop w:val="0"/>
      <w:marBottom w:val="0"/>
      <w:divBdr>
        <w:top w:val="none" w:sz="0" w:space="0" w:color="auto"/>
        <w:left w:val="none" w:sz="0" w:space="0" w:color="auto"/>
        <w:bottom w:val="none" w:sz="0" w:space="0" w:color="auto"/>
        <w:right w:val="none" w:sz="0" w:space="0" w:color="auto"/>
      </w:divBdr>
    </w:div>
    <w:div w:id="388917174">
      <w:bodyDiv w:val="1"/>
      <w:marLeft w:val="0"/>
      <w:marRight w:val="0"/>
      <w:marTop w:val="0"/>
      <w:marBottom w:val="0"/>
      <w:divBdr>
        <w:top w:val="none" w:sz="0" w:space="0" w:color="auto"/>
        <w:left w:val="none" w:sz="0" w:space="0" w:color="auto"/>
        <w:bottom w:val="none" w:sz="0" w:space="0" w:color="auto"/>
        <w:right w:val="none" w:sz="0" w:space="0" w:color="auto"/>
      </w:divBdr>
    </w:div>
    <w:div w:id="392386178">
      <w:bodyDiv w:val="1"/>
      <w:marLeft w:val="0"/>
      <w:marRight w:val="0"/>
      <w:marTop w:val="0"/>
      <w:marBottom w:val="0"/>
      <w:divBdr>
        <w:top w:val="none" w:sz="0" w:space="0" w:color="auto"/>
        <w:left w:val="none" w:sz="0" w:space="0" w:color="auto"/>
        <w:bottom w:val="none" w:sz="0" w:space="0" w:color="auto"/>
        <w:right w:val="none" w:sz="0" w:space="0" w:color="auto"/>
      </w:divBdr>
    </w:div>
    <w:div w:id="428086691">
      <w:bodyDiv w:val="1"/>
      <w:marLeft w:val="0"/>
      <w:marRight w:val="0"/>
      <w:marTop w:val="0"/>
      <w:marBottom w:val="0"/>
      <w:divBdr>
        <w:top w:val="none" w:sz="0" w:space="0" w:color="auto"/>
        <w:left w:val="none" w:sz="0" w:space="0" w:color="auto"/>
        <w:bottom w:val="none" w:sz="0" w:space="0" w:color="auto"/>
        <w:right w:val="none" w:sz="0" w:space="0" w:color="auto"/>
      </w:divBdr>
    </w:div>
    <w:div w:id="450904322">
      <w:bodyDiv w:val="1"/>
      <w:marLeft w:val="0"/>
      <w:marRight w:val="0"/>
      <w:marTop w:val="0"/>
      <w:marBottom w:val="0"/>
      <w:divBdr>
        <w:top w:val="none" w:sz="0" w:space="0" w:color="auto"/>
        <w:left w:val="none" w:sz="0" w:space="0" w:color="auto"/>
        <w:bottom w:val="none" w:sz="0" w:space="0" w:color="auto"/>
        <w:right w:val="none" w:sz="0" w:space="0" w:color="auto"/>
      </w:divBdr>
    </w:div>
    <w:div w:id="458644355">
      <w:bodyDiv w:val="1"/>
      <w:marLeft w:val="0"/>
      <w:marRight w:val="0"/>
      <w:marTop w:val="0"/>
      <w:marBottom w:val="0"/>
      <w:divBdr>
        <w:top w:val="none" w:sz="0" w:space="0" w:color="auto"/>
        <w:left w:val="none" w:sz="0" w:space="0" w:color="auto"/>
        <w:bottom w:val="none" w:sz="0" w:space="0" w:color="auto"/>
        <w:right w:val="none" w:sz="0" w:space="0" w:color="auto"/>
      </w:divBdr>
    </w:div>
    <w:div w:id="471756079">
      <w:bodyDiv w:val="1"/>
      <w:marLeft w:val="0"/>
      <w:marRight w:val="0"/>
      <w:marTop w:val="0"/>
      <w:marBottom w:val="0"/>
      <w:divBdr>
        <w:top w:val="none" w:sz="0" w:space="0" w:color="auto"/>
        <w:left w:val="none" w:sz="0" w:space="0" w:color="auto"/>
        <w:bottom w:val="none" w:sz="0" w:space="0" w:color="auto"/>
        <w:right w:val="none" w:sz="0" w:space="0" w:color="auto"/>
      </w:divBdr>
    </w:div>
    <w:div w:id="502092260">
      <w:bodyDiv w:val="1"/>
      <w:marLeft w:val="0"/>
      <w:marRight w:val="0"/>
      <w:marTop w:val="0"/>
      <w:marBottom w:val="0"/>
      <w:divBdr>
        <w:top w:val="none" w:sz="0" w:space="0" w:color="auto"/>
        <w:left w:val="none" w:sz="0" w:space="0" w:color="auto"/>
        <w:bottom w:val="none" w:sz="0" w:space="0" w:color="auto"/>
        <w:right w:val="none" w:sz="0" w:space="0" w:color="auto"/>
      </w:divBdr>
    </w:div>
    <w:div w:id="528956484">
      <w:bodyDiv w:val="1"/>
      <w:marLeft w:val="0"/>
      <w:marRight w:val="0"/>
      <w:marTop w:val="0"/>
      <w:marBottom w:val="0"/>
      <w:divBdr>
        <w:top w:val="none" w:sz="0" w:space="0" w:color="auto"/>
        <w:left w:val="none" w:sz="0" w:space="0" w:color="auto"/>
        <w:bottom w:val="none" w:sz="0" w:space="0" w:color="auto"/>
        <w:right w:val="none" w:sz="0" w:space="0" w:color="auto"/>
      </w:divBdr>
    </w:div>
    <w:div w:id="537357916">
      <w:bodyDiv w:val="1"/>
      <w:marLeft w:val="0"/>
      <w:marRight w:val="0"/>
      <w:marTop w:val="0"/>
      <w:marBottom w:val="0"/>
      <w:divBdr>
        <w:top w:val="none" w:sz="0" w:space="0" w:color="auto"/>
        <w:left w:val="none" w:sz="0" w:space="0" w:color="auto"/>
        <w:bottom w:val="none" w:sz="0" w:space="0" w:color="auto"/>
        <w:right w:val="none" w:sz="0" w:space="0" w:color="auto"/>
      </w:divBdr>
    </w:div>
    <w:div w:id="540048971">
      <w:bodyDiv w:val="1"/>
      <w:marLeft w:val="0"/>
      <w:marRight w:val="0"/>
      <w:marTop w:val="0"/>
      <w:marBottom w:val="0"/>
      <w:divBdr>
        <w:top w:val="none" w:sz="0" w:space="0" w:color="auto"/>
        <w:left w:val="none" w:sz="0" w:space="0" w:color="auto"/>
        <w:bottom w:val="none" w:sz="0" w:space="0" w:color="auto"/>
        <w:right w:val="none" w:sz="0" w:space="0" w:color="auto"/>
      </w:divBdr>
    </w:div>
    <w:div w:id="563418056">
      <w:bodyDiv w:val="1"/>
      <w:marLeft w:val="0"/>
      <w:marRight w:val="0"/>
      <w:marTop w:val="0"/>
      <w:marBottom w:val="0"/>
      <w:divBdr>
        <w:top w:val="none" w:sz="0" w:space="0" w:color="auto"/>
        <w:left w:val="none" w:sz="0" w:space="0" w:color="auto"/>
        <w:bottom w:val="none" w:sz="0" w:space="0" w:color="auto"/>
        <w:right w:val="none" w:sz="0" w:space="0" w:color="auto"/>
      </w:divBdr>
    </w:div>
    <w:div w:id="583999692">
      <w:bodyDiv w:val="1"/>
      <w:marLeft w:val="0"/>
      <w:marRight w:val="0"/>
      <w:marTop w:val="0"/>
      <w:marBottom w:val="0"/>
      <w:divBdr>
        <w:top w:val="none" w:sz="0" w:space="0" w:color="auto"/>
        <w:left w:val="none" w:sz="0" w:space="0" w:color="auto"/>
        <w:bottom w:val="none" w:sz="0" w:space="0" w:color="auto"/>
        <w:right w:val="none" w:sz="0" w:space="0" w:color="auto"/>
      </w:divBdr>
    </w:div>
    <w:div w:id="603029341">
      <w:bodyDiv w:val="1"/>
      <w:marLeft w:val="0"/>
      <w:marRight w:val="0"/>
      <w:marTop w:val="0"/>
      <w:marBottom w:val="0"/>
      <w:divBdr>
        <w:top w:val="none" w:sz="0" w:space="0" w:color="auto"/>
        <w:left w:val="none" w:sz="0" w:space="0" w:color="auto"/>
        <w:bottom w:val="none" w:sz="0" w:space="0" w:color="auto"/>
        <w:right w:val="none" w:sz="0" w:space="0" w:color="auto"/>
      </w:divBdr>
    </w:div>
    <w:div w:id="607395662">
      <w:bodyDiv w:val="1"/>
      <w:marLeft w:val="0"/>
      <w:marRight w:val="0"/>
      <w:marTop w:val="0"/>
      <w:marBottom w:val="0"/>
      <w:divBdr>
        <w:top w:val="none" w:sz="0" w:space="0" w:color="auto"/>
        <w:left w:val="none" w:sz="0" w:space="0" w:color="auto"/>
        <w:bottom w:val="none" w:sz="0" w:space="0" w:color="auto"/>
        <w:right w:val="none" w:sz="0" w:space="0" w:color="auto"/>
      </w:divBdr>
    </w:div>
    <w:div w:id="626010288">
      <w:bodyDiv w:val="1"/>
      <w:marLeft w:val="0"/>
      <w:marRight w:val="0"/>
      <w:marTop w:val="0"/>
      <w:marBottom w:val="0"/>
      <w:divBdr>
        <w:top w:val="none" w:sz="0" w:space="0" w:color="auto"/>
        <w:left w:val="none" w:sz="0" w:space="0" w:color="auto"/>
        <w:bottom w:val="none" w:sz="0" w:space="0" w:color="auto"/>
        <w:right w:val="none" w:sz="0" w:space="0" w:color="auto"/>
      </w:divBdr>
    </w:div>
    <w:div w:id="672338252">
      <w:bodyDiv w:val="1"/>
      <w:marLeft w:val="0"/>
      <w:marRight w:val="0"/>
      <w:marTop w:val="0"/>
      <w:marBottom w:val="0"/>
      <w:divBdr>
        <w:top w:val="none" w:sz="0" w:space="0" w:color="auto"/>
        <w:left w:val="none" w:sz="0" w:space="0" w:color="auto"/>
        <w:bottom w:val="none" w:sz="0" w:space="0" w:color="auto"/>
        <w:right w:val="none" w:sz="0" w:space="0" w:color="auto"/>
      </w:divBdr>
    </w:div>
    <w:div w:id="684405287">
      <w:bodyDiv w:val="1"/>
      <w:marLeft w:val="0"/>
      <w:marRight w:val="0"/>
      <w:marTop w:val="0"/>
      <w:marBottom w:val="0"/>
      <w:divBdr>
        <w:top w:val="none" w:sz="0" w:space="0" w:color="auto"/>
        <w:left w:val="none" w:sz="0" w:space="0" w:color="auto"/>
        <w:bottom w:val="none" w:sz="0" w:space="0" w:color="auto"/>
        <w:right w:val="none" w:sz="0" w:space="0" w:color="auto"/>
      </w:divBdr>
    </w:div>
    <w:div w:id="689069702">
      <w:bodyDiv w:val="1"/>
      <w:marLeft w:val="0"/>
      <w:marRight w:val="0"/>
      <w:marTop w:val="0"/>
      <w:marBottom w:val="0"/>
      <w:divBdr>
        <w:top w:val="none" w:sz="0" w:space="0" w:color="auto"/>
        <w:left w:val="none" w:sz="0" w:space="0" w:color="auto"/>
        <w:bottom w:val="none" w:sz="0" w:space="0" w:color="auto"/>
        <w:right w:val="none" w:sz="0" w:space="0" w:color="auto"/>
      </w:divBdr>
    </w:div>
    <w:div w:id="694115618">
      <w:bodyDiv w:val="1"/>
      <w:marLeft w:val="0"/>
      <w:marRight w:val="0"/>
      <w:marTop w:val="0"/>
      <w:marBottom w:val="0"/>
      <w:divBdr>
        <w:top w:val="none" w:sz="0" w:space="0" w:color="auto"/>
        <w:left w:val="none" w:sz="0" w:space="0" w:color="auto"/>
        <w:bottom w:val="none" w:sz="0" w:space="0" w:color="auto"/>
        <w:right w:val="none" w:sz="0" w:space="0" w:color="auto"/>
      </w:divBdr>
    </w:div>
    <w:div w:id="697465785">
      <w:bodyDiv w:val="1"/>
      <w:marLeft w:val="0"/>
      <w:marRight w:val="0"/>
      <w:marTop w:val="0"/>
      <w:marBottom w:val="0"/>
      <w:divBdr>
        <w:top w:val="none" w:sz="0" w:space="0" w:color="auto"/>
        <w:left w:val="none" w:sz="0" w:space="0" w:color="auto"/>
        <w:bottom w:val="none" w:sz="0" w:space="0" w:color="auto"/>
        <w:right w:val="none" w:sz="0" w:space="0" w:color="auto"/>
      </w:divBdr>
    </w:div>
    <w:div w:id="703798267">
      <w:bodyDiv w:val="1"/>
      <w:marLeft w:val="0"/>
      <w:marRight w:val="0"/>
      <w:marTop w:val="0"/>
      <w:marBottom w:val="0"/>
      <w:divBdr>
        <w:top w:val="none" w:sz="0" w:space="0" w:color="auto"/>
        <w:left w:val="none" w:sz="0" w:space="0" w:color="auto"/>
        <w:bottom w:val="none" w:sz="0" w:space="0" w:color="auto"/>
        <w:right w:val="none" w:sz="0" w:space="0" w:color="auto"/>
      </w:divBdr>
    </w:div>
    <w:div w:id="736054282">
      <w:bodyDiv w:val="1"/>
      <w:marLeft w:val="0"/>
      <w:marRight w:val="0"/>
      <w:marTop w:val="0"/>
      <w:marBottom w:val="0"/>
      <w:divBdr>
        <w:top w:val="none" w:sz="0" w:space="0" w:color="auto"/>
        <w:left w:val="none" w:sz="0" w:space="0" w:color="auto"/>
        <w:bottom w:val="none" w:sz="0" w:space="0" w:color="auto"/>
        <w:right w:val="none" w:sz="0" w:space="0" w:color="auto"/>
      </w:divBdr>
    </w:div>
    <w:div w:id="770273716">
      <w:bodyDiv w:val="1"/>
      <w:marLeft w:val="0"/>
      <w:marRight w:val="0"/>
      <w:marTop w:val="0"/>
      <w:marBottom w:val="0"/>
      <w:divBdr>
        <w:top w:val="none" w:sz="0" w:space="0" w:color="auto"/>
        <w:left w:val="none" w:sz="0" w:space="0" w:color="auto"/>
        <w:bottom w:val="none" w:sz="0" w:space="0" w:color="auto"/>
        <w:right w:val="none" w:sz="0" w:space="0" w:color="auto"/>
      </w:divBdr>
    </w:div>
    <w:div w:id="781267846">
      <w:bodyDiv w:val="1"/>
      <w:marLeft w:val="0"/>
      <w:marRight w:val="0"/>
      <w:marTop w:val="0"/>
      <w:marBottom w:val="0"/>
      <w:divBdr>
        <w:top w:val="none" w:sz="0" w:space="0" w:color="auto"/>
        <w:left w:val="none" w:sz="0" w:space="0" w:color="auto"/>
        <w:bottom w:val="none" w:sz="0" w:space="0" w:color="auto"/>
        <w:right w:val="none" w:sz="0" w:space="0" w:color="auto"/>
      </w:divBdr>
    </w:div>
    <w:div w:id="787243716">
      <w:bodyDiv w:val="1"/>
      <w:marLeft w:val="0"/>
      <w:marRight w:val="0"/>
      <w:marTop w:val="0"/>
      <w:marBottom w:val="0"/>
      <w:divBdr>
        <w:top w:val="none" w:sz="0" w:space="0" w:color="auto"/>
        <w:left w:val="none" w:sz="0" w:space="0" w:color="auto"/>
        <w:bottom w:val="none" w:sz="0" w:space="0" w:color="auto"/>
        <w:right w:val="none" w:sz="0" w:space="0" w:color="auto"/>
      </w:divBdr>
    </w:div>
    <w:div w:id="813371756">
      <w:bodyDiv w:val="1"/>
      <w:marLeft w:val="0"/>
      <w:marRight w:val="0"/>
      <w:marTop w:val="0"/>
      <w:marBottom w:val="0"/>
      <w:divBdr>
        <w:top w:val="none" w:sz="0" w:space="0" w:color="auto"/>
        <w:left w:val="none" w:sz="0" w:space="0" w:color="auto"/>
        <w:bottom w:val="none" w:sz="0" w:space="0" w:color="auto"/>
        <w:right w:val="none" w:sz="0" w:space="0" w:color="auto"/>
      </w:divBdr>
    </w:div>
    <w:div w:id="829059532">
      <w:bodyDiv w:val="1"/>
      <w:marLeft w:val="0"/>
      <w:marRight w:val="0"/>
      <w:marTop w:val="0"/>
      <w:marBottom w:val="0"/>
      <w:divBdr>
        <w:top w:val="none" w:sz="0" w:space="0" w:color="auto"/>
        <w:left w:val="none" w:sz="0" w:space="0" w:color="auto"/>
        <w:bottom w:val="none" w:sz="0" w:space="0" w:color="auto"/>
        <w:right w:val="none" w:sz="0" w:space="0" w:color="auto"/>
      </w:divBdr>
    </w:div>
    <w:div w:id="858660088">
      <w:bodyDiv w:val="1"/>
      <w:marLeft w:val="0"/>
      <w:marRight w:val="0"/>
      <w:marTop w:val="0"/>
      <w:marBottom w:val="0"/>
      <w:divBdr>
        <w:top w:val="none" w:sz="0" w:space="0" w:color="auto"/>
        <w:left w:val="none" w:sz="0" w:space="0" w:color="auto"/>
        <w:bottom w:val="none" w:sz="0" w:space="0" w:color="auto"/>
        <w:right w:val="none" w:sz="0" w:space="0" w:color="auto"/>
      </w:divBdr>
    </w:div>
    <w:div w:id="861672893">
      <w:bodyDiv w:val="1"/>
      <w:marLeft w:val="0"/>
      <w:marRight w:val="0"/>
      <w:marTop w:val="0"/>
      <w:marBottom w:val="0"/>
      <w:divBdr>
        <w:top w:val="none" w:sz="0" w:space="0" w:color="auto"/>
        <w:left w:val="none" w:sz="0" w:space="0" w:color="auto"/>
        <w:bottom w:val="none" w:sz="0" w:space="0" w:color="auto"/>
        <w:right w:val="none" w:sz="0" w:space="0" w:color="auto"/>
      </w:divBdr>
    </w:div>
    <w:div w:id="870648761">
      <w:bodyDiv w:val="1"/>
      <w:marLeft w:val="0"/>
      <w:marRight w:val="0"/>
      <w:marTop w:val="0"/>
      <w:marBottom w:val="0"/>
      <w:divBdr>
        <w:top w:val="none" w:sz="0" w:space="0" w:color="auto"/>
        <w:left w:val="none" w:sz="0" w:space="0" w:color="auto"/>
        <w:bottom w:val="none" w:sz="0" w:space="0" w:color="auto"/>
        <w:right w:val="none" w:sz="0" w:space="0" w:color="auto"/>
      </w:divBdr>
    </w:div>
    <w:div w:id="887379116">
      <w:bodyDiv w:val="1"/>
      <w:marLeft w:val="0"/>
      <w:marRight w:val="0"/>
      <w:marTop w:val="0"/>
      <w:marBottom w:val="0"/>
      <w:divBdr>
        <w:top w:val="none" w:sz="0" w:space="0" w:color="auto"/>
        <w:left w:val="none" w:sz="0" w:space="0" w:color="auto"/>
        <w:bottom w:val="none" w:sz="0" w:space="0" w:color="auto"/>
        <w:right w:val="none" w:sz="0" w:space="0" w:color="auto"/>
      </w:divBdr>
    </w:div>
    <w:div w:id="913974112">
      <w:bodyDiv w:val="1"/>
      <w:marLeft w:val="0"/>
      <w:marRight w:val="0"/>
      <w:marTop w:val="0"/>
      <w:marBottom w:val="0"/>
      <w:divBdr>
        <w:top w:val="none" w:sz="0" w:space="0" w:color="auto"/>
        <w:left w:val="none" w:sz="0" w:space="0" w:color="auto"/>
        <w:bottom w:val="none" w:sz="0" w:space="0" w:color="auto"/>
        <w:right w:val="none" w:sz="0" w:space="0" w:color="auto"/>
      </w:divBdr>
    </w:div>
    <w:div w:id="934823134">
      <w:bodyDiv w:val="1"/>
      <w:marLeft w:val="0"/>
      <w:marRight w:val="0"/>
      <w:marTop w:val="0"/>
      <w:marBottom w:val="0"/>
      <w:divBdr>
        <w:top w:val="none" w:sz="0" w:space="0" w:color="auto"/>
        <w:left w:val="none" w:sz="0" w:space="0" w:color="auto"/>
        <w:bottom w:val="none" w:sz="0" w:space="0" w:color="auto"/>
        <w:right w:val="none" w:sz="0" w:space="0" w:color="auto"/>
      </w:divBdr>
    </w:div>
    <w:div w:id="935744579">
      <w:bodyDiv w:val="1"/>
      <w:marLeft w:val="0"/>
      <w:marRight w:val="0"/>
      <w:marTop w:val="0"/>
      <w:marBottom w:val="0"/>
      <w:divBdr>
        <w:top w:val="none" w:sz="0" w:space="0" w:color="auto"/>
        <w:left w:val="none" w:sz="0" w:space="0" w:color="auto"/>
        <w:bottom w:val="none" w:sz="0" w:space="0" w:color="auto"/>
        <w:right w:val="none" w:sz="0" w:space="0" w:color="auto"/>
      </w:divBdr>
    </w:div>
    <w:div w:id="944076903">
      <w:bodyDiv w:val="1"/>
      <w:marLeft w:val="0"/>
      <w:marRight w:val="0"/>
      <w:marTop w:val="0"/>
      <w:marBottom w:val="0"/>
      <w:divBdr>
        <w:top w:val="none" w:sz="0" w:space="0" w:color="auto"/>
        <w:left w:val="none" w:sz="0" w:space="0" w:color="auto"/>
        <w:bottom w:val="none" w:sz="0" w:space="0" w:color="auto"/>
        <w:right w:val="none" w:sz="0" w:space="0" w:color="auto"/>
      </w:divBdr>
    </w:div>
    <w:div w:id="983705390">
      <w:bodyDiv w:val="1"/>
      <w:marLeft w:val="0"/>
      <w:marRight w:val="0"/>
      <w:marTop w:val="0"/>
      <w:marBottom w:val="0"/>
      <w:divBdr>
        <w:top w:val="none" w:sz="0" w:space="0" w:color="auto"/>
        <w:left w:val="none" w:sz="0" w:space="0" w:color="auto"/>
        <w:bottom w:val="none" w:sz="0" w:space="0" w:color="auto"/>
        <w:right w:val="none" w:sz="0" w:space="0" w:color="auto"/>
      </w:divBdr>
    </w:div>
    <w:div w:id="1005017754">
      <w:bodyDiv w:val="1"/>
      <w:marLeft w:val="0"/>
      <w:marRight w:val="0"/>
      <w:marTop w:val="0"/>
      <w:marBottom w:val="0"/>
      <w:divBdr>
        <w:top w:val="none" w:sz="0" w:space="0" w:color="auto"/>
        <w:left w:val="none" w:sz="0" w:space="0" w:color="auto"/>
        <w:bottom w:val="none" w:sz="0" w:space="0" w:color="auto"/>
        <w:right w:val="none" w:sz="0" w:space="0" w:color="auto"/>
      </w:divBdr>
    </w:div>
    <w:div w:id="1035812615">
      <w:bodyDiv w:val="1"/>
      <w:marLeft w:val="0"/>
      <w:marRight w:val="0"/>
      <w:marTop w:val="0"/>
      <w:marBottom w:val="0"/>
      <w:divBdr>
        <w:top w:val="none" w:sz="0" w:space="0" w:color="auto"/>
        <w:left w:val="none" w:sz="0" w:space="0" w:color="auto"/>
        <w:bottom w:val="none" w:sz="0" w:space="0" w:color="auto"/>
        <w:right w:val="none" w:sz="0" w:space="0" w:color="auto"/>
      </w:divBdr>
    </w:div>
    <w:div w:id="1067344614">
      <w:bodyDiv w:val="1"/>
      <w:marLeft w:val="0"/>
      <w:marRight w:val="0"/>
      <w:marTop w:val="0"/>
      <w:marBottom w:val="0"/>
      <w:divBdr>
        <w:top w:val="none" w:sz="0" w:space="0" w:color="auto"/>
        <w:left w:val="none" w:sz="0" w:space="0" w:color="auto"/>
        <w:bottom w:val="none" w:sz="0" w:space="0" w:color="auto"/>
        <w:right w:val="none" w:sz="0" w:space="0" w:color="auto"/>
      </w:divBdr>
    </w:div>
    <w:div w:id="1076513366">
      <w:bodyDiv w:val="1"/>
      <w:marLeft w:val="0"/>
      <w:marRight w:val="0"/>
      <w:marTop w:val="0"/>
      <w:marBottom w:val="0"/>
      <w:divBdr>
        <w:top w:val="none" w:sz="0" w:space="0" w:color="auto"/>
        <w:left w:val="none" w:sz="0" w:space="0" w:color="auto"/>
        <w:bottom w:val="none" w:sz="0" w:space="0" w:color="auto"/>
        <w:right w:val="none" w:sz="0" w:space="0" w:color="auto"/>
      </w:divBdr>
    </w:div>
    <w:div w:id="1082065760">
      <w:bodyDiv w:val="1"/>
      <w:marLeft w:val="0"/>
      <w:marRight w:val="0"/>
      <w:marTop w:val="0"/>
      <w:marBottom w:val="0"/>
      <w:divBdr>
        <w:top w:val="none" w:sz="0" w:space="0" w:color="auto"/>
        <w:left w:val="none" w:sz="0" w:space="0" w:color="auto"/>
        <w:bottom w:val="none" w:sz="0" w:space="0" w:color="auto"/>
        <w:right w:val="none" w:sz="0" w:space="0" w:color="auto"/>
      </w:divBdr>
    </w:div>
    <w:div w:id="1113205345">
      <w:bodyDiv w:val="1"/>
      <w:marLeft w:val="0"/>
      <w:marRight w:val="0"/>
      <w:marTop w:val="0"/>
      <w:marBottom w:val="0"/>
      <w:divBdr>
        <w:top w:val="none" w:sz="0" w:space="0" w:color="auto"/>
        <w:left w:val="none" w:sz="0" w:space="0" w:color="auto"/>
        <w:bottom w:val="none" w:sz="0" w:space="0" w:color="auto"/>
        <w:right w:val="none" w:sz="0" w:space="0" w:color="auto"/>
      </w:divBdr>
    </w:div>
    <w:div w:id="1116946133">
      <w:bodyDiv w:val="1"/>
      <w:marLeft w:val="0"/>
      <w:marRight w:val="0"/>
      <w:marTop w:val="0"/>
      <w:marBottom w:val="0"/>
      <w:divBdr>
        <w:top w:val="none" w:sz="0" w:space="0" w:color="auto"/>
        <w:left w:val="none" w:sz="0" w:space="0" w:color="auto"/>
        <w:bottom w:val="none" w:sz="0" w:space="0" w:color="auto"/>
        <w:right w:val="none" w:sz="0" w:space="0" w:color="auto"/>
      </w:divBdr>
    </w:div>
    <w:div w:id="1119101761">
      <w:bodyDiv w:val="1"/>
      <w:marLeft w:val="0"/>
      <w:marRight w:val="0"/>
      <w:marTop w:val="0"/>
      <w:marBottom w:val="0"/>
      <w:divBdr>
        <w:top w:val="none" w:sz="0" w:space="0" w:color="auto"/>
        <w:left w:val="none" w:sz="0" w:space="0" w:color="auto"/>
        <w:bottom w:val="none" w:sz="0" w:space="0" w:color="auto"/>
        <w:right w:val="none" w:sz="0" w:space="0" w:color="auto"/>
      </w:divBdr>
    </w:div>
    <w:div w:id="1125343906">
      <w:bodyDiv w:val="1"/>
      <w:marLeft w:val="0"/>
      <w:marRight w:val="0"/>
      <w:marTop w:val="0"/>
      <w:marBottom w:val="0"/>
      <w:divBdr>
        <w:top w:val="none" w:sz="0" w:space="0" w:color="auto"/>
        <w:left w:val="none" w:sz="0" w:space="0" w:color="auto"/>
        <w:bottom w:val="none" w:sz="0" w:space="0" w:color="auto"/>
        <w:right w:val="none" w:sz="0" w:space="0" w:color="auto"/>
      </w:divBdr>
    </w:div>
    <w:div w:id="1143280334">
      <w:bodyDiv w:val="1"/>
      <w:marLeft w:val="0"/>
      <w:marRight w:val="0"/>
      <w:marTop w:val="0"/>
      <w:marBottom w:val="0"/>
      <w:divBdr>
        <w:top w:val="none" w:sz="0" w:space="0" w:color="auto"/>
        <w:left w:val="none" w:sz="0" w:space="0" w:color="auto"/>
        <w:bottom w:val="none" w:sz="0" w:space="0" w:color="auto"/>
        <w:right w:val="none" w:sz="0" w:space="0" w:color="auto"/>
      </w:divBdr>
    </w:div>
    <w:div w:id="1157528173">
      <w:bodyDiv w:val="1"/>
      <w:marLeft w:val="0"/>
      <w:marRight w:val="0"/>
      <w:marTop w:val="0"/>
      <w:marBottom w:val="0"/>
      <w:divBdr>
        <w:top w:val="none" w:sz="0" w:space="0" w:color="auto"/>
        <w:left w:val="none" w:sz="0" w:space="0" w:color="auto"/>
        <w:bottom w:val="none" w:sz="0" w:space="0" w:color="auto"/>
        <w:right w:val="none" w:sz="0" w:space="0" w:color="auto"/>
      </w:divBdr>
    </w:div>
    <w:div w:id="1162743238">
      <w:bodyDiv w:val="1"/>
      <w:marLeft w:val="0"/>
      <w:marRight w:val="0"/>
      <w:marTop w:val="0"/>
      <w:marBottom w:val="0"/>
      <w:divBdr>
        <w:top w:val="none" w:sz="0" w:space="0" w:color="auto"/>
        <w:left w:val="none" w:sz="0" w:space="0" w:color="auto"/>
        <w:bottom w:val="none" w:sz="0" w:space="0" w:color="auto"/>
        <w:right w:val="none" w:sz="0" w:space="0" w:color="auto"/>
      </w:divBdr>
    </w:div>
    <w:div w:id="1171406018">
      <w:bodyDiv w:val="1"/>
      <w:marLeft w:val="0"/>
      <w:marRight w:val="0"/>
      <w:marTop w:val="0"/>
      <w:marBottom w:val="0"/>
      <w:divBdr>
        <w:top w:val="none" w:sz="0" w:space="0" w:color="auto"/>
        <w:left w:val="none" w:sz="0" w:space="0" w:color="auto"/>
        <w:bottom w:val="none" w:sz="0" w:space="0" w:color="auto"/>
        <w:right w:val="none" w:sz="0" w:space="0" w:color="auto"/>
      </w:divBdr>
    </w:div>
    <w:div w:id="1188368022">
      <w:bodyDiv w:val="1"/>
      <w:marLeft w:val="0"/>
      <w:marRight w:val="0"/>
      <w:marTop w:val="0"/>
      <w:marBottom w:val="0"/>
      <w:divBdr>
        <w:top w:val="none" w:sz="0" w:space="0" w:color="auto"/>
        <w:left w:val="none" w:sz="0" w:space="0" w:color="auto"/>
        <w:bottom w:val="none" w:sz="0" w:space="0" w:color="auto"/>
        <w:right w:val="none" w:sz="0" w:space="0" w:color="auto"/>
      </w:divBdr>
    </w:div>
    <w:div w:id="1236012704">
      <w:bodyDiv w:val="1"/>
      <w:marLeft w:val="0"/>
      <w:marRight w:val="0"/>
      <w:marTop w:val="0"/>
      <w:marBottom w:val="0"/>
      <w:divBdr>
        <w:top w:val="none" w:sz="0" w:space="0" w:color="auto"/>
        <w:left w:val="none" w:sz="0" w:space="0" w:color="auto"/>
        <w:bottom w:val="none" w:sz="0" w:space="0" w:color="auto"/>
        <w:right w:val="none" w:sz="0" w:space="0" w:color="auto"/>
      </w:divBdr>
    </w:div>
    <w:div w:id="1255817970">
      <w:bodyDiv w:val="1"/>
      <w:marLeft w:val="0"/>
      <w:marRight w:val="0"/>
      <w:marTop w:val="0"/>
      <w:marBottom w:val="0"/>
      <w:divBdr>
        <w:top w:val="none" w:sz="0" w:space="0" w:color="auto"/>
        <w:left w:val="none" w:sz="0" w:space="0" w:color="auto"/>
        <w:bottom w:val="none" w:sz="0" w:space="0" w:color="auto"/>
        <w:right w:val="none" w:sz="0" w:space="0" w:color="auto"/>
      </w:divBdr>
    </w:div>
    <w:div w:id="1315912160">
      <w:bodyDiv w:val="1"/>
      <w:marLeft w:val="0"/>
      <w:marRight w:val="0"/>
      <w:marTop w:val="0"/>
      <w:marBottom w:val="0"/>
      <w:divBdr>
        <w:top w:val="none" w:sz="0" w:space="0" w:color="auto"/>
        <w:left w:val="none" w:sz="0" w:space="0" w:color="auto"/>
        <w:bottom w:val="none" w:sz="0" w:space="0" w:color="auto"/>
        <w:right w:val="none" w:sz="0" w:space="0" w:color="auto"/>
      </w:divBdr>
    </w:div>
    <w:div w:id="1321158905">
      <w:bodyDiv w:val="1"/>
      <w:marLeft w:val="0"/>
      <w:marRight w:val="0"/>
      <w:marTop w:val="0"/>
      <w:marBottom w:val="0"/>
      <w:divBdr>
        <w:top w:val="none" w:sz="0" w:space="0" w:color="auto"/>
        <w:left w:val="none" w:sz="0" w:space="0" w:color="auto"/>
        <w:bottom w:val="none" w:sz="0" w:space="0" w:color="auto"/>
        <w:right w:val="none" w:sz="0" w:space="0" w:color="auto"/>
      </w:divBdr>
    </w:div>
    <w:div w:id="1325283827">
      <w:bodyDiv w:val="1"/>
      <w:marLeft w:val="0"/>
      <w:marRight w:val="0"/>
      <w:marTop w:val="0"/>
      <w:marBottom w:val="0"/>
      <w:divBdr>
        <w:top w:val="none" w:sz="0" w:space="0" w:color="auto"/>
        <w:left w:val="none" w:sz="0" w:space="0" w:color="auto"/>
        <w:bottom w:val="none" w:sz="0" w:space="0" w:color="auto"/>
        <w:right w:val="none" w:sz="0" w:space="0" w:color="auto"/>
      </w:divBdr>
    </w:div>
    <w:div w:id="1332222664">
      <w:bodyDiv w:val="1"/>
      <w:marLeft w:val="0"/>
      <w:marRight w:val="0"/>
      <w:marTop w:val="0"/>
      <w:marBottom w:val="0"/>
      <w:divBdr>
        <w:top w:val="none" w:sz="0" w:space="0" w:color="auto"/>
        <w:left w:val="none" w:sz="0" w:space="0" w:color="auto"/>
        <w:bottom w:val="none" w:sz="0" w:space="0" w:color="auto"/>
        <w:right w:val="none" w:sz="0" w:space="0" w:color="auto"/>
      </w:divBdr>
    </w:div>
    <w:div w:id="1345398402">
      <w:bodyDiv w:val="1"/>
      <w:marLeft w:val="0"/>
      <w:marRight w:val="0"/>
      <w:marTop w:val="0"/>
      <w:marBottom w:val="0"/>
      <w:divBdr>
        <w:top w:val="none" w:sz="0" w:space="0" w:color="auto"/>
        <w:left w:val="none" w:sz="0" w:space="0" w:color="auto"/>
        <w:bottom w:val="none" w:sz="0" w:space="0" w:color="auto"/>
        <w:right w:val="none" w:sz="0" w:space="0" w:color="auto"/>
      </w:divBdr>
    </w:div>
    <w:div w:id="1352953907">
      <w:bodyDiv w:val="1"/>
      <w:marLeft w:val="0"/>
      <w:marRight w:val="0"/>
      <w:marTop w:val="0"/>
      <w:marBottom w:val="0"/>
      <w:divBdr>
        <w:top w:val="none" w:sz="0" w:space="0" w:color="auto"/>
        <w:left w:val="none" w:sz="0" w:space="0" w:color="auto"/>
        <w:bottom w:val="none" w:sz="0" w:space="0" w:color="auto"/>
        <w:right w:val="none" w:sz="0" w:space="0" w:color="auto"/>
      </w:divBdr>
    </w:div>
    <w:div w:id="1369603017">
      <w:bodyDiv w:val="1"/>
      <w:marLeft w:val="0"/>
      <w:marRight w:val="0"/>
      <w:marTop w:val="0"/>
      <w:marBottom w:val="0"/>
      <w:divBdr>
        <w:top w:val="none" w:sz="0" w:space="0" w:color="auto"/>
        <w:left w:val="none" w:sz="0" w:space="0" w:color="auto"/>
        <w:bottom w:val="none" w:sz="0" w:space="0" w:color="auto"/>
        <w:right w:val="none" w:sz="0" w:space="0" w:color="auto"/>
      </w:divBdr>
    </w:div>
    <w:div w:id="1376854707">
      <w:bodyDiv w:val="1"/>
      <w:marLeft w:val="0"/>
      <w:marRight w:val="0"/>
      <w:marTop w:val="0"/>
      <w:marBottom w:val="0"/>
      <w:divBdr>
        <w:top w:val="none" w:sz="0" w:space="0" w:color="auto"/>
        <w:left w:val="none" w:sz="0" w:space="0" w:color="auto"/>
        <w:bottom w:val="none" w:sz="0" w:space="0" w:color="auto"/>
        <w:right w:val="none" w:sz="0" w:space="0" w:color="auto"/>
      </w:divBdr>
    </w:div>
    <w:div w:id="1379427714">
      <w:bodyDiv w:val="1"/>
      <w:marLeft w:val="0"/>
      <w:marRight w:val="0"/>
      <w:marTop w:val="0"/>
      <w:marBottom w:val="0"/>
      <w:divBdr>
        <w:top w:val="none" w:sz="0" w:space="0" w:color="auto"/>
        <w:left w:val="none" w:sz="0" w:space="0" w:color="auto"/>
        <w:bottom w:val="none" w:sz="0" w:space="0" w:color="auto"/>
        <w:right w:val="none" w:sz="0" w:space="0" w:color="auto"/>
      </w:divBdr>
    </w:div>
    <w:div w:id="1395350283">
      <w:bodyDiv w:val="1"/>
      <w:marLeft w:val="0"/>
      <w:marRight w:val="0"/>
      <w:marTop w:val="0"/>
      <w:marBottom w:val="0"/>
      <w:divBdr>
        <w:top w:val="none" w:sz="0" w:space="0" w:color="auto"/>
        <w:left w:val="none" w:sz="0" w:space="0" w:color="auto"/>
        <w:bottom w:val="none" w:sz="0" w:space="0" w:color="auto"/>
        <w:right w:val="none" w:sz="0" w:space="0" w:color="auto"/>
      </w:divBdr>
    </w:div>
    <w:div w:id="1396053566">
      <w:bodyDiv w:val="1"/>
      <w:marLeft w:val="0"/>
      <w:marRight w:val="0"/>
      <w:marTop w:val="0"/>
      <w:marBottom w:val="0"/>
      <w:divBdr>
        <w:top w:val="none" w:sz="0" w:space="0" w:color="auto"/>
        <w:left w:val="none" w:sz="0" w:space="0" w:color="auto"/>
        <w:bottom w:val="none" w:sz="0" w:space="0" w:color="auto"/>
        <w:right w:val="none" w:sz="0" w:space="0" w:color="auto"/>
      </w:divBdr>
    </w:div>
    <w:div w:id="1435327061">
      <w:bodyDiv w:val="1"/>
      <w:marLeft w:val="0"/>
      <w:marRight w:val="0"/>
      <w:marTop w:val="0"/>
      <w:marBottom w:val="0"/>
      <w:divBdr>
        <w:top w:val="none" w:sz="0" w:space="0" w:color="auto"/>
        <w:left w:val="none" w:sz="0" w:space="0" w:color="auto"/>
        <w:bottom w:val="none" w:sz="0" w:space="0" w:color="auto"/>
        <w:right w:val="none" w:sz="0" w:space="0" w:color="auto"/>
      </w:divBdr>
    </w:div>
    <w:div w:id="1458261473">
      <w:bodyDiv w:val="1"/>
      <w:marLeft w:val="0"/>
      <w:marRight w:val="0"/>
      <w:marTop w:val="0"/>
      <w:marBottom w:val="0"/>
      <w:divBdr>
        <w:top w:val="none" w:sz="0" w:space="0" w:color="auto"/>
        <w:left w:val="none" w:sz="0" w:space="0" w:color="auto"/>
        <w:bottom w:val="none" w:sz="0" w:space="0" w:color="auto"/>
        <w:right w:val="none" w:sz="0" w:space="0" w:color="auto"/>
      </w:divBdr>
    </w:div>
    <w:div w:id="1500458329">
      <w:bodyDiv w:val="1"/>
      <w:marLeft w:val="0"/>
      <w:marRight w:val="0"/>
      <w:marTop w:val="0"/>
      <w:marBottom w:val="0"/>
      <w:divBdr>
        <w:top w:val="none" w:sz="0" w:space="0" w:color="auto"/>
        <w:left w:val="none" w:sz="0" w:space="0" w:color="auto"/>
        <w:bottom w:val="none" w:sz="0" w:space="0" w:color="auto"/>
        <w:right w:val="none" w:sz="0" w:space="0" w:color="auto"/>
      </w:divBdr>
    </w:div>
    <w:div w:id="1505633883">
      <w:bodyDiv w:val="1"/>
      <w:marLeft w:val="0"/>
      <w:marRight w:val="0"/>
      <w:marTop w:val="0"/>
      <w:marBottom w:val="0"/>
      <w:divBdr>
        <w:top w:val="none" w:sz="0" w:space="0" w:color="auto"/>
        <w:left w:val="none" w:sz="0" w:space="0" w:color="auto"/>
        <w:bottom w:val="none" w:sz="0" w:space="0" w:color="auto"/>
        <w:right w:val="none" w:sz="0" w:space="0" w:color="auto"/>
      </w:divBdr>
    </w:div>
    <w:div w:id="1529370883">
      <w:bodyDiv w:val="1"/>
      <w:marLeft w:val="0"/>
      <w:marRight w:val="0"/>
      <w:marTop w:val="0"/>
      <w:marBottom w:val="0"/>
      <w:divBdr>
        <w:top w:val="none" w:sz="0" w:space="0" w:color="auto"/>
        <w:left w:val="none" w:sz="0" w:space="0" w:color="auto"/>
        <w:bottom w:val="none" w:sz="0" w:space="0" w:color="auto"/>
        <w:right w:val="none" w:sz="0" w:space="0" w:color="auto"/>
      </w:divBdr>
    </w:div>
    <w:div w:id="1558853603">
      <w:bodyDiv w:val="1"/>
      <w:marLeft w:val="0"/>
      <w:marRight w:val="0"/>
      <w:marTop w:val="0"/>
      <w:marBottom w:val="0"/>
      <w:divBdr>
        <w:top w:val="none" w:sz="0" w:space="0" w:color="auto"/>
        <w:left w:val="none" w:sz="0" w:space="0" w:color="auto"/>
        <w:bottom w:val="none" w:sz="0" w:space="0" w:color="auto"/>
        <w:right w:val="none" w:sz="0" w:space="0" w:color="auto"/>
      </w:divBdr>
    </w:div>
    <w:div w:id="1560750873">
      <w:bodyDiv w:val="1"/>
      <w:marLeft w:val="0"/>
      <w:marRight w:val="0"/>
      <w:marTop w:val="0"/>
      <w:marBottom w:val="0"/>
      <w:divBdr>
        <w:top w:val="none" w:sz="0" w:space="0" w:color="auto"/>
        <w:left w:val="none" w:sz="0" w:space="0" w:color="auto"/>
        <w:bottom w:val="none" w:sz="0" w:space="0" w:color="auto"/>
        <w:right w:val="none" w:sz="0" w:space="0" w:color="auto"/>
      </w:divBdr>
    </w:div>
    <w:div w:id="1577058782">
      <w:bodyDiv w:val="1"/>
      <w:marLeft w:val="0"/>
      <w:marRight w:val="0"/>
      <w:marTop w:val="0"/>
      <w:marBottom w:val="0"/>
      <w:divBdr>
        <w:top w:val="none" w:sz="0" w:space="0" w:color="auto"/>
        <w:left w:val="none" w:sz="0" w:space="0" w:color="auto"/>
        <w:bottom w:val="none" w:sz="0" w:space="0" w:color="auto"/>
        <w:right w:val="none" w:sz="0" w:space="0" w:color="auto"/>
      </w:divBdr>
    </w:div>
    <w:div w:id="1598978237">
      <w:bodyDiv w:val="1"/>
      <w:marLeft w:val="0"/>
      <w:marRight w:val="0"/>
      <w:marTop w:val="0"/>
      <w:marBottom w:val="0"/>
      <w:divBdr>
        <w:top w:val="none" w:sz="0" w:space="0" w:color="auto"/>
        <w:left w:val="none" w:sz="0" w:space="0" w:color="auto"/>
        <w:bottom w:val="none" w:sz="0" w:space="0" w:color="auto"/>
        <w:right w:val="none" w:sz="0" w:space="0" w:color="auto"/>
      </w:divBdr>
    </w:div>
    <w:div w:id="1601834310">
      <w:bodyDiv w:val="1"/>
      <w:marLeft w:val="0"/>
      <w:marRight w:val="0"/>
      <w:marTop w:val="0"/>
      <w:marBottom w:val="0"/>
      <w:divBdr>
        <w:top w:val="none" w:sz="0" w:space="0" w:color="auto"/>
        <w:left w:val="none" w:sz="0" w:space="0" w:color="auto"/>
        <w:bottom w:val="none" w:sz="0" w:space="0" w:color="auto"/>
        <w:right w:val="none" w:sz="0" w:space="0" w:color="auto"/>
      </w:divBdr>
    </w:div>
    <w:div w:id="1628586321">
      <w:bodyDiv w:val="1"/>
      <w:marLeft w:val="0"/>
      <w:marRight w:val="0"/>
      <w:marTop w:val="0"/>
      <w:marBottom w:val="0"/>
      <w:divBdr>
        <w:top w:val="none" w:sz="0" w:space="0" w:color="auto"/>
        <w:left w:val="none" w:sz="0" w:space="0" w:color="auto"/>
        <w:bottom w:val="none" w:sz="0" w:space="0" w:color="auto"/>
        <w:right w:val="none" w:sz="0" w:space="0" w:color="auto"/>
      </w:divBdr>
    </w:div>
    <w:div w:id="1645886161">
      <w:bodyDiv w:val="1"/>
      <w:marLeft w:val="0"/>
      <w:marRight w:val="0"/>
      <w:marTop w:val="0"/>
      <w:marBottom w:val="0"/>
      <w:divBdr>
        <w:top w:val="none" w:sz="0" w:space="0" w:color="auto"/>
        <w:left w:val="none" w:sz="0" w:space="0" w:color="auto"/>
        <w:bottom w:val="none" w:sz="0" w:space="0" w:color="auto"/>
        <w:right w:val="none" w:sz="0" w:space="0" w:color="auto"/>
      </w:divBdr>
    </w:div>
    <w:div w:id="1675960253">
      <w:bodyDiv w:val="1"/>
      <w:marLeft w:val="0"/>
      <w:marRight w:val="0"/>
      <w:marTop w:val="0"/>
      <w:marBottom w:val="0"/>
      <w:divBdr>
        <w:top w:val="none" w:sz="0" w:space="0" w:color="auto"/>
        <w:left w:val="none" w:sz="0" w:space="0" w:color="auto"/>
        <w:bottom w:val="none" w:sz="0" w:space="0" w:color="auto"/>
        <w:right w:val="none" w:sz="0" w:space="0" w:color="auto"/>
      </w:divBdr>
    </w:div>
    <w:div w:id="1687441265">
      <w:bodyDiv w:val="1"/>
      <w:marLeft w:val="0"/>
      <w:marRight w:val="0"/>
      <w:marTop w:val="0"/>
      <w:marBottom w:val="0"/>
      <w:divBdr>
        <w:top w:val="none" w:sz="0" w:space="0" w:color="auto"/>
        <w:left w:val="none" w:sz="0" w:space="0" w:color="auto"/>
        <w:bottom w:val="none" w:sz="0" w:space="0" w:color="auto"/>
        <w:right w:val="none" w:sz="0" w:space="0" w:color="auto"/>
      </w:divBdr>
    </w:div>
    <w:div w:id="1691178935">
      <w:bodyDiv w:val="1"/>
      <w:marLeft w:val="0"/>
      <w:marRight w:val="0"/>
      <w:marTop w:val="0"/>
      <w:marBottom w:val="0"/>
      <w:divBdr>
        <w:top w:val="none" w:sz="0" w:space="0" w:color="auto"/>
        <w:left w:val="none" w:sz="0" w:space="0" w:color="auto"/>
        <w:bottom w:val="none" w:sz="0" w:space="0" w:color="auto"/>
        <w:right w:val="none" w:sz="0" w:space="0" w:color="auto"/>
      </w:divBdr>
    </w:div>
    <w:div w:id="1740470375">
      <w:bodyDiv w:val="1"/>
      <w:marLeft w:val="0"/>
      <w:marRight w:val="0"/>
      <w:marTop w:val="0"/>
      <w:marBottom w:val="0"/>
      <w:divBdr>
        <w:top w:val="none" w:sz="0" w:space="0" w:color="auto"/>
        <w:left w:val="none" w:sz="0" w:space="0" w:color="auto"/>
        <w:bottom w:val="none" w:sz="0" w:space="0" w:color="auto"/>
        <w:right w:val="none" w:sz="0" w:space="0" w:color="auto"/>
      </w:divBdr>
    </w:div>
    <w:div w:id="1762294603">
      <w:bodyDiv w:val="1"/>
      <w:marLeft w:val="0"/>
      <w:marRight w:val="0"/>
      <w:marTop w:val="0"/>
      <w:marBottom w:val="0"/>
      <w:divBdr>
        <w:top w:val="none" w:sz="0" w:space="0" w:color="auto"/>
        <w:left w:val="none" w:sz="0" w:space="0" w:color="auto"/>
        <w:bottom w:val="none" w:sz="0" w:space="0" w:color="auto"/>
        <w:right w:val="none" w:sz="0" w:space="0" w:color="auto"/>
      </w:divBdr>
    </w:div>
    <w:div w:id="1805345534">
      <w:bodyDiv w:val="1"/>
      <w:marLeft w:val="0"/>
      <w:marRight w:val="0"/>
      <w:marTop w:val="0"/>
      <w:marBottom w:val="0"/>
      <w:divBdr>
        <w:top w:val="none" w:sz="0" w:space="0" w:color="auto"/>
        <w:left w:val="none" w:sz="0" w:space="0" w:color="auto"/>
        <w:bottom w:val="none" w:sz="0" w:space="0" w:color="auto"/>
        <w:right w:val="none" w:sz="0" w:space="0" w:color="auto"/>
      </w:divBdr>
    </w:div>
    <w:div w:id="1810512404">
      <w:bodyDiv w:val="1"/>
      <w:marLeft w:val="0"/>
      <w:marRight w:val="0"/>
      <w:marTop w:val="0"/>
      <w:marBottom w:val="0"/>
      <w:divBdr>
        <w:top w:val="none" w:sz="0" w:space="0" w:color="auto"/>
        <w:left w:val="none" w:sz="0" w:space="0" w:color="auto"/>
        <w:bottom w:val="none" w:sz="0" w:space="0" w:color="auto"/>
        <w:right w:val="none" w:sz="0" w:space="0" w:color="auto"/>
      </w:divBdr>
    </w:div>
    <w:div w:id="1819758407">
      <w:bodyDiv w:val="1"/>
      <w:marLeft w:val="0"/>
      <w:marRight w:val="0"/>
      <w:marTop w:val="0"/>
      <w:marBottom w:val="0"/>
      <w:divBdr>
        <w:top w:val="none" w:sz="0" w:space="0" w:color="auto"/>
        <w:left w:val="none" w:sz="0" w:space="0" w:color="auto"/>
        <w:bottom w:val="none" w:sz="0" w:space="0" w:color="auto"/>
        <w:right w:val="none" w:sz="0" w:space="0" w:color="auto"/>
      </w:divBdr>
    </w:div>
    <w:div w:id="1863862829">
      <w:bodyDiv w:val="1"/>
      <w:marLeft w:val="0"/>
      <w:marRight w:val="0"/>
      <w:marTop w:val="0"/>
      <w:marBottom w:val="0"/>
      <w:divBdr>
        <w:top w:val="none" w:sz="0" w:space="0" w:color="auto"/>
        <w:left w:val="none" w:sz="0" w:space="0" w:color="auto"/>
        <w:bottom w:val="none" w:sz="0" w:space="0" w:color="auto"/>
        <w:right w:val="none" w:sz="0" w:space="0" w:color="auto"/>
      </w:divBdr>
    </w:div>
    <w:div w:id="1890065554">
      <w:bodyDiv w:val="1"/>
      <w:marLeft w:val="0"/>
      <w:marRight w:val="0"/>
      <w:marTop w:val="0"/>
      <w:marBottom w:val="0"/>
      <w:divBdr>
        <w:top w:val="none" w:sz="0" w:space="0" w:color="auto"/>
        <w:left w:val="none" w:sz="0" w:space="0" w:color="auto"/>
        <w:bottom w:val="none" w:sz="0" w:space="0" w:color="auto"/>
        <w:right w:val="none" w:sz="0" w:space="0" w:color="auto"/>
      </w:divBdr>
    </w:div>
    <w:div w:id="1943493458">
      <w:bodyDiv w:val="1"/>
      <w:marLeft w:val="0"/>
      <w:marRight w:val="0"/>
      <w:marTop w:val="0"/>
      <w:marBottom w:val="0"/>
      <w:divBdr>
        <w:top w:val="none" w:sz="0" w:space="0" w:color="auto"/>
        <w:left w:val="none" w:sz="0" w:space="0" w:color="auto"/>
        <w:bottom w:val="none" w:sz="0" w:space="0" w:color="auto"/>
        <w:right w:val="none" w:sz="0" w:space="0" w:color="auto"/>
      </w:divBdr>
    </w:div>
    <w:div w:id="1975328676">
      <w:bodyDiv w:val="1"/>
      <w:marLeft w:val="0"/>
      <w:marRight w:val="0"/>
      <w:marTop w:val="0"/>
      <w:marBottom w:val="0"/>
      <w:divBdr>
        <w:top w:val="none" w:sz="0" w:space="0" w:color="auto"/>
        <w:left w:val="none" w:sz="0" w:space="0" w:color="auto"/>
        <w:bottom w:val="none" w:sz="0" w:space="0" w:color="auto"/>
        <w:right w:val="none" w:sz="0" w:space="0" w:color="auto"/>
      </w:divBdr>
    </w:div>
    <w:div w:id="1983148460">
      <w:bodyDiv w:val="1"/>
      <w:marLeft w:val="0"/>
      <w:marRight w:val="0"/>
      <w:marTop w:val="0"/>
      <w:marBottom w:val="0"/>
      <w:divBdr>
        <w:top w:val="none" w:sz="0" w:space="0" w:color="auto"/>
        <w:left w:val="none" w:sz="0" w:space="0" w:color="auto"/>
        <w:bottom w:val="none" w:sz="0" w:space="0" w:color="auto"/>
        <w:right w:val="none" w:sz="0" w:space="0" w:color="auto"/>
      </w:divBdr>
    </w:div>
    <w:div w:id="2015455739">
      <w:bodyDiv w:val="1"/>
      <w:marLeft w:val="0"/>
      <w:marRight w:val="0"/>
      <w:marTop w:val="0"/>
      <w:marBottom w:val="0"/>
      <w:divBdr>
        <w:top w:val="none" w:sz="0" w:space="0" w:color="auto"/>
        <w:left w:val="none" w:sz="0" w:space="0" w:color="auto"/>
        <w:bottom w:val="none" w:sz="0" w:space="0" w:color="auto"/>
        <w:right w:val="none" w:sz="0" w:space="0" w:color="auto"/>
      </w:divBdr>
    </w:div>
    <w:div w:id="2026858297">
      <w:bodyDiv w:val="1"/>
      <w:marLeft w:val="0"/>
      <w:marRight w:val="0"/>
      <w:marTop w:val="0"/>
      <w:marBottom w:val="0"/>
      <w:divBdr>
        <w:top w:val="none" w:sz="0" w:space="0" w:color="auto"/>
        <w:left w:val="none" w:sz="0" w:space="0" w:color="auto"/>
        <w:bottom w:val="none" w:sz="0" w:space="0" w:color="auto"/>
        <w:right w:val="none" w:sz="0" w:space="0" w:color="auto"/>
      </w:divBdr>
    </w:div>
    <w:div w:id="2038039391">
      <w:bodyDiv w:val="1"/>
      <w:marLeft w:val="0"/>
      <w:marRight w:val="0"/>
      <w:marTop w:val="0"/>
      <w:marBottom w:val="0"/>
      <w:divBdr>
        <w:top w:val="none" w:sz="0" w:space="0" w:color="auto"/>
        <w:left w:val="none" w:sz="0" w:space="0" w:color="auto"/>
        <w:bottom w:val="none" w:sz="0" w:space="0" w:color="auto"/>
        <w:right w:val="none" w:sz="0" w:space="0" w:color="auto"/>
      </w:divBdr>
    </w:div>
    <w:div w:id="2077892133">
      <w:bodyDiv w:val="1"/>
      <w:marLeft w:val="0"/>
      <w:marRight w:val="0"/>
      <w:marTop w:val="0"/>
      <w:marBottom w:val="0"/>
      <w:divBdr>
        <w:top w:val="none" w:sz="0" w:space="0" w:color="auto"/>
        <w:left w:val="none" w:sz="0" w:space="0" w:color="auto"/>
        <w:bottom w:val="none" w:sz="0" w:space="0" w:color="auto"/>
        <w:right w:val="none" w:sz="0" w:space="0" w:color="auto"/>
      </w:divBdr>
    </w:div>
    <w:div w:id="2077892201">
      <w:bodyDiv w:val="1"/>
      <w:marLeft w:val="0"/>
      <w:marRight w:val="0"/>
      <w:marTop w:val="0"/>
      <w:marBottom w:val="0"/>
      <w:divBdr>
        <w:top w:val="none" w:sz="0" w:space="0" w:color="auto"/>
        <w:left w:val="none" w:sz="0" w:space="0" w:color="auto"/>
        <w:bottom w:val="none" w:sz="0" w:space="0" w:color="auto"/>
        <w:right w:val="none" w:sz="0" w:space="0" w:color="auto"/>
      </w:divBdr>
    </w:div>
    <w:div w:id="2095974029">
      <w:bodyDiv w:val="1"/>
      <w:marLeft w:val="0"/>
      <w:marRight w:val="0"/>
      <w:marTop w:val="0"/>
      <w:marBottom w:val="0"/>
      <w:divBdr>
        <w:top w:val="none" w:sz="0" w:space="0" w:color="auto"/>
        <w:left w:val="none" w:sz="0" w:space="0" w:color="auto"/>
        <w:bottom w:val="none" w:sz="0" w:space="0" w:color="auto"/>
        <w:right w:val="none" w:sz="0" w:space="0" w:color="auto"/>
      </w:divBdr>
    </w:div>
    <w:div w:id="2112822470">
      <w:bodyDiv w:val="1"/>
      <w:marLeft w:val="0"/>
      <w:marRight w:val="0"/>
      <w:marTop w:val="0"/>
      <w:marBottom w:val="0"/>
      <w:divBdr>
        <w:top w:val="none" w:sz="0" w:space="0" w:color="auto"/>
        <w:left w:val="none" w:sz="0" w:space="0" w:color="auto"/>
        <w:bottom w:val="none" w:sz="0" w:space="0" w:color="auto"/>
        <w:right w:val="none" w:sz="0" w:space="0" w:color="auto"/>
      </w:divBdr>
    </w:div>
    <w:div w:id="214711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7.png"/><Relationship Id="rId21" Type="http://schemas.openxmlformats.org/officeDocument/2006/relationships/diagramData" Target="diagrams/data1.xml"/><Relationship Id="rId42" Type="http://schemas.openxmlformats.org/officeDocument/2006/relationships/oleObject" Target="embeddings/oleObject8.bin"/><Relationship Id="rId63" Type="http://schemas.openxmlformats.org/officeDocument/2006/relationships/image" Target="media/image24.emf"/><Relationship Id="rId84" Type="http://schemas.openxmlformats.org/officeDocument/2006/relationships/oleObject" Target="embeddings/oleObject29.bin"/><Relationship Id="rId138" Type="http://schemas.openxmlformats.org/officeDocument/2006/relationships/image" Target="media/image68.png"/><Relationship Id="rId159" Type="http://schemas.openxmlformats.org/officeDocument/2006/relationships/image" Target="media/image89.png"/><Relationship Id="rId170" Type="http://schemas.openxmlformats.org/officeDocument/2006/relationships/image" Target="media/image100.png"/><Relationship Id="rId191" Type="http://schemas.openxmlformats.org/officeDocument/2006/relationships/image" Target="media/image121.png"/><Relationship Id="rId205" Type="http://schemas.openxmlformats.org/officeDocument/2006/relationships/image" Target="media/image135.png"/><Relationship Id="rId226" Type="http://schemas.openxmlformats.org/officeDocument/2006/relationships/fontTable" Target="fontTable.xml"/><Relationship Id="rId107" Type="http://schemas.openxmlformats.org/officeDocument/2006/relationships/oleObject" Target="embeddings/oleObject33.bin"/><Relationship Id="rId11" Type="http://schemas.openxmlformats.org/officeDocument/2006/relationships/header" Target="header2.xml"/><Relationship Id="rId32" Type="http://schemas.openxmlformats.org/officeDocument/2006/relationships/oleObject" Target="embeddings/oleObject3.bin"/><Relationship Id="rId53" Type="http://schemas.openxmlformats.org/officeDocument/2006/relationships/image" Target="media/image19.emf"/><Relationship Id="rId74" Type="http://schemas.openxmlformats.org/officeDocument/2006/relationships/oleObject" Target="embeddings/oleObject24.bin"/><Relationship Id="rId128" Type="http://schemas.openxmlformats.org/officeDocument/2006/relationships/image" Target="media/image58.png"/><Relationship Id="rId149" Type="http://schemas.openxmlformats.org/officeDocument/2006/relationships/image" Target="media/image79.png"/><Relationship Id="rId5" Type="http://schemas.openxmlformats.org/officeDocument/2006/relationships/settings" Target="settings.xml"/><Relationship Id="rId95" Type="http://schemas.openxmlformats.org/officeDocument/2006/relationships/diagramColors" Target="diagrams/colors3.xml"/><Relationship Id="rId160" Type="http://schemas.openxmlformats.org/officeDocument/2006/relationships/image" Target="media/image90.png"/><Relationship Id="rId181" Type="http://schemas.openxmlformats.org/officeDocument/2006/relationships/image" Target="media/image111.png"/><Relationship Id="rId216" Type="http://schemas.openxmlformats.org/officeDocument/2006/relationships/image" Target="media/image146.emf"/><Relationship Id="rId211" Type="http://schemas.openxmlformats.org/officeDocument/2006/relationships/image" Target="media/image141.png"/><Relationship Id="rId22" Type="http://schemas.openxmlformats.org/officeDocument/2006/relationships/diagramLayout" Target="diagrams/layout1.xml"/><Relationship Id="rId27" Type="http://schemas.openxmlformats.org/officeDocument/2006/relationships/image" Target="media/image6.emf"/><Relationship Id="rId43" Type="http://schemas.openxmlformats.org/officeDocument/2006/relationships/image" Target="media/image14.emf"/><Relationship Id="rId48" Type="http://schemas.openxmlformats.org/officeDocument/2006/relationships/oleObject" Target="embeddings/oleObject11.bin"/><Relationship Id="rId64" Type="http://schemas.openxmlformats.org/officeDocument/2006/relationships/oleObject" Target="embeddings/oleObject19.bin"/><Relationship Id="rId69" Type="http://schemas.openxmlformats.org/officeDocument/2006/relationships/image" Target="media/image27.emf"/><Relationship Id="rId113" Type="http://schemas.openxmlformats.org/officeDocument/2006/relationships/image" Target="media/image43.emf"/><Relationship Id="rId118" Type="http://schemas.openxmlformats.org/officeDocument/2006/relationships/image" Target="media/image48.png"/><Relationship Id="rId134" Type="http://schemas.openxmlformats.org/officeDocument/2006/relationships/image" Target="media/image64.png"/><Relationship Id="rId139" Type="http://schemas.openxmlformats.org/officeDocument/2006/relationships/image" Target="media/image69.png"/><Relationship Id="rId80" Type="http://schemas.openxmlformats.org/officeDocument/2006/relationships/oleObject" Target="embeddings/oleObject27.bin"/><Relationship Id="rId85" Type="http://schemas.openxmlformats.org/officeDocument/2006/relationships/image" Target="media/image35.emf"/><Relationship Id="rId150" Type="http://schemas.openxmlformats.org/officeDocument/2006/relationships/image" Target="media/image80.png"/><Relationship Id="rId155" Type="http://schemas.openxmlformats.org/officeDocument/2006/relationships/image" Target="media/image85.png"/><Relationship Id="rId171" Type="http://schemas.openxmlformats.org/officeDocument/2006/relationships/image" Target="media/image101.png"/><Relationship Id="rId176" Type="http://schemas.openxmlformats.org/officeDocument/2006/relationships/image" Target="media/image106.png"/><Relationship Id="rId192" Type="http://schemas.openxmlformats.org/officeDocument/2006/relationships/image" Target="media/image122.png"/><Relationship Id="rId197" Type="http://schemas.openxmlformats.org/officeDocument/2006/relationships/image" Target="media/image127.png"/><Relationship Id="rId206" Type="http://schemas.openxmlformats.org/officeDocument/2006/relationships/image" Target="media/image136.png"/><Relationship Id="rId227" Type="http://schemas.openxmlformats.org/officeDocument/2006/relationships/glossaryDocument" Target="glossary/document.xml"/><Relationship Id="rId201" Type="http://schemas.openxmlformats.org/officeDocument/2006/relationships/image" Target="media/image131.png"/><Relationship Id="rId222" Type="http://schemas.openxmlformats.org/officeDocument/2006/relationships/hyperlink" Target="http://www.iaea.org/Publications/Booklets/Safeguards3/safeguards0707.pdf" TargetMode="External"/><Relationship Id="rId12" Type="http://schemas.openxmlformats.org/officeDocument/2006/relationships/footer" Target="footer2.xml"/><Relationship Id="rId17" Type="http://schemas.openxmlformats.org/officeDocument/2006/relationships/header" Target="header3.xml"/><Relationship Id="rId33" Type="http://schemas.openxmlformats.org/officeDocument/2006/relationships/image" Target="media/image9.emf"/><Relationship Id="rId38" Type="http://schemas.openxmlformats.org/officeDocument/2006/relationships/oleObject" Target="embeddings/oleObject6.bin"/><Relationship Id="rId59" Type="http://schemas.openxmlformats.org/officeDocument/2006/relationships/image" Target="media/image22.emf"/><Relationship Id="rId103" Type="http://schemas.openxmlformats.org/officeDocument/2006/relationships/oleObject" Target="embeddings/oleObject31.bin"/><Relationship Id="rId108" Type="http://schemas.openxmlformats.org/officeDocument/2006/relationships/image" Target="media/image39.emf"/><Relationship Id="rId124" Type="http://schemas.openxmlformats.org/officeDocument/2006/relationships/image" Target="media/image54.png"/><Relationship Id="rId129" Type="http://schemas.openxmlformats.org/officeDocument/2006/relationships/image" Target="media/image59.png"/><Relationship Id="rId54" Type="http://schemas.openxmlformats.org/officeDocument/2006/relationships/oleObject" Target="embeddings/oleObject14.bin"/><Relationship Id="rId70" Type="http://schemas.openxmlformats.org/officeDocument/2006/relationships/oleObject" Target="embeddings/oleObject22.bin"/><Relationship Id="rId75" Type="http://schemas.openxmlformats.org/officeDocument/2006/relationships/image" Target="media/image30.emf"/><Relationship Id="rId91" Type="http://schemas.microsoft.com/office/2007/relationships/diagramDrawing" Target="diagrams/drawing2.xml"/><Relationship Id="rId96" Type="http://schemas.microsoft.com/office/2007/relationships/diagramDrawing" Target="diagrams/drawing3.xml"/><Relationship Id="rId140" Type="http://schemas.openxmlformats.org/officeDocument/2006/relationships/image" Target="media/image70.png"/><Relationship Id="rId145" Type="http://schemas.openxmlformats.org/officeDocument/2006/relationships/image" Target="media/image75.png"/><Relationship Id="rId161" Type="http://schemas.openxmlformats.org/officeDocument/2006/relationships/image" Target="media/image91.png"/><Relationship Id="rId166" Type="http://schemas.openxmlformats.org/officeDocument/2006/relationships/image" Target="media/image96.png"/><Relationship Id="rId182" Type="http://schemas.openxmlformats.org/officeDocument/2006/relationships/image" Target="media/image112.png"/><Relationship Id="rId187" Type="http://schemas.openxmlformats.org/officeDocument/2006/relationships/image" Target="media/image117.png"/><Relationship Id="rId217" Type="http://schemas.openxmlformats.org/officeDocument/2006/relationships/image" Target="media/image147.emf"/><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image" Target="media/image142.png"/><Relationship Id="rId23" Type="http://schemas.openxmlformats.org/officeDocument/2006/relationships/diagramQuickStyle" Target="diagrams/quickStyle1.xml"/><Relationship Id="rId28" Type="http://schemas.openxmlformats.org/officeDocument/2006/relationships/oleObject" Target="embeddings/oleObject1.bin"/><Relationship Id="rId49" Type="http://schemas.openxmlformats.org/officeDocument/2006/relationships/image" Target="media/image17.emf"/><Relationship Id="rId114" Type="http://schemas.openxmlformats.org/officeDocument/2006/relationships/image" Target="media/image44.emf"/><Relationship Id="rId119" Type="http://schemas.openxmlformats.org/officeDocument/2006/relationships/image" Target="media/image49.png"/><Relationship Id="rId44" Type="http://schemas.openxmlformats.org/officeDocument/2006/relationships/oleObject" Target="embeddings/oleObject9.bin"/><Relationship Id="rId60" Type="http://schemas.openxmlformats.org/officeDocument/2006/relationships/oleObject" Target="embeddings/oleObject17.bin"/><Relationship Id="rId65" Type="http://schemas.openxmlformats.org/officeDocument/2006/relationships/image" Target="media/image25.emf"/><Relationship Id="rId81" Type="http://schemas.openxmlformats.org/officeDocument/2006/relationships/image" Target="media/image33.emf"/><Relationship Id="rId86" Type="http://schemas.openxmlformats.org/officeDocument/2006/relationships/oleObject" Target="embeddings/oleObject30.bin"/><Relationship Id="rId130" Type="http://schemas.openxmlformats.org/officeDocument/2006/relationships/image" Target="media/image60.png"/><Relationship Id="rId135" Type="http://schemas.openxmlformats.org/officeDocument/2006/relationships/image" Target="media/image65.png"/><Relationship Id="rId151" Type="http://schemas.openxmlformats.org/officeDocument/2006/relationships/image" Target="media/image81.png"/><Relationship Id="rId156" Type="http://schemas.openxmlformats.org/officeDocument/2006/relationships/image" Target="media/image86.png"/><Relationship Id="rId177" Type="http://schemas.openxmlformats.org/officeDocument/2006/relationships/image" Target="media/image107.png"/><Relationship Id="rId198" Type="http://schemas.openxmlformats.org/officeDocument/2006/relationships/image" Target="media/image128.png"/><Relationship Id="rId172" Type="http://schemas.openxmlformats.org/officeDocument/2006/relationships/image" Target="media/image102.png"/><Relationship Id="rId193" Type="http://schemas.openxmlformats.org/officeDocument/2006/relationships/image" Target="media/image123.png"/><Relationship Id="rId202" Type="http://schemas.openxmlformats.org/officeDocument/2006/relationships/image" Target="media/image132.png"/><Relationship Id="rId207" Type="http://schemas.openxmlformats.org/officeDocument/2006/relationships/image" Target="media/image137.png"/><Relationship Id="rId223" Type="http://schemas.openxmlformats.org/officeDocument/2006/relationships/hyperlink" Target="http://www.mathworks.com/help/optim/ug/fsolve.html" TargetMode="External"/><Relationship Id="rId228" Type="http://schemas.openxmlformats.org/officeDocument/2006/relationships/theme" Target="theme/theme1.xml"/><Relationship Id="rId13" Type="http://schemas.openxmlformats.org/officeDocument/2006/relationships/image" Target="media/image1.png"/><Relationship Id="rId18" Type="http://schemas.openxmlformats.org/officeDocument/2006/relationships/footer" Target="footer3.xml"/><Relationship Id="rId39" Type="http://schemas.openxmlformats.org/officeDocument/2006/relationships/image" Target="media/image12.emf"/><Relationship Id="rId109" Type="http://schemas.openxmlformats.org/officeDocument/2006/relationships/image" Target="media/image40.emf"/><Relationship Id="rId34" Type="http://schemas.openxmlformats.org/officeDocument/2006/relationships/oleObject" Target="embeddings/oleObject4.bin"/><Relationship Id="rId50" Type="http://schemas.openxmlformats.org/officeDocument/2006/relationships/oleObject" Target="embeddings/oleObject12.bin"/><Relationship Id="rId55" Type="http://schemas.openxmlformats.org/officeDocument/2006/relationships/image" Target="media/image20.emf"/><Relationship Id="rId76" Type="http://schemas.openxmlformats.org/officeDocument/2006/relationships/oleObject" Target="embeddings/oleObject25.bin"/><Relationship Id="rId97" Type="http://schemas.openxmlformats.org/officeDocument/2006/relationships/diagramData" Target="diagrams/data4.xml"/><Relationship Id="rId104" Type="http://schemas.openxmlformats.org/officeDocument/2006/relationships/image" Target="media/image37.emf"/><Relationship Id="rId120" Type="http://schemas.openxmlformats.org/officeDocument/2006/relationships/image" Target="media/image50.png"/><Relationship Id="rId125" Type="http://schemas.openxmlformats.org/officeDocument/2006/relationships/image" Target="media/image55.png"/><Relationship Id="rId141" Type="http://schemas.openxmlformats.org/officeDocument/2006/relationships/image" Target="media/image71.png"/><Relationship Id="rId146" Type="http://schemas.openxmlformats.org/officeDocument/2006/relationships/image" Target="media/image76.png"/><Relationship Id="rId167" Type="http://schemas.openxmlformats.org/officeDocument/2006/relationships/image" Target="media/image97.png"/><Relationship Id="rId188" Type="http://schemas.openxmlformats.org/officeDocument/2006/relationships/image" Target="media/image118.png"/><Relationship Id="rId7" Type="http://schemas.openxmlformats.org/officeDocument/2006/relationships/footnotes" Target="footnotes.xml"/><Relationship Id="rId71" Type="http://schemas.openxmlformats.org/officeDocument/2006/relationships/image" Target="media/image28.emf"/><Relationship Id="rId92" Type="http://schemas.openxmlformats.org/officeDocument/2006/relationships/diagramData" Target="diagrams/data3.xml"/><Relationship Id="rId162" Type="http://schemas.openxmlformats.org/officeDocument/2006/relationships/image" Target="media/image92.png"/><Relationship Id="rId183" Type="http://schemas.openxmlformats.org/officeDocument/2006/relationships/image" Target="media/image113.png"/><Relationship Id="rId213" Type="http://schemas.openxmlformats.org/officeDocument/2006/relationships/image" Target="media/image143.png"/><Relationship Id="rId218" Type="http://schemas.openxmlformats.org/officeDocument/2006/relationships/hyperlink" Target="http://www.iaea.org/Publications/Documents/Infcircs/Others/inf66r2.shtml" TargetMode="External"/><Relationship Id="rId2" Type="http://schemas.openxmlformats.org/officeDocument/2006/relationships/numbering" Target="numbering.xml"/><Relationship Id="rId29" Type="http://schemas.openxmlformats.org/officeDocument/2006/relationships/image" Target="media/image7.emf"/><Relationship Id="rId24" Type="http://schemas.openxmlformats.org/officeDocument/2006/relationships/diagramColors" Target="diagrams/colors1.xml"/><Relationship Id="rId40" Type="http://schemas.openxmlformats.org/officeDocument/2006/relationships/oleObject" Target="embeddings/oleObject7.bin"/><Relationship Id="rId45" Type="http://schemas.openxmlformats.org/officeDocument/2006/relationships/image" Target="media/image15.emf"/><Relationship Id="rId66" Type="http://schemas.openxmlformats.org/officeDocument/2006/relationships/oleObject" Target="embeddings/oleObject20.bin"/><Relationship Id="rId87" Type="http://schemas.openxmlformats.org/officeDocument/2006/relationships/diagramData" Target="diagrams/data2.xml"/><Relationship Id="rId110" Type="http://schemas.openxmlformats.org/officeDocument/2006/relationships/footer" Target="footer4.xml"/><Relationship Id="rId115" Type="http://schemas.openxmlformats.org/officeDocument/2006/relationships/image" Target="media/image45.png"/><Relationship Id="rId131" Type="http://schemas.openxmlformats.org/officeDocument/2006/relationships/image" Target="media/image61.png"/><Relationship Id="rId136" Type="http://schemas.openxmlformats.org/officeDocument/2006/relationships/image" Target="media/image66.png"/><Relationship Id="rId157" Type="http://schemas.openxmlformats.org/officeDocument/2006/relationships/image" Target="media/image87.png"/><Relationship Id="rId178" Type="http://schemas.openxmlformats.org/officeDocument/2006/relationships/image" Target="media/image108.png"/><Relationship Id="rId61" Type="http://schemas.openxmlformats.org/officeDocument/2006/relationships/image" Target="media/image23.emf"/><Relationship Id="rId82" Type="http://schemas.openxmlformats.org/officeDocument/2006/relationships/oleObject" Target="embeddings/oleObject28.bin"/><Relationship Id="rId152" Type="http://schemas.openxmlformats.org/officeDocument/2006/relationships/image" Target="media/image82.png"/><Relationship Id="rId173" Type="http://schemas.openxmlformats.org/officeDocument/2006/relationships/image" Target="media/image103.png"/><Relationship Id="rId194" Type="http://schemas.openxmlformats.org/officeDocument/2006/relationships/image" Target="media/image124.png"/><Relationship Id="rId199" Type="http://schemas.openxmlformats.org/officeDocument/2006/relationships/image" Target="media/image129.png"/><Relationship Id="rId203" Type="http://schemas.openxmlformats.org/officeDocument/2006/relationships/image" Target="media/image133.png"/><Relationship Id="rId208" Type="http://schemas.openxmlformats.org/officeDocument/2006/relationships/image" Target="media/image138.png"/><Relationship Id="rId19" Type="http://schemas.openxmlformats.org/officeDocument/2006/relationships/image" Target="media/image3.emf"/><Relationship Id="rId224" Type="http://schemas.openxmlformats.org/officeDocument/2006/relationships/image" Target="media/image148.emf"/><Relationship Id="rId14" Type="http://schemas.openxmlformats.org/officeDocument/2006/relationships/hyperlink" Target="http://www.iaea.org/OurWork/ST/NE/NEFW/Technical_Areas/NFC/home.html" TargetMode="External"/><Relationship Id="rId30" Type="http://schemas.openxmlformats.org/officeDocument/2006/relationships/oleObject" Target="embeddings/oleObject2.bin"/><Relationship Id="rId35" Type="http://schemas.openxmlformats.org/officeDocument/2006/relationships/image" Target="media/image10.emf"/><Relationship Id="rId56" Type="http://schemas.openxmlformats.org/officeDocument/2006/relationships/oleObject" Target="embeddings/oleObject15.bin"/><Relationship Id="rId77" Type="http://schemas.openxmlformats.org/officeDocument/2006/relationships/image" Target="media/image31.emf"/><Relationship Id="rId100" Type="http://schemas.openxmlformats.org/officeDocument/2006/relationships/diagramColors" Target="diagrams/colors4.xml"/><Relationship Id="rId105" Type="http://schemas.openxmlformats.org/officeDocument/2006/relationships/oleObject" Target="embeddings/oleObject32.bin"/><Relationship Id="rId126" Type="http://schemas.openxmlformats.org/officeDocument/2006/relationships/image" Target="media/image56.png"/><Relationship Id="rId147" Type="http://schemas.openxmlformats.org/officeDocument/2006/relationships/image" Target="media/image77.png"/><Relationship Id="rId168" Type="http://schemas.openxmlformats.org/officeDocument/2006/relationships/image" Target="media/image98.png"/><Relationship Id="rId8" Type="http://schemas.openxmlformats.org/officeDocument/2006/relationships/endnotes" Target="endnotes.xml"/><Relationship Id="rId51" Type="http://schemas.openxmlformats.org/officeDocument/2006/relationships/image" Target="media/image18.emf"/><Relationship Id="rId72" Type="http://schemas.openxmlformats.org/officeDocument/2006/relationships/oleObject" Target="embeddings/oleObject23.bin"/><Relationship Id="rId93" Type="http://schemas.openxmlformats.org/officeDocument/2006/relationships/diagramLayout" Target="diagrams/layout3.xml"/><Relationship Id="rId98" Type="http://schemas.openxmlformats.org/officeDocument/2006/relationships/diagramLayout" Target="diagrams/layout4.xml"/><Relationship Id="rId121" Type="http://schemas.openxmlformats.org/officeDocument/2006/relationships/image" Target="media/image51.png"/><Relationship Id="rId142" Type="http://schemas.openxmlformats.org/officeDocument/2006/relationships/image" Target="media/image72.png"/><Relationship Id="rId163" Type="http://schemas.openxmlformats.org/officeDocument/2006/relationships/image" Target="media/image93.png"/><Relationship Id="rId184" Type="http://schemas.openxmlformats.org/officeDocument/2006/relationships/image" Target="media/image114.png"/><Relationship Id="rId189" Type="http://schemas.openxmlformats.org/officeDocument/2006/relationships/image" Target="media/image119.png"/><Relationship Id="rId219" Type="http://schemas.openxmlformats.org/officeDocument/2006/relationships/hyperlink" Target="http://www.fas.org/nuke/control/npt/text/inf153.html" TargetMode="External"/><Relationship Id="rId3" Type="http://schemas.openxmlformats.org/officeDocument/2006/relationships/styles" Target="styles.xml"/><Relationship Id="rId214" Type="http://schemas.openxmlformats.org/officeDocument/2006/relationships/image" Target="media/image144.png"/><Relationship Id="rId25" Type="http://schemas.microsoft.com/office/2007/relationships/diagramDrawing" Target="diagrams/drawing1.xml"/><Relationship Id="rId46" Type="http://schemas.openxmlformats.org/officeDocument/2006/relationships/oleObject" Target="embeddings/oleObject10.bin"/><Relationship Id="rId67" Type="http://schemas.openxmlformats.org/officeDocument/2006/relationships/image" Target="media/image26.emf"/><Relationship Id="rId116" Type="http://schemas.openxmlformats.org/officeDocument/2006/relationships/image" Target="media/image46.png"/><Relationship Id="rId137" Type="http://schemas.openxmlformats.org/officeDocument/2006/relationships/image" Target="media/image67.png"/><Relationship Id="rId158" Type="http://schemas.openxmlformats.org/officeDocument/2006/relationships/image" Target="media/image88.png"/><Relationship Id="rId20" Type="http://schemas.openxmlformats.org/officeDocument/2006/relationships/image" Target="media/image4.png"/><Relationship Id="rId41" Type="http://schemas.openxmlformats.org/officeDocument/2006/relationships/image" Target="media/image13.emf"/><Relationship Id="rId62" Type="http://schemas.openxmlformats.org/officeDocument/2006/relationships/oleObject" Target="embeddings/oleObject18.bin"/><Relationship Id="rId83" Type="http://schemas.openxmlformats.org/officeDocument/2006/relationships/image" Target="media/image34.emf"/><Relationship Id="rId88" Type="http://schemas.openxmlformats.org/officeDocument/2006/relationships/diagramLayout" Target="diagrams/layout2.xml"/><Relationship Id="rId111" Type="http://schemas.openxmlformats.org/officeDocument/2006/relationships/image" Target="media/image41.emf"/><Relationship Id="rId132" Type="http://schemas.openxmlformats.org/officeDocument/2006/relationships/image" Target="media/image62.png"/><Relationship Id="rId153" Type="http://schemas.openxmlformats.org/officeDocument/2006/relationships/image" Target="media/image83.png"/><Relationship Id="rId174" Type="http://schemas.openxmlformats.org/officeDocument/2006/relationships/image" Target="media/image104.png"/><Relationship Id="rId179" Type="http://schemas.openxmlformats.org/officeDocument/2006/relationships/image" Target="media/image109.png"/><Relationship Id="rId195" Type="http://schemas.openxmlformats.org/officeDocument/2006/relationships/image" Target="media/image125.png"/><Relationship Id="rId209" Type="http://schemas.openxmlformats.org/officeDocument/2006/relationships/image" Target="media/image139.png"/><Relationship Id="rId190" Type="http://schemas.openxmlformats.org/officeDocument/2006/relationships/image" Target="media/image120.png"/><Relationship Id="rId204" Type="http://schemas.openxmlformats.org/officeDocument/2006/relationships/image" Target="media/image134.png"/><Relationship Id="rId220" Type="http://schemas.openxmlformats.org/officeDocument/2006/relationships/hyperlink" Target="http://www-pub.iaea.org/books/IAEABooks/6570/IAEA-Safeguards-Glossary-2001-Edition" TargetMode="External"/><Relationship Id="rId225" Type="http://schemas.openxmlformats.org/officeDocument/2006/relationships/image" Target="media/image149.emf"/><Relationship Id="rId15" Type="http://schemas.openxmlformats.org/officeDocument/2006/relationships/hyperlink" Target="http://www-nfcis.iaea.org" TargetMode="External"/><Relationship Id="rId36" Type="http://schemas.openxmlformats.org/officeDocument/2006/relationships/oleObject" Target="embeddings/oleObject5.bin"/><Relationship Id="rId57" Type="http://schemas.openxmlformats.org/officeDocument/2006/relationships/image" Target="media/image21.emf"/><Relationship Id="rId106" Type="http://schemas.openxmlformats.org/officeDocument/2006/relationships/image" Target="media/image38.emf"/><Relationship Id="rId127" Type="http://schemas.openxmlformats.org/officeDocument/2006/relationships/image" Target="media/image57.png"/><Relationship Id="rId10" Type="http://schemas.openxmlformats.org/officeDocument/2006/relationships/footer" Target="footer1.xml"/><Relationship Id="rId31" Type="http://schemas.openxmlformats.org/officeDocument/2006/relationships/image" Target="media/image8.emf"/><Relationship Id="rId52" Type="http://schemas.openxmlformats.org/officeDocument/2006/relationships/oleObject" Target="embeddings/oleObject13.bin"/><Relationship Id="rId73" Type="http://schemas.openxmlformats.org/officeDocument/2006/relationships/image" Target="media/image29.emf"/><Relationship Id="rId78" Type="http://schemas.openxmlformats.org/officeDocument/2006/relationships/oleObject" Target="embeddings/oleObject26.bin"/><Relationship Id="rId94" Type="http://schemas.openxmlformats.org/officeDocument/2006/relationships/diagramQuickStyle" Target="diagrams/quickStyle3.xml"/><Relationship Id="rId99" Type="http://schemas.openxmlformats.org/officeDocument/2006/relationships/diagramQuickStyle" Target="diagrams/quickStyle4.xml"/><Relationship Id="rId101" Type="http://schemas.microsoft.com/office/2007/relationships/diagramDrawing" Target="diagrams/drawing4.xml"/><Relationship Id="rId122" Type="http://schemas.openxmlformats.org/officeDocument/2006/relationships/image" Target="media/image52.png"/><Relationship Id="rId143" Type="http://schemas.openxmlformats.org/officeDocument/2006/relationships/image" Target="media/image73.png"/><Relationship Id="rId148" Type="http://schemas.openxmlformats.org/officeDocument/2006/relationships/image" Target="media/image78.png"/><Relationship Id="rId164" Type="http://schemas.openxmlformats.org/officeDocument/2006/relationships/image" Target="media/image94.png"/><Relationship Id="rId169" Type="http://schemas.openxmlformats.org/officeDocument/2006/relationships/image" Target="media/image99.png"/><Relationship Id="rId185" Type="http://schemas.openxmlformats.org/officeDocument/2006/relationships/image" Target="media/image115.png"/><Relationship Id="rId4" Type="http://schemas.microsoft.com/office/2007/relationships/stylesWithEffects" Target="stylesWithEffects.xml"/><Relationship Id="rId9" Type="http://schemas.openxmlformats.org/officeDocument/2006/relationships/header" Target="header1.xml"/><Relationship Id="rId180" Type="http://schemas.openxmlformats.org/officeDocument/2006/relationships/image" Target="media/image110.png"/><Relationship Id="rId210" Type="http://schemas.openxmlformats.org/officeDocument/2006/relationships/image" Target="media/image140.png"/><Relationship Id="rId215" Type="http://schemas.openxmlformats.org/officeDocument/2006/relationships/image" Target="media/image145.emf"/><Relationship Id="rId26" Type="http://schemas.openxmlformats.org/officeDocument/2006/relationships/image" Target="media/image5.png"/><Relationship Id="rId47" Type="http://schemas.openxmlformats.org/officeDocument/2006/relationships/image" Target="media/image16.emf"/><Relationship Id="rId68" Type="http://schemas.openxmlformats.org/officeDocument/2006/relationships/oleObject" Target="embeddings/oleObject21.bin"/><Relationship Id="rId89" Type="http://schemas.openxmlformats.org/officeDocument/2006/relationships/diagramQuickStyle" Target="diagrams/quickStyle2.xml"/><Relationship Id="rId112" Type="http://schemas.openxmlformats.org/officeDocument/2006/relationships/image" Target="media/image42.emf"/><Relationship Id="rId133" Type="http://schemas.openxmlformats.org/officeDocument/2006/relationships/image" Target="media/image63.png"/><Relationship Id="rId154" Type="http://schemas.openxmlformats.org/officeDocument/2006/relationships/image" Target="media/image84.png"/><Relationship Id="rId175" Type="http://schemas.openxmlformats.org/officeDocument/2006/relationships/image" Target="media/image105.png"/><Relationship Id="rId196" Type="http://schemas.openxmlformats.org/officeDocument/2006/relationships/image" Target="media/image126.png"/><Relationship Id="rId200" Type="http://schemas.openxmlformats.org/officeDocument/2006/relationships/image" Target="media/image130.png"/><Relationship Id="rId16" Type="http://schemas.openxmlformats.org/officeDocument/2006/relationships/image" Target="media/image2.emf"/><Relationship Id="rId221" Type="http://schemas.openxmlformats.org/officeDocument/2006/relationships/hyperlink" Target="http://www-pub.iaea.org/MTCD/publications/PDF/NVS1-2003_web.pdf" TargetMode="External"/><Relationship Id="rId37" Type="http://schemas.openxmlformats.org/officeDocument/2006/relationships/image" Target="media/image11.emf"/><Relationship Id="rId58" Type="http://schemas.openxmlformats.org/officeDocument/2006/relationships/oleObject" Target="embeddings/oleObject16.bin"/><Relationship Id="rId79" Type="http://schemas.openxmlformats.org/officeDocument/2006/relationships/image" Target="media/image32.emf"/><Relationship Id="rId102" Type="http://schemas.openxmlformats.org/officeDocument/2006/relationships/image" Target="media/image36.emf"/><Relationship Id="rId123" Type="http://schemas.openxmlformats.org/officeDocument/2006/relationships/image" Target="media/image53.png"/><Relationship Id="rId144" Type="http://schemas.openxmlformats.org/officeDocument/2006/relationships/image" Target="media/image74.png"/><Relationship Id="rId90" Type="http://schemas.openxmlformats.org/officeDocument/2006/relationships/diagramColors" Target="diagrams/colors2.xml"/><Relationship Id="rId165" Type="http://schemas.openxmlformats.org/officeDocument/2006/relationships/image" Target="media/image95.png"/><Relationship Id="rId186" Type="http://schemas.openxmlformats.org/officeDocument/2006/relationships/image" Target="media/image116.png"/></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2">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1#3">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4F1A99B-7A61-4D97-827F-69E76A84DAF8}" type="doc">
      <dgm:prSet loTypeId="urn:microsoft.com/office/officeart/2005/8/layout/chevron2" loCatId="process" qsTypeId="urn:microsoft.com/office/officeart/2005/8/quickstyle/simple5" qsCatId="simple" csTypeId="urn:microsoft.com/office/officeart/2005/8/colors/colorful4" csCatId="colorful" phldr="1"/>
      <dgm:spPr/>
      <dgm:t>
        <a:bodyPr/>
        <a:lstStyle/>
        <a:p>
          <a:endParaRPr lang="en-US"/>
        </a:p>
      </dgm:t>
    </dgm:pt>
    <dgm:pt modelId="{CFFB9EC6-4AE7-4DE8-9843-E7C9F66D167F}">
      <dgm:prSet phldrT="[Text]"/>
      <dgm:spPr/>
      <dgm:t>
        <a:bodyPr/>
        <a:lstStyle/>
        <a:p>
          <a:r>
            <a:rPr lang="en-US" dirty="0" smtClean="0"/>
            <a:t>Base Case</a:t>
          </a:r>
          <a:endParaRPr lang="en-US" dirty="0"/>
        </a:p>
      </dgm:t>
    </dgm:pt>
    <dgm:pt modelId="{85FCE78C-53B5-4C69-877E-172D0FB6F73A}" type="parTrans" cxnId="{8B7FCF73-0CB0-4833-9C9E-49C42E95738E}">
      <dgm:prSet/>
      <dgm:spPr/>
      <dgm:t>
        <a:bodyPr/>
        <a:lstStyle/>
        <a:p>
          <a:endParaRPr lang="en-US"/>
        </a:p>
      </dgm:t>
    </dgm:pt>
    <dgm:pt modelId="{C6E55BB0-F739-4E7A-9A0D-18F90241BBCA}" type="sibTrans" cxnId="{8B7FCF73-0CB0-4833-9C9E-49C42E95738E}">
      <dgm:prSet/>
      <dgm:spPr/>
      <dgm:t>
        <a:bodyPr/>
        <a:lstStyle/>
        <a:p>
          <a:endParaRPr lang="en-US"/>
        </a:p>
      </dgm:t>
    </dgm:pt>
    <dgm:pt modelId="{448E73F8-A392-4CA6-B198-6AD5C35075BB}">
      <dgm:prSet phldrT="[Text]" custT="1"/>
      <dgm:spPr/>
      <dgm:t>
        <a:bodyPr/>
        <a:lstStyle/>
        <a:p>
          <a:r>
            <a:rPr lang="en-US" sz="1000" dirty="0" smtClean="0"/>
            <a:t>Define the process equations used to describe the system based on material balances</a:t>
          </a:r>
          <a:endParaRPr lang="en-US" sz="1000" dirty="0"/>
        </a:p>
      </dgm:t>
    </dgm:pt>
    <dgm:pt modelId="{C0043CA4-9834-45F2-9B24-0D63D0DA331B}" type="parTrans" cxnId="{E228803B-DBE6-475A-9BA5-F2BC727286CB}">
      <dgm:prSet/>
      <dgm:spPr/>
      <dgm:t>
        <a:bodyPr/>
        <a:lstStyle/>
        <a:p>
          <a:endParaRPr lang="en-US"/>
        </a:p>
      </dgm:t>
    </dgm:pt>
    <dgm:pt modelId="{A425F010-323C-4740-B0A5-46C3D93EC048}" type="sibTrans" cxnId="{E228803B-DBE6-475A-9BA5-F2BC727286CB}">
      <dgm:prSet/>
      <dgm:spPr/>
      <dgm:t>
        <a:bodyPr/>
        <a:lstStyle/>
        <a:p>
          <a:endParaRPr lang="en-US"/>
        </a:p>
      </dgm:t>
    </dgm:pt>
    <dgm:pt modelId="{E472A433-7ACB-4375-B840-7DF41F042D4A}">
      <dgm:prSet phldrT="[Text]" custT="1"/>
      <dgm:spPr/>
      <dgm:t>
        <a:bodyPr/>
        <a:lstStyle/>
        <a:p>
          <a:r>
            <a:rPr lang="en-US" sz="1000" dirty="0" smtClean="0"/>
            <a:t>Obtain the initial, nominal steady-state solution for the initial set of input variables</a:t>
          </a:r>
          <a:endParaRPr lang="en-US" sz="1000" dirty="0"/>
        </a:p>
      </dgm:t>
    </dgm:pt>
    <dgm:pt modelId="{FA43D1DB-53C7-48D2-B888-0045019AFFA1}" type="parTrans" cxnId="{44A7CA00-661A-4CB5-A421-6D92F9E64B5A}">
      <dgm:prSet/>
      <dgm:spPr/>
      <dgm:t>
        <a:bodyPr/>
        <a:lstStyle/>
        <a:p>
          <a:endParaRPr lang="en-US"/>
        </a:p>
      </dgm:t>
    </dgm:pt>
    <dgm:pt modelId="{9183F7B9-1108-412F-9950-92EEE381AFFE}" type="sibTrans" cxnId="{44A7CA00-661A-4CB5-A421-6D92F9E64B5A}">
      <dgm:prSet/>
      <dgm:spPr/>
      <dgm:t>
        <a:bodyPr/>
        <a:lstStyle/>
        <a:p>
          <a:endParaRPr lang="en-US"/>
        </a:p>
      </dgm:t>
    </dgm:pt>
    <dgm:pt modelId="{A2A74FFF-2451-4D19-B27E-B8E4BA1B3E9F}">
      <dgm:prSet phldrT="[Text]"/>
      <dgm:spPr/>
      <dgm:t>
        <a:bodyPr/>
        <a:lstStyle/>
        <a:p>
          <a:r>
            <a:rPr lang="en-US" dirty="0" smtClean="0"/>
            <a:t>Principal Component Model</a:t>
          </a:r>
          <a:endParaRPr lang="en-US" dirty="0"/>
        </a:p>
      </dgm:t>
    </dgm:pt>
    <dgm:pt modelId="{346AC8ED-3A1A-4D55-9D45-3189B4090B58}" type="parTrans" cxnId="{A7F93B70-567C-4F74-AC59-D47D0E78D9C8}">
      <dgm:prSet/>
      <dgm:spPr/>
      <dgm:t>
        <a:bodyPr/>
        <a:lstStyle/>
        <a:p>
          <a:endParaRPr lang="en-US"/>
        </a:p>
      </dgm:t>
    </dgm:pt>
    <dgm:pt modelId="{21A87F17-589D-45D7-B17E-C238017C8CD3}" type="sibTrans" cxnId="{A7F93B70-567C-4F74-AC59-D47D0E78D9C8}">
      <dgm:prSet/>
      <dgm:spPr/>
      <dgm:t>
        <a:bodyPr/>
        <a:lstStyle/>
        <a:p>
          <a:endParaRPr lang="en-US"/>
        </a:p>
      </dgm:t>
    </dgm:pt>
    <dgm:pt modelId="{3DE2C207-8426-40B8-9029-5D75BA735B57}">
      <dgm:prSet phldrT="[Text]" custT="1"/>
      <dgm:spPr/>
      <dgm:t>
        <a:bodyPr/>
        <a:lstStyle/>
        <a:p>
          <a:r>
            <a:rPr lang="en-US" sz="1000" dirty="0" smtClean="0"/>
            <a:t>Add random Gaussian noise to base case data set</a:t>
          </a:r>
          <a:endParaRPr lang="en-US" sz="1000" dirty="0"/>
        </a:p>
      </dgm:t>
    </dgm:pt>
    <dgm:pt modelId="{A6F31922-6C21-45C0-83FE-9FF28F16A326}" type="parTrans" cxnId="{27DFA755-FA24-46E0-ABBA-7ABE83601214}">
      <dgm:prSet/>
      <dgm:spPr/>
      <dgm:t>
        <a:bodyPr/>
        <a:lstStyle/>
        <a:p>
          <a:endParaRPr lang="en-US"/>
        </a:p>
      </dgm:t>
    </dgm:pt>
    <dgm:pt modelId="{C212BBDD-1609-43ED-8DFB-EC2261DEEE21}" type="sibTrans" cxnId="{27DFA755-FA24-46E0-ABBA-7ABE83601214}">
      <dgm:prSet/>
      <dgm:spPr/>
      <dgm:t>
        <a:bodyPr/>
        <a:lstStyle/>
        <a:p>
          <a:endParaRPr lang="en-US"/>
        </a:p>
      </dgm:t>
    </dgm:pt>
    <dgm:pt modelId="{D1FD8C40-BB27-4EA9-B4D7-0E410F72C7FA}">
      <dgm:prSet phldrT="[Text]" custT="1"/>
      <dgm:spPr/>
      <dgm:t>
        <a:bodyPr/>
        <a:lstStyle/>
        <a:p>
          <a:r>
            <a:rPr lang="en-US" sz="1000" dirty="0" smtClean="0"/>
            <a:t>Extract PC model using SVD</a:t>
          </a:r>
          <a:endParaRPr lang="en-US" sz="1000" dirty="0"/>
        </a:p>
      </dgm:t>
    </dgm:pt>
    <dgm:pt modelId="{3AFE7A04-5AC9-490E-B2C6-5635ACDC4D0E}" type="parTrans" cxnId="{B8D10F84-AD53-4FC2-8B36-D10BE78FCCDB}">
      <dgm:prSet/>
      <dgm:spPr/>
      <dgm:t>
        <a:bodyPr/>
        <a:lstStyle/>
        <a:p>
          <a:endParaRPr lang="en-US"/>
        </a:p>
      </dgm:t>
    </dgm:pt>
    <dgm:pt modelId="{6C82B243-BFE7-430F-9812-D09DB02773D1}" type="sibTrans" cxnId="{B8D10F84-AD53-4FC2-8B36-D10BE78FCCDB}">
      <dgm:prSet/>
      <dgm:spPr/>
      <dgm:t>
        <a:bodyPr/>
        <a:lstStyle/>
        <a:p>
          <a:endParaRPr lang="en-US"/>
        </a:p>
      </dgm:t>
    </dgm:pt>
    <dgm:pt modelId="{73E9CA65-CB33-45C2-BFE4-0A63403138B1}">
      <dgm:prSet phldrT="[Text]"/>
      <dgm:spPr/>
      <dgm:t>
        <a:bodyPr/>
        <a:lstStyle/>
        <a:p>
          <a:r>
            <a:rPr lang="en-US" dirty="0" smtClean="0"/>
            <a:t>Faulty Cases</a:t>
          </a:r>
          <a:endParaRPr lang="en-US" dirty="0"/>
        </a:p>
      </dgm:t>
    </dgm:pt>
    <dgm:pt modelId="{1B28CF35-F583-4D4B-B508-87B0FD0EC9D2}" type="parTrans" cxnId="{269BCB33-8CB9-4B21-810E-E8F441DB1515}">
      <dgm:prSet/>
      <dgm:spPr/>
      <dgm:t>
        <a:bodyPr/>
        <a:lstStyle/>
        <a:p>
          <a:endParaRPr lang="en-US"/>
        </a:p>
      </dgm:t>
    </dgm:pt>
    <dgm:pt modelId="{139EA495-B44F-46BC-A395-379AE4BDA039}" type="sibTrans" cxnId="{269BCB33-8CB9-4B21-810E-E8F441DB1515}">
      <dgm:prSet/>
      <dgm:spPr/>
      <dgm:t>
        <a:bodyPr/>
        <a:lstStyle/>
        <a:p>
          <a:endParaRPr lang="en-US"/>
        </a:p>
      </dgm:t>
    </dgm:pt>
    <dgm:pt modelId="{580AF15C-BE55-43A9-BCA5-9A64EC191F6C}">
      <dgm:prSet phldrT="[Text]" custT="1"/>
      <dgm:spPr/>
      <dgm:t>
        <a:bodyPr/>
        <a:lstStyle/>
        <a:p>
          <a:r>
            <a:rPr lang="en-US" sz="1000" dirty="0" smtClean="0"/>
            <a:t>Simulate several ‘faulty’ or ‘off-normal’ operations</a:t>
          </a:r>
          <a:endParaRPr lang="en-US" sz="1000" dirty="0"/>
        </a:p>
      </dgm:t>
    </dgm:pt>
    <dgm:pt modelId="{AE72294D-F15E-4149-A356-C5B793818479}" type="parTrans" cxnId="{DF889106-113C-4572-B5CE-7C6E223E5164}">
      <dgm:prSet/>
      <dgm:spPr/>
      <dgm:t>
        <a:bodyPr/>
        <a:lstStyle/>
        <a:p>
          <a:endParaRPr lang="en-US"/>
        </a:p>
      </dgm:t>
    </dgm:pt>
    <dgm:pt modelId="{2DC75B8E-F085-48DC-A2FC-81504A768BAE}" type="sibTrans" cxnId="{DF889106-113C-4572-B5CE-7C6E223E5164}">
      <dgm:prSet/>
      <dgm:spPr/>
      <dgm:t>
        <a:bodyPr/>
        <a:lstStyle/>
        <a:p>
          <a:endParaRPr lang="en-US"/>
        </a:p>
      </dgm:t>
    </dgm:pt>
    <dgm:pt modelId="{B16CDC09-5B1C-492D-9CFF-46A6642B1A68}">
      <dgm:prSet phldrT="[Text]" custT="1"/>
      <dgm:spPr/>
      <dgm:t>
        <a:bodyPr/>
        <a:lstStyle/>
        <a:p>
          <a:r>
            <a:rPr lang="en-US" sz="1000" dirty="0" smtClean="0"/>
            <a:t>Regress faulty data against base case model</a:t>
          </a:r>
          <a:endParaRPr lang="en-US" sz="1000" dirty="0"/>
        </a:p>
      </dgm:t>
    </dgm:pt>
    <dgm:pt modelId="{A4F91A45-3169-4EFB-9C91-5BC9A172786B}" type="parTrans" cxnId="{351E2423-85DC-4760-8608-63BB8181DD47}">
      <dgm:prSet/>
      <dgm:spPr/>
      <dgm:t>
        <a:bodyPr/>
        <a:lstStyle/>
        <a:p>
          <a:endParaRPr lang="en-US"/>
        </a:p>
      </dgm:t>
    </dgm:pt>
    <dgm:pt modelId="{08703F38-A0F8-4C5D-A64D-814818BBE57D}" type="sibTrans" cxnId="{351E2423-85DC-4760-8608-63BB8181DD47}">
      <dgm:prSet/>
      <dgm:spPr/>
      <dgm:t>
        <a:bodyPr/>
        <a:lstStyle/>
        <a:p>
          <a:endParaRPr lang="en-US"/>
        </a:p>
      </dgm:t>
    </dgm:pt>
    <dgm:pt modelId="{2069F8BE-5E7A-4C99-97AE-0049B0D73458}">
      <dgm:prSet phldrT="[Text]" custT="1"/>
      <dgm:spPr/>
      <dgm:t>
        <a:bodyPr/>
        <a:lstStyle/>
        <a:p>
          <a:r>
            <a:rPr lang="en-US" sz="1000" dirty="0" smtClean="0"/>
            <a:t>Generate base case data </a:t>
          </a:r>
          <a:endParaRPr lang="en-US" sz="1000" dirty="0"/>
        </a:p>
      </dgm:t>
    </dgm:pt>
    <dgm:pt modelId="{BAAF2834-37E1-46AD-9540-32CF0CB77A2D}" type="parTrans" cxnId="{02D66A35-BE9B-47FA-9D21-7222B1D09EAD}">
      <dgm:prSet/>
      <dgm:spPr/>
      <dgm:t>
        <a:bodyPr/>
        <a:lstStyle/>
        <a:p>
          <a:endParaRPr lang="en-US"/>
        </a:p>
      </dgm:t>
    </dgm:pt>
    <dgm:pt modelId="{04F12DCE-EEA7-466C-B0EF-AD90283B2733}" type="sibTrans" cxnId="{02D66A35-BE9B-47FA-9D21-7222B1D09EAD}">
      <dgm:prSet/>
      <dgm:spPr/>
      <dgm:t>
        <a:bodyPr/>
        <a:lstStyle/>
        <a:p>
          <a:endParaRPr lang="en-US"/>
        </a:p>
      </dgm:t>
    </dgm:pt>
    <dgm:pt modelId="{E60E499F-0FEB-4268-815C-D537A9C030FF}">
      <dgm:prSet phldrT="[Text]" custT="1"/>
      <dgm:spPr/>
      <dgm:t>
        <a:bodyPr/>
        <a:lstStyle/>
        <a:p>
          <a:r>
            <a:rPr lang="en-US" sz="1000" dirty="0" smtClean="0"/>
            <a:t>Establish statistical bounds</a:t>
          </a:r>
          <a:endParaRPr lang="en-US" sz="1000" dirty="0"/>
        </a:p>
      </dgm:t>
    </dgm:pt>
    <dgm:pt modelId="{3AFD0358-DCE2-48B7-86FB-8BB4910A1939}" type="parTrans" cxnId="{3051C7FC-A175-4A8E-8B5A-AF806CEAEE7E}">
      <dgm:prSet/>
      <dgm:spPr/>
      <dgm:t>
        <a:bodyPr/>
        <a:lstStyle/>
        <a:p>
          <a:endParaRPr lang="en-US"/>
        </a:p>
      </dgm:t>
    </dgm:pt>
    <dgm:pt modelId="{A2671409-B58E-4066-97F1-E32B18AFCE24}" type="sibTrans" cxnId="{3051C7FC-A175-4A8E-8B5A-AF806CEAEE7E}">
      <dgm:prSet/>
      <dgm:spPr/>
      <dgm:t>
        <a:bodyPr/>
        <a:lstStyle/>
        <a:p>
          <a:endParaRPr lang="en-US"/>
        </a:p>
      </dgm:t>
    </dgm:pt>
    <dgm:pt modelId="{ABA3B24F-DF93-44A0-BD1D-91F851E4843B}">
      <dgm:prSet phldrT="[Text]" custT="1"/>
      <dgm:spPr/>
      <dgm:t>
        <a:bodyPr/>
        <a:lstStyle/>
        <a:p>
          <a:r>
            <a:rPr lang="en-US" sz="1000" dirty="0" smtClean="0"/>
            <a:t>Evaluate ability to detect ‘fault’</a:t>
          </a:r>
          <a:endParaRPr lang="en-US" sz="1000" dirty="0"/>
        </a:p>
      </dgm:t>
    </dgm:pt>
    <dgm:pt modelId="{900E2DC7-01A3-41BB-8961-C9FE05C7718C}" type="parTrans" cxnId="{119E5E3F-54A4-4C4E-9319-ADEB374F8903}">
      <dgm:prSet/>
      <dgm:spPr/>
      <dgm:t>
        <a:bodyPr/>
        <a:lstStyle/>
        <a:p>
          <a:endParaRPr lang="en-US"/>
        </a:p>
      </dgm:t>
    </dgm:pt>
    <dgm:pt modelId="{C3758B36-A080-4E39-8280-916C6BBF845D}" type="sibTrans" cxnId="{119E5E3F-54A4-4C4E-9319-ADEB374F8903}">
      <dgm:prSet/>
      <dgm:spPr/>
      <dgm:t>
        <a:bodyPr/>
        <a:lstStyle/>
        <a:p>
          <a:endParaRPr lang="en-US"/>
        </a:p>
      </dgm:t>
    </dgm:pt>
    <dgm:pt modelId="{959AEB4C-FD90-4866-B674-C9D12CD81EAC}">
      <dgm:prSet phldrT="[Text]" custT="1"/>
      <dgm:spPr/>
      <dgm:t>
        <a:bodyPr/>
        <a:lstStyle/>
        <a:p>
          <a:r>
            <a:rPr lang="en-US" sz="1000" dirty="0" smtClean="0"/>
            <a:t>Conclusion</a:t>
          </a:r>
          <a:endParaRPr lang="en-US" sz="1000" dirty="0"/>
        </a:p>
      </dgm:t>
    </dgm:pt>
    <dgm:pt modelId="{65E9BFBE-1CC6-43A5-AA82-016FAC86E041}" type="parTrans" cxnId="{A44F557C-A60F-4061-9ECA-0C944BAB63F5}">
      <dgm:prSet/>
      <dgm:spPr/>
      <dgm:t>
        <a:bodyPr/>
        <a:lstStyle/>
        <a:p>
          <a:endParaRPr lang="en-US"/>
        </a:p>
      </dgm:t>
    </dgm:pt>
    <dgm:pt modelId="{64E2C7FA-0558-49EE-A632-9A55F2855D0A}" type="sibTrans" cxnId="{A44F557C-A60F-4061-9ECA-0C944BAB63F5}">
      <dgm:prSet/>
      <dgm:spPr/>
      <dgm:t>
        <a:bodyPr/>
        <a:lstStyle/>
        <a:p>
          <a:endParaRPr lang="en-US"/>
        </a:p>
      </dgm:t>
    </dgm:pt>
    <dgm:pt modelId="{EDDD4257-5F2F-42A7-9FFC-C2BBA4205973}">
      <dgm:prSet phldrT="[Text]" custT="1"/>
      <dgm:spPr/>
      <dgm:t>
        <a:bodyPr/>
        <a:lstStyle/>
        <a:p>
          <a:r>
            <a:rPr lang="en-US" sz="1000" dirty="0" smtClean="0"/>
            <a:t>Identify all parameters associated with the process operation</a:t>
          </a:r>
          <a:endParaRPr lang="en-US" sz="1000" dirty="0"/>
        </a:p>
      </dgm:t>
    </dgm:pt>
    <dgm:pt modelId="{E2275A3C-D08C-4C59-8CD0-C58CB51A0067}" type="parTrans" cxnId="{4FB42BD4-0C40-44F3-B5DA-897DF6A73460}">
      <dgm:prSet/>
      <dgm:spPr/>
      <dgm:t>
        <a:bodyPr/>
        <a:lstStyle/>
        <a:p>
          <a:endParaRPr lang="en-US"/>
        </a:p>
      </dgm:t>
    </dgm:pt>
    <dgm:pt modelId="{4FAA0158-F8D1-4B7B-B801-83B084C475DA}" type="sibTrans" cxnId="{4FB42BD4-0C40-44F3-B5DA-897DF6A73460}">
      <dgm:prSet/>
      <dgm:spPr/>
      <dgm:t>
        <a:bodyPr/>
        <a:lstStyle/>
        <a:p>
          <a:endParaRPr lang="en-US"/>
        </a:p>
      </dgm:t>
    </dgm:pt>
    <dgm:pt modelId="{B1FD2797-CB19-4E64-9829-32D3313A9F59}">
      <dgm:prSet phldrT="[Text]" custT="1"/>
      <dgm:spPr/>
      <dgm:t>
        <a:bodyPr/>
        <a:lstStyle/>
        <a:p>
          <a:r>
            <a:rPr lang="en-US" sz="1000" dirty="0" smtClean="0"/>
            <a:t>Pre-process data (normalize, mean-center, and scale)</a:t>
          </a:r>
          <a:endParaRPr lang="en-US" sz="1000" dirty="0"/>
        </a:p>
      </dgm:t>
    </dgm:pt>
    <dgm:pt modelId="{D5527FC5-9053-48F9-871A-80D51D3C43C5}" type="parTrans" cxnId="{67962B1A-B96A-43CC-BA11-8F20446AFEF1}">
      <dgm:prSet/>
      <dgm:spPr/>
      <dgm:t>
        <a:bodyPr/>
        <a:lstStyle/>
        <a:p>
          <a:endParaRPr lang="en-US"/>
        </a:p>
      </dgm:t>
    </dgm:pt>
    <dgm:pt modelId="{EF64F574-0649-4EF2-B54F-E49FDAAA30E1}" type="sibTrans" cxnId="{67962B1A-B96A-43CC-BA11-8F20446AFEF1}">
      <dgm:prSet/>
      <dgm:spPr/>
      <dgm:t>
        <a:bodyPr/>
        <a:lstStyle/>
        <a:p>
          <a:endParaRPr lang="en-US"/>
        </a:p>
      </dgm:t>
    </dgm:pt>
    <dgm:pt modelId="{B3E74EF1-B072-4201-BE2A-7604506B5773}">
      <dgm:prSet phldrT="[Text]" custT="1"/>
      <dgm:spPr/>
      <dgm:t>
        <a:bodyPr/>
        <a:lstStyle/>
        <a:p>
          <a:r>
            <a:rPr lang="en-US" sz="1000" dirty="0" smtClean="0"/>
            <a:t>Determine effective rank</a:t>
          </a:r>
          <a:endParaRPr lang="en-US" sz="1000" dirty="0"/>
        </a:p>
      </dgm:t>
    </dgm:pt>
    <dgm:pt modelId="{449663E6-513A-4066-ACEA-6EA1BADB5C76}" type="parTrans" cxnId="{03EED8F6-A43F-41BD-9956-60BC2B360CB9}">
      <dgm:prSet/>
      <dgm:spPr/>
      <dgm:t>
        <a:bodyPr/>
        <a:lstStyle/>
        <a:p>
          <a:endParaRPr lang="en-US"/>
        </a:p>
      </dgm:t>
    </dgm:pt>
    <dgm:pt modelId="{D2A9BCFD-FE64-4DBB-BBD5-CC8B66664E0A}" type="sibTrans" cxnId="{03EED8F6-A43F-41BD-9956-60BC2B360CB9}">
      <dgm:prSet/>
      <dgm:spPr/>
      <dgm:t>
        <a:bodyPr/>
        <a:lstStyle/>
        <a:p>
          <a:endParaRPr lang="en-US"/>
        </a:p>
      </dgm:t>
    </dgm:pt>
    <dgm:pt modelId="{E000E5B7-2301-4485-AE61-92E7B1FD1C1B}">
      <dgm:prSet phldrT="[Text]" custT="1"/>
      <dgm:spPr/>
      <dgm:t>
        <a:bodyPr/>
        <a:lstStyle/>
        <a:p>
          <a:r>
            <a:rPr lang="en-US" sz="1000" dirty="0" smtClean="0"/>
            <a:t>Identify overall input variables of interest and establish input variable’s normal range profile</a:t>
          </a:r>
          <a:endParaRPr lang="en-US" sz="1000" dirty="0"/>
        </a:p>
      </dgm:t>
    </dgm:pt>
    <dgm:pt modelId="{F828F680-F9AD-4A2B-B16D-AF6A148EFFCE}" type="parTrans" cxnId="{5E589009-DC46-4CBF-9E38-2EDB63C8E5EC}">
      <dgm:prSet/>
      <dgm:spPr/>
      <dgm:t>
        <a:bodyPr/>
        <a:lstStyle/>
        <a:p>
          <a:endParaRPr lang="en-US"/>
        </a:p>
      </dgm:t>
    </dgm:pt>
    <dgm:pt modelId="{D3B2723D-886D-4D6F-B24E-993F326FCACB}" type="sibTrans" cxnId="{5E589009-DC46-4CBF-9E38-2EDB63C8E5EC}">
      <dgm:prSet/>
      <dgm:spPr/>
      <dgm:t>
        <a:bodyPr/>
        <a:lstStyle/>
        <a:p>
          <a:endParaRPr lang="en-US"/>
        </a:p>
      </dgm:t>
    </dgm:pt>
    <dgm:pt modelId="{AAC4C319-66B8-4B9F-BD14-AC91F5A49194}" type="pres">
      <dgm:prSet presAssocID="{94F1A99B-7A61-4D97-827F-69E76A84DAF8}" presName="linearFlow" presStyleCnt="0">
        <dgm:presLayoutVars>
          <dgm:dir/>
          <dgm:animLvl val="lvl"/>
          <dgm:resizeHandles val="exact"/>
        </dgm:presLayoutVars>
      </dgm:prSet>
      <dgm:spPr/>
      <dgm:t>
        <a:bodyPr/>
        <a:lstStyle/>
        <a:p>
          <a:endParaRPr lang="en-US"/>
        </a:p>
      </dgm:t>
    </dgm:pt>
    <dgm:pt modelId="{8E4E23A3-B694-4BC0-967F-26626DB914B4}" type="pres">
      <dgm:prSet presAssocID="{CFFB9EC6-4AE7-4DE8-9843-E7C9F66D167F}" presName="composite" presStyleCnt="0"/>
      <dgm:spPr/>
    </dgm:pt>
    <dgm:pt modelId="{E9443BDF-957B-4C25-9E8B-FFE107CFCA64}" type="pres">
      <dgm:prSet presAssocID="{CFFB9EC6-4AE7-4DE8-9843-E7C9F66D167F}" presName="parentText" presStyleLbl="alignNode1" presStyleIdx="0" presStyleCnt="3" custLinFactNeighborY="-2784">
        <dgm:presLayoutVars>
          <dgm:chMax val="1"/>
          <dgm:bulletEnabled val="1"/>
        </dgm:presLayoutVars>
      </dgm:prSet>
      <dgm:spPr/>
      <dgm:t>
        <a:bodyPr/>
        <a:lstStyle/>
        <a:p>
          <a:endParaRPr lang="en-US"/>
        </a:p>
      </dgm:t>
    </dgm:pt>
    <dgm:pt modelId="{6363F17A-B55B-417D-9BF2-A8B360A57BAC}" type="pres">
      <dgm:prSet presAssocID="{CFFB9EC6-4AE7-4DE8-9843-E7C9F66D167F}" presName="descendantText" presStyleLbl="alignAcc1" presStyleIdx="0" presStyleCnt="3" custScaleY="111264">
        <dgm:presLayoutVars>
          <dgm:bulletEnabled val="1"/>
        </dgm:presLayoutVars>
      </dgm:prSet>
      <dgm:spPr/>
      <dgm:t>
        <a:bodyPr/>
        <a:lstStyle/>
        <a:p>
          <a:endParaRPr lang="en-US"/>
        </a:p>
      </dgm:t>
    </dgm:pt>
    <dgm:pt modelId="{D09DDEBB-15F2-49A7-9760-88A59A36A736}" type="pres">
      <dgm:prSet presAssocID="{C6E55BB0-F739-4E7A-9A0D-18F90241BBCA}" presName="sp" presStyleCnt="0"/>
      <dgm:spPr/>
    </dgm:pt>
    <dgm:pt modelId="{CCE0F738-3491-49EF-A777-59B4B6700AD0}" type="pres">
      <dgm:prSet presAssocID="{A2A74FFF-2451-4D19-B27E-B8E4BA1B3E9F}" presName="composite" presStyleCnt="0"/>
      <dgm:spPr/>
    </dgm:pt>
    <dgm:pt modelId="{86FB364B-B1C9-4F93-8238-666EB35B4B7E}" type="pres">
      <dgm:prSet presAssocID="{A2A74FFF-2451-4D19-B27E-B8E4BA1B3E9F}" presName="parentText" presStyleLbl="alignNode1" presStyleIdx="1" presStyleCnt="3">
        <dgm:presLayoutVars>
          <dgm:chMax val="1"/>
          <dgm:bulletEnabled val="1"/>
        </dgm:presLayoutVars>
      </dgm:prSet>
      <dgm:spPr/>
      <dgm:t>
        <a:bodyPr/>
        <a:lstStyle/>
        <a:p>
          <a:endParaRPr lang="en-US"/>
        </a:p>
      </dgm:t>
    </dgm:pt>
    <dgm:pt modelId="{DCBFFEEE-4A22-44FD-B722-50320AC01C29}" type="pres">
      <dgm:prSet presAssocID="{A2A74FFF-2451-4D19-B27E-B8E4BA1B3E9F}" presName="descendantText" presStyleLbl="alignAcc1" presStyleIdx="1" presStyleCnt="3">
        <dgm:presLayoutVars>
          <dgm:bulletEnabled val="1"/>
        </dgm:presLayoutVars>
      </dgm:prSet>
      <dgm:spPr/>
      <dgm:t>
        <a:bodyPr/>
        <a:lstStyle/>
        <a:p>
          <a:endParaRPr lang="en-US"/>
        </a:p>
      </dgm:t>
    </dgm:pt>
    <dgm:pt modelId="{F1F09635-1AF0-4FAA-86AB-5BA94A4B53FB}" type="pres">
      <dgm:prSet presAssocID="{21A87F17-589D-45D7-B17E-C238017C8CD3}" presName="sp" presStyleCnt="0"/>
      <dgm:spPr/>
    </dgm:pt>
    <dgm:pt modelId="{5E84E8E0-EB70-4E4E-B0EA-CCA19B10D281}" type="pres">
      <dgm:prSet presAssocID="{73E9CA65-CB33-45C2-BFE4-0A63403138B1}" presName="composite" presStyleCnt="0"/>
      <dgm:spPr/>
    </dgm:pt>
    <dgm:pt modelId="{1EE13300-4B1A-45E7-A986-A2658D9CBFEB}" type="pres">
      <dgm:prSet presAssocID="{73E9CA65-CB33-45C2-BFE4-0A63403138B1}" presName="parentText" presStyleLbl="alignNode1" presStyleIdx="2" presStyleCnt="3">
        <dgm:presLayoutVars>
          <dgm:chMax val="1"/>
          <dgm:bulletEnabled val="1"/>
        </dgm:presLayoutVars>
      </dgm:prSet>
      <dgm:spPr/>
      <dgm:t>
        <a:bodyPr/>
        <a:lstStyle/>
        <a:p>
          <a:endParaRPr lang="en-US"/>
        </a:p>
      </dgm:t>
    </dgm:pt>
    <dgm:pt modelId="{B9CC6F9E-D1E1-44B3-8772-515D0607AA2C}" type="pres">
      <dgm:prSet presAssocID="{73E9CA65-CB33-45C2-BFE4-0A63403138B1}" presName="descendantText" presStyleLbl="alignAcc1" presStyleIdx="2" presStyleCnt="3">
        <dgm:presLayoutVars>
          <dgm:bulletEnabled val="1"/>
        </dgm:presLayoutVars>
      </dgm:prSet>
      <dgm:spPr/>
      <dgm:t>
        <a:bodyPr/>
        <a:lstStyle/>
        <a:p>
          <a:endParaRPr lang="en-US"/>
        </a:p>
      </dgm:t>
    </dgm:pt>
  </dgm:ptLst>
  <dgm:cxnLst>
    <dgm:cxn modelId="{7F0F4D73-5B40-48A2-A361-5BA6A8B72DDD}" type="presOf" srcId="{CFFB9EC6-4AE7-4DE8-9843-E7C9F66D167F}" destId="{E9443BDF-957B-4C25-9E8B-FFE107CFCA64}" srcOrd="0" destOrd="0" presId="urn:microsoft.com/office/officeart/2005/8/layout/chevron2"/>
    <dgm:cxn modelId="{269BCB33-8CB9-4B21-810E-E8F441DB1515}" srcId="{94F1A99B-7A61-4D97-827F-69E76A84DAF8}" destId="{73E9CA65-CB33-45C2-BFE4-0A63403138B1}" srcOrd="2" destOrd="0" parTransId="{1B28CF35-F583-4D4B-B508-87B0FD0EC9D2}" sibTransId="{139EA495-B44F-46BC-A395-379AE4BDA039}"/>
    <dgm:cxn modelId="{8C9E2DF0-508A-49C0-A19E-9589B97CD3F7}" type="presOf" srcId="{E60E499F-0FEB-4268-815C-D537A9C030FF}" destId="{DCBFFEEE-4A22-44FD-B722-50320AC01C29}" srcOrd="0" destOrd="4" presId="urn:microsoft.com/office/officeart/2005/8/layout/chevron2"/>
    <dgm:cxn modelId="{03EED8F6-A43F-41BD-9956-60BC2B360CB9}" srcId="{A2A74FFF-2451-4D19-B27E-B8E4BA1B3E9F}" destId="{B3E74EF1-B072-4201-BE2A-7604506B5773}" srcOrd="3" destOrd="0" parTransId="{449663E6-513A-4066-ACEA-6EA1BADB5C76}" sibTransId="{D2A9BCFD-FE64-4DBB-BBD5-CC8B66664E0A}"/>
    <dgm:cxn modelId="{5E589009-DC46-4CBF-9E38-2EDB63C8E5EC}" srcId="{CFFB9EC6-4AE7-4DE8-9843-E7C9F66D167F}" destId="{E000E5B7-2301-4485-AE61-92E7B1FD1C1B}" srcOrd="2" destOrd="0" parTransId="{F828F680-F9AD-4A2B-B16D-AF6A148EFFCE}" sibTransId="{D3B2723D-886D-4D6F-B24E-993F326FCACB}"/>
    <dgm:cxn modelId="{E228803B-DBE6-475A-9BA5-F2BC727286CB}" srcId="{CFFB9EC6-4AE7-4DE8-9843-E7C9F66D167F}" destId="{448E73F8-A392-4CA6-B198-6AD5C35075BB}" srcOrd="0" destOrd="0" parTransId="{C0043CA4-9834-45F2-9B24-0D63D0DA331B}" sibTransId="{A425F010-323C-4740-B0A5-46C3D93EC048}"/>
    <dgm:cxn modelId="{223F0918-DC35-40AE-8C1B-7176D4FC9BC7}" type="presOf" srcId="{B1FD2797-CB19-4E64-9829-32D3313A9F59}" destId="{DCBFFEEE-4A22-44FD-B722-50320AC01C29}" srcOrd="0" destOrd="1" presId="urn:microsoft.com/office/officeart/2005/8/layout/chevron2"/>
    <dgm:cxn modelId="{27DFA755-FA24-46E0-ABBA-7ABE83601214}" srcId="{A2A74FFF-2451-4D19-B27E-B8E4BA1B3E9F}" destId="{3DE2C207-8426-40B8-9029-5D75BA735B57}" srcOrd="0" destOrd="0" parTransId="{A6F31922-6C21-45C0-83FE-9FF28F16A326}" sibTransId="{C212BBDD-1609-43ED-8DFB-EC2261DEEE21}"/>
    <dgm:cxn modelId="{B4345071-17B2-47D8-B086-43793B160F89}" type="presOf" srcId="{3DE2C207-8426-40B8-9029-5D75BA735B57}" destId="{DCBFFEEE-4A22-44FD-B722-50320AC01C29}" srcOrd="0" destOrd="0" presId="urn:microsoft.com/office/officeart/2005/8/layout/chevron2"/>
    <dgm:cxn modelId="{119E5E3F-54A4-4C4E-9319-ADEB374F8903}" srcId="{73E9CA65-CB33-45C2-BFE4-0A63403138B1}" destId="{ABA3B24F-DF93-44A0-BD1D-91F851E4843B}" srcOrd="2" destOrd="0" parTransId="{900E2DC7-01A3-41BB-8961-C9FE05C7718C}" sibTransId="{C3758B36-A080-4E39-8280-916C6BBF845D}"/>
    <dgm:cxn modelId="{CC1D6990-66D4-484C-95EA-0147D91671A7}" type="presOf" srcId="{580AF15C-BE55-43A9-BCA5-9A64EC191F6C}" destId="{B9CC6F9E-D1E1-44B3-8772-515D0607AA2C}" srcOrd="0" destOrd="0" presId="urn:microsoft.com/office/officeart/2005/8/layout/chevron2"/>
    <dgm:cxn modelId="{5EA06136-FD3A-4556-AAED-18F980C9670E}" type="presOf" srcId="{448E73F8-A392-4CA6-B198-6AD5C35075BB}" destId="{6363F17A-B55B-417D-9BF2-A8B360A57BAC}" srcOrd="0" destOrd="0" presId="urn:microsoft.com/office/officeart/2005/8/layout/chevron2"/>
    <dgm:cxn modelId="{DC9EAE35-64BE-4B8C-B41F-A28B57B01C3E}" type="presOf" srcId="{2069F8BE-5E7A-4C99-97AE-0049B0D73458}" destId="{6363F17A-B55B-417D-9BF2-A8B360A57BAC}" srcOrd="0" destOrd="4" presId="urn:microsoft.com/office/officeart/2005/8/layout/chevron2"/>
    <dgm:cxn modelId="{4FB42BD4-0C40-44F3-B5DA-897DF6A73460}" srcId="{CFFB9EC6-4AE7-4DE8-9843-E7C9F66D167F}" destId="{EDDD4257-5F2F-42A7-9FFC-C2BBA4205973}" srcOrd="1" destOrd="0" parTransId="{E2275A3C-D08C-4C59-8CD0-C58CB51A0067}" sibTransId="{4FAA0158-F8D1-4B7B-B801-83B084C475DA}"/>
    <dgm:cxn modelId="{896E8510-53AB-4310-BD76-BC1FC8E6AF85}" type="presOf" srcId="{94F1A99B-7A61-4D97-827F-69E76A84DAF8}" destId="{AAC4C319-66B8-4B9F-BD14-AC91F5A49194}" srcOrd="0" destOrd="0" presId="urn:microsoft.com/office/officeart/2005/8/layout/chevron2"/>
    <dgm:cxn modelId="{44C69CBA-193C-495E-A472-25A87E6A8F56}" type="presOf" srcId="{EDDD4257-5F2F-42A7-9FFC-C2BBA4205973}" destId="{6363F17A-B55B-417D-9BF2-A8B360A57BAC}" srcOrd="0" destOrd="1" presId="urn:microsoft.com/office/officeart/2005/8/layout/chevron2"/>
    <dgm:cxn modelId="{26C35ED5-5953-46E4-8079-66378C8CC21E}" type="presOf" srcId="{A2A74FFF-2451-4D19-B27E-B8E4BA1B3E9F}" destId="{86FB364B-B1C9-4F93-8238-666EB35B4B7E}" srcOrd="0" destOrd="0" presId="urn:microsoft.com/office/officeart/2005/8/layout/chevron2"/>
    <dgm:cxn modelId="{44A7CA00-661A-4CB5-A421-6D92F9E64B5A}" srcId="{CFFB9EC6-4AE7-4DE8-9843-E7C9F66D167F}" destId="{E472A433-7ACB-4375-B840-7DF41F042D4A}" srcOrd="3" destOrd="0" parTransId="{FA43D1DB-53C7-48D2-B888-0045019AFFA1}" sibTransId="{9183F7B9-1108-412F-9950-92EEE381AFFE}"/>
    <dgm:cxn modelId="{3051C7FC-A175-4A8E-8B5A-AF806CEAEE7E}" srcId="{A2A74FFF-2451-4D19-B27E-B8E4BA1B3E9F}" destId="{E60E499F-0FEB-4268-815C-D537A9C030FF}" srcOrd="4" destOrd="0" parTransId="{3AFD0358-DCE2-48B7-86FB-8BB4910A1939}" sibTransId="{A2671409-B58E-4066-97F1-E32B18AFCE24}"/>
    <dgm:cxn modelId="{02D66A35-BE9B-47FA-9D21-7222B1D09EAD}" srcId="{CFFB9EC6-4AE7-4DE8-9843-E7C9F66D167F}" destId="{2069F8BE-5E7A-4C99-97AE-0049B0D73458}" srcOrd="4" destOrd="0" parTransId="{BAAF2834-37E1-46AD-9540-32CF0CB77A2D}" sibTransId="{04F12DCE-EEA7-466C-B0EF-AD90283B2733}"/>
    <dgm:cxn modelId="{B8D10F84-AD53-4FC2-8B36-D10BE78FCCDB}" srcId="{A2A74FFF-2451-4D19-B27E-B8E4BA1B3E9F}" destId="{D1FD8C40-BB27-4EA9-B4D7-0E410F72C7FA}" srcOrd="2" destOrd="0" parTransId="{3AFE7A04-5AC9-490E-B2C6-5635ACDC4D0E}" sibTransId="{6C82B243-BFE7-430F-9812-D09DB02773D1}"/>
    <dgm:cxn modelId="{07F85E57-5744-4D07-9017-EADC363A8B50}" type="presOf" srcId="{959AEB4C-FD90-4866-B674-C9D12CD81EAC}" destId="{B9CC6F9E-D1E1-44B3-8772-515D0607AA2C}" srcOrd="0" destOrd="3" presId="urn:microsoft.com/office/officeart/2005/8/layout/chevron2"/>
    <dgm:cxn modelId="{EAF5FDE0-792E-4448-B088-A8F629BDB184}" type="presOf" srcId="{B3E74EF1-B072-4201-BE2A-7604506B5773}" destId="{DCBFFEEE-4A22-44FD-B722-50320AC01C29}" srcOrd="0" destOrd="3" presId="urn:microsoft.com/office/officeart/2005/8/layout/chevron2"/>
    <dgm:cxn modelId="{351E2423-85DC-4760-8608-63BB8181DD47}" srcId="{73E9CA65-CB33-45C2-BFE4-0A63403138B1}" destId="{B16CDC09-5B1C-492D-9CFF-46A6642B1A68}" srcOrd="1" destOrd="0" parTransId="{A4F91A45-3169-4EFB-9C91-5BC9A172786B}" sibTransId="{08703F38-A0F8-4C5D-A64D-814818BBE57D}"/>
    <dgm:cxn modelId="{122599A7-E766-46B2-845E-2B260D0A8540}" type="presOf" srcId="{E472A433-7ACB-4375-B840-7DF41F042D4A}" destId="{6363F17A-B55B-417D-9BF2-A8B360A57BAC}" srcOrd="0" destOrd="3" presId="urn:microsoft.com/office/officeart/2005/8/layout/chevron2"/>
    <dgm:cxn modelId="{42D352CD-AFDD-4AF9-B405-B968B4E4C687}" type="presOf" srcId="{B16CDC09-5B1C-492D-9CFF-46A6642B1A68}" destId="{B9CC6F9E-D1E1-44B3-8772-515D0607AA2C}" srcOrd="0" destOrd="1" presId="urn:microsoft.com/office/officeart/2005/8/layout/chevron2"/>
    <dgm:cxn modelId="{51818A29-1E8A-4196-A470-0D55619B5B24}" type="presOf" srcId="{D1FD8C40-BB27-4EA9-B4D7-0E410F72C7FA}" destId="{DCBFFEEE-4A22-44FD-B722-50320AC01C29}" srcOrd="0" destOrd="2" presId="urn:microsoft.com/office/officeart/2005/8/layout/chevron2"/>
    <dgm:cxn modelId="{A7F93B70-567C-4F74-AC59-D47D0E78D9C8}" srcId="{94F1A99B-7A61-4D97-827F-69E76A84DAF8}" destId="{A2A74FFF-2451-4D19-B27E-B8E4BA1B3E9F}" srcOrd="1" destOrd="0" parTransId="{346AC8ED-3A1A-4D55-9D45-3189B4090B58}" sibTransId="{21A87F17-589D-45D7-B17E-C238017C8CD3}"/>
    <dgm:cxn modelId="{67962B1A-B96A-43CC-BA11-8F20446AFEF1}" srcId="{A2A74FFF-2451-4D19-B27E-B8E4BA1B3E9F}" destId="{B1FD2797-CB19-4E64-9829-32D3313A9F59}" srcOrd="1" destOrd="0" parTransId="{D5527FC5-9053-48F9-871A-80D51D3C43C5}" sibTransId="{EF64F574-0649-4EF2-B54F-E49FDAAA30E1}"/>
    <dgm:cxn modelId="{C385E52F-7AE4-432C-9144-333433D5AA83}" type="presOf" srcId="{E000E5B7-2301-4485-AE61-92E7B1FD1C1B}" destId="{6363F17A-B55B-417D-9BF2-A8B360A57BAC}" srcOrd="0" destOrd="2" presId="urn:microsoft.com/office/officeart/2005/8/layout/chevron2"/>
    <dgm:cxn modelId="{304D2445-8700-4A51-AA17-F6D3868A0E0C}" type="presOf" srcId="{73E9CA65-CB33-45C2-BFE4-0A63403138B1}" destId="{1EE13300-4B1A-45E7-A986-A2658D9CBFEB}" srcOrd="0" destOrd="0" presId="urn:microsoft.com/office/officeart/2005/8/layout/chevron2"/>
    <dgm:cxn modelId="{DF889106-113C-4572-B5CE-7C6E223E5164}" srcId="{73E9CA65-CB33-45C2-BFE4-0A63403138B1}" destId="{580AF15C-BE55-43A9-BCA5-9A64EC191F6C}" srcOrd="0" destOrd="0" parTransId="{AE72294D-F15E-4149-A356-C5B793818479}" sibTransId="{2DC75B8E-F085-48DC-A2FC-81504A768BAE}"/>
    <dgm:cxn modelId="{38F060F2-6D31-4E66-BDD4-A7B6B6D93BD6}" type="presOf" srcId="{ABA3B24F-DF93-44A0-BD1D-91F851E4843B}" destId="{B9CC6F9E-D1E1-44B3-8772-515D0607AA2C}" srcOrd="0" destOrd="2" presId="urn:microsoft.com/office/officeart/2005/8/layout/chevron2"/>
    <dgm:cxn modelId="{A44F557C-A60F-4061-9ECA-0C944BAB63F5}" srcId="{73E9CA65-CB33-45C2-BFE4-0A63403138B1}" destId="{959AEB4C-FD90-4866-B674-C9D12CD81EAC}" srcOrd="3" destOrd="0" parTransId="{65E9BFBE-1CC6-43A5-AA82-016FAC86E041}" sibTransId="{64E2C7FA-0558-49EE-A632-9A55F2855D0A}"/>
    <dgm:cxn modelId="{8B7FCF73-0CB0-4833-9C9E-49C42E95738E}" srcId="{94F1A99B-7A61-4D97-827F-69E76A84DAF8}" destId="{CFFB9EC6-4AE7-4DE8-9843-E7C9F66D167F}" srcOrd="0" destOrd="0" parTransId="{85FCE78C-53B5-4C69-877E-172D0FB6F73A}" sibTransId="{C6E55BB0-F739-4E7A-9A0D-18F90241BBCA}"/>
    <dgm:cxn modelId="{73E042BB-77E8-4B81-88D0-DCD394B67B0F}" type="presParOf" srcId="{AAC4C319-66B8-4B9F-BD14-AC91F5A49194}" destId="{8E4E23A3-B694-4BC0-967F-26626DB914B4}" srcOrd="0" destOrd="0" presId="urn:microsoft.com/office/officeart/2005/8/layout/chevron2"/>
    <dgm:cxn modelId="{BD5DA46D-5AF1-4BE0-A6FB-4950CEBF6B93}" type="presParOf" srcId="{8E4E23A3-B694-4BC0-967F-26626DB914B4}" destId="{E9443BDF-957B-4C25-9E8B-FFE107CFCA64}" srcOrd="0" destOrd="0" presId="urn:microsoft.com/office/officeart/2005/8/layout/chevron2"/>
    <dgm:cxn modelId="{F4FDB321-591E-45AD-9021-2A90B1D6BCBF}" type="presParOf" srcId="{8E4E23A3-B694-4BC0-967F-26626DB914B4}" destId="{6363F17A-B55B-417D-9BF2-A8B360A57BAC}" srcOrd="1" destOrd="0" presId="urn:microsoft.com/office/officeart/2005/8/layout/chevron2"/>
    <dgm:cxn modelId="{DA4986D4-EA01-4A25-BFE6-F57CED8EA207}" type="presParOf" srcId="{AAC4C319-66B8-4B9F-BD14-AC91F5A49194}" destId="{D09DDEBB-15F2-49A7-9760-88A59A36A736}" srcOrd="1" destOrd="0" presId="urn:microsoft.com/office/officeart/2005/8/layout/chevron2"/>
    <dgm:cxn modelId="{BAB5BD6B-5CE6-4438-85DD-BFCD7F88DE30}" type="presParOf" srcId="{AAC4C319-66B8-4B9F-BD14-AC91F5A49194}" destId="{CCE0F738-3491-49EF-A777-59B4B6700AD0}" srcOrd="2" destOrd="0" presId="urn:microsoft.com/office/officeart/2005/8/layout/chevron2"/>
    <dgm:cxn modelId="{F338A2AF-2B21-4D91-A538-B9D24D8231CF}" type="presParOf" srcId="{CCE0F738-3491-49EF-A777-59B4B6700AD0}" destId="{86FB364B-B1C9-4F93-8238-666EB35B4B7E}" srcOrd="0" destOrd="0" presId="urn:microsoft.com/office/officeart/2005/8/layout/chevron2"/>
    <dgm:cxn modelId="{819AE005-9900-40E0-9132-DAF6CECC5CA5}" type="presParOf" srcId="{CCE0F738-3491-49EF-A777-59B4B6700AD0}" destId="{DCBFFEEE-4A22-44FD-B722-50320AC01C29}" srcOrd="1" destOrd="0" presId="urn:microsoft.com/office/officeart/2005/8/layout/chevron2"/>
    <dgm:cxn modelId="{25C4CAEB-9233-47D3-928A-7A7583799F9E}" type="presParOf" srcId="{AAC4C319-66B8-4B9F-BD14-AC91F5A49194}" destId="{F1F09635-1AF0-4FAA-86AB-5BA94A4B53FB}" srcOrd="3" destOrd="0" presId="urn:microsoft.com/office/officeart/2005/8/layout/chevron2"/>
    <dgm:cxn modelId="{ED48B37F-122C-4748-8BFF-139E787B77C4}" type="presParOf" srcId="{AAC4C319-66B8-4B9F-BD14-AC91F5A49194}" destId="{5E84E8E0-EB70-4E4E-B0EA-CCA19B10D281}" srcOrd="4" destOrd="0" presId="urn:microsoft.com/office/officeart/2005/8/layout/chevron2"/>
    <dgm:cxn modelId="{F9421215-A92A-487F-93FB-C94C7745D50E}" type="presParOf" srcId="{5E84E8E0-EB70-4E4E-B0EA-CCA19B10D281}" destId="{1EE13300-4B1A-45E7-A986-A2658D9CBFEB}" srcOrd="0" destOrd="0" presId="urn:microsoft.com/office/officeart/2005/8/layout/chevron2"/>
    <dgm:cxn modelId="{241BAA7E-73FE-4C3A-8D1B-1BEAED1E1B32}" type="presParOf" srcId="{5E84E8E0-EB70-4E4E-B0EA-CCA19B10D281}" destId="{B9CC6F9E-D1E1-44B3-8772-515D0607AA2C}" srcOrd="1" destOrd="0" presId="urn:microsoft.com/office/officeart/2005/8/layout/chevron2"/>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86B40DA-289F-40DD-B975-FC00971B3623}" type="doc">
      <dgm:prSet loTypeId="urn:microsoft.com/office/officeart/2005/8/layout/chevron2" loCatId="list" qsTypeId="urn:microsoft.com/office/officeart/2005/8/quickstyle/simple5" qsCatId="simple" csTypeId="urn:microsoft.com/office/officeart/2005/8/colors/colorful1#1" csCatId="colorful" phldr="1"/>
      <dgm:spPr/>
      <dgm:t>
        <a:bodyPr/>
        <a:lstStyle/>
        <a:p>
          <a:endParaRPr lang="en-US"/>
        </a:p>
      </dgm:t>
    </dgm:pt>
    <dgm:pt modelId="{82E10AFA-404E-4339-8656-0FB98503443A}">
      <dgm:prSet phldrT="[Text]" custT="1"/>
      <dgm:spPr/>
      <dgm:t>
        <a:bodyPr/>
        <a:lstStyle/>
        <a:p>
          <a:r>
            <a:rPr lang="en-US" sz="1400" dirty="0" err="1" smtClean="0"/>
            <a:t>fsolve_BC.m</a:t>
          </a:r>
          <a:endParaRPr lang="en-US" sz="1400" dirty="0"/>
        </a:p>
      </dgm:t>
    </dgm:pt>
    <dgm:pt modelId="{1D9BD383-26DE-473D-B148-E7AE581106E3}" type="parTrans" cxnId="{2B65B325-F169-4717-8DCF-B2819EE47632}">
      <dgm:prSet/>
      <dgm:spPr/>
      <dgm:t>
        <a:bodyPr/>
        <a:lstStyle/>
        <a:p>
          <a:endParaRPr lang="en-US" sz="1100"/>
        </a:p>
      </dgm:t>
    </dgm:pt>
    <dgm:pt modelId="{31BD9361-753C-4C5A-8BDE-15DA0883672A}" type="sibTrans" cxnId="{2B65B325-F169-4717-8DCF-B2819EE47632}">
      <dgm:prSet/>
      <dgm:spPr/>
      <dgm:t>
        <a:bodyPr/>
        <a:lstStyle/>
        <a:p>
          <a:endParaRPr lang="en-US" sz="1100"/>
        </a:p>
      </dgm:t>
    </dgm:pt>
    <dgm:pt modelId="{1A88CDAD-90C0-4AA6-BF81-6F8F1587085E}">
      <dgm:prSet phldrT="[Text]" custT="1"/>
      <dgm:spPr/>
      <dgm:t>
        <a:bodyPr/>
        <a:lstStyle/>
        <a:p>
          <a:r>
            <a:rPr lang="en-US" sz="1100" dirty="0" smtClean="0"/>
            <a:t>Solves the system of nonlinear equations  that describe the operation of the conversion plant</a:t>
          </a:r>
          <a:endParaRPr lang="en-US" sz="1100" dirty="0"/>
        </a:p>
      </dgm:t>
    </dgm:pt>
    <dgm:pt modelId="{B807F3BB-6502-4BDB-8F44-6B5E13C0371D}" type="parTrans" cxnId="{957E0FCB-ADE9-42EA-98DD-88234E5CC7B7}">
      <dgm:prSet/>
      <dgm:spPr/>
      <dgm:t>
        <a:bodyPr/>
        <a:lstStyle/>
        <a:p>
          <a:endParaRPr lang="en-US" sz="1100"/>
        </a:p>
      </dgm:t>
    </dgm:pt>
    <dgm:pt modelId="{05B5F428-FA96-4F6A-804B-3C535C8D7202}" type="sibTrans" cxnId="{957E0FCB-ADE9-42EA-98DD-88234E5CC7B7}">
      <dgm:prSet/>
      <dgm:spPr/>
      <dgm:t>
        <a:bodyPr/>
        <a:lstStyle/>
        <a:p>
          <a:endParaRPr lang="en-US" sz="1100"/>
        </a:p>
      </dgm:t>
    </dgm:pt>
    <dgm:pt modelId="{06AC275C-61BE-4C16-83A4-F351723E05D1}">
      <dgm:prSet phldrT="[Text]" custT="1"/>
      <dgm:spPr/>
      <dgm:t>
        <a:bodyPr/>
        <a:lstStyle/>
        <a:p>
          <a:r>
            <a:rPr lang="en-US" sz="1100" dirty="0" smtClean="0"/>
            <a:t>Calls the function file </a:t>
          </a:r>
          <a:r>
            <a:rPr lang="en-US" sz="1100" dirty="0" err="1" smtClean="0"/>
            <a:t>Xss_BC.m</a:t>
          </a:r>
          <a:endParaRPr lang="en-US" sz="1100" dirty="0"/>
        </a:p>
      </dgm:t>
    </dgm:pt>
    <dgm:pt modelId="{3299B8AC-A3AA-467D-AD20-8F58C7116E63}" type="parTrans" cxnId="{601EC00F-F10F-425A-8E95-9688947E7032}">
      <dgm:prSet/>
      <dgm:spPr/>
      <dgm:t>
        <a:bodyPr/>
        <a:lstStyle/>
        <a:p>
          <a:endParaRPr lang="en-US" sz="1100"/>
        </a:p>
      </dgm:t>
    </dgm:pt>
    <dgm:pt modelId="{80BD126D-13B1-4FD3-A6D8-A52D55705EEA}" type="sibTrans" cxnId="{601EC00F-F10F-425A-8E95-9688947E7032}">
      <dgm:prSet/>
      <dgm:spPr/>
      <dgm:t>
        <a:bodyPr/>
        <a:lstStyle/>
        <a:p>
          <a:endParaRPr lang="en-US" sz="1100"/>
        </a:p>
      </dgm:t>
    </dgm:pt>
    <dgm:pt modelId="{D77BB04A-657C-487C-B61E-07FF80E85C58}">
      <dgm:prSet phldrT="[Text]" custT="1"/>
      <dgm:spPr/>
      <dgm:t>
        <a:bodyPr/>
        <a:lstStyle/>
        <a:p>
          <a:r>
            <a:rPr lang="en-US" sz="1400" dirty="0" err="1" smtClean="0"/>
            <a:t>parameters_BC.m</a:t>
          </a:r>
          <a:endParaRPr lang="en-US" sz="1400" dirty="0"/>
        </a:p>
      </dgm:t>
    </dgm:pt>
    <dgm:pt modelId="{F8D855A2-7F1D-4D7F-8155-97780297D796}" type="parTrans" cxnId="{011DEAD8-F88A-466A-9FCB-D191AF85DF9D}">
      <dgm:prSet/>
      <dgm:spPr/>
      <dgm:t>
        <a:bodyPr/>
        <a:lstStyle/>
        <a:p>
          <a:endParaRPr lang="en-US" sz="1100"/>
        </a:p>
      </dgm:t>
    </dgm:pt>
    <dgm:pt modelId="{F970A177-660A-4FFE-A4E9-B3F5D4F6376B}" type="sibTrans" cxnId="{011DEAD8-F88A-466A-9FCB-D191AF85DF9D}">
      <dgm:prSet/>
      <dgm:spPr/>
      <dgm:t>
        <a:bodyPr/>
        <a:lstStyle/>
        <a:p>
          <a:endParaRPr lang="en-US" sz="1100"/>
        </a:p>
      </dgm:t>
    </dgm:pt>
    <dgm:pt modelId="{1ABEE753-4662-4242-B9AB-A999B5B02098}">
      <dgm:prSet phldrT="[Text]" custT="1"/>
      <dgm:spPr/>
      <dgm:t>
        <a:bodyPr/>
        <a:lstStyle/>
        <a:p>
          <a:r>
            <a:rPr lang="en-US" sz="1100" dirty="0" smtClean="0"/>
            <a:t>Loads the base case parameters for the subsequent files</a:t>
          </a:r>
          <a:endParaRPr lang="en-US" sz="1100" dirty="0"/>
        </a:p>
      </dgm:t>
    </dgm:pt>
    <dgm:pt modelId="{969DC026-419F-4970-8039-8FBB970CE225}" type="parTrans" cxnId="{C017DD41-6A62-47E7-8AF1-FA99193FFEA5}">
      <dgm:prSet/>
      <dgm:spPr/>
      <dgm:t>
        <a:bodyPr/>
        <a:lstStyle/>
        <a:p>
          <a:endParaRPr lang="en-US" sz="1100"/>
        </a:p>
      </dgm:t>
    </dgm:pt>
    <dgm:pt modelId="{5B7C780D-3A70-446B-85BE-D171E983FDD0}" type="sibTrans" cxnId="{C017DD41-6A62-47E7-8AF1-FA99193FFEA5}">
      <dgm:prSet/>
      <dgm:spPr/>
      <dgm:t>
        <a:bodyPr/>
        <a:lstStyle/>
        <a:p>
          <a:endParaRPr lang="en-US" sz="1100"/>
        </a:p>
      </dgm:t>
    </dgm:pt>
    <dgm:pt modelId="{55A348C8-D5B6-42A6-8ED3-DEC38E8B899D}">
      <dgm:prSet phldrT="[Text]" custT="1"/>
      <dgm:spPr/>
      <dgm:t>
        <a:bodyPr/>
        <a:lstStyle/>
        <a:p>
          <a:r>
            <a:rPr lang="en-US" sz="1100" dirty="0" smtClean="0"/>
            <a:t>Must match the parameters in </a:t>
          </a:r>
          <a:r>
            <a:rPr lang="en-US" sz="1100" dirty="0" err="1" smtClean="0"/>
            <a:t>Xss_BC.m</a:t>
          </a:r>
          <a:endParaRPr lang="en-US" sz="1100" dirty="0"/>
        </a:p>
      </dgm:t>
    </dgm:pt>
    <dgm:pt modelId="{BC643EF6-9299-4BAC-A324-7D23FDF016F6}" type="parTrans" cxnId="{B7117349-E114-4A9D-B642-1CF4BD44A81A}">
      <dgm:prSet/>
      <dgm:spPr/>
      <dgm:t>
        <a:bodyPr/>
        <a:lstStyle/>
        <a:p>
          <a:endParaRPr lang="en-US" sz="1100"/>
        </a:p>
      </dgm:t>
    </dgm:pt>
    <dgm:pt modelId="{96658389-9A24-44A3-8D67-49448FB20FE3}" type="sibTrans" cxnId="{B7117349-E114-4A9D-B642-1CF4BD44A81A}">
      <dgm:prSet/>
      <dgm:spPr/>
      <dgm:t>
        <a:bodyPr/>
        <a:lstStyle/>
        <a:p>
          <a:endParaRPr lang="en-US" sz="1100"/>
        </a:p>
      </dgm:t>
    </dgm:pt>
    <dgm:pt modelId="{DF8DF6E3-514C-49BC-A223-6AF926A445CE}">
      <dgm:prSet phldrT="[Text]" custT="1"/>
      <dgm:spPr/>
      <dgm:t>
        <a:bodyPr/>
        <a:lstStyle/>
        <a:p>
          <a:r>
            <a:rPr lang="en-US" sz="1400" dirty="0" err="1" smtClean="0"/>
            <a:t>Xdot_BC.m</a:t>
          </a:r>
          <a:endParaRPr lang="en-US" sz="1400" dirty="0"/>
        </a:p>
      </dgm:t>
    </dgm:pt>
    <dgm:pt modelId="{A8F9210B-8DAC-4AAA-BF19-0B9799C507E7}" type="parTrans" cxnId="{E2600C3B-D856-4A16-A2EF-DC92BDDF6541}">
      <dgm:prSet/>
      <dgm:spPr/>
      <dgm:t>
        <a:bodyPr/>
        <a:lstStyle/>
        <a:p>
          <a:endParaRPr lang="en-US" sz="1100"/>
        </a:p>
      </dgm:t>
    </dgm:pt>
    <dgm:pt modelId="{4FC3B03E-CF8B-4B79-9971-B3BED78EE409}" type="sibTrans" cxnId="{E2600C3B-D856-4A16-A2EF-DC92BDDF6541}">
      <dgm:prSet/>
      <dgm:spPr/>
      <dgm:t>
        <a:bodyPr/>
        <a:lstStyle/>
        <a:p>
          <a:endParaRPr lang="en-US" sz="1100"/>
        </a:p>
      </dgm:t>
    </dgm:pt>
    <dgm:pt modelId="{2D140D5D-ADC6-4C14-886E-6F962AD780F7}">
      <dgm:prSet phldrT="[Text]" custT="1"/>
      <dgm:spPr/>
      <dgm:t>
        <a:bodyPr/>
        <a:lstStyle/>
        <a:p>
          <a:r>
            <a:rPr lang="en-US" sz="1100" dirty="0" smtClean="0"/>
            <a:t>Checks the steady-state solution to give </a:t>
          </a:r>
          <a:r>
            <a:rPr lang="en-US" sz="1100" dirty="0" err="1" smtClean="0"/>
            <a:t>Xdot</a:t>
          </a:r>
          <a:r>
            <a:rPr lang="en-US" sz="1100" dirty="0" smtClean="0"/>
            <a:t>=0</a:t>
          </a:r>
          <a:endParaRPr lang="en-US" sz="1100" dirty="0"/>
        </a:p>
      </dgm:t>
    </dgm:pt>
    <dgm:pt modelId="{06BE0900-3DC6-4C88-BA70-1700EF1837A1}" type="parTrans" cxnId="{DA770B1E-CD27-4A7E-90CF-45D6B88FA3BB}">
      <dgm:prSet/>
      <dgm:spPr/>
      <dgm:t>
        <a:bodyPr/>
        <a:lstStyle/>
        <a:p>
          <a:endParaRPr lang="en-US" sz="1100"/>
        </a:p>
      </dgm:t>
    </dgm:pt>
    <dgm:pt modelId="{2A2C9C64-A225-4404-9540-879C20BF7A1F}" type="sibTrans" cxnId="{DA770B1E-CD27-4A7E-90CF-45D6B88FA3BB}">
      <dgm:prSet/>
      <dgm:spPr/>
      <dgm:t>
        <a:bodyPr/>
        <a:lstStyle/>
        <a:p>
          <a:endParaRPr lang="en-US" sz="1100"/>
        </a:p>
      </dgm:t>
    </dgm:pt>
    <dgm:pt modelId="{48E968EC-3145-4397-B12E-B42BB311559B}">
      <dgm:prSet phldrT="[Text]" custT="1"/>
      <dgm:spPr/>
      <dgm:t>
        <a:bodyPr/>
        <a:lstStyle/>
        <a:p>
          <a:r>
            <a:rPr lang="en-US" sz="1100" dirty="0" smtClean="0"/>
            <a:t>The system of equations must match those in </a:t>
          </a:r>
          <a:r>
            <a:rPr lang="en-US" sz="1100" dirty="0" err="1" smtClean="0"/>
            <a:t>Xss_BC.m</a:t>
          </a:r>
          <a:endParaRPr lang="en-US" sz="1100" dirty="0"/>
        </a:p>
      </dgm:t>
    </dgm:pt>
    <dgm:pt modelId="{CFA58E38-1E6E-49B4-9A26-2BC76953586B}" type="parTrans" cxnId="{A3A9CFA6-0044-4D26-9872-D513E13615E8}">
      <dgm:prSet/>
      <dgm:spPr/>
      <dgm:t>
        <a:bodyPr/>
        <a:lstStyle/>
        <a:p>
          <a:endParaRPr lang="en-US" sz="1100"/>
        </a:p>
      </dgm:t>
    </dgm:pt>
    <dgm:pt modelId="{409B5069-29F0-4FC9-802C-E97A4EA76E7F}" type="sibTrans" cxnId="{A3A9CFA6-0044-4D26-9872-D513E13615E8}">
      <dgm:prSet/>
      <dgm:spPr/>
      <dgm:t>
        <a:bodyPr/>
        <a:lstStyle/>
        <a:p>
          <a:endParaRPr lang="en-US" sz="1100"/>
        </a:p>
      </dgm:t>
    </dgm:pt>
    <dgm:pt modelId="{86492BFB-833B-4944-80F0-2BBF93752FF5}">
      <dgm:prSet phldrT="[Text]" custT="1"/>
      <dgm:spPr/>
      <dgm:t>
        <a:bodyPr/>
        <a:lstStyle/>
        <a:p>
          <a:r>
            <a:rPr lang="en-US" sz="1100" dirty="0" smtClean="0"/>
            <a:t>Outputs the steady-state state variable solution (</a:t>
          </a:r>
          <a:r>
            <a:rPr lang="en-US" sz="1100" dirty="0" err="1" smtClean="0"/>
            <a:t>Xss</a:t>
          </a:r>
          <a:r>
            <a:rPr lang="en-US" sz="1100" dirty="0" smtClean="0"/>
            <a:t>) at the stated input variable values</a:t>
          </a:r>
          <a:endParaRPr lang="en-US" sz="1100" dirty="0"/>
        </a:p>
      </dgm:t>
    </dgm:pt>
    <dgm:pt modelId="{885A070F-2D2B-4141-A3E8-5C2C407EA9B7}" type="parTrans" cxnId="{BBE1E1D3-2AC0-4BEF-A74E-25B16D3749E5}">
      <dgm:prSet/>
      <dgm:spPr/>
      <dgm:t>
        <a:bodyPr/>
        <a:lstStyle/>
        <a:p>
          <a:endParaRPr lang="en-US" sz="1100"/>
        </a:p>
      </dgm:t>
    </dgm:pt>
    <dgm:pt modelId="{52B19117-AD4D-4206-BA31-288685C23E0E}" type="sibTrans" cxnId="{BBE1E1D3-2AC0-4BEF-A74E-25B16D3749E5}">
      <dgm:prSet/>
      <dgm:spPr/>
      <dgm:t>
        <a:bodyPr/>
        <a:lstStyle/>
        <a:p>
          <a:endParaRPr lang="en-US" sz="1100"/>
        </a:p>
      </dgm:t>
    </dgm:pt>
    <dgm:pt modelId="{66E0B852-BDD3-4763-B55F-3C8A9F5F52EA}">
      <dgm:prSet custT="1"/>
      <dgm:spPr/>
      <dgm:t>
        <a:bodyPr/>
        <a:lstStyle/>
        <a:p>
          <a:r>
            <a:rPr lang="en-US" sz="1400" dirty="0" err="1" smtClean="0"/>
            <a:t>OMB_BC.m</a:t>
          </a:r>
          <a:endParaRPr lang="en-US" sz="1400" dirty="0"/>
        </a:p>
      </dgm:t>
    </dgm:pt>
    <dgm:pt modelId="{CA8520B3-D504-4D48-9136-221A04168FC6}" type="parTrans" cxnId="{A50F85EF-068F-452B-9924-D111E4CD4E05}">
      <dgm:prSet/>
      <dgm:spPr/>
      <dgm:t>
        <a:bodyPr/>
        <a:lstStyle/>
        <a:p>
          <a:endParaRPr lang="en-US" sz="1100"/>
        </a:p>
      </dgm:t>
    </dgm:pt>
    <dgm:pt modelId="{2253860C-D778-47CB-9AAC-1933E40EDF4D}" type="sibTrans" cxnId="{A50F85EF-068F-452B-9924-D111E4CD4E05}">
      <dgm:prSet/>
      <dgm:spPr/>
      <dgm:t>
        <a:bodyPr/>
        <a:lstStyle/>
        <a:p>
          <a:endParaRPr lang="en-US" sz="1100"/>
        </a:p>
      </dgm:t>
    </dgm:pt>
    <dgm:pt modelId="{154683DB-C4D7-4FB1-B853-82EB8B297DB3}">
      <dgm:prSet custT="1"/>
      <dgm:spPr/>
      <dgm:t>
        <a:bodyPr/>
        <a:lstStyle/>
        <a:p>
          <a:r>
            <a:rPr lang="en-US" sz="1400" dirty="0" err="1" smtClean="0"/>
            <a:t>BC_data.m</a:t>
          </a:r>
          <a:endParaRPr lang="en-US" sz="1400" dirty="0"/>
        </a:p>
      </dgm:t>
    </dgm:pt>
    <dgm:pt modelId="{8E8DB9FF-DDBF-4589-8838-07434F1F4E7B}" type="parTrans" cxnId="{7587662C-7AF1-4F1B-B98D-53E13C322383}">
      <dgm:prSet/>
      <dgm:spPr/>
      <dgm:t>
        <a:bodyPr/>
        <a:lstStyle/>
        <a:p>
          <a:endParaRPr lang="en-US" sz="1100"/>
        </a:p>
      </dgm:t>
    </dgm:pt>
    <dgm:pt modelId="{19BCD016-15AA-42B2-9097-E17DD1A00D8D}" type="sibTrans" cxnId="{7587662C-7AF1-4F1B-B98D-53E13C322383}">
      <dgm:prSet/>
      <dgm:spPr/>
      <dgm:t>
        <a:bodyPr/>
        <a:lstStyle/>
        <a:p>
          <a:endParaRPr lang="en-US" sz="1100"/>
        </a:p>
      </dgm:t>
    </dgm:pt>
    <dgm:pt modelId="{805BAFF7-DCFD-4ABF-9E48-9619428CE0DB}">
      <dgm:prSet phldrT="[Text]" custT="1"/>
      <dgm:spPr/>
      <dgm:t>
        <a:bodyPr/>
        <a:lstStyle/>
        <a:p>
          <a:r>
            <a:rPr lang="en-US" sz="1100" dirty="0" smtClean="0"/>
            <a:t>Also loads the steady-state input variables</a:t>
          </a:r>
          <a:endParaRPr lang="en-US" sz="1100" dirty="0"/>
        </a:p>
      </dgm:t>
    </dgm:pt>
    <dgm:pt modelId="{88E3EF0A-8861-4984-BE7A-B2CEB9D52A15}" type="parTrans" cxnId="{0C991524-4F98-4424-BFB5-5D687263FEEE}">
      <dgm:prSet/>
      <dgm:spPr/>
      <dgm:t>
        <a:bodyPr/>
        <a:lstStyle/>
        <a:p>
          <a:endParaRPr lang="en-US" sz="1100"/>
        </a:p>
      </dgm:t>
    </dgm:pt>
    <dgm:pt modelId="{3F92C7C7-F58D-4ED3-9E24-A7782779C08F}" type="sibTrans" cxnId="{0C991524-4F98-4424-BFB5-5D687263FEEE}">
      <dgm:prSet/>
      <dgm:spPr/>
      <dgm:t>
        <a:bodyPr/>
        <a:lstStyle/>
        <a:p>
          <a:endParaRPr lang="en-US" sz="1100"/>
        </a:p>
      </dgm:t>
    </dgm:pt>
    <dgm:pt modelId="{20609284-5A94-4400-9642-9187FB6A3879}">
      <dgm:prSet phldrT="[Text]" custT="1"/>
      <dgm:spPr/>
      <dgm:t>
        <a:bodyPr/>
        <a:lstStyle/>
        <a:p>
          <a:r>
            <a:rPr lang="en-US" sz="1100" dirty="0" smtClean="0"/>
            <a:t>Output is </a:t>
          </a:r>
          <a:r>
            <a:rPr lang="en-US" sz="1100" dirty="0" err="1" smtClean="0"/>
            <a:t>Xdot</a:t>
          </a:r>
          <a:r>
            <a:rPr lang="en-US" sz="1100" dirty="0" smtClean="0"/>
            <a:t> and should be equal to evaluated from </a:t>
          </a:r>
          <a:r>
            <a:rPr lang="en-US" sz="1100" dirty="0" err="1" smtClean="0"/>
            <a:t>fsolve_BC.m</a:t>
          </a:r>
          <a:endParaRPr lang="en-US" sz="1100" dirty="0"/>
        </a:p>
      </dgm:t>
    </dgm:pt>
    <dgm:pt modelId="{885A5267-59B0-4F9C-A22D-28C1505D6219}" type="parTrans" cxnId="{3632A25D-56B5-416A-8610-953DEB9B7F6C}">
      <dgm:prSet/>
      <dgm:spPr/>
      <dgm:t>
        <a:bodyPr/>
        <a:lstStyle/>
        <a:p>
          <a:endParaRPr lang="en-US" sz="1100"/>
        </a:p>
      </dgm:t>
    </dgm:pt>
    <dgm:pt modelId="{56D3B4A5-7A29-438D-8380-D3988A73E297}" type="sibTrans" cxnId="{3632A25D-56B5-416A-8610-953DEB9B7F6C}">
      <dgm:prSet/>
      <dgm:spPr/>
      <dgm:t>
        <a:bodyPr/>
        <a:lstStyle/>
        <a:p>
          <a:endParaRPr lang="en-US" sz="1100"/>
        </a:p>
      </dgm:t>
    </dgm:pt>
    <dgm:pt modelId="{031076DD-A38E-4C76-BEF7-25E4AC2EDE37}">
      <dgm:prSet phldrT="[Text]" custT="1"/>
      <dgm:spPr/>
      <dgm:t>
        <a:bodyPr/>
        <a:lstStyle/>
        <a:p>
          <a:r>
            <a:rPr lang="en-US" sz="1100" dirty="0" smtClean="0"/>
            <a:t>The solution of </a:t>
          </a:r>
          <a:r>
            <a:rPr lang="en-US" sz="1100" dirty="0" err="1" smtClean="0"/>
            <a:t>Xdot</a:t>
          </a:r>
          <a:r>
            <a:rPr lang="en-US" sz="1100" dirty="0" smtClean="0"/>
            <a:t> should be zero</a:t>
          </a:r>
          <a:endParaRPr lang="en-US" sz="1100" dirty="0"/>
        </a:p>
      </dgm:t>
    </dgm:pt>
    <dgm:pt modelId="{6806C6DA-AB5C-4E3D-813C-526155789E8C}" type="parTrans" cxnId="{43D3229C-480E-4458-8DF7-70B72021BDBD}">
      <dgm:prSet/>
      <dgm:spPr/>
      <dgm:t>
        <a:bodyPr/>
        <a:lstStyle/>
        <a:p>
          <a:endParaRPr lang="en-US" sz="1100"/>
        </a:p>
      </dgm:t>
    </dgm:pt>
    <dgm:pt modelId="{C74708A5-1540-4775-A705-18F3012762FF}" type="sibTrans" cxnId="{43D3229C-480E-4458-8DF7-70B72021BDBD}">
      <dgm:prSet/>
      <dgm:spPr/>
      <dgm:t>
        <a:bodyPr/>
        <a:lstStyle/>
        <a:p>
          <a:endParaRPr lang="en-US" sz="1100"/>
        </a:p>
      </dgm:t>
    </dgm:pt>
    <dgm:pt modelId="{D57DC686-0BB7-4185-B0AB-9E05CD597A82}">
      <dgm:prSet custT="1"/>
      <dgm:spPr/>
      <dgm:t>
        <a:bodyPr/>
        <a:lstStyle/>
        <a:p>
          <a:r>
            <a:rPr lang="en-US" sz="1100" dirty="0" smtClean="0"/>
            <a:t>Checks the overall material balance for each module</a:t>
          </a:r>
          <a:endParaRPr lang="en-US" sz="1100" dirty="0"/>
        </a:p>
      </dgm:t>
    </dgm:pt>
    <dgm:pt modelId="{97DD2ED2-7EBF-405F-9BA0-C612600A742A}" type="parTrans" cxnId="{C80DDC44-FC6B-4512-B87D-D1515C214A5A}">
      <dgm:prSet/>
      <dgm:spPr/>
      <dgm:t>
        <a:bodyPr/>
        <a:lstStyle/>
        <a:p>
          <a:endParaRPr lang="en-US" sz="1100"/>
        </a:p>
      </dgm:t>
    </dgm:pt>
    <dgm:pt modelId="{9C93AE36-3EC7-4159-B234-DCB95BC2C059}" type="sibTrans" cxnId="{C80DDC44-FC6B-4512-B87D-D1515C214A5A}">
      <dgm:prSet/>
      <dgm:spPr/>
      <dgm:t>
        <a:bodyPr/>
        <a:lstStyle/>
        <a:p>
          <a:endParaRPr lang="en-US" sz="1100"/>
        </a:p>
      </dgm:t>
    </dgm:pt>
    <dgm:pt modelId="{CA3527FD-28A4-4C65-BC25-F15180BBC2D6}">
      <dgm:prSet custT="1"/>
      <dgm:spPr/>
      <dgm:t>
        <a:bodyPr/>
        <a:lstStyle/>
        <a:p>
          <a:r>
            <a:rPr lang="en-US" sz="1100" dirty="0" smtClean="0"/>
            <a:t>The solution of OMB should be zero</a:t>
          </a:r>
          <a:endParaRPr lang="en-US" sz="1100" dirty="0"/>
        </a:p>
      </dgm:t>
    </dgm:pt>
    <dgm:pt modelId="{E41ED2FA-48C2-45E4-AED0-E5603EB1F335}" type="parTrans" cxnId="{2E4EE3EE-2DFB-4B7E-85D7-76D02D5C000E}">
      <dgm:prSet/>
      <dgm:spPr/>
      <dgm:t>
        <a:bodyPr/>
        <a:lstStyle/>
        <a:p>
          <a:endParaRPr lang="en-US" sz="1100"/>
        </a:p>
      </dgm:t>
    </dgm:pt>
    <dgm:pt modelId="{44DB3C1B-2E9E-4B1B-94CD-C76245885D8F}" type="sibTrans" cxnId="{2E4EE3EE-2DFB-4B7E-85D7-76D02D5C000E}">
      <dgm:prSet/>
      <dgm:spPr/>
      <dgm:t>
        <a:bodyPr/>
        <a:lstStyle/>
        <a:p>
          <a:endParaRPr lang="en-US" sz="1100"/>
        </a:p>
      </dgm:t>
    </dgm:pt>
    <dgm:pt modelId="{66D93A9A-E354-4BB4-BA52-73B470FBBB30}">
      <dgm:prSet custT="1"/>
      <dgm:spPr/>
      <dgm:t>
        <a:bodyPr/>
        <a:lstStyle/>
        <a:p>
          <a:r>
            <a:rPr lang="en-US" sz="1100" dirty="0" smtClean="0"/>
            <a:t>Calls </a:t>
          </a:r>
          <a:r>
            <a:rPr lang="en-US" sz="1100" dirty="0" err="1" smtClean="0"/>
            <a:t>NUCP_BC.m</a:t>
          </a:r>
          <a:endParaRPr lang="en-US" sz="1100" dirty="0"/>
        </a:p>
      </dgm:t>
    </dgm:pt>
    <dgm:pt modelId="{681A4E63-74AD-4689-8BB5-73ED225304CD}" type="parTrans" cxnId="{56073756-50FD-42B5-BF66-8AD1A5F1A0E0}">
      <dgm:prSet/>
      <dgm:spPr/>
      <dgm:t>
        <a:bodyPr/>
        <a:lstStyle/>
        <a:p>
          <a:endParaRPr lang="en-US" sz="1100"/>
        </a:p>
      </dgm:t>
    </dgm:pt>
    <dgm:pt modelId="{5A35DFDB-6345-43E8-84D8-FE2DFFBD8115}" type="sibTrans" cxnId="{56073756-50FD-42B5-BF66-8AD1A5F1A0E0}">
      <dgm:prSet/>
      <dgm:spPr/>
      <dgm:t>
        <a:bodyPr/>
        <a:lstStyle/>
        <a:p>
          <a:endParaRPr lang="en-US" sz="1100"/>
        </a:p>
      </dgm:t>
    </dgm:pt>
    <dgm:pt modelId="{02DD5528-2FD7-4D27-9CAC-0C242070ED23}">
      <dgm:prSet custT="1"/>
      <dgm:spPr/>
      <dgm:t>
        <a:bodyPr/>
        <a:lstStyle/>
        <a:p>
          <a:r>
            <a:rPr lang="en-US" sz="1100" dirty="0" smtClean="0"/>
            <a:t>Generates the base case data matrix by varying the input variables using nested loops</a:t>
          </a:r>
          <a:endParaRPr lang="en-US" sz="1100" dirty="0"/>
        </a:p>
      </dgm:t>
    </dgm:pt>
    <dgm:pt modelId="{2FADC9E8-8AA7-4395-8FED-AF59E9B7D715}" type="parTrans" cxnId="{7B6FCD47-9943-4D59-844E-FE1E0143BED0}">
      <dgm:prSet/>
      <dgm:spPr/>
      <dgm:t>
        <a:bodyPr/>
        <a:lstStyle/>
        <a:p>
          <a:endParaRPr lang="en-US" sz="1100"/>
        </a:p>
      </dgm:t>
    </dgm:pt>
    <dgm:pt modelId="{072F0035-C4C1-40D5-96B9-849012DF5AE1}" type="sibTrans" cxnId="{7B6FCD47-9943-4D59-844E-FE1E0143BED0}">
      <dgm:prSet/>
      <dgm:spPr/>
      <dgm:t>
        <a:bodyPr/>
        <a:lstStyle/>
        <a:p>
          <a:endParaRPr lang="en-US" sz="1100"/>
        </a:p>
      </dgm:t>
    </dgm:pt>
    <dgm:pt modelId="{DBA4F76B-E1EA-44DE-A46B-528C269A56D1}">
      <dgm:prSet custT="1"/>
      <dgm:spPr/>
      <dgm:t>
        <a:bodyPr/>
        <a:lstStyle/>
        <a:p>
          <a:r>
            <a:rPr lang="en-US" sz="1100" dirty="0" smtClean="0"/>
            <a:t>The system of equations must match those in </a:t>
          </a:r>
          <a:r>
            <a:rPr lang="en-US" sz="1100" dirty="0" err="1" smtClean="0"/>
            <a:t>Xss_BC.m</a:t>
          </a:r>
          <a:endParaRPr lang="en-US" sz="1100" dirty="0"/>
        </a:p>
      </dgm:t>
    </dgm:pt>
    <dgm:pt modelId="{7F728FC0-5C19-49E4-8A4C-2B24CEC381A6}" type="parTrans" cxnId="{BEB14453-0E24-4578-9173-A9FD650716A0}">
      <dgm:prSet/>
      <dgm:spPr/>
      <dgm:t>
        <a:bodyPr/>
        <a:lstStyle/>
        <a:p>
          <a:endParaRPr lang="en-US" sz="1100"/>
        </a:p>
      </dgm:t>
    </dgm:pt>
    <dgm:pt modelId="{3C0B6855-1D1F-4430-A655-634188532CD4}" type="sibTrans" cxnId="{BEB14453-0E24-4578-9173-A9FD650716A0}">
      <dgm:prSet/>
      <dgm:spPr/>
      <dgm:t>
        <a:bodyPr/>
        <a:lstStyle/>
        <a:p>
          <a:endParaRPr lang="en-US" sz="1100"/>
        </a:p>
      </dgm:t>
    </dgm:pt>
    <dgm:pt modelId="{720E497F-F7DF-4561-96DB-239426C8A39F}" type="pres">
      <dgm:prSet presAssocID="{486B40DA-289F-40DD-B975-FC00971B3623}" presName="linearFlow" presStyleCnt="0">
        <dgm:presLayoutVars>
          <dgm:dir/>
          <dgm:animLvl val="lvl"/>
          <dgm:resizeHandles val="exact"/>
        </dgm:presLayoutVars>
      </dgm:prSet>
      <dgm:spPr/>
      <dgm:t>
        <a:bodyPr/>
        <a:lstStyle/>
        <a:p>
          <a:endParaRPr lang="en-US"/>
        </a:p>
      </dgm:t>
    </dgm:pt>
    <dgm:pt modelId="{403C7731-EE93-4AFA-BBA4-EE3CE377EF60}" type="pres">
      <dgm:prSet presAssocID="{82E10AFA-404E-4339-8656-0FB98503443A}" presName="composite" presStyleCnt="0"/>
      <dgm:spPr/>
    </dgm:pt>
    <dgm:pt modelId="{A66D165E-8C89-4C08-9CC7-BFBED6404D8D}" type="pres">
      <dgm:prSet presAssocID="{82E10AFA-404E-4339-8656-0FB98503443A}" presName="parentText" presStyleLbl="alignNode1" presStyleIdx="0" presStyleCnt="5">
        <dgm:presLayoutVars>
          <dgm:chMax val="1"/>
          <dgm:bulletEnabled val="1"/>
        </dgm:presLayoutVars>
      </dgm:prSet>
      <dgm:spPr/>
      <dgm:t>
        <a:bodyPr/>
        <a:lstStyle/>
        <a:p>
          <a:endParaRPr lang="en-US"/>
        </a:p>
      </dgm:t>
    </dgm:pt>
    <dgm:pt modelId="{E14DF492-ECA6-4D35-8F08-A5E28B143C8E}" type="pres">
      <dgm:prSet presAssocID="{82E10AFA-404E-4339-8656-0FB98503443A}" presName="descendantText" presStyleLbl="alignAcc1" presStyleIdx="0" presStyleCnt="5">
        <dgm:presLayoutVars>
          <dgm:bulletEnabled val="1"/>
        </dgm:presLayoutVars>
      </dgm:prSet>
      <dgm:spPr/>
      <dgm:t>
        <a:bodyPr/>
        <a:lstStyle/>
        <a:p>
          <a:endParaRPr lang="en-US"/>
        </a:p>
      </dgm:t>
    </dgm:pt>
    <dgm:pt modelId="{58E10DB7-BFDF-4B0F-9E56-5DD73DB753B7}" type="pres">
      <dgm:prSet presAssocID="{31BD9361-753C-4C5A-8BDE-15DA0883672A}" presName="sp" presStyleCnt="0"/>
      <dgm:spPr/>
    </dgm:pt>
    <dgm:pt modelId="{AEC9E61E-68AC-42FF-A8A6-64840A99E8B7}" type="pres">
      <dgm:prSet presAssocID="{D77BB04A-657C-487C-B61E-07FF80E85C58}" presName="composite" presStyleCnt="0"/>
      <dgm:spPr/>
    </dgm:pt>
    <dgm:pt modelId="{0EB76CFE-17E5-4BE1-9942-91090D3B64A8}" type="pres">
      <dgm:prSet presAssocID="{D77BB04A-657C-487C-B61E-07FF80E85C58}" presName="parentText" presStyleLbl="alignNode1" presStyleIdx="1" presStyleCnt="5">
        <dgm:presLayoutVars>
          <dgm:chMax val="1"/>
          <dgm:bulletEnabled val="1"/>
        </dgm:presLayoutVars>
      </dgm:prSet>
      <dgm:spPr/>
      <dgm:t>
        <a:bodyPr/>
        <a:lstStyle/>
        <a:p>
          <a:endParaRPr lang="en-US"/>
        </a:p>
      </dgm:t>
    </dgm:pt>
    <dgm:pt modelId="{11914B9B-2930-4180-998A-517DB891CDFA}" type="pres">
      <dgm:prSet presAssocID="{D77BB04A-657C-487C-B61E-07FF80E85C58}" presName="descendantText" presStyleLbl="alignAcc1" presStyleIdx="1" presStyleCnt="5">
        <dgm:presLayoutVars>
          <dgm:bulletEnabled val="1"/>
        </dgm:presLayoutVars>
      </dgm:prSet>
      <dgm:spPr/>
      <dgm:t>
        <a:bodyPr/>
        <a:lstStyle/>
        <a:p>
          <a:endParaRPr lang="en-US"/>
        </a:p>
      </dgm:t>
    </dgm:pt>
    <dgm:pt modelId="{8223E646-F868-4F69-B31D-EEC21E3DB79A}" type="pres">
      <dgm:prSet presAssocID="{F970A177-660A-4FFE-A4E9-B3F5D4F6376B}" presName="sp" presStyleCnt="0"/>
      <dgm:spPr/>
    </dgm:pt>
    <dgm:pt modelId="{C3307DAA-E211-4F78-A463-31B14CAA6DBD}" type="pres">
      <dgm:prSet presAssocID="{DF8DF6E3-514C-49BC-A223-6AF926A445CE}" presName="composite" presStyleCnt="0"/>
      <dgm:spPr/>
    </dgm:pt>
    <dgm:pt modelId="{D9CAD62A-9120-40C2-B565-F5FF263B195F}" type="pres">
      <dgm:prSet presAssocID="{DF8DF6E3-514C-49BC-A223-6AF926A445CE}" presName="parentText" presStyleLbl="alignNode1" presStyleIdx="2" presStyleCnt="5">
        <dgm:presLayoutVars>
          <dgm:chMax val="1"/>
          <dgm:bulletEnabled val="1"/>
        </dgm:presLayoutVars>
      </dgm:prSet>
      <dgm:spPr/>
      <dgm:t>
        <a:bodyPr/>
        <a:lstStyle/>
        <a:p>
          <a:endParaRPr lang="en-US"/>
        </a:p>
      </dgm:t>
    </dgm:pt>
    <dgm:pt modelId="{AC437C47-DFF3-4634-A88B-B4912BE7CEDB}" type="pres">
      <dgm:prSet presAssocID="{DF8DF6E3-514C-49BC-A223-6AF926A445CE}" presName="descendantText" presStyleLbl="alignAcc1" presStyleIdx="2" presStyleCnt="5">
        <dgm:presLayoutVars>
          <dgm:bulletEnabled val="1"/>
        </dgm:presLayoutVars>
      </dgm:prSet>
      <dgm:spPr/>
      <dgm:t>
        <a:bodyPr/>
        <a:lstStyle/>
        <a:p>
          <a:endParaRPr lang="en-US"/>
        </a:p>
      </dgm:t>
    </dgm:pt>
    <dgm:pt modelId="{EDEE9002-E6D2-4D7F-BBB0-806218036379}" type="pres">
      <dgm:prSet presAssocID="{4FC3B03E-CF8B-4B79-9971-B3BED78EE409}" presName="sp" presStyleCnt="0"/>
      <dgm:spPr/>
    </dgm:pt>
    <dgm:pt modelId="{BA309B40-FB03-43DA-8878-A99E8A389F7E}" type="pres">
      <dgm:prSet presAssocID="{66E0B852-BDD3-4763-B55F-3C8A9F5F52EA}" presName="composite" presStyleCnt="0"/>
      <dgm:spPr/>
    </dgm:pt>
    <dgm:pt modelId="{744E30F5-636C-4BE4-BAED-2A3CBA746B5F}" type="pres">
      <dgm:prSet presAssocID="{66E0B852-BDD3-4763-B55F-3C8A9F5F52EA}" presName="parentText" presStyleLbl="alignNode1" presStyleIdx="3" presStyleCnt="5">
        <dgm:presLayoutVars>
          <dgm:chMax val="1"/>
          <dgm:bulletEnabled val="1"/>
        </dgm:presLayoutVars>
      </dgm:prSet>
      <dgm:spPr/>
      <dgm:t>
        <a:bodyPr/>
        <a:lstStyle/>
        <a:p>
          <a:endParaRPr lang="en-US"/>
        </a:p>
      </dgm:t>
    </dgm:pt>
    <dgm:pt modelId="{932FFCE6-19B4-4482-8EE3-E2BA6F008FCE}" type="pres">
      <dgm:prSet presAssocID="{66E0B852-BDD3-4763-B55F-3C8A9F5F52EA}" presName="descendantText" presStyleLbl="alignAcc1" presStyleIdx="3" presStyleCnt="5">
        <dgm:presLayoutVars>
          <dgm:bulletEnabled val="1"/>
        </dgm:presLayoutVars>
      </dgm:prSet>
      <dgm:spPr/>
      <dgm:t>
        <a:bodyPr/>
        <a:lstStyle/>
        <a:p>
          <a:endParaRPr lang="en-US"/>
        </a:p>
      </dgm:t>
    </dgm:pt>
    <dgm:pt modelId="{113EF44E-9B55-49EE-AA50-5EDA5C92FB7D}" type="pres">
      <dgm:prSet presAssocID="{2253860C-D778-47CB-9AAC-1933E40EDF4D}" presName="sp" presStyleCnt="0"/>
      <dgm:spPr/>
    </dgm:pt>
    <dgm:pt modelId="{ED2D15D4-F107-484F-91AA-D626BD085C61}" type="pres">
      <dgm:prSet presAssocID="{154683DB-C4D7-4FB1-B853-82EB8B297DB3}" presName="composite" presStyleCnt="0"/>
      <dgm:spPr/>
    </dgm:pt>
    <dgm:pt modelId="{8A460E99-18F4-4D53-9554-E2104BF8B2BB}" type="pres">
      <dgm:prSet presAssocID="{154683DB-C4D7-4FB1-B853-82EB8B297DB3}" presName="parentText" presStyleLbl="alignNode1" presStyleIdx="4" presStyleCnt="5">
        <dgm:presLayoutVars>
          <dgm:chMax val="1"/>
          <dgm:bulletEnabled val="1"/>
        </dgm:presLayoutVars>
      </dgm:prSet>
      <dgm:spPr/>
      <dgm:t>
        <a:bodyPr/>
        <a:lstStyle/>
        <a:p>
          <a:endParaRPr lang="en-US"/>
        </a:p>
      </dgm:t>
    </dgm:pt>
    <dgm:pt modelId="{B9379FE0-6EF8-479A-A108-D9A4AAAE5D54}" type="pres">
      <dgm:prSet presAssocID="{154683DB-C4D7-4FB1-B853-82EB8B297DB3}" presName="descendantText" presStyleLbl="alignAcc1" presStyleIdx="4" presStyleCnt="5">
        <dgm:presLayoutVars>
          <dgm:bulletEnabled val="1"/>
        </dgm:presLayoutVars>
      </dgm:prSet>
      <dgm:spPr/>
      <dgm:t>
        <a:bodyPr/>
        <a:lstStyle/>
        <a:p>
          <a:endParaRPr lang="en-US"/>
        </a:p>
      </dgm:t>
    </dgm:pt>
  </dgm:ptLst>
  <dgm:cxnLst>
    <dgm:cxn modelId="{A3A9CFA6-0044-4D26-9872-D513E13615E8}" srcId="{DF8DF6E3-514C-49BC-A223-6AF926A445CE}" destId="{48E968EC-3145-4397-B12E-B42BB311559B}" srcOrd="1" destOrd="0" parTransId="{CFA58E38-1E6E-49B4-9A26-2BC76953586B}" sibTransId="{409B5069-29F0-4FC9-802C-E97A4EA76E7F}"/>
    <dgm:cxn modelId="{3B490914-39D7-4FC0-9D54-A85D4FA7BF11}" type="presOf" srcId="{031076DD-A38E-4C76-BEF7-25E4AC2EDE37}" destId="{AC437C47-DFF3-4634-A88B-B4912BE7CEDB}" srcOrd="0" destOrd="3" presId="urn:microsoft.com/office/officeart/2005/8/layout/chevron2"/>
    <dgm:cxn modelId="{FF0BB90F-AC6F-4034-9A11-35D920AEE539}" type="presOf" srcId="{805BAFF7-DCFD-4ABF-9E48-9619428CE0DB}" destId="{11914B9B-2930-4180-998A-517DB891CDFA}" srcOrd="0" destOrd="2" presId="urn:microsoft.com/office/officeart/2005/8/layout/chevron2"/>
    <dgm:cxn modelId="{79799848-5CB7-4970-9AE7-BC1FC65FD4E8}" type="presOf" srcId="{2D140D5D-ADC6-4C14-886E-6F962AD780F7}" destId="{AC437C47-DFF3-4634-A88B-B4912BE7CEDB}" srcOrd="0" destOrd="0" presId="urn:microsoft.com/office/officeart/2005/8/layout/chevron2"/>
    <dgm:cxn modelId="{BEB14453-0E24-4578-9173-A9FD650716A0}" srcId="{154683DB-C4D7-4FB1-B853-82EB8B297DB3}" destId="{DBA4F76B-E1EA-44DE-A46B-528C269A56D1}" srcOrd="1" destOrd="0" parTransId="{7F728FC0-5C19-49E4-8A4C-2B24CEC381A6}" sibTransId="{3C0B6855-1D1F-4430-A655-634188532CD4}"/>
    <dgm:cxn modelId="{84471AAF-7213-468E-B4A5-5E1056E3B834}" type="presOf" srcId="{1A88CDAD-90C0-4AA6-BF81-6F8F1587085E}" destId="{E14DF492-ECA6-4D35-8F08-A5E28B143C8E}" srcOrd="0" destOrd="0" presId="urn:microsoft.com/office/officeart/2005/8/layout/chevron2"/>
    <dgm:cxn modelId="{56073756-50FD-42B5-BF66-8AD1A5F1A0E0}" srcId="{154683DB-C4D7-4FB1-B853-82EB8B297DB3}" destId="{66D93A9A-E354-4BB4-BA52-73B470FBBB30}" srcOrd="0" destOrd="0" parTransId="{681A4E63-74AD-4689-8BB5-73ED225304CD}" sibTransId="{5A35DFDB-6345-43E8-84D8-FE2DFFBD8115}"/>
    <dgm:cxn modelId="{7F508C0C-FF38-415E-93F3-68F9A1CD1F1F}" type="presOf" srcId="{06AC275C-61BE-4C16-83A4-F351723E05D1}" destId="{E14DF492-ECA6-4D35-8F08-A5E28B143C8E}" srcOrd="0" destOrd="1" presId="urn:microsoft.com/office/officeart/2005/8/layout/chevron2"/>
    <dgm:cxn modelId="{300DD517-4110-430E-A503-0DA7179B53BB}" type="presOf" srcId="{02DD5528-2FD7-4D27-9CAC-0C242070ED23}" destId="{B9379FE0-6EF8-479A-A108-D9A4AAAE5D54}" srcOrd="0" destOrd="2" presId="urn:microsoft.com/office/officeart/2005/8/layout/chevron2"/>
    <dgm:cxn modelId="{CEE45150-1027-4A6D-99A7-410AB8369ED2}" type="presOf" srcId="{DF8DF6E3-514C-49BC-A223-6AF926A445CE}" destId="{D9CAD62A-9120-40C2-B565-F5FF263B195F}" srcOrd="0" destOrd="0" presId="urn:microsoft.com/office/officeart/2005/8/layout/chevron2"/>
    <dgm:cxn modelId="{11BE3C3C-93DA-4A07-A06E-CE3BBF9BB043}" type="presOf" srcId="{66D93A9A-E354-4BB4-BA52-73B470FBBB30}" destId="{B9379FE0-6EF8-479A-A108-D9A4AAAE5D54}" srcOrd="0" destOrd="0" presId="urn:microsoft.com/office/officeart/2005/8/layout/chevron2"/>
    <dgm:cxn modelId="{C80DDC44-FC6B-4512-B87D-D1515C214A5A}" srcId="{66E0B852-BDD3-4763-B55F-3C8A9F5F52EA}" destId="{D57DC686-0BB7-4185-B0AB-9E05CD597A82}" srcOrd="0" destOrd="0" parTransId="{97DD2ED2-7EBF-405F-9BA0-C612600A742A}" sibTransId="{9C93AE36-3EC7-4159-B234-DCB95BC2C059}"/>
    <dgm:cxn modelId="{601EC00F-F10F-425A-8E95-9688947E7032}" srcId="{82E10AFA-404E-4339-8656-0FB98503443A}" destId="{06AC275C-61BE-4C16-83A4-F351723E05D1}" srcOrd="1" destOrd="0" parTransId="{3299B8AC-A3AA-467D-AD20-8F58C7116E63}" sibTransId="{80BD126D-13B1-4FD3-A6D8-A52D55705EEA}"/>
    <dgm:cxn modelId="{DF151A1B-A4A9-47B1-BCB9-F6C89531E1D0}" type="presOf" srcId="{486B40DA-289F-40DD-B975-FC00971B3623}" destId="{720E497F-F7DF-4561-96DB-239426C8A39F}" srcOrd="0" destOrd="0" presId="urn:microsoft.com/office/officeart/2005/8/layout/chevron2"/>
    <dgm:cxn modelId="{DA770B1E-CD27-4A7E-90CF-45D6B88FA3BB}" srcId="{DF8DF6E3-514C-49BC-A223-6AF926A445CE}" destId="{2D140D5D-ADC6-4C14-886E-6F962AD780F7}" srcOrd="0" destOrd="0" parTransId="{06BE0900-3DC6-4C88-BA70-1700EF1837A1}" sibTransId="{2A2C9C64-A225-4404-9540-879C20BF7A1F}"/>
    <dgm:cxn modelId="{0F1A0FC5-3C31-49EF-8535-D183158B3AA2}" type="presOf" srcId="{154683DB-C4D7-4FB1-B853-82EB8B297DB3}" destId="{8A460E99-18F4-4D53-9554-E2104BF8B2BB}" srcOrd="0" destOrd="0" presId="urn:microsoft.com/office/officeart/2005/8/layout/chevron2"/>
    <dgm:cxn modelId="{A6910C11-BFA2-41BB-9B8E-CC7D2BC9739C}" type="presOf" srcId="{55A348C8-D5B6-42A6-8ED3-DEC38E8B899D}" destId="{11914B9B-2930-4180-998A-517DB891CDFA}" srcOrd="0" destOrd="1" presId="urn:microsoft.com/office/officeart/2005/8/layout/chevron2"/>
    <dgm:cxn modelId="{0FB84FF0-DD1B-4267-B8DF-37F29BCC79C8}" type="presOf" srcId="{20609284-5A94-4400-9642-9187FB6A3879}" destId="{AC437C47-DFF3-4634-A88B-B4912BE7CEDB}" srcOrd="0" destOrd="2" presId="urn:microsoft.com/office/officeart/2005/8/layout/chevron2"/>
    <dgm:cxn modelId="{1C802BD4-382D-488F-A33B-663563B6A23C}" type="presOf" srcId="{D77BB04A-657C-487C-B61E-07FF80E85C58}" destId="{0EB76CFE-17E5-4BE1-9942-91090D3B64A8}" srcOrd="0" destOrd="0" presId="urn:microsoft.com/office/officeart/2005/8/layout/chevron2"/>
    <dgm:cxn modelId="{7B6FCD47-9943-4D59-844E-FE1E0143BED0}" srcId="{154683DB-C4D7-4FB1-B853-82EB8B297DB3}" destId="{02DD5528-2FD7-4D27-9CAC-0C242070ED23}" srcOrd="2" destOrd="0" parTransId="{2FADC9E8-8AA7-4395-8FED-AF59E9B7D715}" sibTransId="{072F0035-C4C1-40D5-96B9-849012DF5AE1}"/>
    <dgm:cxn modelId="{2B65B325-F169-4717-8DCF-B2819EE47632}" srcId="{486B40DA-289F-40DD-B975-FC00971B3623}" destId="{82E10AFA-404E-4339-8656-0FB98503443A}" srcOrd="0" destOrd="0" parTransId="{1D9BD383-26DE-473D-B148-E7AE581106E3}" sibTransId="{31BD9361-753C-4C5A-8BDE-15DA0883672A}"/>
    <dgm:cxn modelId="{A50F85EF-068F-452B-9924-D111E4CD4E05}" srcId="{486B40DA-289F-40DD-B975-FC00971B3623}" destId="{66E0B852-BDD3-4763-B55F-3C8A9F5F52EA}" srcOrd="3" destOrd="0" parTransId="{CA8520B3-D504-4D48-9136-221A04168FC6}" sibTransId="{2253860C-D778-47CB-9AAC-1933E40EDF4D}"/>
    <dgm:cxn modelId="{415A539C-5D15-487E-870C-9C0B203A3AD0}" type="presOf" srcId="{DBA4F76B-E1EA-44DE-A46B-528C269A56D1}" destId="{B9379FE0-6EF8-479A-A108-D9A4AAAE5D54}" srcOrd="0" destOrd="1" presId="urn:microsoft.com/office/officeart/2005/8/layout/chevron2"/>
    <dgm:cxn modelId="{7A1031A8-F0A4-43F5-8670-A7DDB682C24E}" type="presOf" srcId="{D57DC686-0BB7-4185-B0AB-9E05CD597A82}" destId="{932FFCE6-19B4-4482-8EE3-E2BA6F008FCE}" srcOrd="0" destOrd="0" presId="urn:microsoft.com/office/officeart/2005/8/layout/chevron2"/>
    <dgm:cxn modelId="{8AAB7073-7BF2-4131-BA93-5D0E5E46602D}" type="presOf" srcId="{48E968EC-3145-4397-B12E-B42BB311559B}" destId="{AC437C47-DFF3-4634-A88B-B4912BE7CEDB}" srcOrd="0" destOrd="1" presId="urn:microsoft.com/office/officeart/2005/8/layout/chevron2"/>
    <dgm:cxn modelId="{43D3229C-480E-4458-8DF7-70B72021BDBD}" srcId="{DF8DF6E3-514C-49BC-A223-6AF926A445CE}" destId="{031076DD-A38E-4C76-BEF7-25E4AC2EDE37}" srcOrd="3" destOrd="0" parTransId="{6806C6DA-AB5C-4E3D-813C-526155789E8C}" sibTransId="{C74708A5-1540-4775-A705-18F3012762FF}"/>
    <dgm:cxn modelId="{0C991524-4F98-4424-BFB5-5D687263FEEE}" srcId="{D77BB04A-657C-487C-B61E-07FF80E85C58}" destId="{805BAFF7-DCFD-4ABF-9E48-9619428CE0DB}" srcOrd="2" destOrd="0" parTransId="{88E3EF0A-8861-4984-BE7A-B2CEB9D52A15}" sibTransId="{3F92C7C7-F58D-4ED3-9E24-A7782779C08F}"/>
    <dgm:cxn modelId="{BBE1E1D3-2AC0-4BEF-A74E-25B16D3749E5}" srcId="{82E10AFA-404E-4339-8656-0FB98503443A}" destId="{86492BFB-833B-4944-80F0-2BBF93752FF5}" srcOrd="2" destOrd="0" parTransId="{885A070F-2D2B-4141-A3E8-5C2C407EA9B7}" sibTransId="{52B19117-AD4D-4206-BA31-288685C23E0E}"/>
    <dgm:cxn modelId="{C017DD41-6A62-47E7-8AF1-FA99193FFEA5}" srcId="{D77BB04A-657C-487C-B61E-07FF80E85C58}" destId="{1ABEE753-4662-4242-B9AB-A999B5B02098}" srcOrd="0" destOrd="0" parTransId="{969DC026-419F-4970-8039-8FBB970CE225}" sibTransId="{5B7C780D-3A70-446B-85BE-D171E983FDD0}"/>
    <dgm:cxn modelId="{3632A25D-56B5-416A-8610-953DEB9B7F6C}" srcId="{DF8DF6E3-514C-49BC-A223-6AF926A445CE}" destId="{20609284-5A94-4400-9642-9187FB6A3879}" srcOrd="2" destOrd="0" parTransId="{885A5267-59B0-4F9C-A22D-28C1505D6219}" sibTransId="{56D3B4A5-7A29-438D-8380-D3988A73E297}"/>
    <dgm:cxn modelId="{7587662C-7AF1-4F1B-B98D-53E13C322383}" srcId="{486B40DA-289F-40DD-B975-FC00971B3623}" destId="{154683DB-C4D7-4FB1-B853-82EB8B297DB3}" srcOrd="4" destOrd="0" parTransId="{8E8DB9FF-DDBF-4589-8838-07434F1F4E7B}" sibTransId="{19BCD016-15AA-42B2-9097-E17DD1A00D8D}"/>
    <dgm:cxn modelId="{2E4EE3EE-2DFB-4B7E-85D7-76D02D5C000E}" srcId="{66E0B852-BDD3-4763-B55F-3C8A9F5F52EA}" destId="{CA3527FD-28A4-4C65-BC25-F15180BBC2D6}" srcOrd="1" destOrd="0" parTransId="{E41ED2FA-48C2-45E4-AED0-E5603EB1F335}" sibTransId="{44DB3C1B-2E9E-4B1B-94CD-C76245885D8F}"/>
    <dgm:cxn modelId="{88ADB578-CFA0-4FBB-9794-3198A54B3E05}" type="presOf" srcId="{82E10AFA-404E-4339-8656-0FB98503443A}" destId="{A66D165E-8C89-4C08-9CC7-BFBED6404D8D}" srcOrd="0" destOrd="0" presId="urn:microsoft.com/office/officeart/2005/8/layout/chevron2"/>
    <dgm:cxn modelId="{E2600C3B-D856-4A16-A2EF-DC92BDDF6541}" srcId="{486B40DA-289F-40DD-B975-FC00971B3623}" destId="{DF8DF6E3-514C-49BC-A223-6AF926A445CE}" srcOrd="2" destOrd="0" parTransId="{A8F9210B-8DAC-4AAA-BF19-0B9799C507E7}" sibTransId="{4FC3B03E-CF8B-4B79-9971-B3BED78EE409}"/>
    <dgm:cxn modelId="{011DEAD8-F88A-466A-9FCB-D191AF85DF9D}" srcId="{486B40DA-289F-40DD-B975-FC00971B3623}" destId="{D77BB04A-657C-487C-B61E-07FF80E85C58}" srcOrd="1" destOrd="0" parTransId="{F8D855A2-7F1D-4D7F-8155-97780297D796}" sibTransId="{F970A177-660A-4FFE-A4E9-B3F5D4F6376B}"/>
    <dgm:cxn modelId="{EEFF970D-D3F7-443E-87C7-AC0D383B1D67}" type="presOf" srcId="{66E0B852-BDD3-4763-B55F-3C8A9F5F52EA}" destId="{744E30F5-636C-4BE4-BAED-2A3CBA746B5F}" srcOrd="0" destOrd="0" presId="urn:microsoft.com/office/officeart/2005/8/layout/chevron2"/>
    <dgm:cxn modelId="{6A0A7C35-2363-42D6-AFDD-21745B4026F7}" type="presOf" srcId="{1ABEE753-4662-4242-B9AB-A999B5B02098}" destId="{11914B9B-2930-4180-998A-517DB891CDFA}" srcOrd="0" destOrd="0" presId="urn:microsoft.com/office/officeart/2005/8/layout/chevron2"/>
    <dgm:cxn modelId="{1BE1359E-1122-47DB-AF97-782386DD0B5A}" type="presOf" srcId="{86492BFB-833B-4944-80F0-2BBF93752FF5}" destId="{E14DF492-ECA6-4D35-8F08-A5E28B143C8E}" srcOrd="0" destOrd="2" presId="urn:microsoft.com/office/officeart/2005/8/layout/chevron2"/>
    <dgm:cxn modelId="{B7117349-E114-4A9D-B642-1CF4BD44A81A}" srcId="{D77BB04A-657C-487C-B61E-07FF80E85C58}" destId="{55A348C8-D5B6-42A6-8ED3-DEC38E8B899D}" srcOrd="1" destOrd="0" parTransId="{BC643EF6-9299-4BAC-A324-7D23FDF016F6}" sibTransId="{96658389-9A24-44A3-8D67-49448FB20FE3}"/>
    <dgm:cxn modelId="{AE61925A-4BAA-427F-9428-46666FE55307}" type="presOf" srcId="{CA3527FD-28A4-4C65-BC25-F15180BBC2D6}" destId="{932FFCE6-19B4-4482-8EE3-E2BA6F008FCE}" srcOrd="0" destOrd="1" presId="urn:microsoft.com/office/officeart/2005/8/layout/chevron2"/>
    <dgm:cxn modelId="{957E0FCB-ADE9-42EA-98DD-88234E5CC7B7}" srcId="{82E10AFA-404E-4339-8656-0FB98503443A}" destId="{1A88CDAD-90C0-4AA6-BF81-6F8F1587085E}" srcOrd="0" destOrd="0" parTransId="{B807F3BB-6502-4BDB-8F44-6B5E13C0371D}" sibTransId="{05B5F428-FA96-4F6A-804B-3C535C8D7202}"/>
    <dgm:cxn modelId="{ABC9A00E-6929-411C-BAF0-F061B2A5DA6D}" type="presParOf" srcId="{720E497F-F7DF-4561-96DB-239426C8A39F}" destId="{403C7731-EE93-4AFA-BBA4-EE3CE377EF60}" srcOrd="0" destOrd="0" presId="urn:microsoft.com/office/officeart/2005/8/layout/chevron2"/>
    <dgm:cxn modelId="{3C28886B-41D3-457E-8A3A-2CFCD4E6C843}" type="presParOf" srcId="{403C7731-EE93-4AFA-BBA4-EE3CE377EF60}" destId="{A66D165E-8C89-4C08-9CC7-BFBED6404D8D}" srcOrd="0" destOrd="0" presId="urn:microsoft.com/office/officeart/2005/8/layout/chevron2"/>
    <dgm:cxn modelId="{BACB4372-A158-415F-B944-568068544CC6}" type="presParOf" srcId="{403C7731-EE93-4AFA-BBA4-EE3CE377EF60}" destId="{E14DF492-ECA6-4D35-8F08-A5E28B143C8E}" srcOrd="1" destOrd="0" presId="urn:microsoft.com/office/officeart/2005/8/layout/chevron2"/>
    <dgm:cxn modelId="{694ADE6A-2068-438D-81AC-0D756E765DF9}" type="presParOf" srcId="{720E497F-F7DF-4561-96DB-239426C8A39F}" destId="{58E10DB7-BFDF-4B0F-9E56-5DD73DB753B7}" srcOrd="1" destOrd="0" presId="urn:microsoft.com/office/officeart/2005/8/layout/chevron2"/>
    <dgm:cxn modelId="{8AE0EDCA-E374-4841-B0D7-B1BA6B980807}" type="presParOf" srcId="{720E497F-F7DF-4561-96DB-239426C8A39F}" destId="{AEC9E61E-68AC-42FF-A8A6-64840A99E8B7}" srcOrd="2" destOrd="0" presId="urn:microsoft.com/office/officeart/2005/8/layout/chevron2"/>
    <dgm:cxn modelId="{D24896C7-5323-4F75-964A-C7D3CA52D6CF}" type="presParOf" srcId="{AEC9E61E-68AC-42FF-A8A6-64840A99E8B7}" destId="{0EB76CFE-17E5-4BE1-9942-91090D3B64A8}" srcOrd="0" destOrd="0" presId="urn:microsoft.com/office/officeart/2005/8/layout/chevron2"/>
    <dgm:cxn modelId="{FD7BDBDA-4CA7-4CEA-AA2A-DBFEC3079DEB}" type="presParOf" srcId="{AEC9E61E-68AC-42FF-A8A6-64840A99E8B7}" destId="{11914B9B-2930-4180-998A-517DB891CDFA}" srcOrd="1" destOrd="0" presId="urn:microsoft.com/office/officeart/2005/8/layout/chevron2"/>
    <dgm:cxn modelId="{E7D57868-F018-4651-9D6B-565981488E6D}" type="presParOf" srcId="{720E497F-F7DF-4561-96DB-239426C8A39F}" destId="{8223E646-F868-4F69-B31D-EEC21E3DB79A}" srcOrd="3" destOrd="0" presId="urn:microsoft.com/office/officeart/2005/8/layout/chevron2"/>
    <dgm:cxn modelId="{55574723-3689-4B26-AA53-2CA6043BDA5A}" type="presParOf" srcId="{720E497F-F7DF-4561-96DB-239426C8A39F}" destId="{C3307DAA-E211-4F78-A463-31B14CAA6DBD}" srcOrd="4" destOrd="0" presId="urn:microsoft.com/office/officeart/2005/8/layout/chevron2"/>
    <dgm:cxn modelId="{BD2F1A15-5CEE-4A94-8BA5-7215F74145EA}" type="presParOf" srcId="{C3307DAA-E211-4F78-A463-31B14CAA6DBD}" destId="{D9CAD62A-9120-40C2-B565-F5FF263B195F}" srcOrd="0" destOrd="0" presId="urn:microsoft.com/office/officeart/2005/8/layout/chevron2"/>
    <dgm:cxn modelId="{82184126-BC0B-4744-A0F3-9C7C2517A453}" type="presParOf" srcId="{C3307DAA-E211-4F78-A463-31B14CAA6DBD}" destId="{AC437C47-DFF3-4634-A88B-B4912BE7CEDB}" srcOrd="1" destOrd="0" presId="urn:microsoft.com/office/officeart/2005/8/layout/chevron2"/>
    <dgm:cxn modelId="{9AA35737-6B5F-4986-A8E8-EBFF89B4A9A2}" type="presParOf" srcId="{720E497F-F7DF-4561-96DB-239426C8A39F}" destId="{EDEE9002-E6D2-4D7F-BBB0-806218036379}" srcOrd="5" destOrd="0" presId="urn:microsoft.com/office/officeart/2005/8/layout/chevron2"/>
    <dgm:cxn modelId="{DFA7E720-6941-4832-85AD-0FA0B15BFFC7}" type="presParOf" srcId="{720E497F-F7DF-4561-96DB-239426C8A39F}" destId="{BA309B40-FB03-43DA-8878-A99E8A389F7E}" srcOrd="6" destOrd="0" presId="urn:microsoft.com/office/officeart/2005/8/layout/chevron2"/>
    <dgm:cxn modelId="{6FCFD5A5-A09E-499F-B195-AD195ED09386}" type="presParOf" srcId="{BA309B40-FB03-43DA-8878-A99E8A389F7E}" destId="{744E30F5-636C-4BE4-BAED-2A3CBA746B5F}" srcOrd="0" destOrd="0" presId="urn:microsoft.com/office/officeart/2005/8/layout/chevron2"/>
    <dgm:cxn modelId="{C2A36CF6-39E5-45FA-BC2F-E884741B0B55}" type="presParOf" srcId="{BA309B40-FB03-43DA-8878-A99E8A389F7E}" destId="{932FFCE6-19B4-4482-8EE3-E2BA6F008FCE}" srcOrd="1" destOrd="0" presId="urn:microsoft.com/office/officeart/2005/8/layout/chevron2"/>
    <dgm:cxn modelId="{CB933DBB-541E-41A6-B0CC-6FD9501DCC87}" type="presParOf" srcId="{720E497F-F7DF-4561-96DB-239426C8A39F}" destId="{113EF44E-9B55-49EE-AA50-5EDA5C92FB7D}" srcOrd="7" destOrd="0" presId="urn:microsoft.com/office/officeart/2005/8/layout/chevron2"/>
    <dgm:cxn modelId="{A8999813-3A6E-4D3A-B437-19EC9F54D55D}" type="presParOf" srcId="{720E497F-F7DF-4561-96DB-239426C8A39F}" destId="{ED2D15D4-F107-484F-91AA-D626BD085C61}" srcOrd="8" destOrd="0" presId="urn:microsoft.com/office/officeart/2005/8/layout/chevron2"/>
    <dgm:cxn modelId="{86339456-7B9D-4F23-96B9-01348F2F7EA4}" type="presParOf" srcId="{ED2D15D4-F107-484F-91AA-D626BD085C61}" destId="{8A460E99-18F4-4D53-9554-E2104BF8B2BB}" srcOrd="0" destOrd="0" presId="urn:microsoft.com/office/officeart/2005/8/layout/chevron2"/>
    <dgm:cxn modelId="{07760063-FB48-40B8-B507-0DA08F73223A}" type="presParOf" srcId="{ED2D15D4-F107-484F-91AA-D626BD085C61}" destId="{B9379FE0-6EF8-479A-A108-D9A4AAAE5D54}" srcOrd="1" destOrd="0" presId="urn:microsoft.com/office/officeart/2005/8/layout/chevron2"/>
  </dgm:cxnLst>
  <dgm:bg/>
  <dgm:whole/>
  <dgm:extLst>
    <a:ext uri="http://schemas.microsoft.com/office/drawing/2008/diagram">
      <dsp:dataModelExt xmlns:dsp="http://schemas.microsoft.com/office/drawing/2008/diagram" relId="rId9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86B40DA-289F-40DD-B975-FC00971B3623}" type="doc">
      <dgm:prSet loTypeId="urn:microsoft.com/office/officeart/2005/8/layout/chevron2" loCatId="list" qsTypeId="urn:microsoft.com/office/officeart/2005/8/quickstyle/simple5" qsCatId="simple" csTypeId="urn:microsoft.com/office/officeart/2005/8/colors/colorful1#2" csCatId="colorful" phldr="1"/>
      <dgm:spPr/>
      <dgm:t>
        <a:bodyPr/>
        <a:lstStyle/>
        <a:p>
          <a:endParaRPr lang="en-US"/>
        </a:p>
      </dgm:t>
    </dgm:pt>
    <dgm:pt modelId="{02DD5528-2FD7-4D27-9CAC-0C242070ED23}">
      <dgm:prSet custT="1"/>
      <dgm:spPr/>
      <dgm:t>
        <a:bodyPr/>
        <a:lstStyle/>
        <a:p>
          <a:r>
            <a:rPr lang="en-US" sz="1400" dirty="0" err="1" smtClean="0"/>
            <a:t>PCA_nonoise.m</a:t>
          </a:r>
          <a:endParaRPr lang="en-US" sz="1400" dirty="0"/>
        </a:p>
      </dgm:t>
    </dgm:pt>
    <dgm:pt modelId="{2FADC9E8-8AA7-4395-8FED-AF59E9B7D715}" type="parTrans" cxnId="{7B6FCD47-9943-4D59-844E-FE1E0143BED0}">
      <dgm:prSet/>
      <dgm:spPr/>
      <dgm:t>
        <a:bodyPr/>
        <a:lstStyle/>
        <a:p>
          <a:endParaRPr lang="en-US" sz="1100"/>
        </a:p>
      </dgm:t>
    </dgm:pt>
    <dgm:pt modelId="{072F0035-C4C1-40D5-96B9-849012DF5AE1}" type="sibTrans" cxnId="{7B6FCD47-9943-4D59-844E-FE1E0143BED0}">
      <dgm:prSet/>
      <dgm:spPr/>
      <dgm:t>
        <a:bodyPr/>
        <a:lstStyle/>
        <a:p>
          <a:endParaRPr lang="en-US" sz="1100"/>
        </a:p>
      </dgm:t>
    </dgm:pt>
    <dgm:pt modelId="{8CB34EDB-2338-4188-B372-E3BA91C9F723}">
      <dgm:prSet custT="1"/>
      <dgm:spPr/>
      <dgm:t>
        <a:bodyPr/>
        <a:lstStyle/>
        <a:p>
          <a:r>
            <a:rPr lang="en-US" sz="1100" dirty="0" smtClean="0"/>
            <a:t>Pre-processes the data (normalize, mean-center, and scale)</a:t>
          </a:r>
          <a:endParaRPr lang="en-US" sz="1100" dirty="0"/>
        </a:p>
      </dgm:t>
    </dgm:pt>
    <dgm:pt modelId="{2EBF40A6-6152-45F4-A65F-F8C564C5B9B0}" type="parTrans" cxnId="{124DB0DB-0AA3-4E98-A5DF-6205C5CAC0D0}">
      <dgm:prSet/>
      <dgm:spPr/>
      <dgm:t>
        <a:bodyPr/>
        <a:lstStyle/>
        <a:p>
          <a:endParaRPr lang="en-US" sz="1100"/>
        </a:p>
      </dgm:t>
    </dgm:pt>
    <dgm:pt modelId="{00688BBA-C5AE-4419-9838-E0D87A8DE21A}" type="sibTrans" cxnId="{124DB0DB-0AA3-4E98-A5DF-6205C5CAC0D0}">
      <dgm:prSet/>
      <dgm:spPr/>
      <dgm:t>
        <a:bodyPr/>
        <a:lstStyle/>
        <a:p>
          <a:endParaRPr lang="en-US" sz="1100"/>
        </a:p>
      </dgm:t>
    </dgm:pt>
    <dgm:pt modelId="{DBB0D707-0080-4391-9FD9-E4C4444FB274}">
      <dgm:prSet custT="1"/>
      <dgm:spPr/>
      <dgm:t>
        <a:bodyPr/>
        <a:lstStyle/>
        <a:p>
          <a:r>
            <a:rPr lang="en-US" sz="1100" dirty="0" smtClean="0"/>
            <a:t>Determines the effective rank using the singular values from SVD</a:t>
          </a:r>
          <a:endParaRPr lang="en-US" sz="1100" dirty="0"/>
        </a:p>
      </dgm:t>
    </dgm:pt>
    <dgm:pt modelId="{280CA4E5-7C40-4F77-9B6A-CF1042324D24}" type="parTrans" cxnId="{6DEB2825-794F-4FA7-A61E-F15DCA2B8AB0}">
      <dgm:prSet/>
      <dgm:spPr/>
      <dgm:t>
        <a:bodyPr/>
        <a:lstStyle/>
        <a:p>
          <a:endParaRPr lang="en-US" sz="1100"/>
        </a:p>
      </dgm:t>
    </dgm:pt>
    <dgm:pt modelId="{7BF1CB80-33D5-4238-B9A7-B1BE3CD8643F}" type="sibTrans" cxnId="{6DEB2825-794F-4FA7-A61E-F15DCA2B8AB0}">
      <dgm:prSet/>
      <dgm:spPr/>
      <dgm:t>
        <a:bodyPr/>
        <a:lstStyle/>
        <a:p>
          <a:endParaRPr lang="en-US" sz="1100"/>
        </a:p>
      </dgm:t>
    </dgm:pt>
    <dgm:pt modelId="{9768CAA6-B768-41C5-8A52-99640F2135C8}">
      <dgm:prSet custT="1"/>
      <dgm:spPr/>
      <dgm:t>
        <a:bodyPr/>
        <a:lstStyle/>
        <a:p>
          <a:r>
            <a:rPr lang="en-US" sz="1400" dirty="0" err="1" smtClean="0"/>
            <a:t>Add_noise.m</a:t>
          </a:r>
          <a:endParaRPr lang="en-US" sz="1400" dirty="0"/>
        </a:p>
      </dgm:t>
    </dgm:pt>
    <dgm:pt modelId="{2E47BCBD-0730-476A-8524-986617E78FF3}" type="parTrans" cxnId="{DAE81613-2127-499D-9FE5-D02E7D58E974}">
      <dgm:prSet/>
      <dgm:spPr/>
      <dgm:t>
        <a:bodyPr/>
        <a:lstStyle/>
        <a:p>
          <a:endParaRPr lang="en-US" sz="1100"/>
        </a:p>
      </dgm:t>
    </dgm:pt>
    <dgm:pt modelId="{09F9A7A9-5C21-40D9-9328-1FD9620A435D}" type="sibTrans" cxnId="{DAE81613-2127-499D-9FE5-D02E7D58E974}">
      <dgm:prSet/>
      <dgm:spPr/>
      <dgm:t>
        <a:bodyPr/>
        <a:lstStyle/>
        <a:p>
          <a:endParaRPr lang="en-US" sz="1100"/>
        </a:p>
      </dgm:t>
    </dgm:pt>
    <dgm:pt modelId="{0A5CFF3B-3E44-4F8D-85AC-70AF5BAD5FA7}">
      <dgm:prSet custT="1"/>
      <dgm:spPr/>
      <dgm:t>
        <a:bodyPr/>
        <a:lstStyle/>
        <a:p>
          <a:r>
            <a:rPr lang="en-US" sz="1400" dirty="0" err="1" smtClean="0"/>
            <a:t>PCA_noise.m</a:t>
          </a:r>
          <a:endParaRPr lang="en-US" sz="1400" dirty="0"/>
        </a:p>
      </dgm:t>
    </dgm:pt>
    <dgm:pt modelId="{85D0A38D-81C3-4030-BF71-790B323A37DA}" type="parTrans" cxnId="{29865240-B74C-48FF-AC99-4093ED339E55}">
      <dgm:prSet/>
      <dgm:spPr/>
      <dgm:t>
        <a:bodyPr/>
        <a:lstStyle/>
        <a:p>
          <a:endParaRPr lang="en-US" sz="1100"/>
        </a:p>
      </dgm:t>
    </dgm:pt>
    <dgm:pt modelId="{5EBE0ACB-0E8A-49E5-AF72-41B99C227088}" type="sibTrans" cxnId="{29865240-B74C-48FF-AC99-4093ED339E55}">
      <dgm:prSet/>
      <dgm:spPr/>
      <dgm:t>
        <a:bodyPr/>
        <a:lstStyle/>
        <a:p>
          <a:endParaRPr lang="en-US" sz="1100"/>
        </a:p>
      </dgm:t>
    </dgm:pt>
    <dgm:pt modelId="{CC0099AD-E93B-4C8D-88E1-485BA55FBB3D}">
      <dgm:prSet custT="1"/>
      <dgm:spPr/>
      <dgm:t>
        <a:bodyPr/>
        <a:lstStyle/>
        <a:p>
          <a:r>
            <a:rPr lang="en-US" sz="1100" dirty="0" smtClean="0"/>
            <a:t>Adds Gaussian white noise to the base case data matrix</a:t>
          </a:r>
          <a:endParaRPr lang="en-US" sz="1100" dirty="0"/>
        </a:p>
      </dgm:t>
    </dgm:pt>
    <dgm:pt modelId="{A333C147-5FDA-4F3F-9B3E-060F0AD2938C}" type="parTrans" cxnId="{F8138ED8-C7F2-4F76-96C8-B3623229A2F6}">
      <dgm:prSet/>
      <dgm:spPr/>
      <dgm:t>
        <a:bodyPr/>
        <a:lstStyle/>
        <a:p>
          <a:endParaRPr lang="en-US" sz="1100"/>
        </a:p>
      </dgm:t>
    </dgm:pt>
    <dgm:pt modelId="{167C257E-FCAC-45B4-B71D-DF404A0E06CA}" type="sibTrans" cxnId="{F8138ED8-C7F2-4F76-96C8-B3623229A2F6}">
      <dgm:prSet/>
      <dgm:spPr/>
      <dgm:t>
        <a:bodyPr/>
        <a:lstStyle/>
        <a:p>
          <a:endParaRPr lang="en-US" sz="1100"/>
        </a:p>
      </dgm:t>
    </dgm:pt>
    <dgm:pt modelId="{85E13BEE-60EC-4DB4-8C30-E353516FBB09}">
      <dgm:prSet custT="1"/>
      <dgm:spPr/>
      <dgm:t>
        <a:bodyPr/>
        <a:lstStyle/>
        <a:p>
          <a:r>
            <a:rPr lang="en-US" sz="1100" dirty="0" smtClean="0"/>
            <a:t>Checks that noise is properly scaled</a:t>
          </a:r>
          <a:endParaRPr lang="en-US" sz="1100" dirty="0"/>
        </a:p>
      </dgm:t>
    </dgm:pt>
    <dgm:pt modelId="{DC4530C7-CC8B-41ED-AE05-FDD67A52968D}" type="parTrans" cxnId="{4D10B1F7-9B40-41AA-9207-BCCF89530131}">
      <dgm:prSet/>
      <dgm:spPr/>
      <dgm:t>
        <a:bodyPr/>
        <a:lstStyle/>
        <a:p>
          <a:endParaRPr lang="en-US" sz="1100"/>
        </a:p>
      </dgm:t>
    </dgm:pt>
    <dgm:pt modelId="{EEA95FFA-4955-4C93-BB71-E74034AFBB51}" type="sibTrans" cxnId="{4D10B1F7-9B40-41AA-9207-BCCF89530131}">
      <dgm:prSet/>
      <dgm:spPr/>
      <dgm:t>
        <a:bodyPr/>
        <a:lstStyle/>
        <a:p>
          <a:endParaRPr lang="en-US" sz="1100"/>
        </a:p>
      </dgm:t>
    </dgm:pt>
    <dgm:pt modelId="{0C016EE3-5B03-4AD9-A4F1-BB9AC3D2C61D}">
      <dgm:prSet custT="1"/>
      <dgm:spPr/>
      <dgm:t>
        <a:bodyPr/>
        <a:lstStyle/>
        <a:p>
          <a:r>
            <a:rPr lang="en-US" sz="1100" dirty="0" smtClean="0"/>
            <a:t>Pre-processes the noisy data (normalize, mean-center, and scale)</a:t>
          </a:r>
          <a:endParaRPr lang="en-US" sz="1100" dirty="0"/>
        </a:p>
      </dgm:t>
    </dgm:pt>
    <dgm:pt modelId="{7EADADAE-503A-4C23-BE7D-59A58A146B12}" type="parTrans" cxnId="{5B0D4750-FCA6-4A4E-9844-EAD75D76F9D7}">
      <dgm:prSet/>
      <dgm:spPr/>
      <dgm:t>
        <a:bodyPr/>
        <a:lstStyle/>
        <a:p>
          <a:endParaRPr lang="en-US" sz="1100"/>
        </a:p>
      </dgm:t>
    </dgm:pt>
    <dgm:pt modelId="{8694462B-9F7D-42E2-B655-8CFC80D4AC27}" type="sibTrans" cxnId="{5B0D4750-FCA6-4A4E-9844-EAD75D76F9D7}">
      <dgm:prSet/>
      <dgm:spPr/>
      <dgm:t>
        <a:bodyPr/>
        <a:lstStyle/>
        <a:p>
          <a:endParaRPr lang="en-US" sz="1100"/>
        </a:p>
      </dgm:t>
    </dgm:pt>
    <dgm:pt modelId="{F9EC3F4D-EC10-4C47-BA2E-CE57B13C9A3B}">
      <dgm:prSet custT="1"/>
      <dgm:spPr/>
      <dgm:t>
        <a:bodyPr/>
        <a:lstStyle/>
        <a:p>
          <a:r>
            <a:rPr lang="en-US" sz="1100" dirty="0" smtClean="0"/>
            <a:t>Determines the effective rank using the singular values from SVD</a:t>
          </a:r>
          <a:endParaRPr lang="en-US" sz="1100" dirty="0"/>
        </a:p>
      </dgm:t>
    </dgm:pt>
    <dgm:pt modelId="{F8936533-8C60-48A0-84D1-1DD52CACD2AD}" type="parTrans" cxnId="{6EF3996F-8E41-410B-9A6C-66E7ABB62CF3}">
      <dgm:prSet/>
      <dgm:spPr/>
      <dgm:t>
        <a:bodyPr/>
        <a:lstStyle/>
        <a:p>
          <a:endParaRPr lang="en-US" sz="1100"/>
        </a:p>
      </dgm:t>
    </dgm:pt>
    <dgm:pt modelId="{F67E888B-693C-4D7D-8BCC-2F2E69D47776}" type="sibTrans" cxnId="{6EF3996F-8E41-410B-9A6C-66E7ABB62CF3}">
      <dgm:prSet/>
      <dgm:spPr/>
      <dgm:t>
        <a:bodyPr/>
        <a:lstStyle/>
        <a:p>
          <a:endParaRPr lang="en-US" sz="1100"/>
        </a:p>
      </dgm:t>
    </dgm:pt>
    <dgm:pt modelId="{8676BA11-4241-4D53-BFA5-36ED4ECB47B7}">
      <dgm:prSet custT="1"/>
      <dgm:spPr/>
      <dgm:t>
        <a:bodyPr/>
        <a:lstStyle/>
        <a:p>
          <a:r>
            <a:rPr lang="en-US" sz="1400" dirty="0" err="1" smtClean="0"/>
            <a:t>PCA_BCmodel.m</a:t>
          </a:r>
          <a:endParaRPr lang="en-US" sz="1400" dirty="0"/>
        </a:p>
      </dgm:t>
    </dgm:pt>
    <dgm:pt modelId="{CD169A02-DA03-4CDD-8CD1-AD3E374C52E3}" type="parTrans" cxnId="{33EE0A5C-A1FF-4163-8061-054553799002}">
      <dgm:prSet/>
      <dgm:spPr/>
      <dgm:t>
        <a:bodyPr/>
        <a:lstStyle/>
        <a:p>
          <a:endParaRPr lang="en-US" sz="1100"/>
        </a:p>
      </dgm:t>
    </dgm:pt>
    <dgm:pt modelId="{71A91EA6-A48C-4F93-ACEC-CA511DCA5DA2}" type="sibTrans" cxnId="{33EE0A5C-A1FF-4163-8061-054553799002}">
      <dgm:prSet/>
      <dgm:spPr/>
      <dgm:t>
        <a:bodyPr/>
        <a:lstStyle/>
        <a:p>
          <a:endParaRPr lang="en-US" sz="1100"/>
        </a:p>
      </dgm:t>
    </dgm:pt>
    <dgm:pt modelId="{9BBB0C5D-9126-4C07-A316-F88EB0DBB435}">
      <dgm:prSet custT="1"/>
      <dgm:spPr/>
      <dgm:t>
        <a:bodyPr/>
        <a:lstStyle/>
        <a:p>
          <a:r>
            <a:rPr lang="en-US" sz="1100" dirty="0" smtClean="0"/>
            <a:t>Determines the number of factors to keep based on the effective rank</a:t>
          </a:r>
          <a:endParaRPr lang="en-US" sz="1100" dirty="0"/>
        </a:p>
      </dgm:t>
    </dgm:pt>
    <dgm:pt modelId="{81D89829-9A33-4D6A-95B8-D701EC3BD843}" type="parTrans" cxnId="{657135A8-A3BE-4DDF-AFC8-20B52C258E23}">
      <dgm:prSet/>
      <dgm:spPr/>
      <dgm:t>
        <a:bodyPr/>
        <a:lstStyle/>
        <a:p>
          <a:endParaRPr lang="en-US" sz="1100"/>
        </a:p>
      </dgm:t>
    </dgm:pt>
    <dgm:pt modelId="{1013DE76-6975-4AEC-B4F9-A45B193D0F8D}" type="sibTrans" cxnId="{657135A8-A3BE-4DDF-AFC8-20B52C258E23}">
      <dgm:prSet/>
      <dgm:spPr/>
      <dgm:t>
        <a:bodyPr/>
        <a:lstStyle/>
        <a:p>
          <a:endParaRPr lang="en-US" sz="1100"/>
        </a:p>
      </dgm:t>
    </dgm:pt>
    <dgm:pt modelId="{874217AA-E1A2-481E-807F-CCFEB9FE025D}">
      <dgm:prSet custT="1"/>
      <dgm:spPr/>
      <dgm:t>
        <a:bodyPr/>
        <a:lstStyle/>
        <a:p>
          <a:r>
            <a:rPr lang="en-US" sz="1100" dirty="0" smtClean="0"/>
            <a:t>Extracts the principal component model from SVD</a:t>
          </a:r>
          <a:endParaRPr lang="en-US" sz="1100" dirty="0"/>
        </a:p>
      </dgm:t>
    </dgm:pt>
    <dgm:pt modelId="{12BF5980-4496-43CD-BE1A-4B10B830A444}" type="parTrans" cxnId="{B968C72F-1217-409C-A676-5C3726A5A348}">
      <dgm:prSet/>
      <dgm:spPr/>
      <dgm:t>
        <a:bodyPr/>
        <a:lstStyle/>
        <a:p>
          <a:endParaRPr lang="en-US" sz="1100"/>
        </a:p>
      </dgm:t>
    </dgm:pt>
    <dgm:pt modelId="{EE300F28-C24A-4838-B4A5-F99DD36AA852}" type="sibTrans" cxnId="{B968C72F-1217-409C-A676-5C3726A5A348}">
      <dgm:prSet/>
      <dgm:spPr/>
      <dgm:t>
        <a:bodyPr/>
        <a:lstStyle/>
        <a:p>
          <a:endParaRPr lang="en-US" sz="1100"/>
        </a:p>
      </dgm:t>
    </dgm:pt>
    <dgm:pt modelId="{C6FF48B2-9E07-45D7-897F-4744CAF239E0}">
      <dgm:prSet custT="1"/>
      <dgm:spPr/>
      <dgm:t>
        <a:bodyPr/>
        <a:lstStyle/>
        <a:p>
          <a:r>
            <a:rPr lang="en-US" sz="1100" dirty="0" smtClean="0"/>
            <a:t>Plots the loadings vectors</a:t>
          </a:r>
          <a:endParaRPr lang="en-US" sz="1100" dirty="0"/>
        </a:p>
      </dgm:t>
    </dgm:pt>
    <dgm:pt modelId="{91E89BE1-F034-4A16-958E-A4350C5BE93F}" type="parTrans" cxnId="{A03FBE41-88DF-47AD-B582-9566DB7276B9}">
      <dgm:prSet/>
      <dgm:spPr/>
      <dgm:t>
        <a:bodyPr/>
        <a:lstStyle/>
        <a:p>
          <a:endParaRPr lang="en-US" sz="1100"/>
        </a:p>
      </dgm:t>
    </dgm:pt>
    <dgm:pt modelId="{CFBC3DC9-314A-45B8-98A5-D84026BD2E19}" type="sibTrans" cxnId="{A03FBE41-88DF-47AD-B582-9566DB7276B9}">
      <dgm:prSet/>
      <dgm:spPr/>
      <dgm:t>
        <a:bodyPr/>
        <a:lstStyle/>
        <a:p>
          <a:endParaRPr lang="en-US" sz="1100"/>
        </a:p>
      </dgm:t>
    </dgm:pt>
    <dgm:pt modelId="{6717F498-0E48-4EB4-B747-3896403B788B}">
      <dgm:prSet custT="1"/>
      <dgm:spPr/>
      <dgm:t>
        <a:bodyPr/>
        <a:lstStyle/>
        <a:p>
          <a:r>
            <a:rPr lang="en-US" sz="1100" dirty="0" smtClean="0"/>
            <a:t>Computes the scores</a:t>
          </a:r>
          <a:endParaRPr lang="en-US" sz="1100" dirty="0"/>
        </a:p>
      </dgm:t>
    </dgm:pt>
    <dgm:pt modelId="{0E82AD8E-785E-40C1-A642-F69541BD90D8}" type="parTrans" cxnId="{048BD337-97C5-4F00-8684-16DE1D9EFA17}">
      <dgm:prSet/>
      <dgm:spPr/>
      <dgm:t>
        <a:bodyPr/>
        <a:lstStyle/>
        <a:p>
          <a:endParaRPr lang="en-US" sz="1100"/>
        </a:p>
      </dgm:t>
    </dgm:pt>
    <dgm:pt modelId="{2DA07111-E30C-46C0-A777-02DD69384574}" type="sibTrans" cxnId="{048BD337-97C5-4F00-8684-16DE1D9EFA17}">
      <dgm:prSet/>
      <dgm:spPr/>
      <dgm:t>
        <a:bodyPr/>
        <a:lstStyle/>
        <a:p>
          <a:endParaRPr lang="en-US" sz="1100"/>
        </a:p>
      </dgm:t>
    </dgm:pt>
    <dgm:pt modelId="{B7C37C96-521B-4056-9B1D-22DBCEF5D89A}">
      <dgm:prSet custT="1"/>
      <dgm:spPr/>
      <dgm:t>
        <a:bodyPr/>
        <a:lstStyle/>
        <a:p>
          <a:r>
            <a:rPr lang="en-US" sz="1100" dirty="0" smtClean="0"/>
            <a:t>Computes the Q-statistic and 95% confidence interval</a:t>
          </a:r>
          <a:endParaRPr lang="en-US" sz="1100" dirty="0"/>
        </a:p>
      </dgm:t>
    </dgm:pt>
    <dgm:pt modelId="{020E63CC-43AB-425A-9F79-FFD80C27979E}" type="parTrans" cxnId="{E3D68C63-3F6D-44F2-B653-86DE58844E30}">
      <dgm:prSet/>
      <dgm:spPr/>
      <dgm:t>
        <a:bodyPr/>
        <a:lstStyle/>
        <a:p>
          <a:endParaRPr lang="en-US" sz="1100"/>
        </a:p>
      </dgm:t>
    </dgm:pt>
    <dgm:pt modelId="{804CFFC1-1335-4F54-A8AB-3B91B68ADA79}" type="sibTrans" cxnId="{E3D68C63-3F6D-44F2-B653-86DE58844E30}">
      <dgm:prSet/>
      <dgm:spPr/>
      <dgm:t>
        <a:bodyPr/>
        <a:lstStyle/>
        <a:p>
          <a:endParaRPr lang="en-US" sz="1100"/>
        </a:p>
      </dgm:t>
    </dgm:pt>
    <dgm:pt modelId="{8D579236-9B35-428C-BF41-19A7FAEE529C}">
      <dgm:prSet custT="1"/>
      <dgm:spPr/>
      <dgm:t>
        <a:bodyPr/>
        <a:lstStyle/>
        <a:p>
          <a:r>
            <a:rPr lang="en-US" sz="1400" dirty="0" err="1" smtClean="0"/>
            <a:t>PCA_BCfigures.m</a:t>
          </a:r>
          <a:endParaRPr lang="en-US" sz="1400" dirty="0"/>
        </a:p>
      </dgm:t>
    </dgm:pt>
    <dgm:pt modelId="{F6BF9CE1-545E-46F3-A409-FD49808BCAF6}" type="parTrans" cxnId="{ADC260E2-1A60-46B3-849D-0A9959077BDD}">
      <dgm:prSet/>
      <dgm:spPr/>
      <dgm:t>
        <a:bodyPr/>
        <a:lstStyle/>
        <a:p>
          <a:endParaRPr lang="en-US" sz="1100"/>
        </a:p>
      </dgm:t>
    </dgm:pt>
    <dgm:pt modelId="{8B21075F-928E-45B2-892C-1F176B331718}" type="sibTrans" cxnId="{ADC260E2-1A60-46B3-849D-0A9959077BDD}">
      <dgm:prSet/>
      <dgm:spPr/>
      <dgm:t>
        <a:bodyPr/>
        <a:lstStyle/>
        <a:p>
          <a:endParaRPr lang="en-US" sz="1100"/>
        </a:p>
      </dgm:t>
    </dgm:pt>
    <dgm:pt modelId="{AF4A1C85-991D-4D2D-801D-B89B3B5394F0}">
      <dgm:prSet custT="1"/>
      <dgm:spPr/>
      <dgm:t>
        <a:bodyPr/>
        <a:lstStyle/>
        <a:p>
          <a:r>
            <a:rPr lang="en-US" sz="1100" dirty="0" smtClean="0"/>
            <a:t>Draws the 2-D and 3-D scores plots and 95% confidence boundary</a:t>
          </a:r>
          <a:endParaRPr lang="en-US" sz="1100" dirty="0"/>
        </a:p>
      </dgm:t>
    </dgm:pt>
    <dgm:pt modelId="{7F5031A5-6EA9-4041-9166-31F7B7A429FB}" type="parTrans" cxnId="{D43D15BA-6834-4F9C-B86A-BCBD7D6AA090}">
      <dgm:prSet/>
      <dgm:spPr/>
      <dgm:t>
        <a:bodyPr/>
        <a:lstStyle/>
        <a:p>
          <a:endParaRPr lang="en-US" sz="1100"/>
        </a:p>
      </dgm:t>
    </dgm:pt>
    <dgm:pt modelId="{3C9D41B8-1D3B-4F11-B0E9-533FA857F550}" type="sibTrans" cxnId="{D43D15BA-6834-4F9C-B86A-BCBD7D6AA090}">
      <dgm:prSet/>
      <dgm:spPr/>
      <dgm:t>
        <a:bodyPr/>
        <a:lstStyle/>
        <a:p>
          <a:endParaRPr lang="en-US" sz="1100"/>
        </a:p>
      </dgm:t>
    </dgm:pt>
    <dgm:pt modelId="{05CBE733-136F-4124-B1C8-FDB38AC6139F}">
      <dgm:prSet custT="1"/>
      <dgm:spPr/>
      <dgm:t>
        <a:bodyPr/>
        <a:lstStyle/>
        <a:p>
          <a:r>
            <a:rPr lang="en-US" sz="1100" dirty="0" smtClean="0"/>
            <a:t>Plots the </a:t>
          </a:r>
          <a:r>
            <a:rPr lang="en-US" sz="1100" dirty="0" err="1" smtClean="0"/>
            <a:t>Mahalanobis</a:t>
          </a:r>
          <a:r>
            <a:rPr lang="en-US" sz="1100" dirty="0" smtClean="0"/>
            <a:t> distance and 95% confidence boundary</a:t>
          </a:r>
          <a:endParaRPr lang="en-US" sz="1100" dirty="0"/>
        </a:p>
      </dgm:t>
    </dgm:pt>
    <dgm:pt modelId="{46FD07BE-C73C-44F1-973C-68104273FF01}" type="parTrans" cxnId="{9445F027-42F0-46C7-B5C1-2A78B7EAEFB7}">
      <dgm:prSet/>
      <dgm:spPr/>
      <dgm:t>
        <a:bodyPr/>
        <a:lstStyle/>
        <a:p>
          <a:endParaRPr lang="en-US" sz="1100"/>
        </a:p>
      </dgm:t>
    </dgm:pt>
    <dgm:pt modelId="{79EE5C55-1B02-4D95-BC0A-EC2B740FFDC1}" type="sibTrans" cxnId="{9445F027-42F0-46C7-B5C1-2A78B7EAEFB7}">
      <dgm:prSet/>
      <dgm:spPr/>
      <dgm:t>
        <a:bodyPr/>
        <a:lstStyle/>
        <a:p>
          <a:endParaRPr lang="en-US" sz="1100"/>
        </a:p>
      </dgm:t>
    </dgm:pt>
    <dgm:pt modelId="{BA8F9940-6163-4832-8D1D-D136E66BE6B0}">
      <dgm:prSet custT="1"/>
      <dgm:spPr/>
      <dgm:t>
        <a:bodyPr/>
        <a:lstStyle/>
        <a:p>
          <a:r>
            <a:rPr lang="en-US" sz="1100" dirty="0" smtClean="0"/>
            <a:t>Plots the Q-statistic and 95% confidence boundary</a:t>
          </a:r>
          <a:endParaRPr lang="en-US" sz="1100" dirty="0"/>
        </a:p>
      </dgm:t>
    </dgm:pt>
    <dgm:pt modelId="{A8A66DC8-F9C5-4976-B138-0DD61E241CE9}" type="parTrans" cxnId="{4E385908-38FD-4F1E-9462-F0854340F2FC}">
      <dgm:prSet/>
      <dgm:spPr/>
      <dgm:t>
        <a:bodyPr/>
        <a:lstStyle/>
        <a:p>
          <a:endParaRPr lang="en-US" sz="1100"/>
        </a:p>
      </dgm:t>
    </dgm:pt>
    <dgm:pt modelId="{805846CA-1C2B-45BD-848C-59DDE1EC90D6}" type="sibTrans" cxnId="{4E385908-38FD-4F1E-9462-F0854340F2FC}">
      <dgm:prSet/>
      <dgm:spPr/>
      <dgm:t>
        <a:bodyPr/>
        <a:lstStyle/>
        <a:p>
          <a:endParaRPr lang="en-US" sz="1100"/>
        </a:p>
      </dgm:t>
    </dgm:pt>
    <dgm:pt modelId="{045BCAC8-C25A-4C38-AFB7-D788E06D6471}">
      <dgm:prSet custT="1"/>
      <dgm:spPr/>
      <dgm:t>
        <a:bodyPr/>
        <a:lstStyle/>
        <a:p>
          <a:r>
            <a:rPr lang="en-US" sz="1100" dirty="0" smtClean="0"/>
            <a:t>Draws the 3-D plot of PC1 scores, PC2 scores, and SPE</a:t>
          </a:r>
          <a:endParaRPr lang="en-US" sz="1100" dirty="0"/>
        </a:p>
      </dgm:t>
    </dgm:pt>
    <dgm:pt modelId="{7C93CE6C-3948-45D2-A235-992D10D6613F}" type="parTrans" cxnId="{7565333A-F4AD-40F2-A503-9B691FBD6D55}">
      <dgm:prSet/>
      <dgm:spPr/>
      <dgm:t>
        <a:bodyPr/>
        <a:lstStyle/>
        <a:p>
          <a:endParaRPr lang="en-US" sz="1100"/>
        </a:p>
      </dgm:t>
    </dgm:pt>
    <dgm:pt modelId="{7437B8CC-48EB-47B1-BDDF-52B22EC53EED}" type="sibTrans" cxnId="{7565333A-F4AD-40F2-A503-9B691FBD6D55}">
      <dgm:prSet/>
      <dgm:spPr/>
      <dgm:t>
        <a:bodyPr/>
        <a:lstStyle/>
        <a:p>
          <a:endParaRPr lang="en-US" sz="1100"/>
        </a:p>
      </dgm:t>
    </dgm:pt>
    <dgm:pt modelId="{83E52978-2CDE-4BBF-A19B-ED79592A4182}">
      <dgm:prSet custT="1"/>
      <dgm:spPr/>
      <dgm:t>
        <a:bodyPr/>
        <a:lstStyle/>
        <a:p>
          <a:r>
            <a:rPr lang="en-US" sz="1100" dirty="0" smtClean="0"/>
            <a:t>Computes the </a:t>
          </a:r>
          <a:r>
            <a:rPr lang="en-US" sz="1100" dirty="0" err="1" smtClean="0"/>
            <a:t>Mahalanobis</a:t>
          </a:r>
          <a:r>
            <a:rPr lang="en-US" sz="1100" dirty="0" smtClean="0"/>
            <a:t> distance and 95% confidence interval</a:t>
          </a:r>
          <a:endParaRPr lang="en-US" sz="1100" dirty="0"/>
        </a:p>
      </dgm:t>
    </dgm:pt>
    <dgm:pt modelId="{8A906CCE-2D27-440E-8151-64A77D5EAB0E}" type="parTrans" cxnId="{F329AA81-BEDB-426C-878D-C715FD68AFE6}">
      <dgm:prSet/>
      <dgm:spPr/>
      <dgm:t>
        <a:bodyPr/>
        <a:lstStyle/>
        <a:p>
          <a:endParaRPr lang="en-US" sz="1100"/>
        </a:p>
      </dgm:t>
    </dgm:pt>
    <dgm:pt modelId="{2146742D-044A-4ED4-A552-FE1918FA29AA}" type="sibTrans" cxnId="{F329AA81-BEDB-426C-878D-C715FD68AFE6}">
      <dgm:prSet/>
      <dgm:spPr/>
      <dgm:t>
        <a:bodyPr/>
        <a:lstStyle/>
        <a:p>
          <a:endParaRPr lang="en-US" sz="1100"/>
        </a:p>
      </dgm:t>
    </dgm:pt>
    <dgm:pt modelId="{720E497F-F7DF-4561-96DB-239426C8A39F}" type="pres">
      <dgm:prSet presAssocID="{486B40DA-289F-40DD-B975-FC00971B3623}" presName="linearFlow" presStyleCnt="0">
        <dgm:presLayoutVars>
          <dgm:dir/>
          <dgm:animLvl val="lvl"/>
          <dgm:resizeHandles val="exact"/>
        </dgm:presLayoutVars>
      </dgm:prSet>
      <dgm:spPr/>
      <dgm:t>
        <a:bodyPr/>
        <a:lstStyle/>
        <a:p>
          <a:endParaRPr lang="en-US"/>
        </a:p>
      </dgm:t>
    </dgm:pt>
    <dgm:pt modelId="{02018FC4-BB44-40F1-8578-C10FC325A3FE}" type="pres">
      <dgm:prSet presAssocID="{02DD5528-2FD7-4D27-9CAC-0C242070ED23}" presName="composite" presStyleCnt="0"/>
      <dgm:spPr/>
    </dgm:pt>
    <dgm:pt modelId="{27E4757F-546A-4AD7-9974-1D51C592508B}" type="pres">
      <dgm:prSet presAssocID="{02DD5528-2FD7-4D27-9CAC-0C242070ED23}" presName="parentText" presStyleLbl="alignNode1" presStyleIdx="0" presStyleCnt="5">
        <dgm:presLayoutVars>
          <dgm:chMax val="1"/>
          <dgm:bulletEnabled val="1"/>
        </dgm:presLayoutVars>
      </dgm:prSet>
      <dgm:spPr/>
      <dgm:t>
        <a:bodyPr/>
        <a:lstStyle/>
        <a:p>
          <a:endParaRPr lang="en-US"/>
        </a:p>
      </dgm:t>
    </dgm:pt>
    <dgm:pt modelId="{E75B73AD-116A-4E01-998F-1C4A01634615}" type="pres">
      <dgm:prSet presAssocID="{02DD5528-2FD7-4D27-9CAC-0C242070ED23}" presName="descendantText" presStyleLbl="alignAcc1" presStyleIdx="0" presStyleCnt="5">
        <dgm:presLayoutVars>
          <dgm:bulletEnabled val="1"/>
        </dgm:presLayoutVars>
      </dgm:prSet>
      <dgm:spPr/>
      <dgm:t>
        <a:bodyPr/>
        <a:lstStyle/>
        <a:p>
          <a:endParaRPr lang="en-US"/>
        </a:p>
      </dgm:t>
    </dgm:pt>
    <dgm:pt modelId="{6220ECBE-D9ED-4A45-82B7-82F26CD18303}" type="pres">
      <dgm:prSet presAssocID="{072F0035-C4C1-40D5-96B9-849012DF5AE1}" presName="sp" presStyleCnt="0"/>
      <dgm:spPr/>
    </dgm:pt>
    <dgm:pt modelId="{E7C67426-32E8-4D81-A25C-1CD591562554}" type="pres">
      <dgm:prSet presAssocID="{9768CAA6-B768-41C5-8A52-99640F2135C8}" presName="composite" presStyleCnt="0"/>
      <dgm:spPr/>
    </dgm:pt>
    <dgm:pt modelId="{1D9A1BDB-F2B1-45D8-96F7-981CB8B7F212}" type="pres">
      <dgm:prSet presAssocID="{9768CAA6-B768-41C5-8A52-99640F2135C8}" presName="parentText" presStyleLbl="alignNode1" presStyleIdx="1" presStyleCnt="5">
        <dgm:presLayoutVars>
          <dgm:chMax val="1"/>
          <dgm:bulletEnabled val="1"/>
        </dgm:presLayoutVars>
      </dgm:prSet>
      <dgm:spPr/>
      <dgm:t>
        <a:bodyPr/>
        <a:lstStyle/>
        <a:p>
          <a:endParaRPr lang="en-US"/>
        </a:p>
      </dgm:t>
    </dgm:pt>
    <dgm:pt modelId="{0420BA56-4A00-460F-910A-6135F7874819}" type="pres">
      <dgm:prSet presAssocID="{9768CAA6-B768-41C5-8A52-99640F2135C8}" presName="descendantText" presStyleLbl="alignAcc1" presStyleIdx="1" presStyleCnt="5">
        <dgm:presLayoutVars>
          <dgm:bulletEnabled val="1"/>
        </dgm:presLayoutVars>
      </dgm:prSet>
      <dgm:spPr/>
      <dgm:t>
        <a:bodyPr/>
        <a:lstStyle/>
        <a:p>
          <a:endParaRPr lang="en-US"/>
        </a:p>
      </dgm:t>
    </dgm:pt>
    <dgm:pt modelId="{C31DBB6C-B6FD-4BCF-B55D-2E14E6725E77}" type="pres">
      <dgm:prSet presAssocID="{09F9A7A9-5C21-40D9-9328-1FD9620A435D}" presName="sp" presStyleCnt="0"/>
      <dgm:spPr/>
    </dgm:pt>
    <dgm:pt modelId="{360C33FB-F1E1-4406-92DE-B46985E1F7F4}" type="pres">
      <dgm:prSet presAssocID="{0A5CFF3B-3E44-4F8D-85AC-70AF5BAD5FA7}" presName="composite" presStyleCnt="0"/>
      <dgm:spPr/>
    </dgm:pt>
    <dgm:pt modelId="{A61ECC80-AAC3-4878-B000-339BF16B1E69}" type="pres">
      <dgm:prSet presAssocID="{0A5CFF3B-3E44-4F8D-85AC-70AF5BAD5FA7}" presName="parentText" presStyleLbl="alignNode1" presStyleIdx="2" presStyleCnt="5">
        <dgm:presLayoutVars>
          <dgm:chMax val="1"/>
          <dgm:bulletEnabled val="1"/>
        </dgm:presLayoutVars>
      </dgm:prSet>
      <dgm:spPr/>
      <dgm:t>
        <a:bodyPr/>
        <a:lstStyle/>
        <a:p>
          <a:endParaRPr lang="en-US"/>
        </a:p>
      </dgm:t>
    </dgm:pt>
    <dgm:pt modelId="{F49084E7-6E6A-442E-BBBB-5651D0545F4A}" type="pres">
      <dgm:prSet presAssocID="{0A5CFF3B-3E44-4F8D-85AC-70AF5BAD5FA7}" presName="descendantText" presStyleLbl="alignAcc1" presStyleIdx="2" presStyleCnt="5">
        <dgm:presLayoutVars>
          <dgm:bulletEnabled val="1"/>
        </dgm:presLayoutVars>
      </dgm:prSet>
      <dgm:spPr/>
      <dgm:t>
        <a:bodyPr/>
        <a:lstStyle/>
        <a:p>
          <a:endParaRPr lang="en-US"/>
        </a:p>
      </dgm:t>
    </dgm:pt>
    <dgm:pt modelId="{F39970C5-720A-4B3D-9C60-E50E61B0ACB8}" type="pres">
      <dgm:prSet presAssocID="{5EBE0ACB-0E8A-49E5-AF72-41B99C227088}" presName="sp" presStyleCnt="0"/>
      <dgm:spPr/>
    </dgm:pt>
    <dgm:pt modelId="{CC283654-2732-4789-ADAD-D16D6580645A}" type="pres">
      <dgm:prSet presAssocID="{8676BA11-4241-4D53-BFA5-36ED4ECB47B7}" presName="composite" presStyleCnt="0"/>
      <dgm:spPr/>
    </dgm:pt>
    <dgm:pt modelId="{F6F25015-FA73-4ED5-A4EE-D7613DCFAD03}" type="pres">
      <dgm:prSet presAssocID="{8676BA11-4241-4D53-BFA5-36ED4ECB47B7}" presName="parentText" presStyleLbl="alignNode1" presStyleIdx="3" presStyleCnt="5" custLinFactNeighborY="-9690">
        <dgm:presLayoutVars>
          <dgm:chMax val="1"/>
          <dgm:bulletEnabled val="1"/>
        </dgm:presLayoutVars>
      </dgm:prSet>
      <dgm:spPr/>
      <dgm:t>
        <a:bodyPr/>
        <a:lstStyle/>
        <a:p>
          <a:endParaRPr lang="en-US"/>
        </a:p>
      </dgm:t>
    </dgm:pt>
    <dgm:pt modelId="{3CDE0879-51D7-45A3-8EBC-B63E81484CA1}" type="pres">
      <dgm:prSet presAssocID="{8676BA11-4241-4D53-BFA5-36ED4ECB47B7}" presName="descendantText" presStyleLbl="alignAcc1" presStyleIdx="3" presStyleCnt="5" custScaleY="141705" custLinFactNeighborY="2577">
        <dgm:presLayoutVars>
          <dgm:bulletEnabled val="1"/>
        </dgm:presLayoutVars>
      </dgm:prSet>
      <dgm:spPr/>
      <dgm:t>
        <a:bodyPr/>
        <a:lstStyle/>
        <a:p>
          <a:endParaRPr lang="en-US"/>
        </a:p>
      </dgm:t>
    </dgm:pt>
    <dgm:pt modelId="{AA1DE236-3EC0-4E3B-9C8F-5C6FBE125495}" type="pres">
      <dgm:prSet presAssocID="{71A91EA6-A48C-4F93-ACEC-CA511DCA5DA2}" presName="sp" presStyleCnt="0"/>
      <dgm:spPr/>
    </dgm:pt>
    <dgm:pt modelId="{FFB5EEA6-A9C6-4710-8125-097F410E09A2}" type="pres">
      <dgm:prSet presAssocID="{8D579236-9B35-428C-BF41-19A7FAEE529C}" presName="composite" presStyleCnt="0"/>
      <dgm:spPr/>
    </dgm:pt>
    <dgm:pt modelId="{5FAF5020-4EE2-4F7C-B1A7-311326FFCBF6}" type="pres">
      <dgm:prSet presAssocID="{8D579236-9B35-428C-BF41-19A7FAEE529C}" presName="parentText" presStyleLbl="alignNode1" presStyleIdx="4" presStyleCnt="5" custLinFactNeighborY="3678">
        <dgm:presLayoutVars>
          <dgm:chMax val="1"/>
          <dgm:bulletEnabled val="1"/>
        </dgm:presLayoutVars>
      </dgm:prSet>
      <dgm:spPr/>
      <dgm:t>
        <a:bodyPr/>
        <a:lstStyle/>
        <a:p>
          <a:endParaRPr lang="en-US"/>
        </a:p>
      </dgm:t>
    </dgm:pt>
    <dgm:pt modelId="{3BBC56E9-9185-4283-8FD4-FB86AD2C311C}" type="pres">
      <dgm:prSet presAssocID="{8D579236-9B35-428C-BF41-19A7FAEE529C}" presName="descendantText" presStyleLbl="alignAcc1" presStyleIdx="4" presStyleCnt="5" custScaleY="116345" custLinFactNeighborY="9452">
        <dgm:presLayoutVars>
          <dgm:bulletEnabled val="1"/>
        </dgm:presLayoutVars>
      </dgm:prSet>
      <dgm:spPr/>
      <dgm:t>
        <a:bodyPr/>
        <a:lstStyle/>
        <a:p>
          <a:endParaRPr lang="en-US"/>
        </a:p>
      </dgm:t>
    </dgm:pt>
  </dgm:ptLst>
  <dgm:cxnLst>
    <dgm:cxn modelId="{6DEB2825-794F-4FA7-A61E-F15DCA2B8AB0}" srcId="{02DD5528-2FD7-4D27-9CAC-0C242070ED23}" destId="{DBB0D707-0080-4391-9FD9-E4C4444FB274}" srcOrd="1" destOrd="0" parTransId="{280CA4E5-7C40-4F77-9B6A-CF1042324D24}" sibTransId="{7BF1CB80-33D5-4238-B9A7-B1BE3CD8643F}"/>
    <dgm:cxn modelId="{CE97E1B3-DD84-4459-99D9-0451ADFC9C72}" type="presOf" srcId="{0C016EE3-5B03-4AD9-A4F1-BB9AC3D2C61D}" destId="{F49084E7-6E6A-442E-BBBB-5651D0545F4A}" srcOrd="0" destOrd="0" presId="urn:microsoft.com/office/officeart/2005/8/layout/chevron2"/>
    <dgm:cxn modelId="{B8D59E63-B13F-47D2-A4A6-FCA3E2EF784A}" type="presOf" srcId="{C6FF48B2-9E07-45D7-897F-4744CAF239E0}" destId="{3CDE0879-51D7-45A3-8EBC-B63E81484CA1}" srcOrd="0" destOrd="1" presId="urn:microsoft.com/office/officeart/2005/8/layout/chevron2"/>
    <dgm:cxn modelId="{F72EAA32-DE07-4100-B681-BC45B9C50AD5}" type="presOf" srcId="{9768CAA6-B768-41C5-8A52-99640F2135C8}" destId="{1D9A1BDB-F2B1-45D8-96F7-981CB8B7F212}" srcOrd="0" destOrd="0" presId="urn:microsoft.com/office/officeart/2005/8/layout/chevron2"/>
    <dgm:cxn modelId="{B968C72F-1217-409C-A676-5C3726A5A348}" srcId="{0A5CFF3B-3E44-4F8D-85AC-70AF5BAD5FA7}" destId="{874217AA-E1A2-481E-807F-CCFEB9FE025D}" srcOrd="1" destOrd="0" parTransId="{12BF5980-4496-43CD-BE1A-4B10B830A444}" sibTransId="{EE300F28-C24A-4838-B4A5-F99DD36AA852}"/>
    <dgm:cxn modelId="{A695A1F8-28E3-4588-B4A8-C5E2C867772F}" type="presOf" srcId="{AF4A1C85-991D-4D2D-801D-B89B3B5394F0}" destId="{3BBC56E9-9185-4283-8FD4-FB86AD2C311C}" srcOrd="0" destOrd="0" presId="urn:microsoft.com/office/officeart/2005/8/layout/chevron2"/>
    <dgm:cxn modelId="{DAE81613-2127-499D-9FE5-D02E7D58E974}" srcId="{486B40DA-289F-40DD-B975-FC00971B3623}" destId="{9768CAA6-B768-41C5-8A52-99640F2135C8}" srcOrd="1" destOrd="0" parTransId="{2E47BCBD-0730-476A-8524-986617E78FF3}" sibTransId="{09F9A7A9-5C21-40D9-9328-1FD9620A435D}"/>
    <dgm:cxn modelId="{ADC260E2-1A60-46B3-849D-0A9959077BDD}" srcId="{486B40DA-289F-40DD-B975-FC00971B3623}" destId="{8D579236-9B35-428C-BF41-19A7FAEE529C}" srcOrd="4" destOrd="0" parTransId="{F6BF9CE1-545E-46F3-A409-FD49808BCAF6}" sibTransId="{8B21075F-928E-45B2-892C-1F176B331718}"/>
    <dgm:cxn modelId="{4D10B1F7-9B40-41AA-9207-BCCF89530131}" srcId="{9768CAA6-B768-41C5-8A52-99640F2135C8}" destId="{85E13BEE-60EC-4DB4-8C30-E353516FBB09}" srcOrd="1" destOrd="0" parTransId="{DC4530C7-CC8B-41ED-AE05-FDD67A52968D}" sibTransId="{EEA95FFA-4955-4C93-BB71-E74034AFBB51}"/>
    <dgm:cxn modelId="{E3D68C63-3F6D-44F2-B653-86DE58844E30}" srcId="{8676BA11-4241-4D53-BFA5-36ED4ECB47B7}" destId="{B7C37C96-521B-4056-9B1D-22DBCEF5D89A}" srcOrd="4" destOrd="0" parTransId="{020E63CC-43AB-425A-9F79-FFD80C27979E}" sibTransId="{804CFFC1-1335-4F54-A8AB-3B91B68ADA79}"/>
    <dgm:cxn modelId="{1864769A-EAFB-40CC-AEA5-9CCAF4BC0840}" type="presOf" srcId="{02DD5528-2FD7-4D27-9CAC-0C242070ED23}" destId="{27E4757F-546A-4AD7-9974-1D51C592508B}" srcOrd="0" destOrd="0" presId="urn:microsoft.com/office/officeart/2005/8/layout/chevron2"/>
    <dgm:cxn modelId="{FE690C09-B604-41CD-8447-EBE27A5D6C0B}" type="presOf" srcId="{045BCAC8-C25A-4C38-AFB7-D788E06D6471}" destId="{3BBC56E9-9185-4283-8FD4-FB86AD2C311C}" srcOrd="0" destOrd="3" presId="urn:microsoft.com/office/officeart/2005/8/layout/chevron2"/>
    <dgm:cxn modelId="{4E385908-38FD-4F1E-9462-F0854340F2FC}" srcId="{8D579236-9B35-428C-BF41-19A7FAEE529C}" destId="{BA8F9940-6163-4832-8D1D-D136E66BE6B0}" srcOrd="2" destOrd="0" parTransId="{A8A66DC8-F9C5-4976-B138-0DD61E241CE9}" sibTransId="{805846CA-1C2B-45BD-848C-59DDE1EC90D6}"/>
    <dgm:cxn modelId="{5B0D4750-FCA6-4A4E-9844-EAD75D76F9D7}" srcId="{0A5CFF3B-3E44-4F8D-85AC-70AF5BAD5FA7}" destId="{0C016EE3-5B03-4AD9-A4F1-BB9AC3D2C61D}" srcOrd="0" destOrd="0" parTransId="{7EADADAE-503A-4C23-BE7D-59A58A146B12}" sibTransId="{8694462B-9F7D-42E2-B655-8CFC80D4AC27}"/>
    <dgm:cxn modelId="{4C0A2ABF-9636-4720-8D49-764E92AEB35C}" type="presOf" srcId="{05CBE733-136F-4124-B1C8-FDB38AC6139F}" destId="{3BBC56E9-9185-4283-8FD4-FB86AD2C311C}" srcOrd="0" destOrd="1" presId="urn:microsoft.com/office/officeart/2005/8/layout/chevron2"/>
    <dgm:cxn modelId="{33EE0A5C-A1FF-4163-8061-054553799002}" srcId="{486B40DA-289F-40DD-B975-FC00971B3623}" destId="{8676BA11-4241-4D53-BFA5-36ED4ECB47B7}" srcOrd="3" destOrd="0" parTransId="{CD169A02-DA03-4CDD-8CD1-AD3E374C52E3}" sibTransId="{71A91EA6-A48C-4F93-ACEC-CA511DCA5DA2}"/>
    <dgm:cxn modelId="{6EF3996F-8E41-410B-9A6C-66E7ABB62CF3}" srcId="{0A5CFF3B-3E44-4F8D-85AC-70AF5BAD5FA7}" destId="{F9EC3F4D-EC10-4C47-BA2E-CE57B13C9A3B}" srcOrd="2" destOrd="0" parTransId="{F8936533-8C60-48A0-84D1-1DD52CACD2AD}" sibTransId="{F67E888B-693C-4D7D-8BCC-2F2E69D47776}"/>
    <dgm:cxn modelId="{208EE166-0AF7-4894-9D7D-08561399AAA6}" type="presOf" srcId="{DBB0D707-0080-4391-9FD9-E4C4444FB274}" destId="{E75B73AD-116A-4E01-998F-1C4A01634615}" srcOrd="0" destOrd="1" presId="urn:microsoft.com/office/officeart/2005/8/layout/chevron2"/>
    <dgm:cxn modelId="{42C4112A-EA7A-4372-B5D1-5DD019A9B7B1}" type="presOf" srcId="{9BBB0C5D-9126-4C07-A316-F88EB0DBB435}" destId="{3CDE0879-51D7-45A3-8EBC-B63E81484CA1}" srcOrd="0" destOrd="0" presId="urn:microsoft.com/office/officeart/2005/8/layout/chevron2"/>
    <dgm:cxn modelId="{085F6D1E-00FC-480B-87A6-D90209D8B846}" type="presOf" srcId="{B7C37C96-521B-4056-9B1D-22DBCEF5D89A}" destId="{3CDE0879-51D7-45A3-8EBC-B63E81484CA1}" srcOrd="0" destOrd="4" presId="urn:microsoft.com/office/officeart/2005/8/layout/chevron2"/>
    <dgm:cxn modelId="{45D51F32-B517-407C-BDB2-4494E4C04765}" type="presOf" srcId="{874217AA-E1A2-481E-807F-CCFEB9FE025D}" destId="{F49084E7-6E6A-442E-BBBB-5651D0545F4A}" srcOrd="0" destOrd="1" presId="urn:microsoft.com/office/officeart/2005/8/layout/chevron2"/>
    <dgm:cxn modelId="{048BD337-97C5-4F00-8684-16DE1D9EFA17}" srcId="{8676BA11-4241-4D53-BFA5-36ED4ECB47B7}" destId="{6717F498-0E48-4EB4-B747-3896403B788B}" srcOrd="2" destOrd="0" parTransId="{0E82AD8E-785E-40C1-A642-F69541BD90D8}" sibTransId="{2DA07111-E30C-46C0-A777-02DD69384574}"/>
    <dgm:cxn modelId="{A03FBE41-88DF-47AD-B582-9566DB7276B9}" srcId="{8676BA11-4241-4D53-BFA5-36ED4ECB47B7}" destId="{C6FF48B2-9E07-45D7-897F-4744CAF239E0}" srcOrd="1" destOrd="0" parTransId="{91E89BE1-F034-4A16-958E-A4350C5BE93F}" sibTransId="{CFBC3DC9-314A-45B8-98A5-D84026BD2E19}"/>
    <dgm:cxn modelId="{D6C9CB19-4469-4A0E-803B-357AA1E36B65}" type="presOf" srcId="{BA8F9940-6163-4832-8D1D-D136E66BE6B0}" destId="{3BBC56E9-9185-4283-8FD4-FB86AD2C311C}" srcOrd="0" destOrd="2" presId="urn:microsoft.com/office/officeart/2005/8/layout/chevron2"/>
    <dgm:cxn modelId="{4E574D6E-8641-4B84-983C-126F39E63E6F}" type="presOf" srcId="{0A5CFF3B-3E44-4F8D-85AC-70AF5BAD5FA7}" destId="{A61ECC80-AAC3-4878-B000-339BF16B1E69}" srcOrd="0" destOrd="0" presId="urn:microsoft.com/office/officeart/2005/8/layout/chevron2"/>
    <dgm:cxn modelId="{7B6FCD47-9943-4D59-844E-FE1E0143BED0}" srcId="{486B40DA-289F-40DD-B975-FC00971B3623}" destId="{02DD5528-2FD7-4D27-9CAC-0C242070ED23}" srcOrd="0" destOrd="0" parTransId="{2FADC9E8-8AA7-4395-8FED-AF59E9B7D715}" sibTransId="{072F0035-C4C1-40D5-96B9-849012DF5AE1}"/>
    <dgm:cxn modelId="{8256D1FE-3A00-451E-B920-031DB3D9CF4B}" type="presOf" srcId="{85E13BEE-60EC-4DB4-8C30-E353516FBB09}" destId="{0420BA56-4A00-460F-910A-6135F7874819}" srcOrd="0" destOrd="1" presId="urn:microsoft.com/office/officeart/2005/8/layout/chevron2"/>
    <dgm:cxn modelId="{26CCDEBF-4E6A-42EC-AB6A-A1D6119F35CA}" type="presOf" srcId="{8676BA11-4241-4D53-BFA5-36ED4ECB47B7}" destId="{F6F25015-FA73-4ED5-A4EE-D7613DCFAD03}" srcOrd="0" destOrd="0" presId="urn:microsoft.com/office/officeart/2005/8/layout/chevron2"/>
    <dgm:cxn modelId="{3615106F-19FF-4A60-B68C-B1B25DBCD56B}" type="presOf" srcId="{83E52978-2CDE-4BBF-A19B-ED79592A4182}" destId="{3CDE0879-51D7-45A3-8EBC-B63E81484CA1}" srcOrd="0" destOrd="3" presId="urn:microsoft.com/office/officeart/2005/8/layout/chevron2"/>
    <dgm:cxn modelId="{7565333A-F4AD-40F2-A503-9B691FBD6D55}" srcId="{8D579236-9B35-428C-BF41-19A7FAEE529C}" destId="{045BCAC8-C25A-4C38-AFB7-D788E06D6471}" srcOrd="3" destOrd="0" parTransId="{7C93CE6C-3948-45D2-A235-992D10D6613F}" sibTransId="{7437B8CC-48EB-47B1-BDDF-52B22EC53EED}"/>
    <dgm:cxn modelId="{29865240-B74C-48FF-AC99-4093ED339E55}" srcId="{486B40DA-289F-40DD-B975-FC00971B3623}" destId="{0A5CFF3B-3E44-4F8D-85AC-70AF5BAD5FA7}" srcOrd="2" destOrd="0" parTransId="{85D0A38D-81C3-4030-BF71-790B323A37DA}" sibTransId="{5EBE0ACB-0E8A-49E5-AF72-41B99C227088}"/>
    <dgm:cxn modelId="{F329AA81-BEDB-426C-878D-C715FD68AFE6}" srcId="{8676BA11-4241-4D53-BFA5-36ED4ECB47B7}" destId="{83E52978-2CDE-4BBF-A19B-ED79592A4182}" srcOrd="3" destOrd="0" parTransId="{8A906CCE-2D27-440E-8151-64A77D5EAB0E}" sibTransId="{2146742D-044A-4ED4-A552-FE1918FA29AA}"/>
    <dgm:cxn modelId="{D43D15BA-6834-4F9C-B86A-BCBD7D6AA090}" srcId="{8D579236-9B35-428C-BF41-19A7FAEE529C}" destId="{AF4A1C85-991D-4D2D-801D-B89B3B5394F0}" srcOrd="0" destOrd="0" parTransId="{7F5031A5-6EA9-4041-9166-31F7B7A429FB}" sibTransId="{3C9D41B8-1D3B-4F11-B0E9-533FA857F550}"/>
    <dgm:cxn modelId="{76A32036-03F6-43A9-8070-5275BAF07684}" type="presOf" srcId="{6717F498-0E48-4EB4-B747-3896403B788B}" destId="{3CDE0879-51D7-45A3-8EBC-B63E81484CA1}" srcOrd="0" destOrd="2" presId="urn:microsoft.com/office/officeart/2005/8/layout/chevron2"/>
    <dgm:cxn modelId="{05F313EC-C292-4115-B2F1-31793360B896}" type="presOf" srcId="{CC0099AD-E93B-4C8D-88E1-485BA55FBB3D}" destId="{0420BA56-4A00-460F-910A-6135F7874819}" srcOrd="0" destOrd="0" presId="urn:microsoft.com/office/officeart/2005/8/layout/chevron2"/>
    <dgm:cxn modelId="{657135A8-A3BE-4DDF-AFC8-20B52C258E23}" srcId="{8676BA11-4241-4D53-BFA5-36ED4ECB47B7}" destId="{9BBB0C5D-9126-4C07-A316-F88EB0DBB435}" srcOrd="0" destOrd="0" parTransId="{81D89829-9A33-4D6A-95B8-D701EC3BD843}" sibTransId="{1013DE76-6975-4AEC-B4F9-A45B193D0F8D}"/>
    <dgm:cxn modelId="{CCE67DE4-CB5F-4837-A198-4F4A31D1F905}" type="presOf" srcId="{486B40DA-289F-40DD-B975-FC00971B3623}" destId="{720E497F-F7DF-4561-96DB-239426C8A39F}" srcOrd="0" destOrd="0" presId="urn:microsoft.com/office/officeart/2005/8/layout/chevron2"/>
    <dgm:cxn modelId="{B8A5F1A0-DBDD-41EB-856A-C4ECE3CBE3E9}" type="presOf" srcId="{8D579236-9B35-428C-BF41-19A7FAEE529C}" destId="{5FAF5020-4EE2-4F7C-B1A7-311326FFCBF6}" srcOrd="0" destOrd="0" presId="urn:microsoft.com/office/officeart/2005/8/layout/chevron2"/>
    <dgm:cxn modelId="{124DB0DB-0AA3-4E98-A5DF-6205C5CAC0D0}" srcId="{02DD5528-2FD7-4D27-9CAC-0C242070ED23}" destId="{8CB34EDB-2338-4188-B372-E3BA91C9F723}" srcOrd="0" destOrd="0" parTransId="{2EBF40A6-6152-45F4-A65F-F8C564C5B9B0}" sibTransId="{00688BBA-C5AE-4419-9838-E0D87A8DE21A}"/>
    <dgm:cxn modelId="{9445F027-42F0-46C7-B5C1-2A78B7EAEFB7}" srcId="{8D579236-9B35-428C-BF41-19A7FAEE529C}" destId="{05CBE733-136F-4124-B1C8-FDB38AC6139F}" srcOrd="1" destOrd="0" parTransId="{46FD07BE-C73C-44F1-973C-68104273FF01}" sibTransId="{79EE5C55-1B02-4D95-BC0A-EC2B740FFDC1}"/>
    <dgm:cxn modelId="{CDF4EEB3-AACE-4610-A6F0-71946E8A27D2}" type="presOf" srcId="{F9EC3F4D-EC10-4C47-BA2E-CE57B13C9A3B}" destId="{F49084E7-6E6A-442E-BBBB-5651D0545F4A}" srcOrd="0" destOrd="2" presId="urn:microsoft.com/office/officeart/2005/8/layout/chevron2"/>
    <dgm:cxn modelId="{F8138ED8-C7F2-4F76-96C8-B3623229A2F6}" srcId="{9768CAA6-B768-41C5-8A52-99640F2135C8}" destId="{CC0099AD-E93B-4C8D-88E1-485BA55FBB3D}" srcOrd="0" destOrd="0" parTransId="{A333C147-5FDA-4F3F-9B3E-060F0AD2938C}" sibTransId="{167C257E-FCAC-45B4-B71D-DF404A0E06CA}"/>
    <dgm:cxn modelId="{8B5DB1E7-3FA8-48A5-9571-7A2ABE8C2986}" type="presOf" srcId="{8CB34EDB-2338-4188-B372-E3BA91C9F723}" destId="{E75B73AD-116A-4E01-998F-1C4A01634615}" srcOrd="0" destOrd="0" presId="urn:microsoft.com/office/officeart/2005/8/layout/chevron2"/>
    <dgm:cxn modelId="{878B3640-3BE7-4F90-8AF3-DA577AF265BE}" type="presParOf" srcId="{720E497F-F7DF-4561-96DB-239426C8A39F}" destId="{02018FC4-BB44-40F1-8578-C10FC325A3FE}" srcOrd="0" destOrd="0" presId="urn:microsoft.com/office/officeart/2005/8/layout/chevron2"/>
    <dgm:cxn modelId="{0110F2FE-95CB-43FB-B3B0-39AED1941484}" type="presParOf" srcId="{02018FC4-BB44-40F1-8578-C10FC325A3FE}" destId="{27E4757F-546A-4AD7-9974-1D51C592508B}" srcOrd="0" destOrd="0" presId="urn:microsoft.com/office/officeart/2005/8/layout/chevron2"/>
    <dgm:cxn modelId="{0D561324-F416-48C9-8B84-DD0D82A2CA0D}" type="presParOf" srcId="{02018FC4-BB44-40F1-8578-C10FC325A3FE}" destId="{E75B73AD-116A-4E01-998F-1C4A01634615}" srcOrd="1" destOrd="0" presId="urn:microsoft.com/office/officeart/2005/8/layout/chevron2"/>
    <dgm:cxn modelId="{A1C2BF25-6252-4243-ABFF-3E571CAFD331}" type="presParOf" srcId="{720E497F-F7DF-4561-96DB-239426C8A39F}" destId="{6220ECBE-D9ED-4A45-82B7-82F26CD18303}" srcOrd="1" destOrd="0" presId="urn:microsoft.com/office/officeart/2005/8/layout/chevron2"/>
    <dgm:cxn modelId="{BB032D29-34DF-4625-91CA-CFAEF7B599A3}" type="presParOf" srcId="{720E497F-F7DF-4561-96DB-239426C8A39F}" destId="{E7C67426-32E8-4D81-A25C-1CD591562554}" srcOrd="2" destOrd="0" presId="urn:microsoft.com/office/officeart/2005/8/layout/chevron2"/>
    <dgm:cxn modelId="{5DD835CE-8288-474A-98AC-D3A4CBAD2335}" type="presParOf" srcId="{E7C67426-32E8-4D81-A25C-1CD591562554}" destId="{1D9A1BDB-F2B1-45D8-96F7-981CB8B7F212}" srcOrd="0" destOrd="0" presId="urn:microsoft.com/office/officeart/2005/8/layout/chevron2"/>
    <dgm:cxn modelId="{CB91D5A8-5C0C-4014-8FB6-0394D9DDEDBF}" type="presParOf" srcId="{E7C67426-32E8-4D81-A25C-1CD591562554}" destId="{0420BA56-4A00-460F-910A-6135F7874819}" srcOrd="1" destOrd="0" presId="urn:microsoft.com/office/officeart/2005/8/layout/chevron2"/>
    <dgm:cxn modelId="{3EB2B0FF-E53C-418C-808C-D0A8D9BD84DD}" type="presParOf" srcId="{720E497F-F7DF-4561-96DB-239426C8A39F}" destId="{C31DBB6C-B6FD-4BCF-B55D-2E14E6725E77}" srcOrd="3" destOrd="0" presId="urn:microsoft.com/office/officeart/2005/8/layout/chevron2"/>
    <dgm:cxn modelId="{5260A1EF-A8B0-4E53-B9B4-B9747BAFA4B4}" type="presParOf" srcId="{720E497F-F7DF-4561-96DB-239426C8A39F}" destId="{360C33FB-F1E1-4406-92DE-B46985E1F7F4}" srcOrd="4" destOrd="0" presId="urn:microsoft.com/office/officeart/2005/8/layout/chevron2"/>
    <dgm:cxn modelId="{71365CC0-0315-40DC-8EFD-4C3041D98BE1}" type="presParOf" srcId="{360C33FB-F1E1-4406-92DE-B46985E1F7F4}" destId="{A61ECC80-AAC3-4878-B000-339BF16B1E69}" srcOrd="0" destOrd="0" presId="urn:microsoft.com/office/officeart/2005/8/layout/chevron2"/>
    <dgm:cxn modelId="{40055DB8-0101-43E5-A243-A8DACF1BA1B7}" type="presParOf" srcId="{360C33FB-F1E1-4406-92DE-B46985E1F7F4}" destId="{F49084E7-6E6A-442E-BBBB-5651D0545F4A}" srcOrd="1" destOrd="0" presId="urn:microsoft.com/office/officeart/2005/8/layout/chevron2"/>
    <dgm:cxn modelId="{3B91C38E-C04C-483B-ADC3-143C79B3E283}" type="presParOf" srcId="{720E497F-F7DF-4561-96DB-239426C8A39F}" destId="{F39970C5-720A-4B3D-9C60-E50E61B0ACB8}" srcOrd="5" destOrd="0" presId="urn:microsoft.com/office/officeart/2005/8/layout/chevron2"/>
    <dgm:cxn modelId="{B8C4FB74-3EC7-4BDF-8BF6-83E3743F55E0}" type="presParOf" srcId="{720E497F-F7DF-4561-96DB-239426C8A39F}" destId="{CC283654-2732-4789-ADAD-D16D6580645A}" srcOrd="6" destOrd="0" presId="urn:microsoft.com/office/officeart/2005/8/layout/chevron2"/>
    <dgm:cxn modelId="{1C0070B0-6034-4B58-8417-382B620127B8}" type="presParOf" srcId="{CC283654-2732-4789-ADAD-D16D6580645A}" destId="{F6F25015-FA73-4ED5-A4EE-D7613DCFAD03}" srcOrd="0" destOrd="0" presId="urn:microsoft.com/office/officeart/2005/8/layout/chevron2"/>
    <dgm:cxn modelId="{A02AD14A-75A1-4424-906A-E79DFA011107}" type="presParOf" srcId="{CC283654-2732-4789-ADAD-D16D6580645A}" destId="{3CDE0879-51D7-45A3-8EBC-B63E81484CA1}" srcOrd="1" destOrd="0" presId="urn:microsoft.com/office/officeart/2005/8/layout/chevron2"/>
    <dgm:cxn modelId="{32D53FA5-1601-4224-B564-38C1DD13559A}" type="presParOf" srcId="{720E497F-F7DF-4561-96DB-239426C8A39F}" destId="{AA1DE236-3EC0-4E3B-9C8F-5C6FBE125495}" srcOrd="7" destOrd="0" presId="urn:microsoft.com/office/officeart/2005/8/layout/chevron2"/>
    <dgm:cxn modelId="{8F6CABEE-CD16-4280-A5DA-BF3A526F30B6}" type="presParOf" srcId="{720E497F-F7DF-4561-96DB-239426C8A39F}" destId="{FFB5EEA6-A9C6-4710-8125-097F410E09A2}" srcOrd="8" destOrd="0" presId="urn:microsoft.com/office/officeart/2005/8/layout/chevron2"/>
    <dgm:cxn modelId="{C1465ECB-20DF-4214-83B8-F3A07974C0E2}" type="presParOf" srcId="{FFB5EEA6-A9C6-4710-8125-097F410E09A2}" destId="{5FAF5020-4EE2-4F7C-B1A7-311326FFCBF6}" srcOrd="0" destOrd="0" presId="urn:microsoft.com/office/officeart/2005/8/layout/chevron2"/>
    <dgm:cxn modelId="{C7E266DE-096E-4314-BA74-2050CC34EBB2}" type="presParOf" srcId="{FFB5EEA6-A9C6-4710-8125-097F410E09A2}" destId="{3BBC56E9-9185-4283-8FD4-FB86AD2C311C}" srcOrd="1" destOrd="0" presId="urn:microsoft.com/office/officeart/2005/8/layout/chevron2"/>
  </dgm:cxnLst>
  <dgm:bg/>
  <dgm:whole/>
  <dgm:extLst>
    <a:ext uri="http://schemas.microsoft.com/office/drawing/2008/diagram">
      <dsp:dataModelExt xmlns:dsp="http://schemas.microsoft.com/office/drawing/2008/diagram" relId="rId96"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86B40DA-289F-40DD-B975-FC00971B3623}" type="doc">
      <dgm:prSet loTypeId="urn:microsoft.com/office/officeart/2005/8/layout/chevron2" loCatId="list" qsTypeId="urn:microsoft.com/office/officeart/2005/8/quickstyle/simple5" qsCatId="simple" csTypeId="urn:microsoft.com/office/officeart/2005/8/colors/colorful1#3" csCatId="colorful" phldr="1"/>
      <dgm:spPr/>
      <dgm:t>
        <a:bodyPr/>
        <a:lstStyle/>
        <a:p>
          <a:endParaRPr lang="en-US"/>
        </a:p>
      </dgm:t>
    </dgm:pt>
    <dgm:pt modelId="{82E10AFA-404E-4339-8656-0FB98503443A}">
      <dgm:prSet phldrT="[Text]" custT="1"/>
      <dgm:spPr/>
      <dgm:t>
        <a:bodyPr/>
        <a:lstStyle/>
        <a:p>
          <a:r>
            <a:rPr lang="en-US" sz="1400" dirty="0" err="1" smtClean="0"/>
            <a:t>fsolve_case#.m</a:t>
          </a:r>
          <a:endParaRPr lang="en-US" sz="1400" dirty="0"/>
        </a:p>
      </dgm:t>
    </dgm:pt>
    <dgm:pt modelId="{1D9BD383-26DE-473D-B148-E7AE581106E3}" type="parTrans" cxnId="{2B65B325-F169-4717-8DCF-B2819EE47632}">
      <dgm:prSet/>
      <dgm:spPr/>
      <dgm:t>
        <a:bodyPr/>
        <a:lstStyle/>
        <a:p>
          <a:endParaRPr lang="en-US" sz="1000"/>
        </a:p>
      </dgm:t>
    </dgm:pt>
    <dgm:pt modelId="{31BD9361-753C-4C5A-8BDE-15DA0883672A}" type="sibTrans" cxnId="{2B65B325-F169-4717-8DCF-B2819EE47632}">
      <dgm:prSet/>
      <dgm:spPr/>
      <dgm:t>
        <a:bodyPr/>
        <a:lstStyle/>
        <a:p>
          <a:endParaRPr lang="en-US" sz="1000"/>
        </a:p>
      </dgm:t>
    </dgm:pt>
    <dgm:pt modelId="{1A88CDAD-90C0-4AA6-BF81-6F8F1587085E}">
      <dgm:prSet phldrT="[Text]" custT="1"/>
      <dgm:spPr/>
      <dgm:t>
        <a:bodyPr/>
        <a:lstStyle/>
        <a:p>
          <a:r>
            <a:rPr lang="en-US" sz="1100" dirty="0" smtClean="0"/>
            <a:t>Solves the system of nonlinear algebraic equations describing the faulty operation of the conversion plant for the specified case</a:t>
          </a:r>
          <a:endParaRPr lang="en-US" sz="1100" dirty="0"/>
        </a:p>
      </dgm:t>
    </dgm:pt>
    <dgm:pt modelId="{B807F3BB-6502-4BDB-8F44-6B5E13C0371D}" type="parTrans" cxnId="{957E0FCB-ADE9-42EA-98DD-88234E5CC7B7}">
      <dgm:prSet/>
      <dgm:spPr/>
      <dgm:t>
        <a:bodyPr/>
        <a:lstStyle/>
        <a:p>
          <a:endParaRPr lang="en-US" sz="1000"/>
        </a:p>
      </dgm:t>
    </dgm:pt>
    <dgm:pt modelId="{05B5F428-FA96-4F6A-804B-3C535C8D7202}" type="sibTrans" cxnId="{957E0FCB-ADE9-42EA-98DD-88234E5CC7B7}">
      <dgm:prSet/>
      <dgm:spPr/>
      <dgm:t>
        <a:bodyPr/>
        <a:lstStyle/>
        <a:p>
          <a:endParaRPr lang="en-US" sz="1000"/>
        </a:p>
      </dgm:t>
    </dgm:pt>
    <dgm:pt modelId="{06AC275C-61BE-4C16-83A4-F351723E05D1}">
      <dgm:prSet phldrT="[Text]" custT="1"/>
      <dgm:spPr/>
      <dgm:t>
        <a:bodyPr/>
        <a:lstStyle/>
        <a:p>
          <a:r>
            <a:rPr lang="en-US" sz="1100" dirty="0" smtClean="0"/>
            <a:t>Calls the function file </a:t>
          </a:r>
          <a:r>
            <a:rPr lang="en-US" sz="1100" dirty="0" err="1" smtClean="0"/>
            <a:t>Xss_case#.m</a:t>
          </a:r>
          <a:endParaRPr lang="en-US" sz="1100" dirty="0"/>
        </a:p>
      </dgm:t>
    </dgm:pt>
    <dgm:pt modelId="{3299B8AC-A3AA-467D-AD20-8F58C7116E63}" type="parTrans" cxnId="{601EC00F-F10F-425A-8E95-9688947E7032}">
      <dgm:prSet/>
      <dgm:spPr/>
      <dgm:t>
        <a:bodyPr/>
        <a:lstStyle/>
        <a:p>
          <a:endParaRPr lang="en-US" sz="1000"/>
        </a:p>
      </dgm:t>
    </dgm:pt>
    <dgm:pt modelId="{80BD126D-13B1-4FD3-A6D8-A52D55705EEA}" type="sibTrans" cxnId="{601EC00F-F10F-425A-8E95-9688947E7032}">
      <dgm:prSet/>
      <dgm:spPr/>
      <dgm:t>
        <a:bodyPr/>
        <a:lstStyle/>
        <a:p>
          <a:endParaRPr lang="en-US" sz="1000"/>
        </a:p>
      </dgm:t>
    </dgm:pt>
    <dgm:pt modelId="{D77BB04A-657C-487C-B61E-07FF80E85C58}">
      <dgm:prSet phldrT="[Text]" custT="1"/>
      <dgm:spPr/>
      <dgm:t>
        <a:bodyPr/>
        <a:lstStyle/>
        <a:p>
          <a:r>
            <a:rPr lang="en-US" sz="1400" dirty="0" err="1" smtClean="0"/>
            <a:t>parameters_c#.m</a:t>
          </a:r>
          <a:endParaRPr lang="en-US" sz="1400" dirty="0"/>
        </a:p>
      </dgm:t>
    </dgm:pt>
    <dgm:pt modelId="{F8D855A2-7F1D-4D7F-8155-97780297D796}" type="parTrans" cxnId="{011DEAD8-F88A-466A-9FCB-D191AF85DF9D}">
      <dgm:prSet/>
      <dgm:spPr/>
      <dgm:t>
        <a:bodyPr/>
        <a:lstStyle/>
        <a:p>
          <a:endParaRPr lang="en-US" sz="1000"/>
        </a:p>
      </dgm:t>
    </dgm:pt>
    <dgm:pt modelId="{F970A177-660A-4FFE-A4E9-B3F5D4F6376B}" type="sibTrans" cxnId="{011DEAD8-F88A-466A-9FCB-D191AF85DF9D}">
      <dgm:prSet/>
      <dgm:spPr/>
      <dgm:t>
        <a:bodyPr/>
        <a:lstStyle/>
        <a:p>
          <a:endParaRPr lang="en-US" sz="1000"/>
        </a:p>
      </dgm:t>
    </dgm:pt>
    <dgm:pt modelId="{1ABEE753-4662-4242-B9AB-A999B5B02098}">
      <dgm:prSet phldrT="[Text]" custT="1"/>
      <dgm:spPr/>
      <dgm:t>
        <a:bodyPr/>
        <a:lstStyle/>
        <a:p>
          <a:r>
            <a:rPr lang="en-US" sz="1100" dirty="0" smtClean="0"/>
            <a:t>Loads the specified faulty case parameters for the subsequent files</a:t>
          </a:r>
          <a:endParaRPr lang="en-US" sz="1100" dirty="0"/>
        </a:p>
      </dgm:t>
    </dgm:pt>
    <dgm:pt modelId="{969DC026-419F-4970-8039-8FBB970CE225}" type="parTrans" cxnId="{C017DD41-6A62-47E7-8AF1-FA99193FFEA5}">
      <dgm:prSet/>
      <dgm:spPr/>
      <dgm:t>
        <a:bodyPr/>
        <a:lstStyle/>
        <a:p>
          <a:endParaRPr lang="en-US" sz="1000"/>
        </a:p>
      </dgm:t>
    </dgm:pt>
    <dgm:pt modelId="{5B7C780D-3A70-446B-85BE-D171E983FDD0}" type="sibTrans" cxnId="{C017DD41-6A62-47E7-8AF1-FA99193FFEA5}">
      <dgm:prSet/>
      <dgm:spPr/>
      <dgm:t>
        <a:bodyPr/>
        <a:lstStyle/>
        <a:p>
          <a:endParaRPr lang="en-US" sz="1000"/>
        </a:p>
      </dgm:t>
    </dgm:pt>
    <dgm:pt modelId="{55A348C8-D5B6-42A6-8ED3-DEC38E8B899D}">
      <dgm:prSet phldrT="[Text]" custT="1"/>
      <dgm:spPr/>
      <dgm:t>
        <a:bodyPr/>
        <a:lstStyle/>
        <a:p>
          <a:r>
            <a:rPr lang="en-US" sz="1100" dirty="0" smtClean="0"/>
            <a:t>Must match the parameters in </a:t>
          </a:r>
          <a:r>
            <a:rPr lang="en-US" sz="1100" dirty="0" err="1" smtClean="0"/>
            <a:t>Xss_case#.m</a:t>
          </a:r>
          <a:endParaRPr lang="en-US" sz="1100" dirty="0"/>
        </a:p>
      </dgm:t>
    </dgm:pt>
    <dgm:pt modelId="{BC643EF6-9299-4BAC-A324-7D23FDF016F6}" type="parTrans" cxnId="{B7117349-E114-4A9D-B642-1CF4BD44A81A}">
      <dgm:prSet/>
      <dgm:spPr/>
      <dgm:t>
        <a:bodyPr/>
        <a:lstStyle/>
        <a:p>
          <a:endParaRPr lang="en-US" sz="1000"/>
        </a:p>
      </dgm:t>
    </dgm:pt>
    <dgm:pt modelId="{96658389-9A24-44A3-8D67-49448FB20FE3}" type="sibTrans" cxnId="{B7117349-E114-4A9D-B642-1CF4BD44A81A}">
      <dgm:prSet/>
      <dgm:spPr/>
      <dgm:t>
        <a:bodyPr/>
        <a:lstStyle/>
        <a:p>
          <a:endParaRPr lang="en-US" sz="1000"/>
        </a:p>
      </dgm:t>
    </dgm:pt>
    <dgm:pt modelId="{DF8DF6E3-514C-49BC-A223-6AF926A445CE}">
      <dgm:prSet phldrT="[Text]" custT="1"/>
      <dgm:spPr/>
      <dgm:t>
        <a:bodyPr/>
        <a:lstStyle/>
        <a:p>
          <a:r>
            <a:rPr lang="en-US" sz="1400" dirty="0" err="1" smtClean="0"/>
            <a:t>Xdot_case#.m</a:t>
          </a:r>
          <a:endParaRPr lang="en-US" sz="1400" dirty="0"/>
        </a:p>
      </dgm:t>
    </dgm:pt>
    <dgm:pt modelId="{A8F9210B-8DAC-4AAA-BF19-0B9799C507E7}" type="parTrans" cxnId="{E2600C3B-D856-4A16-A2EF-DC92BDDF6541}">
      <dgm:prSet/>
      <dgm:spPr/>
      <dgm:t>
        <a:bodyPr/>
        <a:lstStyle/>
        <a:p>
          <a:endParaRPr lang="en-US" sz="1000"/>
        </a:p>
      </dgm:t>
    </dgm:pt>
    <dgm:pt modelId="{4FC3B03E-CF8B-4B79-9971-B3BED78EE409}" type="sibTrans" cxnId="{E2600C3B-D856-4A16-A2EF-DC92BDDF6541}">
      <dgm:prSet/>
      <dgm:spPr/>
      <dgm:t>
        <a:bodyPr/>
        <a:lstStyle/>
        <a:p>
          <a:endParaRPr lang="en-US" sz="1000"/>
        </a:p>
      </dgm:t>
    </dgm:pt>
    <dgm:pt modelId="{2D140D5D-ADC6-4C14-886E-6F962AD780F7}">
      <dgm:prSet phldrT="[Text]" custT="1"/>
      <dgm:spPr/>
      <dgm:t>
        <a:bodyPr/>
        <a:lstStyle/>
        <a:p>
          <a:r>
            <a:rPr lang="en-US" sz="1100" dirty="0" smtClean="0"/>
            <a:t>Checks the steady-state solution for the specified faulty case</a:t>
          </a:r>
          <a:endParaRPr lang="en-US" sz="1100" dirty="0"/>
        </a:p>
      </dgm:t>
    </dgm:pt>
    <dgm:pt modelId="{06BE0900-3DC6-4C88-BA70-1700EF1837A1}" type="parTrans" cxnId="{DA770B1E-CD27-4A7E-90CF-45D6B88FA3BB}">
      <dgm:prSet/>
      <dgm:spPr/>
      <dgm:t>
        <a:bodyPr/>
        <a:lstStyle/>
        <a:p>
          <a:endParaRPr lang="en-US" sz="1000"/>
        </a:p>
      </dgm:t>
    </dgm:pt>
    <dgm:pt modelId="{2A2C9C64-A225-4404-9540-879C20BF7A1F}" type="sibTrans" cxnId="{DA770B1E-CD27-4A7E-90CF-45D6B88FA3BB}">
      <dgm:prSet/>
      <dgm:spPr/>
      <dgm:t>
        <a:bodyPr/>
        <a:lstStyle/>
        <a:p>
          <a:endParaRPr lang="en-US" sz="1000"/>
        </a:p>
      </dgm:t>
    </dgm:pt>
    <dgm:pt modelId="{48E968EC-3145-4397-B12E-B42BB311559B}">
      <dgm:prSet phldrT="[Text]" custT="1"/>
      <dgm:spPr/>
      <dgm:t>
        <a:bodyPr/>
        <a:lstStyle/>
        <a:p>
          <a:r>
            <a:rPr lang="en-US" sz="1100" dirty="0" smtClean="0"/>
            <a:t>The system of equations must match those in </a:t>
          </a:r>
          <a:r>
            <a:rPr lang="en-US" sz="1100" dirty="0" err="1" smtClean="0"/>
            <a:t>Xss_case#.m</a:t>
          </a:r>
          <a:endParaRPr lang="en-US" sz="1100" dirty="0"/>
        </a:p>
      </dgm:t>
    </dgm:pt>
    <dgm:pt modelId="{CFA58E38-1E6E-49B4-9A26-2BC76953586B}" type="parTrans" cxnId="{A3A9CFA6-0044-4D26-9872-D513E13615E8}">
      <dgm:prSet/>
      <dgm:spPr/>
      <dgm:t>
        <a:bodyPr/>
        <a:lstStyle/>
        <a:p>
          <a:endParaRPr lang="en-US" sz="1000"/>
        </a:p>
      </dgm:t>
    </dgm:pt>
    <dgm:pt modelId="{409B5069-29F0-4FC9-802C-E97A4EA76E7F}" type="sibTrans" cxnId="{A3A9CFA6-0044-4D26-9872-D513E13615E8}">
      <dgm:prSet/>
      <dgm:spPr/>
      <dgm:t>
        <a:bodyPr/>
        <a:lstStyle/>
        <a:p>
          <a:endParaRPr lang="en-US" sz="1000"/>
        </a:p>
      </dgm:t>
    </dgm:pt>
    <dgm:pt modelId="{86492BFB-833B-4944-80F0-2BBF93752FF5}">
      <dgm:prSet phldrT="[Text]" custT="1"/>
      <dgm:spPr/>
      <dgm:t>
        <a:bodyPr/>
        <a:lstStyle/>
        <a:p>
          <a:r>
            <a:rPr lang="en-US" sz="1100" dirty="0" smtClean="0"/>
            <a:t>Outputs the steady-state state variable solution (</a:t>
          </a:r>
          <a:r>
            <a:rPr lang="en-US" sz="1100" dirty="0" err="1" smtClean="0"/>
            <a:t>Xss</a:t>
          </a:r>
          <a:r>
            <a:rPr lang="en-US" sz="1100" dirty="0" smtClean="0"/>
            <a:t>) at the stated faulty input variable and/or parameter values</a:t>
          </a:r>
          <a:endParaRPr lang="en-US" sz="1100" dirty="0"/>
        </a:p>
      </dgm:t>
    </dgm:pt>
    <dgm:pt modelId="{885A070F-2D2B-4141-A3E8-5C2C407EA9B7}" type="parTrans" cxnId="{BBE1E1D3-2AC0-4BEF-A74E-25B16D3749E5}">
      <dgm:prSet/>
      <dgm:spPr/>
      <dgm:t>
        <a:bodyPr/>
        <a:lstStyle/>
        <a:p>
          <a:endParaRPr lang="en-US" sz="1000"/>
        </a:p>
      </dgm:t>
    </dgm:pt>
    <dgm:pt modelId="{52B19117-AD4D-4206-BA31-288685C23E0E}" type="sibTrans" cxnId="{BBE1E1D3-2AC0-4BEF-A74E-25B16D3749E5}">
      <dgm:prSet/>
      <dgm:spPr/>
      <dgm:t>
        <a:bodyPr/>
        <a:lstStyle/>
        <a:p>
          <a:endParaRPr lang="en-US" sz="1000"/>
        </a:p>
      </dgm:t>
    </dgm:pt>
    <dgm:pt modelId="{66E0B852-BDD3-4763-B55F-3C8A9F5F52EA}">
      <dgm:prSet custT="1"/>
      <dgm:spPr/>
      <dgm:t>
        <a:bodyPr/>
        <a:lstStyle/>
        <a:p>
          <a:r>
            <a:rPr lang="en-US" sz="1400" dirty="0" err="1" smtClean="0"/>
            <a:t>OMB_case#.m</a:t>
          </a:r>
          <a:endParaRPr lang="en-US" sz="1400" dirty="0"/>
        </a:p>
      </dgm:t>
    </dgm:pt>
    <dgm:pt modelId="{CA8520B3-D504-4D48-9136-221A04168FC6}" type="parTrans" cxnId="{A50F85EF-068F-452B-9924-D111E4CD4E05}">
      <dgm:prSet/>
      <dgm:spPr/>
      <dgm:t>
        <a:bodyPr/>
        <a:lstStyle/>
        <a:p>
          <a:endParaRPr lang="en-US" sz="1000"/>
        </a:p>
      </dgm:t>
    </dgm:pt>
    <dgm:pt modelId="{2253860C-D778-47CB-9AAC-1933E40EDF4D}" type="sibTrans" cxnId="{A50F85EF-068F-452B-9924-D111E4CD4E05}">
      <dgm:prSet/>
      <dgm:spPr/>
      <dgm:t>
        <a:bodyPr/>
        <a:lstStyle/>
        <a:p>
          <a:endParaRPr lang="en-US" sz="1000"/>
        </a:p>
      </dgm:t>
    </dgm:pt>
    <dgm:pt modelId="{154683DB-C4D7-4FB1-B853-82EB8B297DB3}">
      <dgm:prSet custT="1"/>
      <dgm:spPr/>
      <dgm:t>
        <a:bodyPr/>
        <a:lstStyle/>
        <a:p>
          <a:r>
            <a:rPr lang="en-US" sz="1400" dirty="0" err="1" smtClean="0"/>
            <a:t>C#_data.m</a:t>
          </a:r>
          <a:endParaRPr lang="en-US" sz="1400" dirty="0"/>
        </a:p>
      </dgm:t>
    </dgm:pt>
    <dgm:pt modelId="{8E8DB9FF-DDBF-4589-8838-07434F1F4E7B}" type="parTrans" cxnId="{7587662C-7AF1-4F1B-B98D-53E13C322383}">
      <dgm:prSet/>
      <dgm:spPr/>
      <dgm:t>
        <a:bodyPr/>
        <a:lstStyle/>
        <a:p>
          <a:endParaRPr lang="en-US" sz="1000"/>
        </a:p>
      </dgm:t>
    </dgm:pt>
    <dgm:pt modelId="{19BCD016-15AA-42B2-9097-E17DD1A00D8D}" type="sibTrans" cxnId="{7587662C-7AF1-4F1B-B98D-53E13C322383}">
      <dgm:prSet/>
      <dgm:spPr/>
      <dgm:t>
        <a:bodyPr/>
        <a:lstStyle/>
        <a:p>
          <a:endParaRPr lang="en-US" sz="1000"/>
        </a:p>
      </dgm:t>
    </dgm:pt>
    <dgm:pt modelId="{805BAFF7-DCFD-4ABF-9E48-9619428CE0DB}">
      <dgm:prSet phldrT="[Text]" custT="1"/>
      <dgm:spPr/>
      <dgm:t>
        <a:bodyPr/>
        <a:lstStyle/>
        <a:p>
          <a:r>
            <a:rPr lang="en-US" sz="1100" dirty="0" smtClean="0"/>
            <a:t>Also loads the steady-state input variables</a:t>
          </a:r>
          <a:endParaRPr lang="en-US" sz="1100" dirty="0"/>
        </a:p>
      </dgm:t>
    </dgm:pt>
    <dgm:pt modelId="{88E3EF0A-8861-4984-BE7A-B2CEB9D52A15}" type="parTrans" cxnId="{0C991524-4F98-4424-BFB5-5D687263FEEE}">
      <dgm:prSet/>
      <dgm:spPr/>
      <dgm:t>
        <a:bodyPr/>
        <a:lstStyle/>
        <a:p>
          <a:endParaRPr lang="en-US" sz="1000"/>
        </a:p>
      </dgm:t>
    </dgm:pt>
    <dgm:pt modelId="{3F92C7C7-F58D-4ED3-9E24-A7782779C08F}" type="sibTrans" cxnId="{0C991524-4F98-4424-BFB5-5D687263FEEE}">
      <dgm:prSet/>
      <dgm:spPr/>
      <dgm:t>
        <a:bodyPr/>
        <a:lstStyle/>
        <a:p>
          <a:endParaRPr lang="en-US" sz="1000"/>
        </a:p>
      </dgm:t>
    </dgm:pt>
    <dgm:pt modelId="{20609284-5A94-4400-9642-9187FB6A3879}">
      <dgm:prSet phldrT="[Text]" custT="1"/>
      <dgm:spPr/>
      <dgm:t>
        <a:bodyPr/>
        <a:lstStyle/>
        <a:p>
          <a:r>
            <a:rPr lang="en-US" sz="1100" dirty="0" smtClean="0"/>
            <a:t>Output is </a:t>
          </a:r>
          <a:r>
            <a:rPr lang="en-US" sz="1100" dirty="0" err="1" smtClean="0"/>
            <a:t>Xdot</a:t>
          </a:r>
          <a:r>
            <a:rPr lang="en-US" sz="1100" dirty="0" smtClean="0"/>
            <a:t> and is equal to that evaluated from </a:t>
          </a:r>
          <a:r>
            <a:rPr lang="en-US" sz="1100" dirty="0" err="1" smtClean="0"/>
            <a:t>fsolve_case#.m</a:t>
          </a:r>
          <a:endParaRPr lang="en-US" sz="1100" dirty="0"/>
        </a:p>
      </dgm:t>
    </dgm:pt>
    <dgm:pt modelId="{885A5267-59B0-4F9C-A22D-28C1505D6219}" type="parTrans" cxnId="{3632A25D-56B5-416A-8610-953DEB9B7F6C}">
      <dgm:prSet/>
      <dgm:spPr/>
      <dgm:t>
        <a:bodyPr/>
        <a:lstStyle/>
        <a:p>
          <a:endParaRPr lang="en-US" sz="1000"/>
        </a:p>
      </dgm:t>
    </dgm:pt>
    <dgm:pt modelId="{56D3B4A5-7A29-438D-8380-D3988A73E297}" type="sibTrans" cxnId="{3632A25D-56B5-416A-8610-953DEB9B7F6C}">
      <dgm:prSet/>
      <dgm:spPr/>
      <dgm:t>
        <a:bodyPr/>
        <a:lstStyle/>
        <a:p>
          <a:endParaRPr lang="en-US" sz="1000"/>
        </a:p>
      </dgm:t>
    </dgm:pt>
    <dgm:pt modelId="{031076DD-A38E-4C76-BEF7-25E4AC2EDE37}">
      <dgm:prSet phldrT="[Text]" custT="1"/>
      <dgm:spPr/>
      <dgm:t>
        <a:bodyPr/>
        <a:lstStyle/>
        <a:p>
          <a:r>
            <a:rPr lang="en-US" sz="1100" dirty="0" smtClean="0"/>
            <a:t>The solution for </a:t>
          </a:r>
          <a:r>
            <a:rPr lang="en-US" sz="1100" dirty="0" err="1" smtClean="0"/>
            <a:t>Xdot</a:t>
          </a:r>
          <a:r>
            <a:rPr lang="en-US" sz="1100" dirty="0" smtClean="0"/>
            <a:t> should be zero</a:t>
          </a:r>
          <a:endParaRPr lang="en-US" sz="1100" dirty="0"/>
        </a:p>
      </dgm:t>
    </dgm:pt>
    <dgm:pt modelId="{6806C6DA-AB5C-4E3D-813C-526155789E8C}" type="parTrans" cxnId="{43D3229C-480E-4458-8DF7-70B72021BDBD}">
      <dgm:prSet/>
      <dgm:spPr/>
      <dgm:t>
        <a:bodyPr/>
        <a:lstStyle/>
        <a:p>
          <a:endParaRPr lang="en-US" sz="1000"/>
        </a:p>
      </dgm:t>
    </dgm:pt>
    <dgm:pt modelId="{C74708A5-1540-4775-A705-18F3012762FF}" type="sibTrans" cxnId="{43D3229C-480E-4458-8DF7-70B72021BDBD}">
      <dgm:prSet/>
      <dgm:spPr/>
      <dgm:t>
        <a:bodyPr/>
        <a:lstStyle/>
        <a:p>
          <a:endParaRPr lang="en-US" sz="1000"/>
        </a:p>
      </dgm:t>
    </dgm:pt>
    <dgm:pt modelId="{D57DC686-0BB7-4185-B0AB-9E05CD597A82}">
      <dgm:prSet custT="1"/>
      <dgm:spPr/>
      <dgm:t>
        <a:bodyPr/>
        <a:lstStyle/>
        <a:p>
          <a:r>
            <a:rPr lang="en-US" sz="1100" dirty="0" smtClean="0"/>
            <a:t>Checks the overall material balance for each module</a:t>
          </a:r>
          <a:endParaRPr lang="en-US" sz="1100" dirty="0"/>
        </a:p>
      </dgm:t>
    </dgm:pt>
    <dgm:pt modelId="{97DD2ED2-7EBF-405F-9BA0-C612600A742A}" type="parTrans" cxnId="{C80DDC44-FC6B-4512-B87D-D1515C214A5A}">
      <dgm:prSet/>
      <dgm:spPr/>
      <dgm:t>
        <a:bodyPr/>
        <a:lstStyle/>
        <a:p>
          <a:endParaRPr lang="en-US" sz="1000"/>
        </a:p>
      </dgm:t>
    </dgm:pt>
    <dgm:pt modelId="{9C93AE36-3EC7-4159-B234-DCB95BC2C059}" type="sibTrans" cxnId="{C80DDC44-FC6B-4512-B87D-D1515C214A5A}">
      <dgm:prSet/>
      <dgm:spPr/>
      <dgm:t>
        <a:bodyPr/>
        <a:lstStyle/>
        <a:p>
          <a:endParaRPr lang="en-US" sz="1000"/>
        </a:p>
      </dgm:t>
    </dgm:pt>
    <dgm:pt modelId="{CA3527FD-28A4-4C65-BC25-F15180BBC2D6}">
      <dgm:prSet custT="1"/>
      <dgm:spPr/>
      <dgm:t>
        <a:bodyPr/>
        <a:lstStyle/>
        <a:p>
          <a:r>
            <a:rPr lang="en-US" sz="1100" dirty="0" smtClean="0"/>
            <a:t>The solution for the overall mass balance should be zero</a:t>
          </a:r>
          <a:endParaRPr lang="en-US" sz="1100" dirty="0"/>
        </a:p>
      </dgm:t>
    </dgm:pt>
    <dgm:pt modelId="{E41ED2FA-48C2-45E4-AED0-E5603EB1F335}" type="parTrans" cxnId="{2E4EE3EE-2DFB-4B7E-85D7-76D02D5C000E}">
      <dgm:prSet/>
      <dgm:spPr/>
      <dgm:t>
        <a:bodyPr/>
        <a:lstStyle/>
        <a:p>
          <a:endParaRPr lang="en-US" sz="1000"/>
        </a:p>
      </dgm:t>
    </dgm:pt>
    <dgm:pt modelId="{44DB3C1B-2E9E-4B1B-94CD-C76245885D8F}" type="sibTrans" cxnId="{2E4EE3EE-2DFB-4B7E-85D7-76D02D5C000E}">
      <dgm:prSet/>
      <dgm:spPr/>
      <dgm:t>
        <a:bodyPr/>
        <a:lstStyle/>
        <a:p>
          <a:endParaRPr lang="en-US" sz="1000"/>
        </a:p>
      </dgm:t>
    </dgm:pt>
    <dgm:pt modelId="{66D93A9A-E354-4BB4-BA52-73B470FBBB30}">
      <dgm:prSet custT="1"/>
      <dgm:spPr/>
      <dgm:t>
        <a:bodyPr/>
        <a:lstStyle/>
        <a:p>
          <a:r>
            <a:rPr lang="en-US" sz="1100" dirty="0" smtClean="0"/>
            <a:t>Calls </a:t>
          </a:r>
          <a:r>
            <a:rPr lang="en-US" sz="1100" dirty="0" err="1" smtClean="0"/>
            <a:t>NUCP_case#.m</a:t>
          </a:r>
          <a:endParaRPr lang="en-US" sz="1100" dirty="0"/>
        </a:p>
      </dgm:t>
    </dgm:pt>
    <dgm:pt modelId="{681A4E63-74AD-4689-8BB5-73ED225304CD}" type="parTrans" cxnId="{56073756-50FD-42B5-BF66-8AD1A5F1A0E0}">
      <dgm:prSet/>
      <dgm:spPr/>
      <dgm:t>
        <a:bodyPr/>
        <a:lstStyle/>
        <a:p>
          <a:endParaRPr lang="en-US" sz="1000"/>
        </a:p>
      </dgm:t>
    </dgm:pt>
    <dgm:pt modelId="{5A35DFDB-6345-43E8-84D8-FE2DFFBD8115}" type="sibTrans" cxnId="{56073756-50FD-42B5-BF66-8AD1A5F1A0E0}">
      <dgm:prSet/>
      <dgm:spPr/>
      <dgm:t>
        <a:bodyPr/>
        <a:lstStyle/>
        <a:p>
          <a:endParaRPr lang="en-US" sz="1000"/>
        </a:p>
      </dgm:t>
    </dgm:pt>
    <dgm:pt modelId="{02DD5528-2FD7-4D27-9CAC-0C242070ED23}">
      <dgm:prSet custT="1"/>
      <dgm:spPr/>
      <dgm:t>
        <a:bodyPr/>
        <a:lstStyle/>
        <a:p>
          <a:r>
            <a:rPr lang="en-US" sz="1100" dirty="0" smtClean="0"/>
            <a:t>Generates the faulty case data matrix by varying the input variables using nested loops</a:t>
          </a:r>
          <a:endParaRPr lang="en-US" sz="1100" dirty="0"/>
        </a:p>
      </dgm:t>
    </dgm:pt>
    <dgm:pt modelId="{2FADC9E8-8AA7-4395-8FED-AF59E9B7D715}" type="parTrans" cxnId="{7B6FCD47-9943-4D59-844E-FE1E0143BED0}">
      <dgm:prSet/>
      <dgm:spPr/>
      <dgm:t>
        <a:bodyPr/>
        <a:lstStyle/>
        <a:p>
          <a:endParaRPr lang="en-US" sz="1000"/>
        </a:p>
      </dgm:t>
    </dgm:pt>
    <dgm:pt modelId="{072F0035-C4C1-40D5-96B9-849012DF5AE1}" type="sibTrans" cxnId="{7B6FCD47-9943-4D59-844E-FE1E0143BED0}">
      <dgm:prSet/>
      <dgm:spPr/>
      <dgm:t>
        <a:bodyPr/>
        <a:lstStyle/>
        <a:p>
          <a:endParaRPr lang="en-US" sz="1000"/>
        </a:p>
      </dgm:t>
    </dgm:pt>
    <dgm:pt modelId="{2D6DD07C-D7CC-4E7D-AA02-6A29AE84EF26}">
      <dgm:prSet custT="1"/>
      <dgm:spPr/>
      <dgm:t>
        <a:bodyPr/>
        <a:lstStyle/>
        <a:p>
          <a:r>
            <a:rPr lang="en-US" sz="1400" dirty="0" err="1" smtClean="0"/>
            <a:t>PCA_model_#.m</a:t>
          </a:r>
          <a:endParaRPr lang="en-US" sz="1400" dirty="0"/>
        </a:p>
      </dgm:t>
    </dgm:pt>
    <dgm:pt modelId="{346145B0-EB8C-4B7C-81FA-8A7CEC6116FD}" type="parTrans" cxnId="{9D122009-215C-4013-96A2-B6707F111110}">
      <dgm:prSet/>
      <dgm:spPr/>
      <dgm:t>
        <a:bodyPr/>
        <a:lstStyle/>
        <a:p>
          <a:endParaRPr lang="en-US" sz="1000"/>
        </a:p>
      </dgm:t>
    </dgm:pt>
    <dgm:pt modelId="{74875941-CF22-4EFD-A039-1680D4A6F5FB}" type="sibTrans" cxnId="{9D122009-215C-4013-96A2-B6707F111110}">
      <dgm:prSet/>
      <dgm:spPr/>
      <dgm:t>
        <a:bodyPr/>
        <a:lstStyle/>
        <a:p>
          <a:endParaRPr lang="en-US" sz="1000"/>
        </a:p>
      </dgm:t>
    </dgm:pt>
    <dgm:pt modelId="{2243C2F3-051F-402C-A613-71C00326F903}">
      <dgm:prSet custT="1"/>
      <dgm:spPr/>
      <dgm:t>
        <a:bodyPr/>
        <a:lstStyle/>
        <a:p>
          <a:r>
            <a:rPr lang="en-US" sz="1100" dirty="0" smtClean="0"/>
            <a:t>Adds Gaussian white noise to the faulty case data matrix and checks that noise is properly scaled</a:t>
          </a:r>
          <a:endParaRPr lang="en-US" sz="1100" dirty="0"/>
        </a:p>
      </dgm:t>
    </dgm:pt>
    <dgm:pt modelId="{6DA005F7-F773-4258-83ED-94040ABC2EDB}" type="parTrans" cxnId="{4D48101B-1249-43EB-A1F9-E503C514E173}">
      <dgm:prSet/>
      <dgm:spPr/>
      <dgm:t>
        <a:bodyPr/>
        <a:lstStyle/>
        <a:p>
          <a:endParaRPr lang="en-US" sz="1000"/>
        </a:p>
      </dgm:t>
    </dgm:pt>
    <dgm:pt modelId="{4019429F-9852-4FAE-83C5-195E337539CF}" type="sibTrans" cxnId="{4D48101B-1249-43EB-A1F9-E503C514E173}">
      <dgm:prSet/>
      <dgm:spPr/>
      <dgm:t>
        <a:bodyPr/>
        <a:lstStyle/>
        <a:p>
          <a:endParaRPr lang="en-US" sz="1000"/>
        </a:p>
      </dgm:t>
    </dgm:pt>
    <dgm:pt modelId="{D64FE8D1-2F35-42A0-A182-70A4DCB39035}">
      <dgm:prSet custT="1"/>
      <dgm:spPr/>
      <dgm:t>
        <a:bodyPr/>
        <a:lstStyle/>
        <a:p>
          <a:r>
            <a:rPr lang="en-US" sz="1100" dirty="0" smtClean="0"/>
            <a:t>Pre-processes the noisy data (normalize, mean-center, and scale) using the base case mean and standard deviation(s)</a:t>
          </a:r>
          <a:endParaRPr lang="en-US" sz="1100" dirty="0"/>
        </a:p>
      </dgm:t>
    </dgm:pt>
    <dgm:pt modelId="{C7BD7A4F-77FD-4747-81AD-BA1B7FC64745}" type="parTrans" cxnId="{8CAF094D-B9F5-47EB-AD99-8C032FE23A3A}">
      <dgm:prSet/>
      <dgm:spPr/>
      <dgm:t>
        <a:bodyPr/>
        <a:lstStyle/>
        <a:p>
          <a:endParaRPr lang="en-US" sz="1000"/>
        </a:p>
      </dgm:t>
    </dgm:pt>
    <dgm:pt modelId="{07E5EA7B-CC96-4361-B223-8B1613149F33}" type="sibTrans" cxnId="{8CAF094D-B9F5-47EB-AD99-8C032FE23A3A}">
      <dgm:prSet/>
      <dgm:spPr/>
      <dgm:t>
        <a:bodyPr/>
        <a:lstStyle/>
        <a:p>
          <a:endParaRPr lang="en-US" sz="1000"/>
        </a:p>
      </dgm:t>
    </dgm:pt>
    <dgm:pt modelId="{B6B785B4-BB1D-4D69-9407-E3E84631A43D}">
      <dgm:prSet custT="1"/>
      <dgm:spPr/>
      <dgm:t>
        <a:bodyPr/>
        <a:lstStyle/>
        <a:p>
          <a:r>
            <a:rPr lang="en-US" sz="1100" dirty="0" smtClean="0"/>
            <a:t>Computes the scores, the </a:t>
          </a:r>
          <a:r>
            <a:rPr lang="en-US" sz="1100" dirty="0" err="1" smtClean="0"/>
            <a:t>Mahalanobis</a:t>
          </a:r>
          <a:r>
            <a:rPr lang="en-US" sz="1100" dirty="0" smtClean="0"/>
            <a:t> distance, and the Q-statistic using the base case reduced scores and singular values</a:t>
          </a:r>
          <a:endParaRPr lang="en-US" sz="1100" dirty="0"/>
        </a:p>
      </dgm:t>
    </dgm:pt>
    <dgm:pt modelId="{4F06C25C-8E70-4297-BD1F-A61AD17D4650}" type="parTrans" cxnId="{DA51BFAE-FBDC-4492-BAD1-5AF2233A523E}">
      <dgm:prSet/>
      <dgm:spPr/>
      <dgm:t>
        <a:bodyPr/>
        <a:lstStyle/>
        <a:p>
          <a:endParaRPr lang="en-US" sz="1000"/>
        </a:p>
      </dgm:t>
    </dgm:pt>
    <dgm:pt modelId="{8B7C219F-95CB-46A7-91A4-5F0E53D760CA}" type="sibTrans" cxnId="{DA51BFAE-FBDC-4492-BAD1-5AF2233A523E}">
      <dgm:prSet/>
      <dgm:spPr/>
      <dgm:t>
        <a:bodyPr/>
        <a:lstStyle/>
        <a:p>
          <a:endParaRPr lang="en-US" sz="1000"/>
        </a:p>
      </dgm:t>
    </dgm:pt>
    <dgm:pt modelId="{78454EFD-5CA7-4746-B71D-363ECAF43FEB}">
      <dgm:prSet custT="1"/>
      <dgm:spPr/>
      <dgm:t>
        <a:bodyPr/>
        <a:lstStyle/>
        <a:p>
          <a:r>
            <a:rPr lang="en-US" sz="1100" dirty="0" smtClean="0"/>
            <a:t>Draws the diagnostic plots as done with </a:t>
          </a:r>
          <a:r>
            <a:rPr lang="en-US" sz="1100" dirty="0" err="1" smtClean="0"/>
            <a:t>PCA_BCfigures.m</a:t>
          </a:r>
          <a:r>
            <a:rPr lang="en-US" sz="1100" dirty="0" smtClean="0"/>
            <a:t> using the base case confidence boundaries and including the base case data for comparison</a:t>
          </a:r>
          <a:endParaRPr lang="en-US" sz="1100" dirty="0"/>
        </a:p>
      </dgm:t>
    </dgm:pt>
    <dgm:pt modelId="{0043F110-B4B9-4D5C-A135-1E8E0C75694E}" type="parTrans" cxnId="{8FBB2132-09C1-4F67-91AB-5F5A0366AAF3}">
      <dgm:prSet/>
      <dgm:spPr/>
      <dgm:t>
        <a:bodyPr/>
        <a:lstStyle/>
        <a:p>
          <a:endParaRPr lang="en-US" sz="1000"/>
        </a:p>
      </dgm:t>
    </dgm:pt>
    <dgm:pt modelId="{CB4556B9-EC5C-48D2-944B-3A8589E15204}" type="sibTrans" cxnId="{8FBB2132-09C1-4F67-91AB-5F5A0366AAF3}">
      <dgm:prSet/>
      <dgm:spPr/>
      <dgm:t>
        <a:bodyPr/>
        <a:lstStyle/>
        <a:p>
          <a:endParaRPr lang="en-US" sz="1000"/>
        </a:p>
      </dgm:t>
    </dgm:pt>
    <dgm:pt modelId="{17232D83-F101-4390-911C-68D8DE8F5131}">
      <dgm:prSet custT="1"/>
      <dgm:spPr/>
      <dgm:t>
        <a:bodyPr/>
        <a:lstStyle/>
        <a:p>
          <a:r>
            <a:rPr lang="en-US" sz="1100" dirty="0" smtClean="0"/>
            <a:t>The system of equations must match those in </a:t>
          </a:r>
          <a:r>
            <a:rPr lang="en-US" sz="1100" dirty="0" err="1" smtClean="0"/>
            <a:t>Xss_case#.m</a:t>
          </a:r>
          <a:endParaRPr lang="en-US" sz="1100" dirty="0"/>
        </a:p>
      </dgm:t>
    </dgm:pt>
    <dgm:pt modelId="{446DD3C5-F4F2-456B-A953-7DDB955982DC}" type="parTrans" cxnId="{F21EFF51-4B88-4901-91E5-2309227D4FAD}">
      <dgm:prSet/>
      <dgm:spPr/>
      <dgm:t>
        <a:bodyPr/>
        <a:lstStyle/>
        <a:p>
          <a:endParaRPr lang="en-US" sz="1000"/>
        </a:p>
      </dgm:t>
    </dgm:pt>
    <dgm:pt modelId="{731ADDED-7679-46C8-B6D2-D38F98A7AF54}" type="sibTrans" cxnId="{F21EFF51-4B88-4901-91E5-2309227D4FAD}">
      <dgm:prSet/>
      <dgm:spPr/>
      <dgm:t>
        <a:bodyPr/>
        <a:lstStyle/>
        <a:p>
          <a:endParaRPr lang="en-US" sz="1000"/>
        </a:p>
      </dgm:t>
    </dgm:pt>
    <dgm:pt modelId="{720E497F-F7DF-4561-96DB-239426C8A39F}" type="pres">
      <dgm:prSet presAssocID="{486B40DA-289F-40DD-B975-FC00971B3623}" presName="linearFlow" presStyleCnt="0">
        <dgm:presLayoutVars>
          <dgm:dir/>
          <dgm:animLvl val="lvl"/>
          <dgm:resizeHandles val="exact"/>
        </dgm:presLayoutVars>
      </dgm:prSet>
      <dgm:spPr/>
      <dgm:t>
        <a:bodyPr/>
        <a:lstStyle/>
        <a:p>
          <a:endParaRPr lang="en-US"/>
        </a:p>
      </dgm:t>
    </dgm:pt>
    <dgm:pt modelId="{403C7731-EE93-4AFA-BBA4-EE3CE377EF60}" type="pres">
      <dgm:prSet presAssocID="{82E10AFA-404E-4339-8656-0FB98503443A}" presName="composite" presStyleCnt="0"/>
      <dgm:spPr/>
      <dgm:t>
        <a:bodyPr/>
        <a:lstStyle/>
        <a:p>
          <a:endParaRPr lang="en-US"/>
        </a:p>
      </dgm:t>
    </dgm:pt>
    <dgm:pt modelId="{A66D165E-8C89-4C08-9CC7-BFBED6404D8D}" type="pres">
      <dgm:prSet presAssocID="{82E10AFA-404E-4339-8656-0FB98503443A}" presName="parentText" presStyleLbl="alignNode1" presStyleIdx="0" presStyleCnt="6">
        <dgm:presLayoutVars>
          <dgm:chMax val="1"/>
          <dgm:bulletEnabled val="1"/>
        </dgm:presLayoutVars>
      </dgm:prSet>
      <dgm:spPr/>
      <dgm:t>
        <a:bodyPr/>
        <a:lstStyle/>
        <a:p>
          <a:endParaRPr lang="en-US"/>
        </a:p>
      </dgm:t>
    </dgm:pt>
    <dgm:pt modelId="{E14DF492-ECA6-4D35-8F08-A5E28B143C8E}" type="pres">
      <dgm:prSet presAssocID="{82E10AFA-404E-4339-8656-0FB98503443A}" presName="descendantText" presStyleLbl="alignAcc1" presStyleIdx="0" presStyleCnt="6" custScaleY="113853" custLinFactNeighborY="1303">
        <dgm:presLayoutVars>
          <dgm:bulletEnabled val="1"/>
        </dgm:presLayoutVars>
      </dgm:prSet>
      <dgm:spPr/>
      <dgm:t>
        <a:bodyPr/>
        <a:lstStyle/>
        <a:p>
          <a:endParaRPr lang="en-US"/>
        </a:p>
      </dgm:t>
    </dgm:pt>
    <dgm:pt modelId="{58E10DB7-BFDF-4B0F-9E56-5DD73DB753B7}" type="pres">
      <dgm:prSet presAssocID="{31BD9361-753C-4C5A-8BDE-15DA0883672A}" presName="sp" presStyleCnt="0"/>
      <dgm:spPr/>
      <dgm:t>
        <a:bodyPr/>
        <a:lstStyle/>
        <a:p>
          <a:endParaRPr lang="en-US"/>
        </a:p>
      </dgm:t>
    </dgm:pt>
    <dgm:pt modelId="{AEC9E61E-68AC-42FF-A8A6-64840A99E8B7}" type="pres">
      <dgm:prSet presAssocID="{D77BB04A-657C-487C-B61E-07FF80E85C58}" presName="composite" presStyleCnt="0"/>
      <dgm:spPr/>
      <dgm:t>
        <a:bodyPr/>
        <a:lstStyle/>
        <a:p>
          <a:endParaRPr lang="en-US"/>
        </a:p>
      </dgm:t>
    </dgm:pt>
    <dgm:pt modelId="{0EB76CFE-17E5-4BE1-9942-91090D3B64A8}" type="pres">
      <dgm:prSet presAssocID="{D77BB04A-657C-487C-B61E-07FF80E85C58}" presName="parentText" presStyleLbl="alignNode1" presStyleIdx="1" presStyleCnt="6">
        <dgm:presLayoutVars>
          <dgm:chMax val="1"/>
          <dgm:bulletEnabled val="1"/>
        </dgm:presLayoutVars>
      </dgm:prSet>
      <dgm:spPr/>
      <dgm:t>
        <a:bodyPr/>
        <a:lstStyle/>
        <a:p>
          <a:endParaRPr lang="en-US"/>
        </a:p>
      </dgm:t>
    </dgm:pt>
    <dgm:pt modelId="{11914B9B-2930-4180-998A-517DB891CDFA}" type="pres">
      <dgm:prSet presAssocID="{D77BB04A-657C-487C-B61E-07FF80E85C58}" presName="descendantText" presStyleLbl="alignAcc1" presStyleIdx="1" presStyleCnt="6">
        <dgm:presLayoutVars>
          <dgm:bulletEnabled val="1"/>
        </dgm:presLayoutVars>
      </dgm:prSet>
      <dgm:spPr/>
      <dgm:t>
        <a:bodyPr/>
        <a:lstStyle/>
        <a:p>
          <a:endParaRPr lang="en-US"/>
        </a:p>
      </dgm:t>
    </dgm:pt>
    <dgm:pt modelId="{8223E646-F868-4F69-B31D-EEC21E3DB79A}" type="pres">
      <dgm:prSet presAssocID="{F970A177-660A-4FFE-A4E9-B3F5D4F6376B}" presName="sp" presStyleCnt="0"/>
      <dgm:spPr/>
      <dgm:t>
        <a:bodyPr/>
        <a:lstStyle/>
        <a:p>
          <a:endParaRPr lang="en-US"/>
        </a:p>
      </dgm:t>
    </dgm:pt>
    <dgm:pt modelId="{C3307DAA-E211-4F78-A463-31B14CAA6DBD}" type="pres">
      <dgm:prSet presAssocID="{DF8DF6E3-514C-49BC-A223-6AF926A445CE}" presName="composite" presStyleCnt="0"/>
      <dgm:spPr/>
      <dgm:t>
        <a:bodyPr/>
        <a:lstStyle/>
        <a:p>
          <a:endParaRPr lang="en-US"/>
        </a:p>
      </dgm:t>
    </dgm:pt>
    <dgm:pt modelId="{D9CAD62A-9120-40C2-B565-F5FF263B195F}" type="pres">
      <dgm:prSet presAssocID="{DF8DF6E3-514C-49BC-A223-6AF926A445CE}" presName="parentText" presStyleLbl="alignNode1" presStyleIdx="2" presStyleCnt="6">
        <dgm:presLayoutVars>
          <dgm:chMax val="1"/>
          <dgm:bulletEnabled val="1"/>
        </dgm:presLayoutVars>
      </dgm:prSet>
      <dgm:spPr/>
      <dgm:t>
        <a:bodyPr/>
        <a:lstStyle/>
        <a:p>
          <a:endParaRPr lang="en-US"/>
        </a:p>
      </dgm:t>
    </dgm:pt>
    <dgm:pt modelId="{AC437C47-DFF3-4634-A88B-B4912BE7CEDB}" type="pres">
      <dgm:prSet presAssocID="{DF8DF6E3-514C-49BC-A223-6AF926A445CE}" presName="descendantText" presStyleLbl="alignAcc1" presStyleIdx="2" presStyleCnt="6">
        <dgm:presLayoutVars>
          <dgm:bulletEnabled val="1"/>
        </dgm:presLayoutVars>
      </dgm:prSet>
      <dgm:spPr/>
      <dgm:t>
        <a:bodyPr/>
        <a:lstStyle/>
        <a:p>
          <a:endParaRPr lang="en-US"/>
        </a:p>
      </dgm:t>
    </dgm:pt>
    <dgm:pt modelId="{EDEE9002-E6D2-4D7F-BBB0-806218036379}" type="pres">
      <dgm:prSet presAssocID="{4FC3B03E-CF8B-4B79-9971-B3BED78EE409}" presName="sp" presStyleCnt="0"/>
      <dgm:spPr/>
      <dgm:t>
        <a:bodyPr/>
        <a:lstStyle/>
        <a:p>
          <a:endParaRPr lang="en-US"/>
        </a:p>
      </dgm:t>
    </dgm:pt>
    <dgm:pt modelId="{BA309B40-FB03-43DA-8878-A99E8A389F7E}" type="pres">
      <dgm:prSet presAssocID="{66E0B852-BDD3-4763-B55F-3C8A9F5F52EA}" presName="composite" presStyleCnt="0"/>
      <dgm:spPr/>
      <dgm:t>
        <a:bodyPr/>
        <a:lstStyle/>
        <a:p>
          <a:endParaRPr lang="en-US"/>
        </a:p>
      </dgm:t>
    </dgm:pt>
    <dgm:pt modelId="{744E30F5-636C-4BE4-BAED-2A3CBA746B5F}" type="pres">
      <dgm:prSet presAssocID="{66E0B852-BDD3-4763-B55F-3C8A9F5F52EA}" presName="parentText" presStyleLbl="alignNode1" presStyleIdx="3" presStyleCnt="6">
        <dgm:presLayoutVars>
          <dgm:chMax val="1"/>
          <dgm:bulletEnabled val="1"/>
        </dgm:presLayoutVars>
      </dgm:prSet>
      <dgm:spPr/>
      <dgm:t>
        <a:bodyPr/>
        <a:lstStyle/>
        <a:p>
          <a:endParaRPr lang="en-US"/>
        </a:p>
      </dgm:t>
    </dgm:pt>
    <dgm:pt modelId="{932FFCE6-19B4-4482-8EE3-E2BA6F008FCE}" type="pres">
      <dgm:prSet presAssocID="{66E0B852-BDD3-4763-B55F-3C8A9F5F52EA}" presName="descendantText" presStyleLbl="alignAcc1" presStyleIdx="3" presStyleCnt="6">
        <dgm:presLayoutVars>
          <dgm:bulletEnabled val="1"/>
        </dgm:presLayoutVars>
      </dgm:prSet>
      <dgm:spPr/>
      <dgm:t>
        <a:bodyPr/>
        <a:lstStyle/>
        <a:p>
          <a:endParaRPr lang="en-US"/>
        </a:p>
      </dgm:t>
    </dgm:pt>
    <dgm:pt modelId="{113EF44E-9B55-49EE-AA50-5EDA5C92FB7D}" type="pres">
      <dgm:prSet presAssocID="{2253860C-D778-47CB-9AAC-1933E40EDF4D}" presName="sp" presStyleCnt="0"/>
      <dgm:spPr/>
      <dgm:t>
        <a:bodyPr/>
        <a:lstStyle/>
        <a:p>
          <a:endParaRPr lang="en-US"/>
        </a:p>
      </dgm:t>
    </dgm:pt>
    <dgm:pt modelId="{ED2D15D4-F107-484F-91AA-D626BD085C61}" type="pres">
      <dgm:prSet presAssocID="{154683DB-C4D7-4FB1-B853-82EB8B297DB3}" presName="composite" presStyleCnt="0"/>
      <dgm:spPr/>
      <dgm:t>
        <a:bodyPr/>
        <a:lstStyle/>
        <a:p>
          <a:endParaRPr lang="en-US"/>
        </a:p>
      </dgm:t>
    </dgm:pt>
    <dgm:pt modelId="{8A460E99-18F4-4D53-9554-E2104BF8B2BB}" type="pres">
      <dgm:prSet presAssocID="{154683DB-C4D7-4FB1-B853-82EB8B297DB3}" presName="parentText" presStyleLbl="alignNode1" presStyleIdx="4" presStyleCnt="6">
        <dgm:presLayoutVars>
          <dgm:chMax val="1"/>
          <dgm:bulletEnabled val="1"/>
        </dgm:presLayoutVars>
      </dgm:prSet>
      <dgm:spPr/>
      <dgm:t>
        <a:bodyPr/>
        <a:lstStyle/>
        <a:p>
          <a:endParaRPr lang="en-US"/>
        </a:p>
      </dgm:t>
    </dgm:pt>
    <dgm:pt modelId="{B9379FE0-6EF8-479A-A108-D9A4AAAE5D54}" type="pres">
      <dgm:prSet presAssocID="{154683DB-C4D7-4FB1-B853-82EB8B297DB3}" presName="descendantText" presStyleLbl="alignAcc1" presStyleIdx="4" presStyleCnt="6">
        <dgm:presLayoutVars>
          <dgm:bulletEnabled val="1"/>
        </dgm:presLayoutVars>
      </dgm:prSet>
      <dgm:spPr/>
      <dgm:t>
        <a:bodyPr/>
        <a:lstStyle/>
        <a:p>
          <a:endParaRPr lang="en-US"/>
        </a:p>
      </dgm:t>
    </dgm:pt>
    <dgm:pt modelId="{7366616C-32AD-4EAD-91F3-40E6D982AA02}" type="pres">
      <dgm:prSet presAssocID="{19BCD016-15AA-42B2-9097-E17DD1A00D8D}" presName="sp" presStyleCnt="0"/>
      <dgm:spPr/>
      <dgm:t>
        <a:bodyPr/>
        <a:lstStyle/>
        <a:p>
          <a:endParaRPr lang="en-US"/>
        </a:p>
      </dgm:t>
    </dgm:pt>
    <dgm:pt modelId="{DEF25579-7FD3-4D4E-B7A6-7F49E789C263}" type="pres">
      <dgm:prSet presAssocID="{2D6DD07C-D7CC-4E7D-AA02-6A29AE84EF26}" presName="composite" presStyleCnt="0"/>
      <dgm:spPr/>
      <dgm:t>
        <a:bodyPr/>
        <a:lstStyle/>
        <a:p>
          <a:endParaRPr lang="en-US"/>
        </a:p>
      </dgm:t>
    </dgm:pt>
    <dgm:pt modelId="{6C24CDB4-3A40-4CBC-99FE-80F139DFBC1E}" type="pres">
      <dgm:prSet presAssocID="{2D6DD07C-D7CC-4E7D-AA02-6A29AE84EF26}" presName="parentText" presStyleLbl="alignNode1" presStyleIdx="5" presStyleCnt="6" custLinFactNeighborY="-32404">
        <dgm:presLayoutVars>
          <dgm:chMax val="1"/>
          <dgm:bulletEnabled val="1"/>
        </dgm:presLayoutVars>
      </dgm:prSet>
      <dgm:spPr/>
      <dgm:t>
        <a:bodyPr/>
        <a:lstStyle/>
        <a:p>
          <a:endParaRPr lang="en-US"/>
        </a:p>
      </dgm:t>
    </dgm:pt>
    <dgm:pt modelId="{AD0C3259-E42E-4223-BE17-CB84777BD345}" type="pres">
      <dgm:prSet presAssocID="{2D6DD07C-D7CC-4E7D-AA02-6A29AE84EF26}" presName="descendantText" presStyleLbl="alignAcc1" presStyleIdx="5" presStyleCnt="6" custScaleY="203317">
        <dgm:presLayoutVars>
          <dgm:bulletEnabled val="1"/>
        </dgm:presLayoutVars>
      </dgm:prSet>
      <dgm:spPr/>
      <dgm:t>
        <a:bodyPr/>
        <a:lstStyle/>
        <a:p>
          <a:endParaRPr lang="en-US"/>
        </a:p>
      </dgm:t>
    </dgm:pt>
  </dgm:ptLst>
  <dgm:cxnLst>
    <dgm:cxn modelId="{A3A9CFA6-0044-4D26-9872-D513E13615E8}" srcId="{DF8DF6E3-514C-49BC-A223-6AF926A445CE}" destId="{48E968EC-3145-4397-B12E-B42BB311559B}" srcOrd="1" destOrd="0" parTransId="{CFA58E38-1E6E-49B4-9A26-2BC76953586B}" sibTransId="{409B5069-29F0-4FC9-802C-E97A4EA76E7F}"/>
    <dgm:cxn modelId="{4D48101B-1249-43EB-A1F9-E503C514E173}" srcId="{2D6DD07C-D7CC-4E7D-AA02-6A29AE84EF26}" destId="{2243C2F3-051F-402C-A613-71C00326F903}" srcOrd="0" destOrd="0" parTransId="{6DA005F7-F773-4258-83ED-94040ABC2EDB}" sibTransId="{4019429F-9852-4FAE-83C5-195E337539CF}"/>
    <dgm:cxn modelId="{1DF7A661-3A5A-4FE0-B9EE-222F2E026ABB}" type="presOf" srcId="{55A348C8-D5B6-42A6-8ED3-DEC38E8B899D}" destId="{11914B9B-2930-4180-998A-517DB891CDFA}" srcOrd="0" destOrd="1" presId="urn:microsoft.com/office/officeart/2005/8/layout/chevron2"/>
    <dgm:cxn modelId="{33902585-DA57-4281-83F4-360CE8928B65}" type="presOf" srcId="{66E0B852-BDD3-4763-B55F-3C8A9F5F52EA}" destId="{744E30F5-636C-4BE4-BAED-2A3CBA746B5F}" srcOrd="0" destOrd="0" presId="urn:microsoft.com/office/officeart/2005/8/layout/chevron2"/>
    <dgm:cxn modelId="{AA4D053F-7B7C-48F8-B037-1A053DC20A12}" type="presOf" srcId="{D77BB04A-657C-487C-B61E-07FF80E85C58}" destId="{0EB76CFE-17E5-4BE1-9942-91090D3B64A8}" srcOrd="0" destOrd="0" presId="urn:microsoft.com/office/officeart/2005/8/layout/chevron2"/>
    <dgm:cxn modelId="{647098FD-EC42-4982-B933-9551D881D1FB}" type="presOf" srcId="{DF8DF6E3-514C-49BC-A223-6AF926A445CE}" destId="{D9CAD62A-9120-40C2-B565-F5FF263B195F}" srcOrd="0" destOrd="0" presId="urn:microsoft.com/office/officeart/2005/8/layout/chevron2"/>
    <dgm:cxn modelId="{56073756-50FD-42B5-BF66-8AD1A5F1A0E0}" srcId="{154683DB-C4D7-4FB1-B853-82EB8B297DB3}" destId="{66D93A9A-E354-4BB4-BA52-73B470FBBB30}" srcOrd="0" destOrd="0" parTransId="{681A4E63-74AD-4689-8BB5-73ED225304CD}" sibTransId="{5A35DFDB-6345-43E8-84D8-FE2DFFBD8115}"/>
    <dgm:cxn modelId="{1EA33D35-6DE6-456C-96A1-D3E94EB74FF9}" type="presOf" srcId="{02DD5528-2FD7-4D27-9CAC-0C242070ED23}" destId="{B9379FE0-6EF8-479A-A108-D9A4AAAE5D54}" srcOrd="0" destOrd="2" presId="urn:microsoft.com/office/officeart/2005/8/layout/chevron2"/>
    <dgm:cxn modelId="{C80DDC44-FC6B-4512-B87D-D1515C214A5A}" srcId="{66E0B852-BDD3-4763-B55F-3C8A9F5F52EA}" destId="{D57DC686-0BB7-4185-B0AB-9E05CD597A82}" srcOrd="0" destOrd="0" parTransId="{97DD2ED2-7EBF-405F-9BA0-C612600A742A}" sibTransId="{9C93AE36-3EC7-4159-B234-DCB95BC2C059}"/>
    <dgm:cxn modelId="{601EC00F-F10F-425A-8E95-9688947E7032}" srcId="{82E10AFA-404E-4339-8656-0FB98503443A}" destId="{06AC275C-61BE-4C16-83A4-F351723E05D1}" srcOrd="1" destOrd="0" parTransId="{3299B8AC-A3AA-467D-AD20-8F58C7116E63}" sibTransId="{80BD126D-13B1-4FD3-A6D8-A52D55705EEA}"/>
    <dgm:cxn modelId="{DA770B1E-CD27-4A7E-90CF-45D6B88FA3BB}" srcId="{DF8DF6E3-514C-49BC-A223-6AF926A445CE}" destId="{2D140D5D-ADC6-4C14-886E-6F962AD780F7}" srcOrd="0" destOrd="0" parTransId="{06BE0900-3DC6-4C88-BA70-1700EF1837A1}" sibTransId="{2A2C9C64-A225-4404-9540-879C20BF7A1F}"/>
    <dgm:cxn modelId="{797FA430-84BA-4302-8723-9C801CE24878}" type="presOf" srcId="{48E968EC-3145-4397-B12E-B42BB311559B}" destId="{AC437C47-DFF3-4634-A88B-B4912BE7CEDB}" srcOrd="0" destOrd="1" presId="urn:microsoft.com/office/officeart/2005/8/layout/chevron2"/>
    <dgm:cxn modelId="{40A3797F-D4C1-4DAA-B531-7CB96906E266}" type="presOf" srcId="{805BAFF7-DCFD-4ABF-9E48-9619428CE0DB}" destId="{11914B9B-2930-4180-998A-517DB891CDFA}" srcOrd="0" destOrd="2" presId="urn:microsoft.com/office/officeart/2005/8/layout/chevron2"/>
    <dgm:cxn modelId="{BBE7364A-A06D-4E7E-846B-50D1AFD3C5EE}" type="presOf" srcId="{78454EFD-5CA7-4746-B71D-363ECAF43FEB}" destId="{AD0C3259-E42E-4223-BE17-CB84777BD345}" srcOrd="0" destOrd="3" presId="urn:microsoft.com/office/officeart/2005/8/layout/chevron2"/>
    <dgm:cxn modelId="{8CAF094D-B9F5-47EB-AD99-8C032FE23A3A}" srcId="{2D6DD07C-D7CC-4E7D-AA02-6A29AE84EF26}" destId="{D64FE8D1-2F35-42A0-A182-70A4DCB39035}" srcOrd="1" destOrd="0" parTransId="{C7BD7A4F-77FD-4747-81AD-BA1B7FC64745}" sibTransId="{07E5EA7B-CC96-4361-B223-8B1613149F33}"/>
    <dgm:cxn modelId="{7148B5A6-7917-42F9-87D7-487D377A2D57}" type="presOf" srcId="{B6B785B4-BB1D-4D69-9407-E3E84631A43D}" destId="{AD0C3259-E42E-4223-BE17-CB84777BD345}" srcOrd="0" destOrd="2" presId="urn:microsoft.com/office/officeart/2005/8/layout/chevron2"/>
    <dgm:cxn modelId="{7B6FCD47-9943-4D59-844E-FE1E0143BED0}" srcId="{154683DB-C4D7-4FB1-B853-82EB8B297DB3}" destId="{02DD5528-2FD7-4D27-9CAC-0C242070ED23}" srcOrd="2" destOrd="0" parTransId="{2FADC9E8-8AA7-4395-8FED-AF59E9B7D715}" sibTransId="{072F0035-C4C1-40D5-96B9-849012DF5AE1}"/>
    <dgm:cxn modelId="{748B5202-DC45-4C58-AA54-51EA30299FB0}" type="presOf" srcId="{D57DC686-0BB7-4185-B0AB-9E05CD597A82}" destId="{932FFCE6-19B4-4482-8EE3-E2BA6F008FCE}" srcOrd="0" destOrd="0" presId="urn:microsoft.com/office/officeart/2005/8/layout/chevron2"/>
    <dgm:cxn modelId="{2B65B325-F169-4717-8DCF-B2819EE47632}" srcId="{486B40DA-289F-40DD-B975-FC00971B3623}" destId="{82E10AFA-404E-4339-8656-0FB98503443A}" srcOrd="0" destOrd="0" parTransId="{1D9BD383-26DE-473D-B148-E7AE581106E3}" sibTransId="{31BD9361-753C-4C5A-8BDE-15DA0883672A}"/>
    <dgm:cxn modelId="{A50F85EF-068F-452B-9924-D111E4CD4E05}" srcId="{486B40DA-289F-40DD-B975-FC00971B3623}" destId="{66E0B852-BDD3-4763-B55F-3C8A9F5F52EA}" srcOrd="3" destOrd="0" parTransId="{CA8520B3-D504-4D48-9136-221A04168FC6}" sibTransId="{2253860C-D778-47CB-9AAC-1933E40EDF4D}"/>
    <dgm:cxn modelId="{80622F55-AF01-460A-A1DD-A42E2B219207}" type="presOf" srcId="{20609284-5A94-4400-9642-9187FB6A3879}" destId="{AC437C47-DFF3-4634-A88B-B4912BE7CEDB}" srcOrd="0" destOrd="2" presId="urn:microsoft.com/office/officeart/2005/8/layout/chevron2"/>
    <dgm:cxn modelId="{8FBB2132-09C1-4F67-91AB-5F5A0366AAF3}" srcId="{2D6DD07C-D7CC-4E7D-AA02-6A29AE84EF26}" destId="{78454EFD-5CA7-4746-B71D-363ECAF43FEB}" srcOrd="3" destOrd="0" parTransId="{0043F110-B4B9-4D5C-A135-1E8E0C75694E}" sibTransId="{CB4556B9-EC5C-48D2-944B-3A8589E15204}"/>
    <dgm:cxn modelId="{658F626C-D25D-446D-8E0F-4D5FE61B5747}" type="presOf" srcId="{06AC275C-61BE-4C16-83A4-F351723E05D1}" destId="{E14DF492-ECA6-4D35-8F08-A5E28B143C8E}" srcOrd="0" destOrd="1" presId="urn:microsoft.com/office/officeart/2005/8/layout/chevron2"/>
    <dgm:cxn modelId="{43D3229C-480E-4458-8DF7-70B72021BDBD}" srcId="{DF8DF6E3-514C-49BC-A223-6AF926A445CE}" destId="{031076DD-A38E-4C76-BEF7-25E4AC2EDE37}" srcOrd="3" destOrd="0" parTransId="{6806C6DA-AB5C-4E3D-813C-526155789E8C}" sibTransId="{C74708A5-1540-4775-A705-18F3012762FF}"/>
    <dgm:cxn modelId="{AC1A3419-59C9-4D91-99C4-00143DED8FC5}" type="presOf" srcId="{031076DD-A38E-4C76-BEF7-25E4AC2EDE37}" destId="{AC437C47-DFF3-4634-A88B-B4912BE7CEDB}" srcOrd="0" destOrd="3" presId="urn:microsoft.com/office/officeart/2005/8/layout/chevron2"/>
    <dgm:cxn modelId="{47D226FE-FB3C-41FC-920D-50700C715AB7}" type="presOf" srcId="{2D140D5D-ADC6-4C14-886E-6F962AD780F7}" destId="{AC437C47-DFF3-4634-A88B-B4912BE7CEDB}" srcOrd="0" destOrd="0" presId="urn:microsoft.com/office/officeart/2005/8/layout/chevron2"/>
    <dgm:cxn modelId="{C5CA431E-D0C5-4843-B640-AA02D1D6F481}" type="presOf" srcId="{17232D83-F101-4390-911C-68D8DE8F5131}" destId="{B9379FE0-6EF8-479A-A108-D9A4AAAE5D54}" srcOrd="0" destOrd="1" presId="urn:microsoft.com/office/officeart/2005/8/layout/chevron2"/>
    <dgm:cxn modelId="{0C991524-4F98-4424-BFB5-5D687263FEEE}" srcId="{D77BB04A-657C-487C-B61E-07FF80E85C58}" destId="{805BAFF7-DCFD-4ABF-9E48-9619428CE0DB}" srcOrd="2" destOrd="0" parTransId="{88E3EF0A-8861-4984-BE7A-B2CEB9D52A15}" sibTransId="{3F92C7C7-F58D-4ED3-9E24-A7782779C08F}"/>
    <dgm:cxn modelId="{BBE1E1D3-2AC0-4BEF-A74E-25B16D3749E5}" srcId="{82E10AFA-404E-4339-8656-0FB98503443A}" destId="{86492BFB-833B-4944-80F0-2BBF93752FF5}" srcOrd="2" destOrd="0" parTransId="{885A070F-2D2B-4141-A3E8-5C2C407EA9B7}" sibTransId="{52B19117-AD4D-4206-BA31-288685C23E0E}"/>
    <dgm:cxn modelId="{9D122009-215C-4013-96A2-B6707F111110}" srcId="{486B40DA-289F-40DD-B975-FC00971B3623}" destId="{2D6DD07C-D7CC-4E7D-AA02-6A29AE84EF26}" srcOrd="5" destOrd="0" parTransId="{346145B0-EB8C-4B7C-81FA-8A7CEC6116FD}" sibTransId="{74875941-CF22-4EFD-A039-1680D4A6F5FB}"/>
    <dgm:cxn modelId="{F21EFF51-4B88-4901-91E5-2309227D4FAD}" srcId="{154683DB-C4D7-4FB1-B853-82EB8B297DB3}" destId="{17232D83-F101-4390-911C-68D8DE8F5131}" srcOrd="1" destOrd="0" parTransId="{446DD3C5-F4F2-456B-A953-7DDB955982DC}" sibTransId="{731ADDED-7679-46C8-B6D2-D38F98A7AF54}"/>
    <dgm:cxn modelId="{2C83B6CB-D265-49DB-9B30-4E42604AEE63}" type="presOf" srcId="{2243C2F3-051F-402C-A613-71C00326F903}" destId="{AD0C3259-E42E-4223-BE17-CB84777BD345}" srcOrd="0" destOrd="0" presId="urn:microsoft.com/office/officeart/2005/8/layout/chevron2"/>
    <dgm:cxn modelId="{C017DD41-6A62-47E7-8AF1-FA99193FFEA5}" srcId="{D77BB04A-657C-487C-B61E-07FF80E85C58}" destId="{1ABEE753-4662-4242-B9AB-A999B5B02098}" srcOrd="0" destOrd="0" parTransId="{969DC026-419F-4970-8039-8FBB970CE225}" sibTransId="{5B7C780D-3A70-446B-85BE-D171E983FDD0}"/>
    <dgm:cxn modelId="{13D0062D-ECC0-4BDC-9A92-18464AAFCB7A}" type="presOf" srcId="{486B40DA-289F-40DD-B975-FC00971B3623}" destId="{720E497F-F7DF-4561-96DB-239426C8A39F}" srcOrd="0" destOrd="0" presId="urn:microsoft.com/office/officeart/2005/8/layout/chevron2"/>
    <dgm:cxn modelId="{968BA3F6-4DF1-4677-9E3C-BD02399A8574}" type="presOf" srcId="{82E10AFA-404E-4339-8656-0FB98503443A}" destId="{A66D165E-8C89-4C08-9CC7-BFBED6404D8D}" srcOrd="0" destOrd="0" presId="urn:microsoft.com/office/officeart/2005/8/layout/chevron2"/>
    <dgm:cxn modelId="{DA51BFAE-FBDC-4492-BAD1-5AF2233A523E}" srcId="{2D6DD07C-D7CC-4E7D-AA02-6A29AE84EF26}" destId="{B6B785B4-BB1D-4D69-9407-E3E84631A43D}" srcOrd="2" destOrd="0" parTransId="{4F06C25C-8E70-4297-BD1F-A61AD17D4650}" sibTransId="{8B7C219F-95CB-46A7-91A4-5F0E53D760CA}"/>
    <dgm:cxn modelId="{1590508A-203D-4082-8893-B30DF0C20741}" type="presOf" srcId="{2D6DD07C-D7CC-4E7D-AA02-6A29AE84EF26}" destId="{6C24CDB4-3A40-4CBC-99FE-80F139DFBC1E}" srcOrd="0" destOrd="0" presId="urn:microsoft.com/office/officeart/2005/8/layout/chevron2"/>
    <dgm:cxn modelId="{3632A25D-56B5-416A-8610-953DEB9B7F6C}" srcId="{DF8DF6E3-514C-49BC-A223-6AF926A445CE}" destId="{20609284-5A94-4400-9642-9187FB6A3879}" srcOrd="2" destOrd="0" parTransId="{885A5267-59B0-4F9C-A22D-28C1505D6219}" sibTransId="{56D3B4A5-7A29-438D-8380-D3988A73E297}"/>
    <dgm:cxn modelId="{E09CB4DA-E6BA-4367-817B-244C553E89DD}" type="presOf" srcId="{CA3527FD-28A4-4C65-BC25-F15180BBC2D6}" destId="{932FFCE6-19B4-4482-8EE3-E2BA6F008FCE}" srcOrd="0" destOrd="1" presId="urn:microsoft.com/office/officeart/2005/8/layout/chevron2"/>
    <dgm:cxn modelId="{7587662C-7AF1-4F1B-B98D-53E13C322383}" srcId="{486B40DA-289F-40DD-B975-FC00971B3623}" destId="{154683DB-C4D7-4FB1-B853-82EB8B297DB3}" srcOrd="4" destOrd="0" parTransId="{8E8DB9FF-DDBF-4589-8838-07434F1F4E7B}" sibTransId="{19BCD016-15AA-42B2-9097-E17DD1A00D8D}"/>
    <dgm:cxn modelId="{2E4EE3EE-2DFB-4B7E-85D7-76D02D5C000E}" srcId="{66E0B852-BDD3-4763-B55F-3C8A9F5F52EA}" destId="{CA3527FD-28A4-4C65-BC25-F15180BBC2D6}" srcOrd="1" destOrd="0" parTransId="{E41ED2FA-48C2-45E4-AED0-E5603EB1F335}" sibTransId="{44DB3C1B-2E9E-4B1B-94CD-C76245885D8F}"/>
    <dgm:cxn modelId="{0FFEF328-AA0C-4D98-B3DD-5DF768C53E27}" type="presOf" srcId="{D64FE8D1-2F35-42A0-A182-70A4DCB39035}" destId="{AD0C3259-E42E-4223-BE17-CB84777BD345}" srcOrd="0" destOrd="1" presId="urn:microsoft.com/office/officeart/2005/8/layout/chevron2"/>
    <dgm:cxn modelId="{E2600C3B-D856-4A16-A2EF-DC92BDDF6541}" srcId="{486B40DA-289F-40DD-B975-FC00971B3623}" destId="{DF8DF6E3-514C-49BC-A223-6AF926A445CE}" srcOrd="2" destOrd="0" parTransId="{A8F9210B-8DAC-4AAA-BF19-0B9799C507E7}" sibTransId="{4FC3B03E-CF8B-4B79-9971-B3BED78EE409}"/>
    <dgm:cxn modelId="{011DEAD8-F88A-466A-9FCB-D191AF85DF9D}" srcId="{486B40DA-289F-40DD-B975-FC00971B3623}" destId="{D77BB04A-657C-487C-B61E-07FF80E85C58}" srcOrd="1" destOrd="0" parTransId="{F8D855A2-7F1D-4D7F-8155-97780297D796}" sibTransId="{F970A177-660A-4FFE-A4E9-B3F5D4F6376B}"/>
    <dgm:cxn modelId="{074C926B-F8A6-4FCF-A7F4-6D2016E15A7A}" type="presOf" srcId="{1ABEE753-4662-4242-B9AB-A999B5B02098}" destId="{11914B9B-2930-4180-998A-517DB891CDFA}" srcOrd="0" destOrd="0" presId="urn:microsoft.com/office/officeart/2005/8/layout/chevron2"/>
    <dgm:cxn modelId="{64AE47C9-FB2B-452A-8617-A4333FCE57D2}" type="presOf" srcId="{1A88CDAD-90C0-4AA6-BF81-6F8F1587085E}" destId="{E14DF492-ECA6-4D35-8F08-A5E28B143C8E}" srcOrd="0" destOrd="0" presId="urn:microsoft.com/office/officeart/2005/8/layout/chevron2"/>
    <dgm:cxn modelId="{B7117349-E114-4A9D-B642-1CF4BD44A81A}" srcId="{D77BB04A-657C-487C-B61E-07FF80E85C58}" destId="{55A348C8-D5B6-42A6-8ED3-DEC38E8B899D}" srcOrd="1" destOrd="0" parTransId="{BC643EF6-9299-4BAC-A324-7D23FDF016F6}" sibTransId="{96658389-9A24-44A3-8D67-49448FB20FE3}"/>
    <dgm:cxn modelId="{EBF0B28E-2DB5-4351-85D9-31F390048567}" type="presOf" srcId="{86492BFB-833B-4944-80F0-2BBF93752FF5}" destId="{E14DF492-ECA6-4D35-8F08-A5E28B143C8E}" srcOrd="0" destOrd="2" presId="urn:microsoft.com/office/officeart/2005/8/layout/chevron2"/>
    <dgm:cxn modelId="{CDD7393C-49EE-4E8B-90A9-83B7ECA87B3F}" type="presOf" srcId="{66D93A9A-E354-4BB4-BA52-73B470FBBB30}" destId="{B9379FE0-6EF8-479A-A108-D9A4AAAE5D54}" srcOrd="0" destOrd="0" presId="urn:microsoft.com/office/officeart/2005/8/layout/chevron2"/>
    <dgm:cxn modelId="{84722B59-F5A8-4848-9AAC-346B6E8291E8}" type="presOf" srcId="{154683DB-C4D7-4FB1-B853-82EB8B297DB3}" destId="{8A460E99-18F4-4D53-9554-E2104BF8B2BB}" srcOrd="0" destOrd="0" presId="urn:microsoft.com/office/officeart/2005/8/layout/chevron2"/>
    <dgm:cxn modelId="{957E0FCB-ADE9-42EA-98DD-88234E5CC7B7}" srcId="{82E10AFA-404E-4339-8656-0FB98503443A}" destId="{1A88CDAD-90C0-4AA6-BF81-6F8F1587085E}" srcOrd="0" destOrd="0" parTransId="{B807F3BB-6502-4BDB-8F44-6B5E13C0371D}" sibTransId="{05B5F428-FA96-4F6A-804B-3C535C8D7202}"/>
    <dgm:cxn modelId="{95ACE3DD-E444-4E10-9121-0CCCF607910A}" type="presParOf" srcId="{720E497F-F7DF-4561-96DB-239426C8A39F}" destId="{403C7731-EE93-4AFA-BBA4-EE3CE377EF60}" srcOrd="0" destOrd="0" presId="urn:microsoft.com/office/officeart/2005/8/layout/chevron2"/>
    <dgm:cxn modelId="{64E67D37-7A24-4F54-99FC-98486A191E4E}" type="presParOf" srcId="{403C7731-EE93-4AFA-BBA4-EE3CE377EF60}" destId="{A66D165E-8C89-4C08-9CC7-BFBED6404D8D}" srcOrd="0" destOrd="0" presId="urn:microsoft.com/office/officeart/2005/8/layout/chevron2"/>
    <dgm:cxn modelId="{8AEEC40A-5A74-4931-AC24-A6D19A79E30F}" type="presParOf" srcId="{403C7731-EE93-4AFA-BBA4-EE3CE377EF60}" destId="{E14DF492-ECA6-4D35-8F08-A5E28B143C8E}" srcOrd="1" destOrd="0" presId="urn:microsoft.com/office/officeart/2005/8/layout/chevron2"/>
    <dgm:cxn modelId="{45753C16-02DE-4091-B2B9-C69CB67ABD79}" type="presParOf" srcId="{720E497F-F7DF-4561-96DB-239426C8A39F}" destId="{58E10DB7-BFDF-4B0F-9E56-5DD73DB753B7}" srcOrd="1" destOrd="0" presId="urn:microsoft.com/office/officeart/2005/8/layout/chevron2"/>
    <dgm:cxn modelId="{1FBB8EC9-BFB8-4F48-BD4C-2811356EF1E1}" type="presParOf" srcId="{720E497F-F7DF-4561-96DB-239426C8A39F}" destId="{AEC9E61E-68AC-42FF-A8A6-64840A99E8B7}" srcOrd="2" destOrd="0" presId="urn:microsoft.com/office/officeart/2005/8/layout/chevron2"/>
    <dgm:cxn modelId="{142483B4-8444-4244-9169-0762966F212F}" type="presParOf" srcId="{AEC9E61E-68AC-42FF-A8A6-64840A99E8B7}" destId="{0EB76CFE-17E5-4BE1-9942-91090D3B64A8}" srcOrd="0" destOrd="0" presId="urn:microsoft.com/office/officeart/2005/8/layout/chevron2"/>
    <dgm:cxn modelId="{69F0F898-1AB1-4B0E-8CFD-3E055FEA6DCA}" type="presParOf" srcId="{AEC9E61E-68AC-42FF-A8A6-64840A99E8B7}" destId="{11914B9B-2930-4180-998A-517DB891CDFA}" srcOrd="1" destOrd="0" presId="urn:microsoft.com/office/officeart/2005/8/layout/chevron2"/>
    <dgm:cxn modelId="{293BA330-0C1D-4497-910E-D98311DCC83A}" type="presParOf" srcId="{720E497F-F7DF-4561-96DB-239426C8A39F}" destId="{8223E646-F868-4F69-B31D-EEC21E3DB79A}" srcOrd="3" destOrd="0" presId="urn:microsoft.com/office/officeart/2005/8/layout/chevron2"/>
    <dgm:cxn modelId="{C1BD336B-CAED-446B-960E-6F392F4FCAFD}" type="presParOf" srcId="{720E497F-F7DF-4561-96DB-239426C8A39F}" destId="{C3307DAA-E211-4F78-A463-31B14CAA6DBD}" srcOrd="4" destOrd="0" presId="urn:microsoft.com/office/officeart/2005/8/layout/chevron2"/>
    <dgm:cxn modelId="{B3F4B866-A838-49C3-B08F-1E83714988C8}" type="presParOf" srcId="{C3307DAA-E211-4F78-A463-31B14CAA6DBD}" destId="{D9CAD62A-9120-40C2-B565-F5FF263B195F}" srcOrd="0" destOrd="0" presId="urn:microsoft.com/office/officeart/2005/8/layout/chevron2"/>
    <dgm:cxn modelId="{7ADD9C2D-0C8F-464D-B73E-33DD7F6CC480}" type="presParOf" srcId="{C3307DAA-E211-4F78-A463-31B14CAA6DBD}" destId="{AC437C47-DFF3-4634-A88B-B4912BE7CEDB}" srcOrd="1" destOrd="0" presId="urn:microsoft.com/office/officeart/2005/8/layout/chevron2"/>
    <dgm:cxn modelId="{096165E4-0BA8-4AAF-B0B4-3898EF3F6DA1}" type="presParOf" srcId="{720E497F-F7DF-4561-96DB-239426C8A39F}" destId="{EDEE9002-E6D2-4D7F-BBB0-806218036379}" srcOrd="5" destOrd="0" presId="urn:microsoft.com/office/officeart/2005/8/layout/chevron2"/>
    <dgm:cxn modelId="{725F3950-B85C-456B-AA98-2E5815DF2F30}" type="presParOf" srcId="{720E497F-F7DF-4561-96DB-239426C8A39F}" destId="{BA309B40-FB03-43DA-8878-A99E8A389F7E}" srcOrd="6" destOrd="0" presId="urn:microsoft.com/office/officeart/2005/8/layout/chevron2"/>
    <dgm:cxn modelId="{21F2DAF7-7D6F-48B8-877A-4A5D5F47083C}" type="presParOf" srcId="{BA309B40-FB03-43DA-8878-A99E8A389F7E}" destId="{744E30F5-636C-4BE4-BAED-2A3CBA746B5F}" srcOrd="0" destOrd="0" presId="urn:microsoft.com/office/officeart/2005/8/layout/chevron2"/>
    <dgm:cxn modelId="{286A8F90-456D-4F93-9853-BA1DBA9C5569}" type="presParOf" srcId="{BA309B40-FB03-43DA-8878-A99E8A389F7E}" destId="{932FFCE6-19B4-4482-8EE3-E2BA6F008FCE}" srcOrd="1" destOrd="0" presId="urn:microsoft.com/office/officeart/2005/8/layout/chevron2"/>
    <dgm:cxn modelId="{ECC8C69D-4798-4A29-AE05-1583E26DB7A7}" type="presParOf" srcId="{720E497F-F7DF-4561-96DB-239426C8A39F}" destId="{113EF44E-9B55-49EE-AA50-5EDA5C92FB7D}" srcOrd="7" destOrd="0" presId="urn:microsoft.com/office/officeart/2005/8/layout/chevron2"/>
    <dgm:cxn modelId="{60793D3B-C0E1-454D-B5F4-762F220B723C}" type="presParOf" srcId="{720E497F-F7DF-4561-96DB-239426C8A39F}" destId="{ED2D15D4-F107-484F-91AA-D626BD085C61}" srcOrd="8" destOrd="0" presId="urn:microsoft.com/office/officeart/2005/8/layout/chevron2"/>
    <dgm:cxn modelId="{EB352710-33C7-4EB0-A5C4-D8D243AA69C8}" type="presParOf" srcId="{ED2D15D4-F107-484F-91AA-D626BD085C61}" destId="{8A460E99-18F4-4D53-9554-E2104BF8B2BB}" srcOrd="0" destOrd="0" presId="urn:microsoft.com/office/officeart/2005/8/layout/chevron2"/>
    <dgm:cxn modelId="{3E82A771-C492-468A-996E-1B2372C16BCC}" type="presParOf" srcId="{ED2D15D4-F107-484F-91AA-D626BD085C61}" destId="{B9379FE0-6EF8-479A-A108-D9A4AAAE5D54}" srcOrd="1" destOrd="0" presId="urn:microsoft.com/office/officeart/2005/8/layout/chevron2"/>
    <dgm:cxn modelId="{F6AE8D95-00EB-43DD-B226-C4E3D6D47349}" type="presParOf" srcId="{720E497F-F7DF-4561-96DB-239426C8A39F}" destId="{7366616C-32AD-4EAD-91F3-40E6D982AA02}" srcOrd="9" destOrd="0" presId="urn:microsoft.com/office/officeart/2005/8/layout/chevron2"/>
    <dgm:cxn modelId="{B6EEB85A-AB32-4A5B-8558-6724EE536858}" type="presParOf" srcId="{720E497F-F7DF-4561-96DB-239426C8A39F}" destId="{DEF25579-7FD3-4D4E-B7A6-7F49E789C263}" srcOrd="10" destOrd="0" presId="urn:microsoft.com/office/officeart/2005/8/layout/chevron2"/>
    <dgm:cxn modelId="{CD799D3D-E83E-4AE4-985E-55D09DB0FCAB}" type="presParOf" srcId="{DEF25579-7FD3-4D4E-B7A6-7F49E789C263}" destId="{6C24CDB4-3A40-4CBC-99FE-80F139DFBC1E}" srcOrd="0" destOrd="0" presId="urn:microsoft.com/office/officeart/2005/8/layout/chevron2"/>
    <dgm:cxn modelId="{17456DA6-9D0C-469C-BBD5-3E8E9EDA6620}" type="presParOf" srcId="{DEF25579-7FD3-4D4E-B7A6-7F49E789C263}" destId="{AD0C3259-E42E-4223-BE17-CB84777BD345}" srcOrd="1" destOrd="0" presId="urn:microsoft.com/office/officeart/2005/8/layout/chevron2"/>
  </dgm:cxnLst>
  <dgm:bg/>
  <dgm:whole/>
  <dgm:extLst>
    <a:ext uri="http://schemas.microsoft.com/office/drawing/2008/diagram">
      <dsp:dataModelExt xmlns:dsp="http://schemas.microsoft.com/office/drawing/2008/diagram" relId="rId10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9443BDF-957B-4C25-9E8B-FFE107CFCA64}">
      <dsp:nvSpPr>
        <dsp:cNvPr id="0" name=""/>
        <dsp:cNvSpPr/>
      </dsp:nvSpPr>
      <dsp:spPr>
        <a:xfrm rot="5400000">
          <a:off x="-306217" y="337966"/>
          <a:ext cx="2041449" cy="1429014"/>
        </a:xfrm>
        <a:prstGeom prst="chevron">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w="9525" cap="flat" cmpd="sng" algn="ctr">
          <a:solidFill>
            <a:schemeClr val="accent4">
              <a:hueOff val="0"/>
              <a:satOff val="0"/>
              <a:lumOff val="0"/>
              <a:alphaOff val="0"/>
            </a:scheme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dirty="0" smtClean="0"/>
            <a:t>Base Case</a:t>
          </a:r>
          <a:endParaRPr lang="en-US" sz="1400" kern="1200" dirty="0"/>
        </a:p>
      </dsp:txBody>
      <dsp:txXfrm rot="-5400000">
        <a:off x="1" y="746255"/>
        <a:ext cx="1429014" cy="612435"/>
      </dsp:txXfrm>
    </dsp:sp>
    <dsp:sp modelId="{6363F17A-B55B-417D-9BF2-A8B360A57BAC}">
      <dsp:nvSpPr>
        <dsp:cNvPr id="0" name=""/>
        <dsp:cNvSpPr/>
      </dsp:nvSpPr>
      <dsp:spPr>
        <a:xfrm rot="5400000">
          <a:off x="2532177" y="-1089312"/>
          <a:ext cx="1476409" cy="3682734"/>
        </a:xfrm>
        <a:prstGeom prst="round2SameRect">
          <a:avLst/>
        </a:prstGeom>
        <a:solidFill>
          <a:schemeClr val="lt1">
            <a:alpha val="90000"/>
            <a:hueOff val="0"/>
            <a:satOff val="0"/>
            <a:lumOff val="0"/>
            <a:alphaOff val="0"/>
          </a:schemeClr>
        </a:solidFill>
        <a:ln w="9525" cap="flat" cmpd="sng" algn="ctr">
          <a:solidFill>
            <a:schemeClr val="accent4">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US" sz="1000" kern="1200" dirty="0" smtClean="0"/>
            <a:t>Define the process equations used to describe the system based on material balances</a:t>
          </a:r>
          <a:endParaRPr lang="en-US" sz="1000" kern="1200" dirty="0"/>
        </a:p>
        <a:p>
          <a:pPr marL="57150" lvl="1" indent="-57150" algn="l" defTabSz="444500">
            <a:lnSpc>
              <a:spcPct val="90000"/>
            </a:lnSpc>
            <a:spcBef>
              <a:spcPct val="0"/>
            </a:spcBef>
            <a:spcAft>
              <a:spcPct val="15000"/>
            </a:spcAft>
            <a:buChar char="••"/>
          </a:pPr>
          <a:r>
            <a:rPr lang="en-US" sz="1000" kern="1200" dirty="0" smtClean="0"/>
            <a:t>Identify all parameters associated with the process operation</a:t>
          </a:r>
          <a:endParaRPr lang="en-US" sz="1000" kern="1200" dirty="0"/>
        </a:p>
        <a:p>
          <a:pPr marL="57150" lvl="1" indent="-57150" algn="l" defTabSz="444500">
            <a:lnSpc>
              <a:spcPct val="90000"/>
            </a:lnSpc>
            <a:spcBef>
              <a:spcPct val="0"/>
            </a:spcBef>
            <a:spcAft>
              <a:spcPct val="15000"/>
            </a:spcAft>
            <a:buChar char="••"/>
          </a:pPr>
          <a:r>
            <a:rPr lang="en-US" sz="1000" kern="1200" dirty="0" smtClean="0"/>
            <a:t>Identify overall input variables of interest and establish input variable’s normal range profile</a:t>
          </a:r>
          <a:endParaRPr lang="en-US" sz="1000" kern="1200" dirty="0"/>
        </a:p>
        <a:p>
          <a:pPr marL="57150" lvl="1" indent="-57150" algn="l" defTabSz="444500">
            <a:lnSpc>
              <a:spcPct val="90000"/>
            </a:lnSpc>
            <a:spcBef>
              <a:spcPct val="0"/>
            </a:spcBef>
            <a:spcAft>
              <a:spcPct val="15000"/>
            </a:spcAft>
            <a:buChar char="••"/>
          </a:pPr>
          <a:r>
            <a:rPr lang="en-US" sz="1000" kern="1200" dirty="0" smtClean="0"/>
            <a:t>Obtain the initial, nominal steady-state solution for the initial set of input variables</a:t>
          </a:r>
          <a:endParaRPr lang="en-US" sz="1000" kern="1200" dirty="0"/>
        </a:p>
        <a:p>
          <a:pPr marL="57150" lvl="1" indent="-57150" algn="l" defTabSz="444500">
            <a:lnSpc>
              <a:spcPct val="90000"/>
            </a:lnSpc>
            <a:spcBef>
              <a:spcPct val="0"/>
            </a:spcBef>
            <a:spcAft>
              <a:spcPct val="15000"/>
            </a:spcAft>
            <a:buChar char="••"/>
          </a:pPr>
          <a:r>
            <a:rPr lang="en-US" sz="1000" kern="1200" dirty="0" smtClean="0"/>
            <a:t>Generate base case data </a:t>
          </a:r>
          <a:endParaRPr lang="en-US" sz="1000" kern="1200" dirty="0"/>
        </a:p>
      </dsp:txBody>
      <dsp:txXfrm rot="-5400000">
        <a:off x="1429015" y="85922"/>
        <a:ext cx="3610662" cy="1332265"/>
      </dsp:txXfrm>
    </dsp:sp>
    <dsp:sp modelId="{86FB364B-B1C9-4F93-8238-666EB35B4B7E}">
      <dsp:nvSpPr>
        <dsp:cNvPr id="0" name=""/>
        <dsp:cNvSpPr/>
      </dsp:nvSpPr>
      <dsp:spPr>
        <a:xfrm rot="5400000">
          <a:off x="-306217" y="2249415"/>
          <a:ext cx="2041449" cy="1429014"/>
        </a:xfrm>
        <a:prstGeom prst="chevron">
          <a:avLst/>
        </a:prstGeom>
        <a:gradFill rotWithShape="0">
          <a:gsLst>
            <a:gs pos="0">
              <a:schemeClr val="accent4">
                <a:hueOff val="-2232385"/>
                <a:satOff val="13449"/>
                <a:lumOff val="1078"/>
                <a:alphaOff val="0"/>
                <a:shade val="51000"/>
                <a:satMod val="130000"/>
              </a:schemeClr>
            </a:gs>
            <a:gs pos="80000">
              <a:schemeClr val="accent4">
                <a:hueOff val="-2232385"/>
                <a:satOff val="13449"/>
                <a:lumOff val="1078"/>
                <a:alphaOff val="0"/>
                <a:shade val="93000"/>
                <a:satMod val="130000"/>
              </a:schemeClr>
            </a:gs>
            <a:gs pos="100000">
              <a:schemeClr val="accent4">
                <a:hueOff val="-2232385"/>
                <a:satOff val="13449"/>
                <a:lumOff val="1078"/>
                <a:alphaOff val="0"/>
                <a:shade val="94000"/>
                <a:satMod val="135000"/>
              </a:schemeClr>
            </a:gs>
          </a:gsLst>
          <a:lin ang="16200000" scaled="0"/>
        </a:gradFill>
        <a:ln w="9525" cap="flat" cmpd="sng" algn="ctr">
          <a:solidFill>
            <a:schemeClr val="accent4">
              <a:hueOff val="-2232385"/>
              <a:satOff val="13449"/>
              <a:lumOff val="1078"/>
              <a:alphaOff val="0"/>
            </a:scheme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dirty="0" smtClean="0"/>
            <a:t>Principal Component Model</a:t>
          </a:r>
          <a:endParaRPr lang="en-US" sz="1400" kern="1200" dirty="0"/>
        </a:p>
      </dsp:txBody>
      <dsp:txXfrm rot="-5400000">
        <a:off x="1" y="2657704"/>
        <a:ext cx="1429014" cy="612435"/>
      </dsp:txXfrm>
    </dsp:sp>
    <dsp:sp modelId="{DCBFFEEE-4A22-44FD-B722-50320AC01C29}">
      <dsp:nvSpPr>
        <dsp:cNvPr id="0" name=""/>
        <dsp:cNvSpPr/>
      </dsp:nvSpPr>
      <dsp:spPr>
        <a:xfrm rot="5400000">
          <a:off x="2606910" y="765302"/>
          <a:ext cx="1326942" cy="3682734"/>
        </a:xfrm>
        <a:prstGeom prst="round2SameRect">
          <a:avLst/>
        </a:prstGeom>
        <a:solidFill>
          <a:schemeClr val="lt1">
            <a:alpha val="90000"/>
            <a:hueOff val="0"/>
            <a:satOff val="0"/>
            <a:lumOff val="0"/>
            <a:alphaOff val="0"/>
          </a:schemeClr>
        </a:solidFill>
        <a:ln w="9525" cap="flat" cmpd="sng" algn="ctr">
          <a:solidFill>
            <a:schemeClr val="accent4">
              <a:hueOff val="-2232385"/>
              <a:satOff val="13449"/>
              <a:lumOff val="1078"/>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US" sz="1000" kern="1200" dirty="0" smtClean="0"/>
            <a:t>Add random Gaussian noise to base case data set</a:t>
          </a:r>
          <a:endParaRPr lang="en-US" sz="1000" kern="1200" dirty="0"/>
        </a:p>
        <a:p>
          <a:pPr marL="57150" lvl="1" indent="-57150" algn="l" defTabSz="444500">
            <a:lnSpc>
              <a:spcPct val="90000"/>
            </a:lnSpc>
            <a:spcBef>
              <a:spcPct val="0"/>
            </a:spcBef>
            <a:spcAft>
              <a:spcPct val="15000"/>
            </a:spcAft>
            <a:buChar char="••"/>
          </a:pPr>
          <a:r>
            <a:rPr lang="en-US" sz="1000" kern="1200" dirty="0" smtClean="0"/>
            <a:t>Pre-process data (normalize, mean-center, and scale)</a:t>
          </a:r>
          <a:endParaRPr lang="en-US" sz="1000" kern="1200" dirty="0"/>
        </a:p>
        <a:p>
          <a:pPr marL="57150" lvl="1" indent="-57150" algn="l" defTabSz="444500">
            <a:lnSpc>
              <a:spcPct val="90000"/>
            </a:lnSpc>
            <a:spcBef>
              <a:spcPct val="0"/>
            </a:spcBef>
            <a:spcAft>
              <a:spcPct val="15000"/>
            </a:spcAft>
            <a:buChar char="••"/>
          </a:pPr>
          <a:r>
            <a:rPr lang="en-US" sz="1000" kern="1200" dirty="0" smtClean="0"/>
            <a:t>Extract PC model using SVD</a:t>
          </a:r>
          <a:endParaRPr lang="en-US" sz="1000" kern="1200" dirty="0"/>
        </a:p>
        <a:p>
          <a:pPr marL="57150" lvl="1" indent="-57150" algn="l" defTabSz="444500">
            <a:lnSpc>
              <a:spcPct val="90000"/>
            </a:lnSpc>
            <a:spcBef>
              <a:spcPct val="0"/>
            </a:spcBef>
            <a:spcAft>
              <a:spcPct val="15000"/>
            </a:spcAft>
            <a:buChar char="••"/>
          </a:pPr>
          <a:r>
            <a:rPr lang="en-US" sz="1000" kern="1200" dirty="0" smtClean="0"/>
            <a:t>Determine effective rank</a:t>
          </a:r>
          <a:endParaRPr lang="en-US" sz="1000" kern="1200" dirty="0"/>
        </a:p>
        <a:p>
          <a:pPr marL="57150" lvl="1" indent="-57150" algn="l" defTabSz="444500">
            <a:lnSpc>
              <a:spcPct val="90000"/>
            </a:lnSpc>
            <a:spcBef>
              <a:spcPct val="0"/>
            </a:spcBef>
            <a:spcAft>
              <a:spcPct val="15000"/>
            </a:spcAft>
            <a:buChar char="••"/>
          </a:pPr>
          <a:r>
            <a:rPr lang="en-US" sz="1000" kern="1200" dirty="0" smtClean="0"/>
            <a:t>Establish statistical bounds</a:t>
          </a:r>
          <a:endParaRPr lang="en-US" sz="1000" kern="1200" dirty="0"/>
        </a:p>
      </dsp:txBody>
      <dsp:txXfrm rot="-5400000">
        <a:off x="1429014" y="2007974"/>
        <a:ext cx="3617958" cy="1197390"/>
      </dsp:txXfrm>
    </dsp:sp>
    <dsp:sp modelId="{1EE13300-4B1A-45E7-A986-A2658D9CBFEB}">
      <dsp:nvSpPr>
        <dsp:cNvPr id="0" name=""/>
        <dsp:cNvSpPr/>
      </dsp:nvSpPr>
      <dsp:spPr>
        <a:xfrm rot="5400000">
          <a:off x="-306217" y="4104030"/>
          <a:ext cx="2041449" cy="1429014"/>
        </a:xfrm>
        <a:prstGeom prst="chevron">
          <a:avLst/>
        </a:prstGeom>
        <a:gradFill rotWithShape="0">
          <a:gsLst>
            <a:gs pos="0">
              <a:schemeClr val="accent4">
                <a:hueOff val="-4464770"/>
                <a:satOff val="26899"/>
                <a:lumOff val="2156"/>
                <a:alphaOff val="0"/>
                <a:shade val="51000"/>
                <a:satMod val="130000"/>
              </a:schemeClr>
            </a:gs>
            <a:gs pos="80000">
              <a:schemeClr val="accent4">
                <a:hueOff val="-4464770"/>
                <a:satOff val="26899"/>
                <a:lumOff val="2156"/>
                <a:alphaOff val="0"/>
                <a:shade val="93000"/>
                <a:satMod val="130000"/>
              </a:schemeClr>
            </a:gs>
            <a:gs pos="100000">
              <a:schemeClr val="accent4">
                <a:hueOff val="-4464770"/>
                <a:satOff val="26899"/>
                <a:lumOff val="2156"/>
                <a:alphaOff val="0"/>
                <a:shade val="94000"/>
                <a:satMod val="135000"/>
              </a:schemeClr>
            </a:gs>
          </a:gsLst>
          <a:lin ang="16200000" scaled="0"/>
        </a:gradFill>
        <a:ln w="9525" cap="flat" cmpd="sng" algn="ctr">
          <a:solidFill>
            <a:schemeClr val="accent4">
              <a:hueOff val="-4464770"/>
              <a:satOff val="26899"/>
              <a:lumOff val="2156"/>
              <a:alphaOff val="0"/>
            </a:scheme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dirty="0" smtClean="0"/>
            <a:t>Faulty Cases</a:t>
          </a:r>
          <a:endParaRPr lang="en-US" sz="1400" kern="1200" dirty="0"/>
        </a:p>
      </dsp:txBody>
      <dsp:txXfrm rot="-5400000">
        <a:off x="1" y="4512319"/>
        <a:ext cx="1429014" cy="612435"/>
      </dsp:txXfrm>
    </dsp:sp>
    <dsp:sp modelId="{B9CC6F9E-D1E1-44B3-8772-515D0607AA2C}">
      <dsp:nvSpPr>
        <dsp:cNvPr id="0" name=""/>
        <dsp:cNvSpPr/>
      </dsp:nvSpPr>
      <dsp:spPr>
        <a:xfrm rot="5400000">
          <a:off x="2606910" y="2619917"/>
          <a:ext cx="1326942" cy="3682734"/>
        </a:xfrm>
        <a:prstGeom prst="round2SameRect">
          <a:avLst/>
        </a:prstGeom>
        <a:solidFill>
          <a:schemeClr val="lt1">
            <a:alpha val="90000"/>
            <a:hueOff val="0"/>
            <a:satOff val="0"/>
            <a:lumOff val="0"/>
            <a:alphaOff val="0"/>
          </a:schemeClr>
        </a:solidFill>
        <a:ln w="9525" cap="flat" cmpd="sng" algn="ctr">
          <a:solidFill>
            <a:schemeClr val="accent4">
              <a:hueOff val="-4464770"/>
              <a:satOff val="26899"/>
              <a:lumOff val="2156"/>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US" sz="1000" kern="1200" dirty="0" smtClean="0"/>
            <a:t>Simulate several ‘faulty’ or ‘off-normal’ operations</a:t>
          </a:r>
          <a:endParaRPr lang="en-US" sz="1000" kern="1200" dirty="0"/>
        </a:p>
        <a:p>
          <a:pPr marL="57150" lvl="1" indent="-57150" algn="l" defTabSz="444500">
            <a:lnSpc>
              <a:spcPct val="90000"/>
            </a:lnSpc>
            <a:spcBef>
              <a:spcPct val="0"/>
            </a:spcBef>
            <a:spcAft>
              <a:spcPct val="15000"/>
            </a:spcAft>
            <a:buChar char="••"/>
          </a:pPr>
          <a:r>
            <a:rPr lang="en-US" sz="1000" kern="1200" dirty="0" smtClean="0"/>
            <a:t>Regress faulty data against base case model</a:t>
          </a:r>
          <a:endParaRPr lang="en-US" sz="1000" kern="1200" dirty="0"/>
        </a:p>
        <a:p>
          <a:pPr marL="57150" lvl="1" indent="-57150" algn="l" defTabSz="444500">
            <a:lnSpc>
              <a:spcPct val="90000"/>
            </a:lnSpc>
            <a:spcBef>
              <a:spcPct val="0"/>
            </a:spcBef>
            <a:spcAft>
              <a:spcPct val="15000"/>
            </a:spcAft>
            <a:buChar char="••"/>
          </a:pPr>
          <a:r>
            <a:rPr lang="en-US" sz="1000" kern="1200" dirty="0" smtClean="0"/>
            <a:t>Evaluate ability to detect ‘fault’</a:t>
          </a:r>
          <a:endParaRPr lang="en-US" sz="1000" kern="1200" dirty="0"/>
        </a:p>
        <a:p>
          <a:pPr marL="57150" lvl="1" indent="-57150" algn="l" defTabSz="444500">
            <a:lnSpc>
              <a:spcPct val="90000"/>
            </a:lnSpc>
            <a:spcBef>
              <a:spcPct val="0"/>
            </a:spcBef>
            <a:spcAft>
              <a:spcPct val="15000"/>
            </a:spcAft>
            <a:buChar char="••"/>
          </a:pPr>
          <a:r>
            <a:rPr lang="en-US" sz="1000" kern="1200" dirty="0" smtClean="0"/>
            <a:t>Conclusion</a:t>
          </a:r>
          <a:endParaRPr lang="en-US" sz="1000" kern="1200" dirty="0"/>
        </a:p>
      </dsp:txBody>
      <dsp:txXfrm rot="-5400000">
        <a:off x="1429014" y="3862589"/>
        <a:ext cx="3617958" cy="119739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66D165E-8C89-4C08-9CC7-BFBED6404D8D}">
      <dsp:nvSpPr>
        <dsp:cNvPr id="0" name=""/>
        <dsp:cNvSpPr/>
      </dsp:nvSpPr>
      <dsp:spPr>
        <a:xfrm rot="5400000">
          <a:off x="-207947" y="213266"/>
          <a:ext cx="1386318" cy="970422"/>
        </a:xfrm>
        <a:prstGeom prst="chevron">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w="9525" cap="flat" cmpd="sng" algn="ctr">
          <a:solidFill>
            <a:schemeClr val="accent2">
              <a:hueOff val="0"/>
              <a:satOff val="0"/>
              <a:lumOff val="0"/>
              <a:alphaOff val="0"/>
            </a:scheme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dirty="0" err="1" smtClean="0"/>
            <a:t>fsolve_BC.m</a:t>
          </a:r>
          <a:endParaRPr lang="en-US" sz="1400" kern="1200" dirty="0"/>
        </a:p>
      </dsp:txBody>
      <dsp:txXfrm rot="-5400000">
        <a:off x="1" y="490529"/>
        <a:ext cx="970422" cy="415896"/>
      </dsp:txXfrm>
    </dsp:sp>
    <dsp:sp modelId="{E14DF492-ECA6-4D35-8F08-A5E28B143C8E}">
      <dsp:nvSpPr>
        <dsp:cNvPr id="0" name=""/>
        <dsp:cNvSpPr/>
      </dsp:nvSpPr>
      <dsp:spPr>
        <a:xfrm rot="5400000">
          <a:off x="2320657" y="-1344916"/>
          <a:ext cx="901106" cy="3601577"/>
        </a:xfrm>
        <a:prstGeom prst="round2SameRect">
          <a:avLst/>
        </a:prstGeom>
        <a:solidFill>
          <a:schemeClr val="lt1">
            <a:alpha val="90000"/>
            <a:hueOff val="0"/>
            <a:satOff val="0"/>
            <a:lumOff val="0"/>
            <a:alphaOff val="0"/>
          </a:schemeClr>
        </a:solidFill>
        <a:ln w="9525" cap="flat" cmpd="sng" algn="ctr">
          <a:solidFill>
            <a:schemeClr val="accent2">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dirty="0" smtClean="0"/>
            <a:t>Solves the system of nonlinear equations  that describe the operation of the conversion plant</a:t>
          </a:r>
          <a:endParaRPr lang="en-US" sz="1100" kern="1200" dirty="0"/>
        </a:p>
        <a:p>
          <a:pPr marL="57150" lvl="1" indent="-57150" algn="l" defTabSz="488950">
            <a:lnSpc>
              <a:spcPct val="90000"/>
            </a:lnSpc>
            <a:spcBef>
              <a:spcPct val="0"/>
            </a:spcBef>
            <a:spcAft>
              <a:spcPct val="15000"/>
            </a:spcAft>
            <a:buChar char="••"/>
          </a:pPr>
          <a:r>
            <a:rPr lang="en-US" sz="1100" kern="1200" dirty="0" smtClean="0"/>
            <a:t>Calls the function file </a:t>
          </a:r>
          <a:r>
            <a:rPr lang="en-US" sz="1100" kern="1200" dirty="0" err="1" smtClean="0"/>
            <a:t>Xss_BC.m</a:t>
          </a:r>
          <a:endParaRPr lang="en-US" sz="1100" kern="1200" dirty="0"/>
        </a:p>
        <a:p>
          <a:pPr marL="57150" lvl="1" indent="-57150" algn="l" defTabSz="488950">
            <a:lnSpc>
              <a:spcPct val="90000"/>
            </a:lnSpc>
            <a:spcBef>
              <a:spcPct val="0"/>
            </a:spcBef>
            <a:spcAft>
              <a:spcPct val="15000"/>
            </a:spcAft>
            <a:buChar char="••"/>
          </a:pPr>
          <a:r>
            <a:rPr lang="en-US" sz="1100" kern="1200" dirty="0" smtClean="0"/>
            <a:t>Outputs the steady-state state variable solution (</a:t>
          </a:r>
          <a:r>
            <a:rPr lang="en-US" sz="1100" kern="1200" dirty="0" err="1" smtClean="0"/>
            <a:t>Xss</a:t>
          </a:r>
          <a:r>
            <a:rPr lang="en-US" sz="1100" kern="1200" dirty="0" smtClean="0"/>
            <a:t>) at the stated input variable values</a:t>
          </a:r>
          <a:endParaRPr lang="en-US" sz="1100" kern="1200" dirty="0"/>
        </a:p>
      </dsp:txBody>
      <dsp:txXfrm rot="-5400000">
        <a:off x="970422" y="49307"/>
        <a:ext cx="3557589" cy="813130"/>
      </dsp:txXfrm>
    </dsp:sp>
    <dsp:sp modelId="{0EB76CFE-17E5-4BE1-9942-91090D3B64A8}">
      <dsp:nvSpPr>
        <dsp:cNvPr id="0" name=""/>
        <dsp:cNvSpPr/>
      </dsp:nvSpPr>
      <dsp:spPr>
        <a:xfrm rot="5400000">
          <a:off x="-207947" y="1464227"/>
          <a:ext cx="1386318" cy="970422"/>
        </a:xfrm>
        <a:prstGeom prst="chevron">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w="9525" cap="flat" cmpd="sng" algn="ctr">
          <a:solidFill>
            <a:schemeClr val="accent3">
              <a:hueOff val="0"/>
              <a:satOff val="0"/>
              <a:lumOff val="0"/>
              <a:alphaOff val="0"/>
            </a:scheme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dirty="0" err="1" smtClean="0"/>
            <a:t>parameters_BC.m</a:t>
          </a:r>
          <a:endParaRPr lang="en-US" sz="1400" kern="1200" dirty="0"/>
        </a:p>
      </dsp:txBody>
      <dsp:txXfrm rot="-5400000">
        <a:off x="1" y="1741490"/>
        <a:ext cx="970422" cy="415896"/>
      </dsp:txXfrm>
    </dsp:sp>
    <dsp:sp modelId="{11914B9B-2930-4180-998A-517DB891CDFA}">
      <dsp:nvSpPr>
        <dsp:cNvPr id="0" name=""/>
        <dsp:cNvSpPr/>
      </dsp:nvSpPr>
      <dsp:spPr>
        <a:xfrm rot="5400000">
          <a:off x="2320657" y="-93955"/>
          <a:ext cx="901106" cy="3601577"/>
        </a:xfrm>
        <a:prstGeom prst="round2SameRect">
          <a:avLst/>
        </a:prstGeom>
        <a:solidFill>
          <a:schemeClr val="lt1">
            <a:alpha val="90000"/>
            <a:hueOff val="0"/>
            <a:satOff val="0"/>
            <a:lumOff val="0"/>
            <a:alphaOff val="0"/>
          </a:schemeClr>
        </a:solidFill>
        <a:ln w="9525" cap="flat" cmpd="sng" algn="ctr">
          <a:solidFill>
            <a:schemeClr val="accent3">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dirty="0" smtClean="0"/>
            <a:t>Loads the base case parameters for the subsequent files</a:t>
          </a:r>
          <a:endParaRPr lang="en-US" sz="1100" kern="1200" dirty="0"/>
        </a:p>
        <a:p>
          <a:pPr marL="57150" lvl="1" indent="-57150" algn="l" defTabSz="488950">
            <a:lnSpc>
              <a:spcPct val="90000"/>
            </a:lnSpc>
            <a:spcBef>
              <a:spcPct val="0"/>
            </a:spcBef>
            <a:spcAft>
              <a:spcPct val="15000"/>
            </a:spcAft>
            <a:buChar char="••"/>
          </a:pPr>
          <a:r>
            <a:rPr lang="en-US" sz="1100" kern="1200" dirty="0" smtClean="0"/>
            <a:t>Must match the parameters in </a:t>
          </a:r>
          <a:r>
            <a:rPr lang="en-US" sz="1100" kern="1200" dirty="0" err="1" smtClean="0"/>
            <a:t>Xss_BC.m</a:t>
          </a:r>
          <a:endParaRPr lang="en-US" sz="1100" kern="1200" dirty="0"/>
        </a:p>
        <a:p>
          <a:pPr marL="57150" lvl="1" indent="-57150" algn="l" defTabSz="488950">
            <a:lnSpc>
              <a:spcPct val="90000"/>
            </a:lnSpc>
            <a:spcBef>
              <a:spcPct val="0"/>
            </a:spcBef>
            <a:spcAft>
              <a:spcPct val="15000"/>
            </a:spcAft>
            <a:buChar char="••"/>
          </a:pPr>
          <a:r>
            <a:rPr lang="en-US" sz="1100" kern="1200" dirty="0" smtClean="0"/>
            <a:t>Also loads the steady-state input variables</a:t>
          </a:r>
          <a:endParaRPr lang="en-US" sz="1100" kern="1200" dirty="0"/>
        </a:p>
      </dsp:txBody>
      <dsp:txXfrm rot="-5400000">
        <a:off x="970422" y="1300268"/>
        <a:ext cx="3557589" cy="813130"/>
      </dsp:txXfrm>
    </dsp:sp>
    <dsp:sp modelId="{D9CAD62A-9120-40C2-B565-F5FF263B195F}">
      <dsp:nvSpPr>
        <dsp:cNvPr id="0" name=""/>
        <dsp:cNvSpPr/>
      </dsp:nvSpPr>
      <dsp:spPr>
        <a:xfrm rot="5400000">
          <a:off x="-207947" y="2715188"/>
          <a:ext cx="1386318" cy="970422"/>
        </a:xfrm>
        <a:prstGeom prst="chevron">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w="9525" cap="flat" cmpd="sng" algn="ctr">
          <a:solidFill>
            <a:schemeClr val="accent4">
              <a:hueOff val="0"/>
              <a:satOff val="0"/>
              <a:lumOff val="0"/>
              <a:alphaOff val="0"/>
            </a:scheme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dirty="0" err="1" smtClean="0"/>
            <a:t>Xdot_BC.m</a:t>
          </a:r>
          <a:endParaRPr lang="en-US" sz="1400" kern="1200" dirty="0"/>
        </a:p>
      </dsp:txBody>
      <dsp:txXfrm rot="-5400000">
        <a:off x="1" y="2992451"/>
        <a:ext cx="970422" cy="415896"/>
      </dsp:txXfrm>
    </dsp:sp>
    <dsp:sp modelId="{AC437C47-DFF3-4634-A88B-B4912BE7CEDB}">
      <dsp:nvSpPr>
        <dsp:cNvPr id="0" name=""/>
        <dsp:cNvSpPr/>
      </dsp:nvSpPr>
      <dsp:spPr>
        <a:xfrm rot="5400000">
          <a:off x="2320657" y="1157005"/>
          <a:ext cx="901106" cy="3601577"/>
        </a:xfrm>
        <a:prstGeom prst="round2SameRect">
          <a:avLst/>
        </a:prstGeom>
        <a:solidFill>
          <a:schemeClr val="lt1">
            <a:alpha val="90000"/>
            <a:hueOff val="0"/>
            <a:satOff val="0"/>
            <a:lumOff val="0"/>
            <a:alphaOff val="0"/>
          </a:schemeClr>
        </a:solidFill>
        <a:ln w="9525" cap="flat" cmpd="sng" algn="ctr">
          <a:solidFill>
            <a:schemeClr val="accent4">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dirty="0" smtClean="0"/>
            <a:t>Checks the steady-state solution to give </a:t>
          </a:r>
          <a:r>
            <a:rPr lang="en-US" sz="1100" kern="1200" dirty="0" err="1" smtClean="0"/>
            <a:t>Xdot</a:t>
          </a:r>
          <a:r>
            <a:rPr lang="en-US" sz="1100" kern="1200" dirty="0" smtClean="0"/>
            <a:t>=0</a:t>
          </a:r>
          <a:endParaRPr lang="en-US" sz="1100" kern="1200" dirty="0"/>
        </a:p>
        <a:p>
          <a:pPr marL="57150" lvl="1" indent="-57150" algn="l" defTabSz="488950">
            <a:lnSpc>
              <a:spcPct val="90000"/>
            </a:lnSpc>
            <a:spcBef>
              <a:spcPct val="0"/>
            </a:spcBef>
            <a:spcAft>
              <a:spcPct val="15000"/>
            </a:spcAft>
            <a:buChar char="••"/>
          </a:pPr>
          <a:r>
            <a:rPr lang="en-US" sz="1100" kern="1200" dirty="0" smtClean="0"/>
            <a:t>The system of equations must match those in </a:t>
          </a:r>
          <a:r>
            <a:rPr lang="en-US" sz="1100" kern="1200" dirty="0" err="1" smtClean="0"/>
            <a:t>Xss_BC.m</a:t>
          </a:r>
          <a:endParaRPr lang="en-US" sz="1100" kern="1200" dirty="0"/>
        </a:p>
        <a:p>
          <a:pPr marL="57150" lvl="1" indent="-57150" algn="l" defTabSz="488950">
            <a:lnSpc>
              <a:spcPct val="90000"/>
            </a:lnSpc>
            <a:spcBef>
              <a:spcPct val="0"/>
            </a:spcBef>
            <a:spcAft>
              <a:spcPct val="15000"/>
            </a:spcAft>
            <a:buChar char="••"/>
          </a:pPr>
          <a:r>
            <a:rPr lang="en-US" sz="1100" kern="1200" dirty="0" smtClean="0"/>
            <a:t>Output is </a:t>
          </a:r>
          <a:r>
            <a:rPr lang="en-US" sz="1100" kern="1200" dirty="0" err="1" smtClean="0"/>
            <a:t>Xdot</a:t>
          </a:r>
          <a:r>
            <a:rPr lang="en-US" sz="1100" kern="1200" dirty="0" smtClean="0"/>
            <a:t> and should be equal to evaluated from </a:t>
          </a:r>
          <a:r>
            <a:rPr lang="en-US" sz="1100" kern="1200" dirty="0" err="1" smtClean="0"/>
            <a:t>fsolve_BC.m</a:t>
          </a:r>
          <a:endParaRPr lang="en-US" sz="1100" kern="1200" dirty="0"/>
        </a:p>
        <a:p>
          <a:pPr marL="57150" lvl="1" indent="-57150" algn="l" defTabSz="488950">
            <a:lnSpc>
              <a:spcPct val="90000"/>
            </a:lnSpc>
            <a:spcBef>
              <a:spcPct val="0"/>
            </a:spcBef>
            <a:spcAft>
              <a:spcPct val="15000"/>
            </a:spcAft>
            <a:buChar char="••"/>
          </a:pPr>
          <a:r>
            <a:rPr lang="en-US" sz="1100" kern="1200" dirty="0" smtClean="0"/>
            <a:t>The solution of </a:t>
          </a:r>
          <a:r>
            <a:rPr lang="en-US" sz="1100" kern="1200" dirty="0" err="1" smtClean="0"/>
            <a:t>Xdot</a:t>
          </a:r>
          <a:r>
            <a:rPr lang="en-US" sz="1100" kern="1200" dirty="0" smtClean="0"/>
            <a:t> should be zero</a:t>
          </a:r>
          <a:endParaRPr lang="en-US" sz="1100" kern="1200" dirty="0"/>
        </a:p>
      </dsp:txBody>
      <dsp:txXfrm rot="-5400000">
        <a:off x="970422" y="2551228"/>
        <a:ext cx="3557589" cy="813130"/>
      </dsp:txXfrm>
    </dsp:sp>
    <dsp:sp modelId="{744E30F5-636C-4BE4-BAED-2A3CBA746B5F}">
      <dsp:nvSpPr>
        <dsp:cNvPr id="0" name=""/>
        <dsp:cNvSpPr/>
      </dsp:nvSpPr>
      <dsp:spPr>
        <a:xfrm rot="5400000">
          <a:off x="-207947" y="3966149"/>
          <a:ext cx="1386318" cy="970422"/>
        </a:xfrm>
        <a:prstGeom prst="chevron">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w="9525" cap="flat" cmpd="sng" algn="ctr">
          <a:solidFill>
            <a:schemeClr val="accent5">
              <a:hueOff val="0"/>
              <a:satOff val="0"/>
              <a:lumOff val="0"/>
              <a:alphaOff val="0"/>
            </a:scheme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dirty="0" err="1" smtClean="0"/>
            <a:t>OMB_BC.m</a:t>
          </a:r>
          <a:endParaRPr lang="en-US" sz="1400" kern="1200" dirty="0"/>
        </a:p>
      </dsp:txBody>
      <dsp:txXfrm rot="-5400000">
        <a:off x="1" y="4243412"/>
        <a:ext cx="970422" cy="415896"/>
      </dsp:txXfrm>
    </dsp:sp>
    <dsp:sp modelId="{932FFCE6-19B4-4482-8EE3-E2BA6F008FCE}">
      <dsp:nvSpPr>
        <dsp:cNvPr id="0" name=""/>
        <dsp:cNvSpPr/>
      </dsp:nvSpPr>
      <dsp:spPr>
        <a:xfrm rot="5400000">
          <a:off x="2320657" y="2407966"/>
          <a:ext cx="901106" cy="3601577"/>
        </a:xfrm>
        <a:prstGeom prst="round2SameRect">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dirty="0" smtClean="0"/>
            <a:t>Checks the overall material balance for each module</a:t>
          </a:r>
          <a:endParaRPr lang="en-US" sz="1100" kern="1200" dirty="0"/>
        </a:p>
        <a:p>
          <a:pPr marL="57150" lvl="1" indent="-57150" algn="l" defTabSz="488950">
            <a:lnSpc>
              <a:spcPct val="90000"/>
            </a:lnSpc>
            <a:spcBef>
              <a:spcPct val="0"/>
            </a:spcBef>
            <a:spcAft>
              <a:spcPct val="15000"/>
            </a:spcAft>
            <a:buChar char="••"/>
          </a:pPr>
          <a:r>
            <a:rPr lang="en-US" sz="1100" kern="1200" dirty="0" smtClean="0"/>
            <a:t>The solution of OMB should be zero</a:t>
          </a:r>
          <a:endParaRPr lang="en-US" sz="1100" kern="1200" dirty="0"/>
        </a:p>
      </dsp:txBody>
      <dsp:txXfrm rot="-5400000">
        <a:off x="970422" y="3802189"/>
        <a:ext cx="3557589" cy="813130"/>
      </dsp:txXfrm>
    </dsp:sp>
    <dsp:sp modelId="{8A460E99-18F4-4D53-9554-E2104BF8B2BB}">
      <dsp:nvSpPr>
        <dsp:cNvPr id="0" name=""/>
        <dsp:cNvSpPr/>
      </dsp:nvSpPr>
      <dsp:spPr>
        <a:xfrm rot="5400000">
          <a:off x="-207947" y="5217111"/>
          <a:ext cx="1386318" cy="970422"/>
        </a:xfrm>
        <a:prstGeom prst="chevron">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w="9525" cap="flat" cmpd="sng" algn="ctr">
          <a:solidFill>
            <a:schemeClr val="accent6">
              <a:hueOff val="0"/>
              <a:satOff val="0"/>
              <a:lumOff val="0"/>
              <a:alphaOff val="0"/>
            </a:scheme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dirty="0" err="1" smtClean="0"/>
            <a:t>BC_data.m</a:t>
          </a:r>
          <a:endParaRPr lang="en-US" sz="1400" kern="1200" dirty="0"/>
        </a:p>
      </dsp:txBody>
      <dsp:txXfrm rot="-5400000">
        <a:off x="1" y="5494374"/>
        <a:ext cx="970422" cy="415896"/>
      </dsp:txXfrm>
    </dsp:sp>
    <dsp:sp modelId="{B9379FE0-6EF8-479A-A108-D9A4AAAE5D54}">
      <dsp:nvSpPr>
        <dsp:cNvPr id="0" name=""/>
        <dsp:cNvSpPr/>
      </dsp:nvSpPr>
      <dsp:spPr>
        <a:xfrm rot="5400000">
          <a:off x="2320657" y="3658928"/>
          <a:ext cx="901106" cy="3601577"/>
        </a:xfrm>
        <a:prstGeom prst="round2SameRect">
          <a:avLst/>
        </a:prstGeom>
        <a:solidFill>
          <a:schemeClr val="lt1">
            <a:alpha val="90000"/>
            <a:hueOff val="0"/>
            <a:satOff val="0"/>
            <a:lumOff val="0"/>
            <a:alphaOff val="0"/>
          </a:schemeClr>
        </a:solidFill>
        <a:ln w="9525" cap="flat" cmpd="sng" algn="ctr">
          <a:solidFill>
            <a:schemeClr val="accent6">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dirty="0" smtClean="0"/>
            <a:t>Calls </a:t>
          </a:r>
          <a:r>
            <a:rPr lang="en-US" sz="1100" kern="1200" dirty="0" err="1" smtClean="0"/>
            <a:t>NUCP_BC.m</a:t>
          </a:r>
          <a:endParaRPr lang="en-US" sz="1100" kern="1200" dirty="0"/>
        </a:p>
        <a:p>
          <a:pPr marL="57150" lvl="1" indent="-57150" algn="l" defTabSz="488950">
            <a:lnSpc>
              <a:spcPct val="90000"/>
            </a:lnSpc>
            <a:spcBef>
              <a:spcPct val="0"/>
            </a:spcBef>
            <a:spcAft>
              <a:spcPct val="15000"/>
            </a:spcAft>
            <a:buChar char="••"/>
          </a:pPr>
          <a:r>
            <a:rPr lang="en-US" sz="1100" kern="1200" dirty="0" smtClean="0"/>
            <a:t>The system of equations must match those in </a:t>
          </a:r>
          <a:r>
            <a:rPr lang="en-US" sz="1100" kern="1200" dirty="0" err="1" smtClean="0"/>
            <a:t>Xss_BC.m</a:t>
          </a:r>
          <a:endParaRPr lang="en-US" sz="1100" kern="1200" dirty="0"/>
        </a:p>
        <a:p>
          <a:pPr marL="57150" lvl="1" indent="-57150" algn="l" defTabSz="488950">
            <a:lnSpc>
              <a:spcPct val="90000"/>
            </a:lnSpc>
            <a:spcBef>
              <a:spcPct val="0"/>
            </a:spcBef>
            <a:spcAft>
              <a:spcPct val="15000"/>
            </a:spcAft>
            <a:buChar char="••"/>
          </a:pPr>
          <a:r>
            <a:rPr lang="en-US" sz="1100" kern="1200" dirty="0" smtClean="0"/>
            <a:t>Generates the base case data matrix by varying the input variables using nested loops</a:t>
          </a:r>
          <a:endParaRPr lang="en-US" sz="1100" kern="1200" dirty="0"/>
        </a:p>
      </dsp:txBody>
      <dsp:txXfrm rot="-5400000">
        <a:off x="970422" y="5053151"/>
        <a:ext cx="3557589" cy="81313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7E4757F-546A-4AD7-9974-1D51C592508B}">
      <dsp:nvSpPr>
        <dsp:cNvPr id="0" name=""/>
        <dsp:cNvSpPr/>
      </dsp:nvSpPr>
      <dsp:spPr>
        <a:xfrm rot="5400000">
          <a:off x="-211159" y="262940"/>
          <a:ext cx="1407728" cy="985410"/>
        </a:xfrm>
        <a:prstGeom prst="chevron">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w="9525" cap="flat" cmpd="sng" algn="ctr">
          <a:solidFill>
            <a:schemeClr val="accent2">
              <a:hueOff val="0"/>
              <a:satOff val="0"/>
              <a:lumOff val="0"/>
              <a:alphaOff val="0"/>
            </a:scheme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dirty="0" err="1" smtClean="0"/>
            <a:t>PCA_nonoise.m</a:t>
          </a:r>
          <a:endParaRPr lang="en-US" sz="1400" kern="1200" dirty="0"/>
        </a:p>
      </dsp:txBody>
      <dsp:txXfrm rot="-5400000">
        <a:off x="0" y="544486"/>
        <a:ext cx="985410" cy="422318"/>
      </dsp:txXfrm>
    </dsp:sp>
    <dsp:sp modelId="{E75B73AD-116A-4E01-998F-1C4A01634615}">
      <dsp:nvSpPr>
        <dsp:cNvPr id="0" name=""/>
        <dsp:cNvSpPr/>
      </dsp:nvSpPr>
      <dsp:spPr>
        <a:xfrm rot="5400000">
          <a:off x="2321193" y="-1284002"/>
          <a:ext cx="915023" cy="3586589"/>
        </a:xfrm>
        <a:prstGeom prst="round2SameRect">
          <a:avLst/>
        </a:prstGeom>
        <a:solidFill>
          <a:schemeClr val="lt1">
            <a:alpha val="90000"/>
            <a:hueOff val="0"/>
            <a:satOff val="0"/>
            <a:lumOff val="0"/>
            <a:alphaOff val="0"/>
          </a:schemeClr>
        </a:solidFill>
        <a:ln w="9525" cap="flat" cmpd="sng" algn="ctr">
          <a:solidFill>
            <a:schemeClr val="accent2">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dirty="0" smtClean="0"/>
            <a:t>Pre-processes the data (normalize, mean-center, and scale)</a:t>
          </a:r>
          <a:endParaRPr lang="en-US" sz="1100" kern="1200" dirty="0"/>
        </a:p>
        <a:p>
          <a:pPr marL="57150" lvl="1" indent="-57150" algn="l" defTabSz="488950">
            <a:lnSpc>
              <a:spcPct val="90000"/>
            </a:lnSpc>
            <a:spcBef>
              <a:spcPct val="0"/>
            </a:spcBef>
            <a:spcAft>
              <a:spcPct val="15000"/>
            </a:spcAft>
            <a:buChar char="••"/>
          </a:pPr>
          <a:r>
            <a:rPr lang="en-US" sz="1100" kern="1200" dirty="0" smtClean="0"/>
            <a:t>Determines the effective rank using the singular values from SVD</a:t>
          </a:r>
          <a:endParaRPr lang="en-US" sz="1100" kern="1200" dirty="0"/>
        </a:p>
      </dsp:txBody>
      <dsp:txXfrm rot="-5400000">
        <a:off x="985410" y="96449"/>
        <a:ext cx="3541921" cy="825687"/>
      </dsp:txXfrm>
    </dsp:sp>
    <dsp:sp modelId="{1D9A1BDB-F2B1-45D8-96F7-981CB8B7F212}">
      <dsp:nvSpPr>
        <dsp:cNvPr id="0" name=""/>
        <dsp:cNvSpPr/>
      </dsp:nvSpPr>
      <dsp:spPr>
        <a:xfrm rot="5400000">
          <a:off x="-211159" y="1533221"/>
          <a:ext cx="1407728" cy="985410"/>
        </a:xfrm>
        <a:prstGeom prst="chevron">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w="9525" cap="flat" cmpd="sng" algn="ctr">
          <a:solidFill>
            <a:schemeClr val="accent3">
              <a:hueOff val="0"/>
              <a:satOff val="0"/>
              <a:lumOff val="0"/>
              <a:alphaOff val="0"/>
            </a:scheme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dirty="0" err="1" smtClean="0"/>
            <a:t>Add_noise.m</a:t>
          </a:r>
          <a:endParaRPr lang="en-US" sz="1400" kern="1200" dirty="0"/>
        </a:p>
      </dsp:txBody>
      <dsp:txXfrm rot="-5400000">
        <a:off x="0" y="1814767"/>
        <a:ext cx="985410" cy="422318"/>
      </dsp:txXfrm>
    </dsp:sp>
    <dsp:sp modelId="{0420BA56-4A00-460F-910A-6135F7874819}">
      <dsp:nvSpPr>
        <dsp:cNvPr id="0" name=""/>
        <dsp:cNvSpPr/>
      </dsp:nvSpPr>
      <dsp:spPr>
        <a:xfrm rot="5400000">
          <a:off x="2321193" y="-13721"/>
          <a:ext cx="915023" cy="3586589"/>
        </a:xfrm>
        <a:prstGeom prst="round2SameRect">
          <a:avLst/>
        </a:prstGeom>
        <a:solidFill>
          <a:schemeClr val="lt1">
            <a:alpha val="90000"/>
            <a:hueOff val="0"/>
            <a:satOff val="0"/>
            <a:lumOff val="0"/>
            <a:alphaOff val="0"/>
          </a:schemeClr>
        </a:solidFill>
        <a:ln w="9525" cap="flat" cmpd="sng" algn="ctr">
          <a:solidFill>
            <a:schemeClr val="accent3">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dirty="0" smtClean="0"/>
            <a:t>Adds Gaussian white noise to the base case data matrix</a:t>
          </a:r>
          <a:endParaRPr lang="en-US" sz="1100" kern="1200" dirty="0"/>
        </a:p>
        <a:p>
          <a:pPr marL="57150" lvl="1" indent="-57150" algn="l" defTabSz="488950">
            <a:lnSpc>
              <a:spcPct val="90000"/>
            </a:lnSpc>
            <a:spcBef>
              <a:spcPct val="0"/>
            </a:spcBef>
            <a:spcAft>
              <a:spcPct val="15000"/>
            </a:spcAft>
            <a:buChar char="••"/>
          </a:pPr>
          <a:r>
            <a:rPr lang="en-US" sz="1100" kern="1200" dirty="0" smtClean="0"/>
            <a:t>Checks that noise is properly scaled</a:t>
          </a:r>
          <a:endParaRPr lang="en-US" sz="1100" kern="1200" dirty="0"/>
        </a:p>
      </dsp:txBody>
      <dsp:txXfrm rot="-5400000">
        <a:off x="985410" y="1366730"/>
        <a:ext cx="3541921" cy="825687"/>
      </dsp:txXfrm>
    </dsp:sp>
    <dsp:sp modelId="{A61ECC80-AAC3-4878-B000-339BF16B1E69}">
      <dsp:nvSpPr>
        <dsp:cNvPr id="0" name=""/>
        <dsp:cNvSpPr/>
      </dsp:nvSpPr>
      <dsp:spPr>
        <a:xfrm rot="5400000">
          <a:off x="-211159" y="2803502"/>
          <a:ext cx="1407728" cy="985410"/>
        </a:xfrm>
        <a:prstGeom prst="chevron">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w="9525" cap="flat" cmpd="sng" algn="ctr">
          <a:solidFill>
            <a:schemeClr val="accent4">
              <a:hueOff val="0"/>
              <a:satOff val="0"/>
              <a:lumOff val="0"/>
              <a:alphaOff val="0"/>
            </a:scheme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dirty="0" err="1" smtClean="0"/>
            <a:t>PCA_noise.m</a:t>
          </a:r>
          <a:endParaRPr lang="en-US" sz="1400" kern="1200" dirty="0"/>
        </a:p>
      </dsp:txBody>
      <dsp:txXfrm rot="-5400000">
        <a:off x="0" y="3085048"/>
        <a:ext cx="985410" cy="422318"/>
      </dsp:txXfrm>
    </dsp:sp>
    <dsp:sp modelId="{F49084E7-6E6A-442E-BBBB-5651D0545F4A}">
      <dsp:nvSpPr>
        <dsp:cNvPr id="0" name=""/>
        <dsp:cNvSpPr/>
      </dsp:nvSpPr>
      <dsp:spPr>
        <a:xfrm rot="5400000">
          <a:off x="2321193" y="1256559"/>
          <a:ext cx="915023" cy="3586589"/>
        </a:xfrm>
        <a:prstGeom prst="round2SameRect">
          <a:avLst/>
        </a:prstGeom>
        <a:solidFill>
          <a:schemeClr val="lt1">
            <a:alpha val="90000"/>
            <a:hueOff val="0"/>
            <a:satOff val="0"/>
            <a:lumOff val="0"/>
            <a:alphaOff val="0"/>
          </a:schemeClr>
        </a:solidFill>
        <a:ln w="9525" cap="flat" cmpd="sng" algn="ctr">
          <a:solidFill>
            <a:schemeClr val="accent4">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dirty="0" smtClean="0"/>
            <a:t>Pre-processes the noisy data (normalize, mean-center, and scale)</a:t>
          </a:r>
          <a:endParaRPr lang="en-US" sz="1100" kern="1200" dirty="0"/>
        </a:p>
        <a:p>
          <a:pPr marL="57150" lvl="1" indent="-57150" algn="l" defTabSz="488950">
            <a:lnSpc>
              <a:spcPct val="90000"/>
            </a:lnSpc>
            <a:spcBef>
              <a:spcPct val="0"/>
            </a:spcBef>
            <a:spcAft>
              <a:spcPct val="15000"/>
            </a:spcAft>
            <a:buChar char="••"/>
          </a:pPr>
          <a:r>
            <a:rPr lang="en-US" sz="1100" kern="1200" dirty="0" smtClean="0"/>
            <a:t>Extracts the principal component model from SVD</a:t>
          </a:r>
          <a:endParaRPr lang="en-US" sz="1100" kern="1200" dirty="0"/>
        </a:p>
        <a:p>
          <a:pPr marL="57150" lvl="1" indent="-57150" algn="l" defTabSz="488950">
            <a:lnSpc>
              <a:spcPct val="90000"/>
            </a:lnSpc>
            <a:spcBef>
              <a:spcPct val="0"/>
            </a:spcBef>
            <a:spcAft>
              <a:spcPct val="15000"/>
            </a:spcAft>
            <a:buChar char="••"/>
          </a:pPr>
          <a:r>
            <a:rPr lang="en-US" sz="1100" kern="1200" dirty="0" smtClean="0"/>
            <a:t>Determines the effective rank using the singular values from SVD</a:t>
          </a:r>
          <a:endParaRPr lang="en-US" sz="1100" kern="1200" dirty="0"/>
        </a:p>
      </dsp:txBody>
      <dsp:txXfrm rot="-5400000">
        <a:off x="985410" y="2637010"/>
        <a:ext cx="3541921" cy="825687"/>
      </dsp:txXfrm>
    </dsp:sp>
    <dsp:sp modelId="{F6F25015-FA73-4ED5-A4EE-D7613DCFAD03}">
      <dsp:nvSpPr>
        <dsp:cNvPr id="0" name=""/>
        <dsp:cNvSpPr/>
      </dsp:nvSpPr>
      <dsp:spPr>
        <a:xfrm rot="5400000">
          <a:off x="-211159" y="4128179"/>
          <a:ext cx="1407728" cy="985410"/>
        </a:xfrm>
        <a:prstGeom prst="chevron">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w="9525" cap="flat" cmpd="sng" algn="ctr">
          <a:solidFill>
            <a:schemeClr val="accent5">
              <a:hueOff val="0"/>
              <a:satOff val="0"/>
              <a:lumOff val="0"/>
              <a:alphaOff val="0"/>
            </a:scheme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dirty="0" err="1" smtClean="0"/>
            <a:t>PCA_BCmodel.m</a:t>
          </a:r>
          <a:endParaRPr lang="en-US" sz="1400" kern="1200" dirty="0"/>
        </a:p>
      </dsp:txBody>
      <dsp:txXfrm rot="-5400000">
        <a:off x="0" y="4409725"/>
        <a:ext cx="985410" cy="422318"/>
      </dsp:txXfrm>
    </dsp:sp>
    <dsp:sp modelId="{3CDE0879-51D7-45A3-8EBC-B63E81484CA1}">
      <dsp:nvSpPr>
        <dsp:cNvPr id="0" name=""/>
        <dsp:cNvSpPr/>
      </dsp:nvSpPr>
      <dsp:spPr>
        <a:xfrm rot="5400000">
          <a:off x="2130387" y="2741226"/>
          <a:ext cx="1296634" cy="3586589"/>
        </a:xfrm>
        <a:prstGeom prst="round2SameRect">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dirty="0" smtClean="0"/>
            <a:t>Determines the number of factors to keep based on the effective rank</a:t>
          </a:r>
          <a:endParaRPr lang="en-US" sz="1100" kern="1200" dirty="0"/>
        </a:p>
        <a:p>
          <a:pPr marL="57150" lvl="1" indent="-57150" algn="l" defTabSz="488950">
            <a:lnSpc>
              <a:spcPct val="90000"/>
            </a:lnSpc>
            <a:spcBef>
              <a:spcPct val="0"/>
            </a:spcBef>
            <a:spcAft>
              <a:spcPct val="15000"/>
            </a:spcAft>
            <a:buChar char="••"/>
          </a:pPr>
          <a:r>
            <a:rPr lang="en-US" sz="1100" kern="1200" dirty="0" smtClean="0"/>
            <a:t>Plots the loadings vectors</a:t>
          </a:r>
          <a:endParaRPr lang="en-US" sz="1100" kern="1200" dirty="0"/>
        </a:p>
        <a:p>
          <a:pPr marL="57150" lvl="1" indent="-57150" algn="l" defTabSz="488950">
            <a:lnSpc>
              <a:spcPct val="90000"/>
            </a:lnSpc>
            <a:spcBef>
              <a:spcPct val="0"/>
            </a:spcBef>
            <a:spcAft>
              <a:spcPct val="15000"/>
            </a:spcAft>
            <a:buChar char="••"/>
          </a:pPr>
          <a:r>
            <a:rPr lang="en-US" sz="1100" kern="1200" dirty="0" smtClean="0"/>
            <a:t>Computes the scores</a:t>
          </a:r>
          <a:endParaRPr lang="en-US" sz="1100" kern="1200" dirty="0"/>
        </a:p>
        <a:p>
          <a:pPr marL="57150" lvl="1" indent="-57150" algn="l" defTabSz="488950">
            <a:lnSpc>
              <a:spcPct val="90000"/>
            </a:lnSpc>
            <a:spcBef>
              <a:spcPct val="0"/>
            </a:spcBef>
            <a:spcAft>
              <a:spcPct val="15000"/>
            </a:spcAft>
            <a:buChar char="••"/>
          </a:pPr>
          <a:r>
            <a:rPr lang="en-US" sz="1100" kern="1200" dirty="0" smtClean="0"/>
            <a:t>Computes the </a:t>
          </a:r>
          <a:r>
            <a:rPr lang="en-US" sz="1100" kern="1200" dirty="0" err="1" smtClean="0"/>
            <a:t>Mahalanobis</a:t>
          </a:r>
          <a:r>
            <a:rPr lang="en-US" sz="1100" kern="1200" dirty="0" smtClean="0"/>
            <a:t> distance and 95% confidence interval</a:t>
          </a:r>
          <a:endParaRPr lang="en-US" sz="1100" kern="1200" dirty="0"/>
        </a:p>
        <a:p>
          <a:pPr marL="57150" lvl="1" indent="-57150" algn="l" defTabSz="488950">
            <a:lnSpc>
              <a:spcPct val="90000"/>
            </a:lnSpc>
            <a:spcBef>
              <a:spcPct val="0"/>
            </a:spcBef>
            <a:spcAft>
              <a:spcPct val="15000"/>
            </a:spcAft>
            <a:buChar char="••"/>
          </a:pPr>
          <a:r>
            <a:rPr lang="en-US" sz="1100" kern="1200" dirty="0" smtClean="0"/>
            <a:t>Computes the Q-statistic and 95% confidence interval</a:t>
          </a:r>
          <a:endParaRPr lang="en-US" sz="1100" kern="1200" dirty="0"/>
        </a:p>
      </dsp:txBody>
      <dsp:txXfrm rot="-5400000">
        <a:off x="985410" y="3949499"/>
        <a:ext cx="3523293" cy="1170042"/>
      </dsp:txXfrm>
    </dsp:sp>
    <dsp:sp modelId="{5FAF5020-4EE2-4F7C-B1A7-311326FFCBF6}">
      <dsp:nvSpPr>
        <dsp:cNvPr id="0" name=""/>
        <dsp:cNvSpPr/>
      </dsp:nvSpPr>
      <dsp:spPr>
        <a:xfrm rot="5400000">
          <a:off x="-211159" y="5661426"/>
          <a:ext cx="1407728" cy="985410"/>
        </a:xfrm>
        <a:prstGeom prst="chevron">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w="9525" cap="flat" cmpd="sng" algn="ctr">
          <a:solidFill>
            <a:schemeClr val="accent6">
              <a:hueOff val="0"/>
              <a:satOff val="0"/>
              <a:lumOff val="0"/>
              <a:alphaOff val="0"/>
            </a:scheme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dirty="0" err="1" smtClean="0"/>
            <a:t>PCA_BCfigures.m</a:t>
          </a:r>
          <a:endParaRPr lang="en-US" sz="1400" kern="1200" dirty="0"/>
        </a:p>
      </dsp:txBody>
      <dsp:txXfrm rot="-5400000">
        <a:off x="0" y="5942972"/>
        <a:ext cx="985410" cy="422318"/>
      </dsp:txXfrm>
    </dsp:sp>
    <dsp:sp modelId="{3BBC56E9-9185-4283-8FD4-FB86AD2C311C}">
      <dsp:nvSpPr>
        <dsp:cNvPr id="0" name=""/>
        <dsp:cNvSpPr/>
      </dsp:nvSpPr>
      <dsp:spPr>
        <a:xfrm rot="5400000">
          <a:off x="2246412" y="4149195"/>
          <a:ext cx="1064584" cy="3586589"/>
        </a:xfrm>
        <a:prstGeom prst="round2SameRect">
          <a:avLst/>
        </a:prstGeom>
        <a:solidFill>
          <a:schemeClr val="lt1">
            <a:alpha val="90000"/>
            <a:hueOff val="0"/>
            <a:satOff val="0"/>
            <a:lumOff val="0"/>
            <a:alphaOff val="0"/>
          </a:schemeClr>
        </a:solidFill>
        <a:ln w="9525" cap="flat" cmpd="sng" algn="ctr">
          <a:solidFill>
            <a:schemeClr val="accent6">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dirty="0" smtClean="0"/>
            <a:t>Draws the 2-D and 3-D scores plots and 95% confidence boundary</a:t>
          </a:r>
          <a:endParaRPr lang="en-US" sz="1100" kern="1200" dirty="0"/>
        </a:p>
        <a:p>
          <a:pPr marL="57150" lvl="1" indent="-57150" algn="l" defTabSz="488950">
            <a:lnSpc>
              <a:spcPct val="90000"/>
            </a:lnSpc>
            <a:spcBef>
              <a:spcPct val="0"/>
            </a:spcBef>
            <a:spcAft>
              <a:spcPct val="15000"/>
            </a:spcAft>
            <a:buChar char="••"/>
          </a:pPr>
          <a:r>
            <a:rPr lang="en-US" sz="1100" kern="1200" dirty="0" smtClean="0"/>
            <a:t>Plots the </a:t>
          </a:r>
          <a:r>
            <a:rPr lang="en-US" sz="1100" kern="1200" dirty="0" err="1" smtClean="0"/>
            <a:t>Mahalanobis</a:t>
          </a:r>
          <a:r>
            <a:rPr lang="en-US" sz="1100" kern="1200" dirty="0" smtClean="0"/>
            <a:t> distance and 95% confidence boundary</a:t>
          </a:r>
          <a:endParaRPr lang="en-US" sz="1100" kern="1200" dirty="0"/>
        </a:p>
        <a:p>
          <a:pPr marL="57150" lvl="1" indent="-57150" algn="l" defTabSz="488950">
            <a:lnSpc>
              <a:spcPct val="90000"/>
            </a:lnSpc>
            <a:spcBef>
              <a:spcPct val="0"/>
            </a:spcBef>
            <a:spcAft>
              <a:spcPct val="15000"/>
            </a:spcAft>
            <a:buChar char="••"/>
          </a:pPr>
          <a:r>
            <a:rPr lang="en-US" sz="1100" kern="1200" dirty="0" smtClean="0"/>
            <a:t>Plots the Q-statistic and 95% confidence boundary</a:t>
          </a:r>
          <a:endParaRPr lang="en-US" sz="1100" kern="1200" dirty="0"/>
        </a:p>
        <a:p>
          <a:pPr marL="57150" lvl="1" indent="-57150" algn="l" defTabSz="488950">
            <a:lnSpc>
              <a:spcPct val="90000"/>
            </a:lnSpc>
            <a:spcBef>
              <a:spcPct val="0"/>
            </a:spcBef>
            <a:spcAft>
              <a:spcPct val="15000"/>
            </a:spcAft>
            <a:buChar char="••"/>
          </a:pPr>
          <a:r>
            <a:rPr lang="en-US" sz="1100" kern="1200" dirty="0" smtClean="0"/>
            <a:t>Draws the 3-D plot of PC1 scores, PC2 scores, and SPE</a:t>
          </a:r>
          <a:endParaRPr lang="en-US" sz="1100" kern="1200" dirty="0"/>
        </a:p>
      </dsp:txBody>
      <dsp:txXfrm rot="-5400000">
        <a:off x="985410" y="5462167"/>
        <a:ext cx="3534620" cy="960646"/>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66D165E-8C89-4C08-9CC7-BFBED6404D8D}">
      <dsp:nvSpPr>
        <dsp:cNvPr id="0" name=""/>
        <dsp:cNvSpPr/>
      </dsp:nvSpPr>
      <dsp:spPr>
        <a:xfrm rot="5400000">
          <a:off x="-168686" y="433851"/>
          <a:ext cx="1124577" cy="787203"/>
        </a:xfrm>
        <a:prstGeom prst="chevron">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w="9525" cap="flat" cmpd="sng" algn="ctr">
          <a:solidFill>
            <a:schemeClr val="accent2">
              <a:hueOff val="0"/>
              <a:satOff val="0"/>
              <a:lumOff val="0"/>
              <a:alphaOff val="0"/>
            </a:scheme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dirty="0" err="1" smtClean="0"/>
            <a:t>fsolve_case#.m</a:t>
          </a:r>
          <a:endParaRPr lang="en-US" sz="1400" kern="1200" dirty="0"/>
        </a:p>
      </dsp:txBody>
      <dsp:txXfrm rot="-5400000">
        <a:off x="2" y="658766"/>
        <a:ext cx="787203" cy="337374"/>
      </dsp:txXfrm>
    </dsp:sp>
    <dsp:sp modelId="{E14DF492-ECA6-4D35-8F08-A5E28B143C8E}">
      <dsp:nvSpPr>
        <dsp:cNvPr id="0" name=""/>
        <dsp:cNvSpPr/>
      </dsp:nvSpPr>
      <dsp:spPr>
        <a:xfrm rot="5400000">
          <a:off x="2491864" y="-1480623"/>
          <a:ext cx="832674" cy="4241996"/>
        </a:xfrm>
        <a:prstGeom prst="round2SameRect">
          <a:avLst/>
        </a:prstGeom>
        <a:solidFill>
          <a:schemeClr val="lt1">
            <a:alpha val="90000"/>
            <a:hueOff val="0"/>
            <a:satOff val="0"/>
            <a:lumOff val="0"/>
            <a:alphaOff val="0"/>
          </a:schemeClr>
        </a:solidFill>
        <a:ln w="9525" cap="flat" cmpd="sng" algn="ctr">
          <a:solidFill>
            <a:schemeClr val="accent2">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dirty="0" smtClean="0"/>
            <a:t>Solves the system of nonlinear algebraic equations describing the faulty operation of the conversion plant for the specified case</a:t>
          </a:r>
          <a:endParaRPr lang="en-US" sz="1100" kern="1200" dirty="0"/>
        </a:p>
        <a:p>
          <a:pPr marL="57150" lvl="1" indent="-57150" algn="l" defTabSz="488950">
            <a:lnSpc>
              <a:spcPct val="90000"/>
            </a:lnSpc>
            <a:spcBef>
              <a:spcPct val="0"/>
            </a:spcBef>
            <a:spcAft>
              <a:spcPct val="15000"/>
            </a:spcAft>
            <a:buChar char="••"/>
          </a:pPr>
          <a:r>
            <a:rPr lang="en-US" sz="1100" kern="1200" dirty="0" smtClean="0"/>
            <a:t>Calls the function file </a:t>
          </a:r>
          <a:r>
            <a:rPr lang="en-US" sz="1100" kern="1200" dirty="0" err="1" smtClean="0"/>
            <a:t>Xss_case#.m</a:t>
          </a:r>
          <a:endParaRPr lang="en-US" sz="1100" kern="1200" dirty="0"/>
        </a:p>
        <a:p>
          <a:pPr marL="57150" lvl="1" indent="-57150" algn="l" defTabSz="488950">
            <a:lnSpc>
              <a:spcPct val="90000"/>
            </a:lnSpc>
            <a:spcBef>
              <a:spcPct val="0"/>
            </a:spcBef>
            <a:spcAft>
              <a:spcPct val="15000"/>
            </a:spcAft>
            <a:buChar char="••"/>
          </a:pPr>
          <a:r>
            <a:rPr lang="en-US" sz="1100" kern="1200" dirty="0" smtClean="0"/>
            <a:t>Outputs the steady-state state variable solution (</a:t>
          </a:r>
          <a:r>
            <a:rPr lang="en-US" sz="1100" kern="1200" dirty="0" err="1" smtClean="0"/>
            <a:t>Xss</a:t>
          </a:r>
          <a:r>
            <a:rPr lang="en-US" sz="1100" kern="1200" dirty="0" smtClean="0"/>
            <a:t>) at the stated faulty input variable and/or parameter values</a:t>
          </a:r>
          <a:endParaRPr lang="en-US" sz="1100" kern="1200" dirty="0"/>
        </a:p>
      </dsp:txBody>
      <dsp:txXfrm rot="-5400000">
        <a:off x="787203" y="264686"/>
        <a:ext cx="4201348" cy="751378"/>
      </dsp:txXfrm>
    </dsp:sp>
    <dsp:sp modelId="{0EB76CFE-17E5-4BE1-9942-91090D3B64A8}">
      <dsp:nvSpPr>
        <dsp:cNvPr id="0" name=""/>
        <dsp:cNvSpPr/>
      </dsp:nvSpPr>
      <dsp:spPr>
        <a:xfrm rot="5400000">
          <a:off x="-168686" y="1458609"/>
          <a:ext cx="1124577" cy="787203"/>
        </a:xfrm>
        <a:prstGeom prst="chevron">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w="9525" cap="flat" cmpd="sng" algn="ctr">
          <a:solidFill>
            <a:schemeClr val="accent3">
              <a:hueOff val="0"/>
              <a:satOff val="0"/>
              <a:lumOff val="0"/>
              <a:alphaOff val="0"/>
            </a:scheme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dirty="0" err="1" smtClean="0"/>
            <a:t>parameters_c#.m</a:t>
          </a:r>
          <a:endParaRPr lang="en-US" sz="1400" kern="1200" dirty="0"/>
        </a:p>
      </dsp:txBody>
      <dsp:txXfrm rot="-5400000">
        <a:off x="2" y="1683524"/>
        <a:ext cx="787203" cy="337374"/>
      </dsp:txXfrm>
    </dsp:sp>
    <dsp:sp modelId="{11914B9B-2930-4180-998A-517DB891CDFA}">
      <dsp:nvSpPr>
        <dsp:cNvPr id="0" name=""/>
        <dsp:cNvSpPr/>
      </dsp:nvSpPr>
      <dsp:spPr>
        <a:xfrm rot="5400000">
          <a:off x="2542714" y="-465587"/>
          <a:ext cx="730975" cy="4241996"/>
        </a:xfrm>
        <a:prstGeom prst="round2SameRect">
          <a:avLst/>
        </a:prstGeom>
        <a:solidFill>
          <a:schemeClr val="lt1">
            <a:alpha val="90000"/>
            <a:hueOff val="0"/>
            <a:satOff val="0"/>
            <a:lumOff val="0"/>
            <a:alphaOff val="0"/>
          </a:schemeClr>
        </a:solidFill>
        <a:ln w="9525" cap="flat" cmpd="sng" algn="ctr">
          <a:solidFill>
            <a:schemeClr val="accent3">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dirty="0" smtClean="0"/>
            <a:t>Loads the specified faulty case parameters for the subsequent files</a:t>
          </a:r>
          <a:endParaRPr lang="en-US" sz="1100" kern="1200" dirty="0"/>
        </a:p>
        <a:p>
          <a:pPr marL="57150" lvl="1" indent="-57150" algn="l" defTabSz="488950">
            <a:lnSpc>
              <a:spcPct val="90000"/>
            </a:lnSpc>
            <a:spcBef>
              <a:spcPct val="0"/>
            </a:spcBef>
            <a:spcAft>
              <a:spcPct val="15000"/>
            </a:spcAft>
            <a:buChar char="••"/>
          </a:pPr>
          <a:r>
            <a:rPr lang="en-US" sz="1100" kern="1200" dirty="0" smtClean="0"/>
            <a:t>Must match the parameters in </a:t>
          </a:r>
          <a:r>
            <a:rPr lang="en-US" sz="1100" kern="1200" dirty="0" err="1" smtClean="0"/>
            <a:t>Xss_case#.m</a:t>
          </a:r>
          <a:endParaRPr lang="en-US" sz="1100" kern="1200" dirty="0"/>
        </a:p>
        <a:p>
          <a:pPr marL="57150" lvl="1" indent="-57150" algn="l" defTabSz="488950">
            <a:lnSpc>
              <a:spcPct val="90000"/>
            </a:lnSpc>
            <a:spcBef>
              <a:spcPct val="0"/>
            </a:spcBef>
            <a:spcAft>
              <a:spcPct val="15000"/>
            </a:spcAft>
            <a:buChar char="••"/>
          </a:pPr>
          <a:r>
            <a:rPr lang="en-US" sz="1100" kern="1200" dirty="0" smtClean="0"/>
            <a:t>Also loads the steady-state input variables</a:t>
          </a:r>
          <a:endParaRPr lang="en-US" sz="1100" kern="1200" dirty="0"/>
        </a:p>
      </dsp:txBody>
      <dsp:txXfrm rot="-5400000">
        <a:off x="787204" y="1325606"/>
        <a:ext cx="4206313" cy="659609"/>
      </dsp:txXfrm>
    </dsp:sp>
    <dsp:sp modelId="{D9CAD62A-9120-40C2-B565-F5FF263B195F}">
      <dsp:nvSpPr>
        <dsp:cNvPr id="0" name=""/>
        <dsp:cNvSpPr/>
      </dsp:nvSpPr>
      <dsp:spPr>
        <a:xfrm rot="5400000">
          <a:off x="-168686" y="2483367"/>
          <a:ext cx="1124577" cy="787203"/>
        </a:xfrm>
        <a:prstGeom prst="chevron">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w="9525" cap="flat" cmpd="sng" algn="ctr">
          <a:solidFill>
            <a:schemeClr val="accent4">
              <a:hueOff val="0"/>
              <a:satOff val="0"/>
              <a:lumOff val="0"/>
              <a:alphaOff val="0"/>
            </a:scheme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dirty="0" err="1" smtClean="0"/>
            <a:t>Xdot_case#.m</a:t>
          </a:r>
          <a:endParaRPr lang="en-US" sz="1400" kern="1200" dirty="0"/>
        </a:p>
      </dsp:txBody>
      <dsp:txXfrm rot="-5400000">
        <a:off x="2" y="2708282"/>
        <a:ext cx="787203" cy="337374"/>
      </dsp:txXfrm>
    </dsp:sp>
    <dsp:sp modelId="{AC437C47-DFF3-4634-A88B-B4912BE7CEDB}">
      <dsp:nvSpPr>
        <dsp:cNvPr id="0" name=""/>
        <dsp:cNvSpPr/>
      </dsp:nvSpPr>
      <dsp:spPr>
        <a:xfrm rot="5400000">
          <a:off x="2542714" y="559170"/>
          <a:ext cx="730975" cy="4241996"/>
        </a:xfrm>
        <a:prstGeom prst="round2SameRect">
          <a:avLst/>
        </a:prstGeom>
        <a:solidFill>
          <a:schemeClr val="lt1">
            <a:alpha val="90000"/>
            <a:hueOff val="0"/>
            <a:satOff val="0"/>
            <a:lumOff val="0"/>
            <a:alphaOff val="0"/>
          </a:schemeClr>
        </a:solidFill>
        <a:ln w="9525" cap="flat" cmpd="sng" algn="ctr">
          <a:solidFill>
            <a:schemeClr val="accent4">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dirty="0" smtClean="0"/>
            <a:t>Checks the steady-state solution for the specified faulty case</a:t>
          </a:r>
          <a:endParaRPr lang="en-US" sz="1100" kern="1200" dirty="0"/>
        </a:p>
        <a:p>
          <a:pPr marL="57150" lvl="1" indent="-57150" algn="l" defTabSz="488950">
            <a:lnSpc>
              <a:spcPct val="90000"/>
            </a:lnSpc>
            <a:spcBef>
              <a:spcPct val="0"/>
            </a:spcBef>
            <a:spcAft>
              <a:spcPct val="15000"/>
            </a:spcAft>
            <a:buChar char="••"/>
          </a:pPr>
          <a:r>
            <a:rPr lang="en-US" sz="1100" kern="1200" dirty="0" smtClean="0"/>
            <a:t>The system of equations must match those in </a:t>
          </a:r>
          <a:r>
            <a:rPr lang="en-US" sz="1100" kern="1200" dirty="0" err="1" smtClean="0"/>
            <a:t>Xss_case#.m</a:t>
          </a:r>
          <a:endParaRPr lang="en-US" sz="1100" kern="1200" dirty="0"/>
        </a:p>
        <a:p>
          <a:pPr marL="57150" lvl="1" indent="-57150" algn="l" defTabSz="488950">
            <a:lnSpc>
              <a:spcPct val="90000"/>
            </a:lnSpc>
            <a:spcBef>
              <a:spcPct val="0"/>
            </a:spcBef>
            <a:spcAft>
              <a:spcPct val="15000"/>
            </a:spcAft>
            <a:buChar char="••"/>
          </a:pPr>
          <a:r>
            <a:rPr lang="en-US" sz="1100" kern="1200" dirty="0" smtClean="0"/>
            <a:t>Output is </a:t>
          </a:r>
          <a:r>
            <a:rPr lang="en-US" sz="1100" kern="1200" dirty="0" err="1" smtClean="0"/>
            <a:t>Xdot</a:t>
          </a:r>
          <a:r>
            <a:rPr lang="en-US" sz="1100" kern="1200" dirty="0" smtClean="0"/>
            <a:t> and is equal to that evaluated from </a:t>
          </a:r>
          <a:r>
            <a:rPr lang="en-US" sz="1100" kern="1200" dirty="0" err="1" smtClean="0"/>
            <a:t>fsolve_case#.m</a:t>
          </a:r>
          <a:endParaRPr lang="en-US" sz="1100" kern="1200" dirty="0"/>
        </a:p>
        <a:p>
          <a:pPr marL="57150" lvl="1" indent="-57150" algn="l" defTabSz="488950">
            <a:lnSpc>
              <a:spcPct val="90000"/>
            </a:lnSpc>
            <a:spcBef>
              <a:spcPct val="0"/>
            </a:spcBef>
            <a:spcAft>
              <a:spcPct val="15000"/>
            </a:spcAft>
            <a:buChar char="••"/>
          </a:pPr>
          <a:r>
            <a:rPr lang="en-US" sz="1100" kern="1200" dirty="0" smtClean="0"/>
            <a:t>The solution for </a:t>
          </a:r>
          <a:r>
            <a:rPr lang="en-US" sz="1100" kern="1200" dirty="0" err="1" smtClean="0"/>
            <a:t>Xdot</a:t>
          </a:r>
          <a:r>
            <a:rPr lang="en-US" sz="1100" kern="1200" dirty="0" smtClean="0"/>
            <a:t> should be zero</a:t>
          </a:r>
          <a:endParaRPr lang="en-US" sz="1100" kern="1200" dirty="0"/>
        </a:p>
      </dsp:txBody>
      <dsp:txXfrm rot="-5400000">
        <a:off x="787204" y="2350364"/>
        <a:ext cx="4206313" cy="659609"/>
      </dsp:txXfrm>
    </dsp:sp>
    <dsp:sp modelId="{744E30F5-636C-4BE4-BAED-2A3CBA746B5F}">
      <dsp:nvSpPr>
        <dsp:cNvPr id="0" name=""/>
        <dsp:cNvSpPr/>
      </dsp:nvSpPr>
      <dsp:spPr>
        <a:xfrm rot="5400000">
          <a:off x="-168686" y="3508125"/>
          <a:ext cx="1124577" cy="787203"/>
        </a:xfrm>
        <a:prstGeom prst="chevron">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w="9525" cap="flat" cmpd="sng" algn="ctr">
          <a:solidFill>
            <a:schemeClr val="accent5">
              <a:hueOff val="0"/>
              <a:satOff val="0"/>
              <a:lumOff val="0"/>
              <a:alphaOff val="0"/>
            </a:scheme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dirty="0" err="1" smtClean="0"/>
            <a:t>OMB_case#.m</a:t>
          </a:r>
          <a:endParaRPr lang="en-US" sz="1400" kern="1200" dirty="0"/>
        </a:p>
      </dsp:txBody>
      <dsp:txXfrm rot="-5400000">
        <a:off x="2" y="3733040"/>
        <a:ext cx="787203" cy="337374"/>
      </dsp:txXfrm>
    </dsp:sp>
    <dsp:sp modelId="{932FFCE6-19B4-4482-8EE3-E2BA6F008FCE}">
      <dsp:nvSpPr>
        <dsp:cNvPr id="0" name=""/>
        <dsp:cNvSpPr/>
      </dsp:nvSpPr>
      <dsp:spPr>
        <a:xfrm rot="5400000">
          <a:off x="2542714" y="1583928"/>
          <a:ext cx="730975" cy="4241996"/>
        </a:xfrm>
        <a:prstGeom prst="round2SameRect">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dirty="0" smtClean="0"/>
            <a:t>Checks the overall material balance for each module</a:t>
          </a:r>
          <a:endParaRPr lang="en-US" sz="1100" kern="1200" dirty="0"/>
        </a:p>
        <a:p>
          <a:pPr marL="57150" lvl="1" indent="-57150" algn="l" defTabSz="488950">
            <a:lnSpc>
              <a:spcPct val="90000"/>
            </a:lnSpc>
            <a:spcBef>
              <a:spcPct val="0"/>
            </a:spcBef>
            <a:spcAft>
              <a:spcPct val="15000"/>
            </a:spcAft>
            <a:buChar char="••"/>
          </a:pPr>
          <a:r>
            <a:rPr lang="en-US" sz="1100" kern="1200" dirty="0" smtClean="0"/>
            <a:t>The solution for the overall mass balance should be zero</a:t>
          </a:r>
          <a:endParaRPr lang="en-US" sz="1100" kern="1200" dirty="0"/>
        </a:p>
      </dsp:txBody>
      <dsp:txXfrm rot="-5400000">
        <a:off x="787204" y="3375122"/>
        <a:ext cx="4206313" cy="659609"/>
      </dsp:txXfrm>
    </dsp:sp>
    <dsp:sp modelId="{8A460E99-18F4-4D53-9554-E2104BF8B2BB}">
      <dsp:nvSpPr>
        <dsp:cNvPr id="0" name=""/>
        <dsp:cNvSpPr/>
      </dsp:nvSpPr>
      <dsp:spPr>
        <a:xfrm rot="5400000">
          <a:off x="-168686" y="4532883"/>
          <a:ext cx="1124577" cy="787203"/>
        </a:xfrm>
        <a:prstGeom prst="chevron">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w="9525" cap="flat" cmpd="sng" algn="ctr">
          <a:solidFill>
            <a:schemeClr val="accent6">
              <a:hueOff val="0"/>
              <a:satOff val="0"/>
              <a:lumOff val="0"/>
              <a:alphaOff val="0"/>
            </a:scheme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dirty="0" err="1" smtClean="0"/>
            <a:t>C#_data.m</a:t>
          </a:r>
          <a:endParaRPr lang="en-US" sz="1400" kern="1200" dirty="0"/>
        </a:p>
      </dsp:txBody>
      <dsp:txXfrm rot="-5400000">
        <a:off x="2" y="4757798"/>
        <a:ext cx="787203" cy="337374"/>
      </dsp:txXfrm>
    </dsp:sp>
    <dsp:sp modelId="{B9379FE0-6EF8-479A-A108-D9A4AAAE5D54}">
      <dsp:nvSpPr>
        <dsp:cNvPr id="0" name=""/>
        <dsp:cNvSpPr/>
      </dsp:nvSpPr>
      <dsp:spPr>
        <a:xfrm rot="5400000">
          <a:off x="2542714" y="2608686"/>
          <a:ext cx="730975" cy="4241996"/>
        </a:xfrm>
        <a:prstGeom prst="round2SameRect">
          <a:avLst/>
        </a:prstGeom>
        <a:solidFill>
          <a:schemeClr val="lt1">
            <a:alpha val="90000"/>
            <a:hueOff val="0"/>
            <a:satOff val="0"/>
            <a:lumOff val="0"/>
            <a:alphaOff val="0"/>
          </a:schemeClr>
        </a:solidFill>
        <a:ln w="9525" cap="flat" cmpd="sng" algn="ctr">
          <a:solidFill>
            <a:schemeClr val="accent6">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dirty="0" smtClean="0"/>
            <a:t>Calls </a:t>
          </a:r>
          <a:r>
            <a:rPr lang="en-US" sz="1100" kern="1200" dirty="0" err="1" smtClean="0"/>
            <a:t>NUCP_case#.m</a:t>
          </a:r>
          <a:endParaRPr lang="en-US" sz="1100" kern="1200" dirty="0"/>
        </a:p>
        <a:p>
          <a:pPr marL="57150" lvl="1" indent="-57150" algn="l" defTabSz="488950">
            <a:lnSpc>
              <a:spcPct val="90000"/>
            </a:lnSpc>
            <a:spcBef>
              <a:spcPct val="0"/>
            </a:spcBef>
            <a:spcAft>
              <a:spcPct val="15000"/>
            </a:spcAft>
            <a:buChar char="••"/>
          </a:pPr>
          <a:r>
            <a:rPr lang="en-US" sz="1100" kern="1200" dirty="0" smtClean="0"/>
            <a:t>The system of equations must match those in </a:t>
          </a:r>
          <a:r>
            <a:rPr lang="en-US" sz="1100" kern="1200" dirty="0" err="1" smtClean="0"/>
            <a:t>Xss_case#.m</a:t>
          </a:r>
          <a:endParaRPr lang="en-US" sz="1100" kern="1200" dirty="0"/>
        </a:p>
        <a:p>
          <a:pPr marL="57150" lvl="1" indent="-57150" algn="l" defTabSz="488950">
            <a:lnSpc>
              <a:spcPct val="90000"/>
            </a:lnSpc>
            <a:spcBef>
              <a:spcPct val="0"/>
            </a:spcBef>
            <a:spcAft>
              <a:spcPct val="15000"/>
            </a:spcAft>
            <a:buChar char="••"/>
          </a:pPr>
          <a:r>
            <a:rPr lang="en-US" sz="1100" kern="1200" dirty="0" smtClean="0"/>
            <a:t>Generates the faulty case data matrix by varying the input variables using nested loops</a:t>
          </a:r>
          <a:endParaRPr lang="en-US" sz="1100" kern="1200" dirty="0"/>
        </a:p>
      </dsp:txBody>
      <dsp:txXfrm rot="-5400000">
        <a:off x="787204" y="4399880"/>
        <a:ext cx="4206313" cy="659609"/>
      </dsp:txXfrm>
    </dsp:sp>
    <dsp:sp modelId="{6C24CDB4-3A40-4CBC-99FE-80F139DFBC1E}">
      <dsp:nvSpPr>
        <dsp:cNvPr id="0" name=""/>
        <dsp:cNvSpPr/>
      </dsp:nvSpPr>
      <dsp:spPr>
        <a:xfrm rot="5400000">
          <a:off x="-168686" y="5570843"/>
          <a:ext cx="1124577" cy="787203"/>
        </a:xfrm>
        <a:prstGeom prst="chevron">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w="9525" cap="flat" cmpd="sng" algn="ctr">
          <a:solidFill>
            <a:schemeClr val="accent2">
              <a:hueOff val="0"/>
              <a:satOff val="0"/>
              <a:lumOff val="0"/>
              <a:alphaOff val="0"/>
            </a:scheme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dirty="0" err="1" smtClean="0"/>
            <a:t>PCA_model_#.m</a:t>
          </a:r>
          <a:endParaRPr lang="en-US" sz="1400" kern="1200" dirty="0"/>
        </a:p>
      </dsp:txBody>
      <dsp:txXfrm rot="-5400000">
        <a:off x="2" y="5795758"/>
        <a:ext cx="787203" cy="337374"/>
      </dsp:txXfrm>
    </dsp:sp>
    <dsp:sp modelId="{AD0C3259-E42E-4223-BE17-CB84777BD345}">
      <dsp:nvSpPr>
        <dsp:cNvPr id="0" name=""/>
        <dsp:cNvSpPr/>
      </dsp:nvSpPr>
      <dsp:spPr>
        <a:xfrm rot="5400000">
          <a:off x="2165103" y="4011054"/>
          <a:ext cx="1486196" cy="4241996"/>
        </a:xfrm>
        <a:prstGeom prst="round2SameRect">
          <a:avLst/>
        </a:prstGeom>
        <a:solidFill>
          <a:schemeClr val="lt1">
            <a:alpha val="90000"/>
            <a:hueOff val="0"/>
            <a:satOff val="0"/>
            <a:lumOff val="0"/>
            <a:alphaOff val="0"/>
          </a:schemeClr>
        </a:solidFill>
        <a:ln w="9525" cap="flat" cmpd="sng" algn="ctr">
          <a:solidFill>
            <a:schemeClr val="accent2">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dirty="0" smtClean="0"/>
            <a:t>Adds Gaussian white noise to the faulty case data matrix and checks that noise is properly scaled</a:t>
          </a:r>
          <a:endParaRPr lang="en-US" sz="1100" kern="1200" dirty="0"/>
        </a:p>
        <a:p>
          <a:pPr marL="57150" lvl="1" indent="-57150" algn="l" defTabSz="488950">
            <a:lnSpc>
              <a:spcPct val="90000"/>
            </a:lnSpc>
            <a:spcBef>
              <a:spcPct val="0"/>
            </a:spcBef>
            <a:spcAft>
              <a:spcPct val="15000"/>
            </a:spcAft>
            <a:buChar char="••"/>
          </a:pPr>
          <a:r>
            <a:rPr lang="en-US" sz="1100" kern="1200" dirty="0" smtClean="0"/>
            <a:t>Pre-processes the noisy data (normalize, mean-center, and scale) using the base case mean and standard deviation(s)</a:t>
          </a:r>
          <a:endParaRPr lang="en-US" sz="1100" kern="1200" dirty="0"/>
        </a:p>
        <a:p>
          <a:pPr marL="57150" lvl="1" indent="-57150" algn="l" defTabSz="488950">
            <a:lnSpc>
              <a:spcPct val="90000"/>
            </a:lnSpc>
            <a:spcBef>
              <a:spcPct val="0"/>
            </a:spcBef>
            <a:spcAft>
              <a:spcPct val="15000"/>
            </a:spcAft>
            <a:buChar char="••"/>
          </a:pPr>
          <a:r>
            <a:rPr lang="en-US" sz="1100" kern="1200" dirty="0" smtClean="0"/>
            <a:t>Computes the scores, the </a:t>
          </a:r>
          <a:r>
            <a:rPr lang="en-US" sz="1100" kern="1200" dirty="0" err="1" smtClean="0"/>
            <a:t>Mahalanobis</a:t>
          </a:r>
          <a:r>
            <a:rPr lang="en-US" sz="1100" kern="1200" dirty="0" smtClean="0"/>
            <a:t> distance, and the Q-statistic using the base case reduced scores and singular values</a:t>
          </a:r>
          <a:endParaRPr lang="en-US" sz="1100" kern="1200" dirty="0"/>
        </a:p>
        <a:p>
          <a:pPr marL="57150" lvl="1" indent="-57150" algn="l" defTabSz="488950">
            <a:lnSpc>
              <a:spcPct val="90000"/>
            </a:lnSpc>
            <a:spcBef>
              <a:spcPct val="0"/>
            </a:spcBef>
            <a:spcAft>
              <a:spcPct val="15000"/>
            </a:spcAft>
            <a:buChar char="••"/>
          </a:pPr>
          <a:r>
            <a:rPr lang="en-US" sz="1100" kern="1200" dirty="0" smtClean="0"/>
            <a:t>Draws the diagnostic plots as done with </a:t>
          </a:r>
          <a:r>
            <a:rPr lang="en-US" sz="1100" kern="1200" dirty="0" err="1" smtClean="0"/>
            <a:t>PCA_BCfigures.m</a:t>
          </a:r>
          <a:r>
            <a:rPr lang="en-US" sz="1100" kern="1200" dirty="0" smtClean="0"/>
            <a:t> using the base case confidence boundaries and including the base case data for comparison</a:t>
          </a:r>
          <a:endParaRPr lang="en-US" sz="1100" kern="1200" dirty="0"/>
        </a:p>
      </dsp:txBody>
      <dsp:txXfrm rot="-5400000">
        <a:off x="787203" y="5461504"/>
        <a:ext cx="4169446" cy="1341096"/>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TimesNewRoman">
    <w:altName w:val="Cambria"/>
    <w:panose1 w:val="00000000000000000000"/>
    <w:charset w:val="00"/>
    <w:family w:val="auto"/>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258"/>
    <w:rsid w:val="00222804"/>
    <w:rsid w:val="00746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2804"/>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280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78296F-6E5B-4949-B8DC-93EDB9F65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19557</TotalTime>
  <Pages>324</Pages>
  <Words>62593</Words>
  <Characters>356786</Characters>
  <Application>Microsoft Office Word</Application>
  <DocSecurity>0</DocSecurity>
  <Lines>2973</Lines>
  <Paragraphs>837</Paragraphs>
  <ScaleCrop>false</ScaleCrop>
  <HeadingPairs>
    <vt:vector size="2" baseType="variant">
      <vt:variant>
        <vt:lpstr>Title</vt:lpstr>
      </vt:variant>
      <vt:variant>
        <vt:i4>1</vt:i4>
      </vt:variant>
    </vt:vector>
  </HeadingPairs>
  <TitlesOfParts>
    <vt:vector size="1" baseType="lpstr">
      <vt:lpstr/>
    </vt:vector>
  </TitlesOfParts>
  <Company>ORNL</Company>
  <LinksUpToDate>false</LinksUpToDate>
  <CharactersWithSpaces>418542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Jennifer L. Ladd-Lively</dc:creator>
  <cp:lastModifiedBy>Jennifer L. Ladd-Lively</cp:lastModifiedBy>
  <cp:revision>264</cp:revision>
  <cp:lastPrinted>2013-11-09T22:11:00Z</cp:lastPrinted>
  <dcterms:created xsi:type="dcterms:W3CDTF">2013-10-08T21:57:00Z</dcterms:created>
  <dcterms:modified xsi:type="dcterms:W3CDTF">2013-11-09T22:53:00Z</dcterms:modified>
</cp:coreProperties>
</file>