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34184" w:rsidRDefault="00634184">
      <w:pPr>
        <w:spacing w:line="480" w:lineRule="auto"/>
        <w:rPr>
          <w:rFonts w:ascii="Times New Roman" w:eastAsia="Times New Roman" w:hAnsi="Times New Roman" w:cs="Times New Roman"/>
          <w:sz w:val="24"/>
          <w:szCs w:val="24"/>
        </w:rPr>
      </w:pPr>
    </w:p>
    <w:p w14:paraId="00000002" w14:textId="77777777" w:rsidR="00634184" w:rsidRDefault="00634184">
      <w:pPr>
        <w:spacing w:line="480" w:lineRule="auto"/>
        <w:rPr>
          <w:rFonts w:ascii="Times New Roman" w:eastAsia="Times New Roman" w:hAnsi="Times New Roman" w:cs="Times New Roman"/>
          <w:sz w:val="24"/>
          <w:szCs w:val="24"/>
        </w:rPr>
      </w:pPr>
    </w:p>
    <w:p w14:paraId="00000003" w14:textId="77777777" w:rsidR="00634184" w:rsidRDefault="00634184">
      <w:pPr>
        <w:spacing w:line="480" w:lineRule="auto"/>
        <w:rPr>
          <w:rFonts w:ascii="Times New Roman" w:eastAsia="Times New Roman" w:hAnsi="Times New Roman" w:cs="Times New Roman"/>
          <w:sz w:val="24"/>
          <w:szCs w:val="24"/>
        </w:rPr>
      </w:pPr>
    </w:p>
    <w:p w14:paraId="00000004" w14:textId="77777777" w:rsidR="00634184" w:rsidRDefault="00634184">
      <w:pPr>
        <w:spacing w:line="480" w:lineRule="auto"/>
        <w:rPr>
          <w:rFonts w:ascii="Times New Roman" w:eastAsia="Times New Roman" w:hAnsi="Times New Roman" w:cs="Times New Roman"/>
          <w:sz w:val="24"/>
          <w:szCs w:val="24"/>
        </w:rPr>
      </w:pPr>
    </w:p>
    <w:p w14:paraId="00000005" w14:textId="77777777" w:rsidR="00634184" w:rsidRDefault="00634184">
      <w:pPr>
        <w:spacing w:line="480" w:lineRule="auto"/>
        <w:rPr>
          <w:rFonts w:ascii="Times New Roman" w:eastAsia="Times New Roman" w:hAnsi="Times New Roman" w:cs="Times New Roman"/>
          <w:sz w:val="24"/>
          <w:szCs w:val="24"/>
        </w:rPr>
      </w:pPr>
    </w:p>
    <w:p w14:paraId="00000006" w14:textId="77777777" w:rsidR="00634184" w:rsidRDefault="00634184">
      <w:pPr>
        <w:spacing w:line="480" w:lineRule="auto"/>
        <w:rPr>
          <w:rFonts w:ascii="Times New Roman" w:eastAsia="Times New Roman" w:hAnsi="Times New Roman" w:cs="Times New Roman"/>
          <w:sz w:val="24"/>
          <w:szCs w:val="24"/>
        </w:rPr>
      </w:pPr>
    </w:p>
    <w:p w14:paraId="00000007" w14:textId="77777777" w:rsidR="00634184" w:rsidRDefault="00634184">
      <w:pPr>
        <w:spacing w:line="480" w:lineRule="auto"/>
        <w:rPr>
          <w:rFonts w:ascii="Times New Roman" w:eastAsia="Times New Roman" w:hAnsi="Times New Roman" w:cs="Times New Roman"/>
          <w:sz w:val="24"/>
          <w:szCs w:val="24"/>
        </w:rPr>
      </w:pPr>
    </w:p>
    <w:p w14:paraId="00000008" w14:textId="0C4A3BD8" w:rsidR="00634184" w:rsidRDefault="00634184">
      <w:pPr>
        <w:spacing w:line="480" w:lineRule="auto"/>
        <w:rPr>
          <w:rFonts w:ascii="Times New Roman" w:eastAsia="Times New Roman" w:hAnsi="Times New Roman" w:cs="Times New Roman"/>
          <w:sz w:val="24"/>
          <w:szCs w:val="24"/>
        </w:rPr>
      </w:pPr>
    </w:p>
    <w:p w14:paraId="00000009" w14:textId="77777777" w:rsidR="00634184" w:rsidRDefault="00000000">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Existential Risks, Dire Stakes, and Transformative Potential: </w:t>
      </w:r>
    </w:p>
    <w:p w14:paraId="0000000A" w14:textId="77777777" w:rsidR="00634184" w:rsidRDefault="00000000">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Navigating the Frontiers of Human-Technology Evolution</w:t>
      </w:r>
    </w:p>
    <w:p w14:paraId="0000000B" w14:textId="77777777" w:rsidR="00634184" w:rsidRDefault="00634184">
      <w:pPr>
        <w:spacing w:line="480" w:lineRule="auto"/>
        <w:rPr>
          <w:rFonts w:ascii="Times New Roman" w:eastAsia="Times New Roman" w:hAnsi="Times New Roman" w:cs="Times New Roman"/>
          <w:b/>
          <w:sz w:val="24"/>
          <w:szCs w:val="24"/>
        </w:rPr>
      </w:pPr>
    </w:p>
    <w:p w14:paraId="0000000C" w14:textId="77777777" w:rsidR="00634184" w:rsidRDefault="00634184">
      <w:pPr>
        <w:spacing w:line="480" w:lineRule="auto"/>
        <w:rPr>
          <w:rFonts w:ascii="Times New Roman" w:eastAsia="Times New Roman" w:hAnsi="Times New Roman" w:cs="Times New Roman"/>
          <w:b/>
          <w:sz w:val="24"/>
          <w:szCs w:val="24"/>
        </w:rPr>
      </w:pPr>
    </w:p>
    <w:p w14:paraId="0000000D" w14:textId="77777777" w:rsidR="00634184" w:rsidRDefault="00634184">
      <w:pPr>
        <w:spacing w:line="480" w:lineRule="auto"/>
        <w:rPr>
          <w:rFonts w:ascii="Times New Roman" w:eastAsia="Times New Roman" w:hAnsi="Times New Roman" w:cs="Times New Roman"/>
          <w:b/>
          <w:sz w:val="24"/>
          <w:szCs w:val="24"/>
        </w:rPr>
      </w:pPr>
    </w:p>
    <w:p w14:paraId="0000000E" w14:textId="77777777" w:rsidR="00634184" w:rsidRDefault="00634184">
      <w:pPr>
        <w:spacing w:line="480" w:lineRule="auto"/>
        <w:rPr>
          <w:rFonts w:ascii="Times New Roman" w:eastAsia="Times New Roman" w:hAnsi="Times New Roman" w:cs="Times New Roman"/>
          <w:b/>
          <w:sz w:val="24"/>
          <w:szCs w:val="24"/>
        </w:rPr>
      </w:pPr>
    </w:p>
    <w:p w14:paraId="0000000F" w14:textId="77777777" w:rsidR="00634184" w:rsidRDefault="00634184">
      <w:pPr>
        <w:spacing w:line="480" w:lineRule="auto"/>
        <w:rPr>
          <w:rFonts w:ascii="Times New Roman" w:eastAsia="Times New Roman" w:hAnsi="Times New Roman" w:cs="Times New Roman"/>
          <w:b/>
          <w:sz w:val="24"/>
          <w:szCs w:val="24"/>
        </w:rPr>
      </w:pPr>
    </w:p>
    <w:p w14:paraId="00000010" w14:textId="77777777" w:rsidR="00634184" w:rsidRDefault="00634184">
      <w:pPr>
        <w:spacing w:line="480" w:lineRule="auto"/>
        <w:rPr>
          <w:rFonts w:ascii="Times New Roman" w:eastAsia="Times New Roman" w:hAnsi="Times New Roman" w:cs="Times New Roman"/>
          <w:b/>
          <w:sz w:val="24"/>
          <w:szCs w:val="24"/>
        </w:rPr>
      </w:pPr>
    </w:p>
    <w:p w14:paraId="00000011" w14:textId="77777777" w:rsidR="0063418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Claudia Saucier</w:t>
      </w:r>
    </w:p>
    <w:p w14:paraId="00000012" w14:textId="77777777" w:rsidR="0063418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Chancellor’s Honors Program Capstone Project</w:t>
      </w:r>
    </w:p>
    <w:p w14:paraId="00000013" w14:textId="77777777" w:rsidR="0063418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Tennessee, Knoxville</w:t>
      </w:r>
    </w:p>
    <w:p w14:paraId="00000014" w14:textId="77777777" w:rsidR="00634184" w:rsidRDefault="0000000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May 21, 2024</w:t>
      </w:r>
    </w:p>
    <w:p w14:paraId="00000015" w14:textId="77777777" w:rsidR="00634184" w:rsidRDefault="00634184">
      <w:pPr>
        <w:spacing w:line="480" w:lineRule="auto"/>
        <w:rPr>
          <w:rFonts w:ascii="Times New Roman" w:eastAsia="Times New Roman" w:hAnsi="Times New Roman" w:cs="Times New Roman"/>
          <w:sz w:val="24"/>
          <w:szCs w:val="24"/>
        </w:rPr>
      </w:pPr>
    </w:p>
    <w:p w14:paraId="00000016" w14:textId="77777777" w:rsidR="00634184" w:rsidRDefault="00634184">
      <w:pPr>
        <w:spacing w:line="480" w:lineRule="auto"/>
        <w:rPr>
          <w:rFonts w:ascii="Times New Roman" w:eastAsia="Times New Roman" w:hAnsi="Times New Roman" w:cs="Times New Roman"/>
          <w:b/>
          <w:sz w:val="24"/>
          <w:szCs w:val="24"/>
        </w:rPr>
      </w:pPr>
    </w:p>
    <w:p w14:paraId="00000017" w14:textId="77777777" w:rsidR="00634184" w:rsidRDefault="00634184">
      <w:pPr>
        <w:spacing w:line="480" w:lineRule="auto"/>
        <w:rPr>
          <w:rFonts w:ascii="Times New Roman" w:eastAsia="Times New Roman" w:hAnsi="Times New Roman" w:cs="Times New Roman"/>
          <w:b/>
          <w:sz w:val="24"/>
          <w:szCs w:val="24"/>
        </w:rPr>
      </w:pPr>
    </w:p>
    <w:p w14:paraId="0000001A" w14:textId="48D4041B" w:rsidR="00634184" w:rsidRPr="00D22392" w:rsidRDefault="00000000" w:rsidP="00995630">
      <w:pPr>
        <w:spacing w:line="480" w:lineRule="auto"/>
        <w:jc w:val="center"/>
        <w:rPr>
          <w:rFonts w:ascii="Times New Roman" w:eastAsia="Times New Roman" w:hAnsi="Times New Roman" w:cs="Times New Roman"/>
          <w:b/>
          <w:sz w:val="24"/>
          <w:szCs w:val="24"/>
        </w:rPr>
      </w:pPr>
      <w:r w:rsidRPr="00D22392">
        <w:rPr>
          <w:rFonts w:ascii="Times New Roman" w:eastAsia="Times New Roman" w:hAnsi="Times New Roman" w:cs="Times New Roman"/>
          <w:b/>
          <w:sz w:val="24"/>
          <w:szCs w:val="24"/>
        </w:rPr>
        <w:lastRenderedPageBreak/>
        <w:t>ACKNOWLEDGMENTS</w:t>
      </w:r>
    </w:p>
    <w:p w14:paraId="2244ECB9" w14:textId="77777777" w:rsidR="00D22392" w:rsidRPr="00D22392" w:rsidRDefault="00995630" w:rsidP="00D22392">
      <w:pPr>
        <w:spacing w:line="480" w:lineRule="auto"/>
        <w:rPr>
          <w:rFonts w:ascii="Times New Roman" w:eastAsia="Times New Roman" w:hAnsi="Times New Roman" w:cs="Times New Roman"/>
          <w:bCs/>
          <w:sz w:val="24"/>
          <w:szCs w:val="24"/>
        </w:rPr>
      </w:pPr>
      <w:r w:rsidRPr="00D22392">
        <w:rPr>
          <w:rFonts w:ascii="Times New Roman" w:eastAsia="Times New Roman" w:hAnsi="Times New Roman" w:cs="Times New Roman"/>
          <w:bCs/>
          <w:sz w:val="24"/>
          <w:szCs w:val="24"/>
        </w:rPr>
        <w:tab/>
      </w:r>
      <w:r w:rsidR="00D22392" w:rsidRPr="00D22392">
        <w:rPr>
          <w:rFonts w:ascii="Times New Roman" w:eastAsia="Times New Roman" w:hAnsi="Times New Roman" w:cs="Times New Roman"/>
          <w:bCs/>
          <w:sz w:val="24"/>
          <w:szCs w:val="24"/>
        </w:rPr>
        <w:t>I would like to express my sincere gratitude to Dr. David Palmer for agreeing to oversee this work. His lectures and suggested readings have been a constant source of inspiration, and his guidance has been instrumental in shaping the direction and content of this essay. Dr. Palmer's expertise and passion for the subject matter have encouraged me to delve deeper into the topics discussed, and his thoughtful feedback has helped me refine my arguments and present them more effectively. I am deeply appreciative of his input and would not have been able to write about these topics without his support and mentorship.</w:t>
      </w:r>
    </w:p>
    <w:p w14:paraId="493A3C8A" w14:textId="77777777" w:rsidR="00D22392" w:rsidRPr="00D22392" w:rsidRDefault="00D22392" w:rsidP="00D22392">
      <w:pPr>
        <w:spacing w:line="480" w:lineRule="auto"/>
        <w:ind w:firstLine="720"/>
        <w:rPr>
          <w:rFonts w:ascii="Times New Roman" w:eastAsia="Times New Roman" w:hAnsi="Times New Roman" w:cs="Times New Roman"/>
          <w:bCs/>
          <w:sz w:val="24"/>
          <w:szCs w:val="24"/>
        </w:rPr>
      </w:pPr>
      <w:r w:rsidRPr="00D22392">
        <w:rPr>
          <w:rFonts w:ascii="Times New Roman" w:eastAsia="Times New Roman" w:hAnsi="Times New Roman" w:cs="Times New Roman"/>
          <w:bCs/>
          <w:sz w:val="24"/>
          <w:szCs w:val="24"/>
        </w:rPr>
        <w:t xml:space="preserve">I would also like to extend my heartfelt thanks to Dr. Daniel </w:t>
      </w:r>
      <w:proofErr w:type="spellStart"/>
      <w:r w:rsidRPr="00D22392">
        <w:rPr>
          <w:rFonts w:ascii="Times New Roman" w:eastAsia="Times New Roman" w:hAnsi="Times New Roman" w:cs="Times New Roman"/>
          <w:bCs/>
          <w:sz w:val="24"/>
          <w:szCs w:val="24"/>
        </w:rPr>
        <w:t>Molter</w:t>
      </w:r>
      <w:proofErr w:type="spellEnd"/>
      <w:r w:rsidRPr="00D22392">
        <w:rPr>
          <w:rFonts w:ascii="Times New Roman" w:eastAsia="Times New Roman" w:hAnsi="Times New Roman" w:cs="Times New Roman"/>
          <w:bCs/>
          <w:sz w:val="24"/>
          <w:szCs w:val="24"/>
        </w:rPr>
        <w:t xml:space="preserve"> for his invaluable insights into the philosophy of science. Our discussions have challenged me to think more critically about the nature of scientific inquiry and the role of philosophical reasoning in understanding the world around us. Dr. </w:t>
      </w:r>
      <w:proofErr w:type="spellStart"/>
      <w:r w:rsidRPr="00D22392">
        <w:rPr>
          <w:rFonts w:ascii="Times New Roman" w:eastAsia="Times New Roman" w:hAnsi="Times New Roman" w:cs="Times New Roman"/>
          <w:bCs/>
          <w:sz w:val="24"/>
          <w:szCs w:val="24"/>
        </w:rPr>
        <w:t>Molter's</w:t>
      </w:r>
      <w:proofErr w:type="spellEnd"/>
      <w:r w:rsidRPr="00D22392">
        <w:rPr>
          <w:rFonts w:ascii="Times New Roman" w:eastAsia="Times New Roman" w:hAnsi="Times New Roman" w:cs="Times New Roman"/>
          <w:bCs/>
          <w:sz w:val="24"/>
          <w:szCs w:val="24"/>
        </w:rPr>
        <w:t xml:space="preserve"> unique perspective and profound knowledge have greatly contributed to the development of the ideas presented in this essay, and I am grateful for his willingness to share his expertise and engage in thought-provoking conversations.</w:t>
      </w:r>
    </w:p>
    <w:p w14:paraId="5A3150F9" w14:textId="77777777" w:rsidR="00D22392" w:rsidRPr="00D22392" w:rsidRDefault="00D22392" w:rsidP="00D22392">
      <w:pPr>
        <w:spacing w:line="480" w:lineRule="auto"/>
        <w:ind w:firstLine="720"/>
        <w:rPr>
          <w:rFonts w:ascii="Times New Roman" w:eastAsia="Times New Roman" w:hAnsi="Times New Roman" w:cs="Times New Roman"/>
          <w:bCs/>
          <w:sz w:val="24"/>
          <w:szCs w:val="24"/>
        </w:rPr>
      </w:pPr>
      <w:r w:rsidRPr="00D22392">
        <w:rPr>
          <w:rFonts w:ascii="Times New Roman" w:eastAsia="Times New Roman" w:hAnsi="Times New Roman" w:cs="Times New Roman"/>
          <w:bCs/>
          <w:sz w:val="24"/>
          <w:szCs w:val="24"/>
        </w:rPr>
        <w:t>Furthermore, I would like to acknowledge the support and encouragement of my family and friends throughout the writing process. Their unwavering belief in my abilities and their patience during the many hours I dedicated to researching and writing have been a source of strength and motivation.</w:t>
      </w:r>
    </w:p>
    <w:p w14:paraId="0000002D" w14:textId="2EBBA56A" w:rsidR="00634184" w:rsidRPr="00D22392" w:rsidRDefault="00D22392" w:rsidP="00D22392">
      <w:pPr>
        <w:spacing w:line="480" w:lineRule="auto"/>
        <w:ind w:firstLine="720"/>
        <w:rPr>
          <w:rFonts w:ascii="Times New Roman" w:eastAsia="Times New Roman" w:hAnsi="Times New Roman" w:cs="Times New Roman"/>
          <w:bCs/>
          <w:sz w:val="24"/>
          <w:szCs w:val="24"/>
        </w:rPr>
      </w:pPr>
      <w:r w:rsidRPr="00D22392">
        <w:rPr>
          <w:rFonts w:ascii="Times New Roman" w:eastAsia="Times New Roman" w:hAnsi="Times New Roman" w:cs="Times New Roman"/>
          <w:bCs/>
          <w:sz w:val="24"/>
          <w:szCs w:val="24"/>
        </w:rPr>
        <w:t>Finally, I would like to thank the countless scholars, researchers, and authors whose works have informed and inspired this essay. Their contributions to the fields of philosophy, science, and beyond have laid the foundation for the ideas explored here, and I am indebted to their intellectual curiosity and dedication to advancing our collective understanding of the world.</w:t>
      </w:r>
      <w:r w:rsidRPr="00D22392">
        <w:rPr>
          <w:rFonts w:ascii="Times New Roman" w:eastAsia="Times New Roman" w:hAnsi="Times New Roman" w:cs="Times New Roman"/>
          <w:bCs/>
          <w:sz w:val="24"/>
          <w:szCs w:val="24"/>
        </w:rPr>
        <w:t xml:space="preserve"> </w:t>
      </w:r>
    </w:p>
    <w:p w14:paraId="0000002E" w14:textId="77777777" w:rsidR="00634184" w:rsidRDefault="00634184">
      <w:pPr>
        <w:spacing w:line="480" w:lineRule="auto"/>
        <w:ind w:left="720"/>
        <w:jc w:val="center"/>
        <w:rPr>
          <w:rFonts w:ascii="Times New Roman" w:eastAsia="Times New Roman" w:hAnsi="Times New Roman" w:cs="Times New Roman"/>
          <w:b/>
          <w:sz w:val="24"/>
          <w:szCs w:val="24"/>
        </w:rPr>
      </w:pPr>
    </w:p>
    <w:p w14:paraId="0000002F" w14:textId="77777777" w:rsidR="00634184" w:rsidRDefault="00000000">
      <w:pPr>
        <w:numPr>
          <w:ilvl w:val="0"/>
          <w:numId w:val="6"/>
        </w:num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14:paraId="29EB9014" w14:textId="77777777" w:rsidR="00053A03"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When the course of humanity’s collective advancement is closely examined, it becomes apparent that there is a deeply intrinsic relationship between the evolution of human cognition, the development of increasingly sophisticated technologies, and the ways in which these advancements reshape our understanding of and interaction with the natural world. Without this context, as well as the necessity of existing within the context of other humans via different kinds of relationships (friends, parents, community, etc.), it is impossible to grasp the bigger picture of who we are, how we got here, and where we may be going. Throughout history, the progression of human intelligence has been inextricably linked to our ability to create and utilize tools, from the earliest stone implements to the most advanced digital technologies of today. As our cognitive capacities have expanded, so too has our propensity for innovation, allowing us to develop increasingly complex and powerful technologies that have transformative effects on our lives and the world around us. </w:t>
      </w:r>
    </w:p>
    <w:p w14:paraId="084D9C09" w14:textId="77777777" w:rsidR="00053A03" w:rsidRDefault="00000000" w:rsidP="00053A03">
      <w:pPr>
        <w:spacing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must recognize that there has been an unbroken chain of the passing on of this knowledge to other humans since the first technological invention. The cumulative nature of human knowledge and technological progress has allowed for the continuous building upon prior discoveries, innovations, and insights, enabling each successive generation to stand on the shoulders of giants and push the boundaries of what is possible even further. These advancements, in turn, have continually reshaped our perception of the natural world, as well as our place within it. From the Agricultural Revolution to the Industrial Revolution and beyond, each major technological leap has brought with it new ways of understanding, harnessing, and manipulating the forces of nature, ultimately leading to profound shifts in our social, environmental, and philosophical paradigms. </w:t>
      </w:r>
    </w:p>
    <w:p w14:paraId="00000030" w14:textId="6FF7BF67" w:rsidR="00634184" w:rsidRDefault="00000000" w:rsidP="00053A03">
      <w:pPr>
        <w:spacing w:line="480" w:lineRule="auto"/>
        <w:ind w:firstLine="36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When considering the severe </w:t>
      </w:r>
      <w:proofErr w:type="gramStart"/>
      <w:r>
        <w:rPr>
          <w:rFonts w:ascii="Times New Roman" w:eastAsia="Times New Roman" w:hAnsi="Times New Roman" w:cs="Times New Roman"/>
          <w:sz w:val="24"/>
          <w:szCs w:val="24"/>
        </w:rPr>
        <w:t>stakes</w:t>
      </w:r>
      <w:proofErr w:type="gramEnd"/>
      <w:r>
        <w:rPr>
          <w:rFonts w:ascii="Times New Roman" w:eastAsia="Times New Roman" w:hAnsi="Times New Roman" w:cs="Times New Roman"/>
          <w:sz w:val="24"/>
          <w:szCs w:val="24"/>
        </w:rPr>
        <w:t xml:space="preserve"> we now face as a result of the unprecedented, ever increasing rate of innovation, we must carefully examine the potential ramifications of our present course of action on the destiny of our species. </w:t>
      </w:r>
      <w:r w:rsidR="00053A03">
        <w:rPr>
          <w:rFonts w:ascii="Times New Roman" w:eastAsia="Times New Roman" w:hAnsi="Times New Roman" w:cs="Times New Roman"/>
          <w:sz w:val="24"/>
          <w:szCs w:val="24"/>
        </w:rPr>
        <w:t>U</w:t>
      </w:r>
      <w:r w:rsidR="00053A03" w:rsidRPr="00053A03">
        <w:rPr>
          <w:rFonts w:ascii="Times New Roman" w:eastAsia="Times New Roman" w:hAnsi="Times New Roman" w:cs="Times New Roman"/>
          <w:sz w:val="24"/>
          <w:szCs w:val="24"/>
        </w:rPr>
        <w:t>ncharted territories of scientific discovery and exploration</w:t>
      </w:r>
      <w:r w:rsidR="00053A03">
        <w:rPr>
          <w:rFonts w:ascii="Times New Roman" w:eastAsia="Times New Roman" w:hAnsi="Times New Roman" w:cs="Times New Roman"/>
          <w:sz w:val="24"/>
          <w:szCs w:val="24"/>
        </w:rPr>
        <w:t xml:space="preserve"> call for us to</w:t>
      </w:r>
      <w:r w:rsidR="00053A03" w:rsidRPr="00053A03">
        <w:rPr>
          <w:rFonts w:ascii="Times New Roman" w:eastAsia="Times New Roman" w:hAnsi="Times New Roman" w:cs="Times New Roman"/>
          <w:sz w:val="24"/>
          <w:szCs w:val="24"/>
        </w:rPr>
        <w:t xml:space="preserve"> remain vigilant in safeguarding the integrity of our shared humanity and the sanctity of the natural order. </w:t>
      </w:r>
      <w:r>
        <w:rPr>
          <w:rFonts w:ascii="Times New Roman" w:eastAsia="Times New Roman" w:hAnsi="Times New Roman" w:cs="Times New Roman"/>
          <w:sz w:val="24"/>
          <w:szCs w:val="24"/>
        </w:rPr>
        <w:t>As we stand on the precipice of a new era of technological advancement, marked by artificial intelligence, genetic engineering, and the exploration of space, it is more crucial than ever to consider the implications of this intrinsic relationship and to strive for a harmonious balance between our technological progress and the wisdom inherent in the natural world.</w:t>
      </w:r>
    </w:p>
    <w:p w14:paraId="00000031" w14:textId="77777777" w:rsidR="00634184" w:rsidRDefault="00000000">
      <w:pPr>
        <w:numPr>
          <w:ilvl w:val="0"/>
          <w:numId w:val="6"/>
        </w:num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Brief History of Humans and Technology</w:t>
      </w:r>
    </w:p>
    <w:p w14:paraId="00000032" w14:textId="77777777" w:rsidR="00634184" w:rsidRDefault="00000000">
      <w:pPr>
        <w:numPr>
          <w:ilvl w:val="0"/>
          <w:numId w:val="4"/>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Back in the Day</w:t>
      </w:r>
    </w:p>
    <w:p w14:paraId="00000033" w14:textId="0B1E13B3"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 us first </w:t>
      </w:r>
      <w:proofErr w:type="gramStart"/>
      <w:r>
        <w:rPr>
          <w:rFonts w:ascii="Times New Roman" w:eastAsia="Times New Roman" w:hAnsi="Times New Roman" w:cs="Times New Roman"/>
          <w:sz w:val="24"/>
          <w:szCs w:val="24"/>
        </w:rPr>
        <w:t>take a look</w:t>
      </w:r>
      <w:proofErr w:type="gramEnd"/>
      <w:r>
        <w:rPr>
          <w:rFonts w:ascii="Times New Roman" w:eastAsia="Times New Roman" w:hAnsi="Times New Roman" w:cs="Times New Roman"/>
          <w:sz w:val="24"/>
          <w:szCs w:val="24"/>
        </w:rPr>
        <w:t xml:space="preserve"> at our origins and ask ourselves how we have arrived at the current state of society. Ancient hominin societies only consisted of a few dozen to a few thousand individuals.</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During this time, </w:t>
      </w:r>
      <w:r w:rsidR="00A53E1B">
        <w:rPr>
          <w:rFonts w:ascii="Times New Roman" w:eastAsia="Times New Roman" w:hAnsi="Times New Roman" w:cs="Times New Roman"/>
          <w:sz w:val="24"/>
          <w:szCs w:val="24"/>
        </w:rPr>
        <w:t xml:space="preserve">members of the </w:t>
      </w:r>
      <w:r w:rsidR="00A53E1B" w:rsidRPr="00A53E1B">
        <w:rPr>
          <w:rFonts w:ascii="Times New Roman" w:eastAsia="Times New Roman" w:hAnsi="Times New Roman" w:cs="Times New Roman"/>
          <w:i/>
          <w:iCs/>
          <w:sz w:val="24"/>
          <w:szCs w:val="24"/>
        </w:rPr>
        <w:t>Homo</w:t>
      </w:r>
      <w:r w:rsidR="00A53E1B">
        <w:rPr>
          <w:rFonts w:ascii="Times New Roman" w:eastAsia="Times New Roman" w:hAnsi="Times New Roman" w:cs="Times New Roman"/>
          <w:sz w:val="24"/>
          <w:szCs w:val="24"/>
        </w:rPr>
        <w:t xml:space="preserve"> genus</w:t>
      </w:r>
      <w:r>
        <w:rPr>
          <w:rFonts w:ascii="Times New Roman" w:eastAsia="Times New Roman" w:hAnsi="Times New Roman" w:cs="Times New Roman"/>
          <w:sz w:val="24"/>
          <w:szCs w:val="24"/>
        </w:rPr>
        <w:t xml:space="preserve"> were deeply and indubitably connected with each other and the natural world. Every day for our ancestors was a battle against the elements, predators, starvation, dehydration, illness, and injury. The primary and only objectives were to survive and reproduce, much like animals in the wild. It took great energy to survive in this environment. Up until the first event of </w:t>
      </w:r>
      <w:r w:rsidR="00A53E1B">
        <w:rPr>
          <w:rFonts w:ascii="Times New Roman" w:eastAsia="Times New Roman" w:hAnsi="Times New Roman" w:cs="Times New Roman"/>
          <w:sz w:val="24"/>
          <w:szCs w:val="24"/>
        </w:rPr>
        <w:t>human</w:t>
      </w:r>
      <w:r>
        <w:rPr>
          <w:rFonts w:ascii="Times New Roman" w:eastAsia="Times New Roman" w:hAnsi="Times New Roman" w:cs="Times New Roman"/>
          <w:sz w:val="24"/>
          <w:szCs w:val="24"/>
        </w:rPr>
        <w:t xml:space="preserve"> technology, natural selection was driven primarily by random genetic mutations and environmental pressure. From that point on, though, higher powers of cognition have been continuously impacting what traits are passed down to future generations. In other words, our genetic lineage has been playing an active role in evolution for millions of years.</w:t>
      </w:r>
    </w:p>
    <w:p w14:paraId="00000034" w14:textId="71C9B8C6"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first major technological breakthrough for advanced primates was tool production. The earliest record of stone tools </w:t>
      </w:r>
      <w:proofErr w:type="gramStart"/>
      <w:r>
        <w:rPr>
          <w:rFonts w:ascii="Times New Roman" w:eastAsia="Times New Roman" w:hAnsi="Times New Roman" w:cs="Times New Roman"/>
          <w:sz w:val="24"/>
          <w:szCs w:val="24"/>
        </w:rPr>
        <w:t>dates back to</w:t>
      </w:r>
      <w:proofErr w:type="gramEnd"/>
      <w:r>
        <w:rPr>
          <w:rFonts w:ascii="Times New Roman" w:eastAsia="Times New Roman" w:hAnsi="Times New Roman" w:cs="Times New Roman"/>
          <w:sz w:val="24"/>
          <w:szCs w:val="24"/>
        </w:rPr>
        <w:t xml:space="preserve"> 2.5 million years ago. These tools come from what is called the </w:t>
      </w:r>
      <w:proofErr w:type="spellStart"/>
      <w:r>
        <w:rPr>
          <w:rFonts w:ascii="Times New Roman" w:eastAsia="Times New Roman" w:hAnsi="Times New Roman" w:cs="Times New Roman"/>
          <w:sz w:val="24"/>
          <w:szCs w:val="24"/>
        </w:rPr>
        <w:t>Oldowan</w:t>
      </w:r>
      <w:proofErr w:type="spellEnd"/>
      <w:r>
        <w:rPr>
          <w:rFonts w:ascii="Times New Roman" w:eastAsia="Times New Roman" w:hAnsi="Times New Roman" w:cs="Times New Roman"/>
          <w:sz w:val="24"/>
          <w:szCs w:val="24"/>
        </w:rPr>
        <w:t xml:space="preserve"> Industry and consisted of river pebbles that had been hit with a forceful blow of another rock to create flakes with an edge or sharp tip. These artifacts provide the first evidence of a cognitive revolution that resulted from an evolutionary event; this significant difference in abilities is apparent in our closest living relatives (chimpanzees and bonobos) who are unable to reproduce these tools even after extensive instruction. It would be about a million more years before the beginning of the Acheulean Industry. Acheulean tools consisted of a stone core that had been chipped away to reveal something that resembled a hand ax, cleaver, or other large cutting tool. Rather than using the flakes themselves as tools, homini</w:t>
      </w:r>
      <w:r w:rsidR="00A53E1B">
        <w:rPr>
          <w:rFonts w:ascii="Times New Roman" w:eastAsia="Times New Roman" w:hAnsi="Times New Roman" w:cs="Times New Roman"/>
          <w:sz w:val="24"/>
          <w:szCs w:val="24"/>
        </w:rPr>
        <w:t>ns</w:t>
      </w:r>
      <w:r>
        <w:rPr>
          <w:rFonts w:ascii="Times New Roman" w:eastAsia="Times New Roman" w:hAnsi="Times New Roman" w:cs="Times New Roman"/>
          <w:sz w:val="24"/>
          <w:szCs w:val="24"/>
        </w:rPr>
        <w:t xml:space="preserve"> were now using methods analogous to the process of marble sculpting. Middle Paleolithic technologies starting around 300,000 years ago consisted of considerably more complex tools that consisted of multiple parts. Finely sharpened stones were mounted in shafts with a binding material. This was a massive technological leap for human ancestors, and this step in the evolution of toolmaking was likely not possible without the existence of language.</w:t>
      </w:r>
      <w:r>
        <w:rPr>
          <w:rFonts w:ascii="Times New Roman" w:eastAsia="Times New Roman" w:hAnsi="Times New Roman" w:cs="Times New Roman"/>
          <w:sz w:val="24"/>
          <w:szCs w:val="24"/>
          <w:vertAlign w:val="superscript"/>
        </w:rPr>
        <w:footnoteReference w:id="2"/>
      </w:r>
    </w:p>
    <w:p w14:paraId="00000035" w14:textId="3541F7C4"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Before examining the relationship between </w:t>
      </w:r>
      <w:proofErr w:type="gramStart"/>
      <w:r>
        <w:rPr>
          <w:rFonts w:ascii="Times New Roman" w:eastAsia="Times New Roman" w:hAnsi="Times New Roman" w:cs="Times New Roman"/>
          <w:sz w:val="24"/>
          <w:szCs w:val="24"/>
        </w:rPr>
        <w:t>tool-making</w:t>
      </w:r>
      <w:proofErr w:type="gramEnd"/>
      <w:r>
        <w:rPr>
          <w:rFonts w:ascii="Times New Roman" w:eastAsia="Times New Roman" w:hAnsi="Times New Roman" w:cs="Times New Roman"/>
          <w:sz w:val="24"/>
          <w:szCs w:val="24"/>
        </w:rPr>
        <w:t xml:space="preserve"> and language, we must first contemplate the advent of the controlled use of fire and its significance. The harnessing of fire is estimated to have occurred between 1 and 1.5 million years ago which places this event within the Acheulean period. Fire enabled early humans to create more advanced tools by allowing them to heat-treat materials like stone and wood, making them easier to shape and more durable.</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Fireplaces also served as gathering points where early humans could socialize, share food, sing, and dance. These social interactions around the fire may have fostered the development of more complex language and strengthened social bonds within groups.</w:t>
      </w:r>
      <w:r>
        <w:rPr>
          <w:rFonts w:ascii="Times New Roman" w:eastAsia="Times New Roman" w:hAnsi="Times New Roman" w:cs="Times New Roman"/>
          <w:sz w:val="24"/>
          <w:szCs w:val="24"/>
          <w:vertAlign w:val="superscript"/>
        </w:rPr>
        <w:footnoteReference w:id="4"/>
      </w:r>
      <w:r>
        <w:rPr>
          <w:rFonts w:ascii="Times New Roman" w:eastAsia="Times New Roman" w:hAnsi="Times New Roman" w:cs="Times New Roman"/>
          <w:sz w:val="24"/>
          <w:szCs w:val="24"/>
        </w:rPr>
        <w:t xml:space="preserve"> In addition, the ability to intentionally create fires allowed homini</w:t>
      </w:r>
      <w:r w:rsidR="00A53E1B">
        <w:rPr>
          <w:rFonts w:ascii="Times New Roman" w:eastAsia="Times New Roman" w:hAnsi="Times New Roman" w:cs="Times New Roman"/>
          <w:sz w:val="24"/>
          <w:szCs w:val="24"/>
        </w:rPr>
        <w:t>ns</w:t>
      </w:r>
      <w:r>
        <w:rPr>
          <w:rFonts w:ascii="Times New Roman" w:eastAsia="Times New Roman" w:hAnsi="Times New Roman" w:cs="Times New Roman"/>
          <w:sz w:val="24"/>
          <w:szCs w:val="24"/>
        </w:rPr>
        <w:t xml:space="preserve"> to offload energy-consuming biological processes: metabolism and thermogenesis. With this additional step of using fire to cook food, the body could now expend less energy chewing, digesting, and absorbing nutrients; warmth from the fire also ensured that less energy from food was being wasted on heating the body in cold temperatures. Today, we continue to cook our food. Heat kills harmful bacteria and parasites that may be present which reduces the risk of foodborne illnesses. This means that less energy is expended by the immune system to fight off infections caused by consuming contaminated food. Much like the function of fire, the use of tools offloads the immediate energy it would take an unaided human to cut, kill, or build and helps accomplish said desired goal with greater precision. </w:t>
      </w:r>
    </w:p>
    <w:p w14:paraId="00000036" w14:textId="2B71112E" w:rsidR="00634184" w:rsidRDefault="00000000">
      <w:pPr>
        <w:spacing w:line="480" w:lineRule="auto"/>
        <w:ind w:firstLine="20"/>
        <w:rPr>
          <w:rFonts w:ascii="Times New Roman" w:eastAsia="Times New Roman" w:hAnsi="Times New Roman" w:cs="Times New Roman"/>
          <w:sz w:val="24"/>
          <w:szCs w:val="24"/>
        </w:rPr>
      </w:pPr>
      <w:r>
        <w:rPr>
          <w:rFonts w:ascii="Times New Roman" w:eastAsia="Times New Roman" w:hAnsi="Times New Roman" w:cs="Times New Roman"/>
          <w:sz w:val="24"/>
          <w:szCs w:val="24"/>
        </w:rPr>
        <w:tab/>
        <w:t>Researchers at Cambridge have found that Broca’s area, a region of the brain typically associated with the production of speech, may be responsible for object combination in both human and non-human primates. Before around two years of age, the circuits dedicated to word combination and object combination remain undifferentiated in humans. This means that up until this point, Broca’s area activates both hand and mouth movement simultaneously. The homologous area of Broca's area in some species of monkeys remains undifferentiated into adulthood and is also activated during tool use. It</w:t>
      </w:r>
      <w:r w:rsidR="00A53E1B">
        <w:rPr>
          <w:rFonts w:ascii="Times New Roman" w:eastAsia="Times New Roman" w:hAnsi="Times New Roman" w:cs="Times New Roman"/>
          <w:sz w:val="24"/>
          <w:szCs w:val="24"/>
        </w:rPr>
        <w:t xml:space="preserve"> is</w:t>
      </w:r>
      <w:r>
        <w:rPr>
          <w:rFonts w:ascii="Times New Roman" w:eastAsia="Times New Roman" w:hAnsi="Times New Roman" w:cs="Times New Roman"/>
          <w:sz w:val="24"/>
          <w:szCs w:val="24"/>
        </w:rPr>
        <w:t xml:space="preserve"> speculated that this area of the brain originally evolved to program gestures that resemble actions. Over time, this area may have exapted to support grammatical capability. Exaptation describes a shift in the function of a trait </w:t>
      </w:r>
      <w:r>
        <w:rPr>
          <w:rFonts w:ascii="Times New Roman" w:eastAsia="Times New Roman" w:hAnsi="Times New Roman" w:cs="Times New Roman"/>
          <w:sz w:val="24"/>
          <w:szCs w:val="24"/>
        </w:rPr>
        <w:lastRenderedPageBreak/>
        <w:t>that originally evolved for a different function.</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For example, birds likely originally evolved to have feathers for better temperature regulation; the later use of feathers for flight is considered an </w:t>
      </w:r>
      <w:proofErr w:type="spellStart"/>
      <w:r>
        <w:rPr>
          <w:rFonts w:ascii="Times New Roman" w:eastAsia="Times New Roman" w:hAnsi="Times New Roman" w:cs="Times New Roman"/>
          <w:sz w:val="24"/>
          <w:szCs w:val="24"/>
        </w:rPr>
        <w:t>exaptive</w:t>
      </w:r>
      <w:proofErr w:type="spellEnd"/>
      <w:r>
        <w:rPr>
          <w:rFonts w:ascii="Times New Roman" w:eastAsia="Times New Roman" w:hAnsi="Times New Roman" w:cs="Times New Roman"/>
          <w:sz w:val="24"/>
          <w:szCs w:val="24"/>
        </w:rPr>
        <w:t xml:space="preserve"> use. In other words, there is evidence for significant computational overlap of action organization in tool-using tasks and linguistic syntax. Object combination and word combination both exist within a hierarchical organization where combining elements in increasingly complex ways can achieve increasingly complex end results.</w:t>
      </w:r>
      <w:r>
        <w:rPr>
          <w:rFonts w:ascii="Times New Roman" w:eastAsia="Times New Roman" w:hAnsi="Times New Roman" w:cs="Times New Roman"/>
          <w:sz w:val="24"/>
          <w:szCs w:val="24"/>
          <w:vertAlign w:val="superscript"/>
        </w:rPr>
        <w:footnoteReference w:id="6"/>
      </w:r>
    </w:p>
    <w:p w14:paraId="00000037"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parallel between object combination, toolmaking, manual gestures, and speech production leads to the theory that early </w:t>
      </w:r>
      <w:r>
        <w:rPr>
          <w:rFonts w:ascii="Times New Roman" w:eastAsia="Times New Roman" w:hAnsi="Times New Roman" w:cs="Times New Roman"/>
          <w:i/>
          <w:sz w:val="24"/>
          <w:szCs w:val="24"/>
        </w:rPr>
        <w:t>Homos</w:t>
      </w:r>
      <w:r>
        <w:rPr>
          <w:rFonts w:ascii="Times New Roman" w:eastAsia="Times New Roman" w:hAnsi="Times New Roman" w:cs="Times New Roman"/>
          <w:sz w:val="24"/>
          <w:szCs w:val="24"/>
        </w:rPr>
        <w:t xml:space="preserve"> making complex tools from stones led to the development of complex language. Broca’s area is exclusively found in the left hemisphere of the brain, and this may be why humans and apes are predominantly right-handed (the left side of the brain controls functions of the right side of the body). Teaching must have occurred so that the process behind manufacturing even the most primitive tools could be spread to others, and many researchers believe that gestural communication of these skills precluded spoken language. Manual gestures likely resembled the actions that went into crafting tools, and in the primacy of spoken language, vocalizations that represented the sound of an action were paired with their associated gesture. The ability to comprehend and pass on this skill would have been beneficial for survival. In effect, natural selection would have favored humans that possessed a greater capacity to communicate in this fashion.</w:t>
      </w:r>
      <w:r>
        <w:rPr>
          <w:rFonts w:ascii="Times New Roman" w:eastAsia="Times New Roman" w:hAnsi="Times New Roman" w:cs="Times New Roman"/>
          <w:sz w:val="24"/>
          <w:szCs w:val="24"/>
          <w:vertAlign w:val="superscript"/>
        </w:rPr>
        <w:footnoteReference w:id="7"/>
      </w:r>
    </w:p>
    <w:p w14:paraId="00000038"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Language, like physical tools, has evolved over time to become more sophisticated and efficient in conveying ideas and concepts. Just as the development of more advanced tools </w:t>
      </w:r>
      <w:r>
        <w:rPr>
          <w:rFonts w:ascii="Times New Roman" w:eastAsia="Times New Roman" w:hAnsi="Times New Roman" w:cs="Times New Roman"/>
          <w:sz w:val="24"/>
          <w:szCs w:val="24"/>
        </w:rPr>
        <w:lastRenderedPageBreak/>
        <w:t xml:space="preserve">allowed early humans to tackle increasingly challenging tasks, the refinement of language has enabled us to share knowledge, collaborate, and build upon the ideas of others in ways that would be impossible through physical actions alone. This cumulative effect of language has been a driving force in the rapid advancement of human culture and technology. Language allowed humans to express themselves and connect on a deeper level. It also played a necessary role in the transmission of knowledge across generations. By allowing humans to communicate not only about the present but also about the past and the future, language has enabled the preservation and accumulation of knowledge over time. This has led to the ability to plan and coordinate large-scale projects. In essence, while tools extended our physical capabilities, language extended our mental capabilities, allowing us to shape the world around us in extraordinary ways. </w:t>
      </w:r>
    </w:p>
    <w:p w14:paraId="00000039"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Middle Paleolithic tools were likely made during the development of language by Neanderthals, late archaic humans, and anatomically modern humans. This led to the creation of more advanced Upper Paleolithic tools like needles and harpoons that appeared 50,000 years ago. Humans could now make better clothes, hunt more effectively, expand to colder territories, create art, and pass on cultural traditions.</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With tools, fire, and language, humans were now equipped to make even larger strides in mastering their environments—and themselves. It has been proposed that modern human hands may have evolved from those of the </w:t>
      </w:r>
      <w:r>
        <w:rPr>
          <w:rFonts w:ascii="Times New Roman" w:eastAsia="Times New Roman" w:hAnsi="Times New Roman" w:cs="Times New Roman"/>
          <w:color w:val="1F1F1F"/>
          <w:sz w:val="24"/>
          <w:szCs w:val="24"/>
        </w:rPr>
        <w:t xml:space="preserve">earliest hominins in order </w:t>
      </w:r>
      <w:r>
        <w:rPr>
          <w:rFonts w:ascii="Times New Roman" w:eastAsia="Times New Roman" w:hAnsi="Times New Roman" w:cs="Times New Roman"/>
          <w:sz w:val="24"/>
          <w:szCs w:val="24"/>
        </w:rPr>
        <w:t>to more effectively create and use tools.</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Also, the evolution of the frontal lobe may have been influenced by the need for advanced problem-solving and planning skills, which were </w:t>
      </w:r>
      <w:r>
        <w:rPr>
          <w:rFonts w:ascii="Times New Roman" w:eastAsia="Times New Roman" w:hAnsi="Times New Roman" w:cs="Times New Roman"/>
          <w:sz w:val="24"/>
          <w:szCs w:val="24"/>
        </w:rPr>
        <w:lastRenderedPageBreak/>
        <w:t>necessary for the successful production of composite tools.</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These examples demonstrate how the cognitive and physical demands of tool use have shaped the course of human evolution, with the development of more sophisticated tools leading to corresponding changes in the brain and body. This intimate relationship between technology and biology epitomizes the active role that humans have played in their own evolutionary trajectory, as the tools we create and the ways in which we use them have had a large impact on our cognitive and physical development over millions of years. As human technology continues to advance at an unprecedented pace, it is likely that we will continue to shape the course of our own evolution in increasingly profound and deliberate ways.</w:t>
      </w:r>
    </w:p>
    <w:p w14:paraId="0000003A" w14:textId="77777777" w:rsidR="00634184" w:rsidRDefault="00000000">
      <w:pPr>
        <w:numPr>
          <w:ilvl w:val="0"/>
          <w:numId w:val="4"/>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The Domestic Homo </w:t>
      </w:r>
      <w:proofErr w:type="spellStart"/>
      <w:r>
        <w:rPr>
          <w:rFonts w:ascii="Times New Roman" w:eastAsia="Times New Roman" w:hAnsi="Times New Roman" w:cs="Times New Roman"/>
          <w:i/>
          <w:sz w:val="24"/>
          <w:szCs w:val="24"/>
        </w:rPr>
        <w:t>Sapian</w:t>
      </w:r>
      <w:proofErr w:type="spellEnd"/>
    </w:p>
    <w:p w14:paraId="0000003B"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agricultural revolution, which began around 10,000 years ago, marked a significant turning point in human history. The domestication of plants and animals allowed for the establishment of permanent settlements, leading to the development of complex societies and the rise of civilizations. Some may have the perspective that humans domesticated wheat, but Yuval Noah Harari, author of </w:t>
      </w:r>
      <w:r>
        <w:rPr>
          <w:rFonts w:ascii="Times New Roman" w:eastAsia="Times New Roman" w:hAnsi="Times New Roman" w:cs="Times New Roman"/>
          <w:i/>
          <w:color w:val="0D0D0D"/>
          <w:sz w:val="24"/>
          <w:szCs w:val="24"/>
          <w:highlight w:val="white"/>
        </w:rPr>
        <w:t>Sapiens: A Brief History of Humankind,</w:t>
      </w:r>
      <w:r>
        <w:rPr>
          <w:rFonts w:ascii="Times New Roman" w:eastAsia="Times New Roman" w:hAnsi="Times New Roman" w:cs="Times New Roman"/>
          <w:sz w:val="24"/>
          <w:szCs w:val="24"/>
        </w:rPr>
        <w:t xml:space="preserve"> claims that it is the wheat that domesticated us. The agricultural revolution did allow for a surplus of food to </w:t>
      </w:r>
      <w:proofErr w:type="gramStart"/>
      <w:r>
        <w:rPr>
          <w:rFonts w:ascii="Times New Roman" w:eastAsia="Times New Roman" w:hAnsi="Times New Roman" w:cs="Times New Roman"/>
          <w:sz w:val="24"/>
          <w:szCs w:val="24"/>
        </w:rPr>
        <w:t>be available at all times</w:t>
      </w:r>
      <w:proofErr w:type="gramEnd"/>
      <w:r>
        <w:rPr>
          <w:rFonts w:ascii="Times New Roman" w:eastAsia="Times New Roman" w:hAnsi="Times New Roman" w:cs="Times New Roman"/>
          <w:sz w:val="24"/>
          <w:szCs w:val="24"/>
        </w:rPr>
        <w:t xml:space="preserve">, but Harari claims that the back breaking, time consuming work that went into farming made the quality of life worse compared to the hunter-gatherers who only needed to hunt once a week. So why, then, did humanity make this shift if it consisted of more widespread suffering? The answer is that consistent access to food allowed for the human population to grow dramatically, and evolution cares not for the happiness of the individual but instead for the reproductive success of the species—much like how humanity was a positive force on the </w:t>
      </w:r>
      <w:r>
        <w:rPr>
          <w:rFonts w:ascii="Times New Roman" w:eastAsia="Times New Roman" w:hAnsi="Times New Roman" w:cs="Times New Roman"/>
          <w:sz w:val="24"/>
          <w:szCs w:val="24"/>
        </w:rPr>
        <w:lastRenderedPageBreak/>
        <w:t>evolution of wheat and other plants. The agricultural revolution led to more violence, more disease, poorer diets, and the development of slave-based hierarchies. This shift from a hunter-gatherer lifestyle to an agricultural one had extreme implications for human social structures, as well as our relationship with the natural world.</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w:t>
      </w:r>
    </w:p>
    <w:p w14:paraId="0000003C"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Written language emerged in Mesopotamia around 3500 BCE.</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Writing (only made possible with hands that had evolved to hold and use tools) allowed for the recording and preservation of knowledge, ideas, and experiences. By externalizing human memory and creating a durable medium for the storage and transmission of knowledge, writing transformed the nature of human communication and gave rise to the development of complex societies and the advancement of human knowledge. Written records were now physical extensions of the human mind that could withstand the passage of time unchanged.</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Over time, as written language became more sophisticated and widespread, it began to shape the evolution of human language itself. The development of standardized writing systems, such as alphabets and syllabaries, encouraged the standardization of spoken language and the emergence of linguistic norms. This innovation enabled the accumulation and transmission of knowledge across generations, facilitating the development of legal systems, religious beliefs, and scientific understanding. Moreover, written language played a vital role in the administration of early civilizations, enabling the coordination of large-scale projects, such as the construction of monumental architecture and the management of vast agricultural systems.</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w:t>
      </w:r>
    </w:p>
    <w:p w14:paraId="0000003D"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should be noted that this new way of life for humans was not at all what our bodies were evolved for. For millions of years humans lived a hunter-gatherer lifestyle, characterized by </w:t>
      </w:r>
      <w:r>
        <w:rPr>
          <w:rFonts w:ascii="Times New Roman" w:eastAsia="Times New Roman" w:hAnsi="Times New Roman" w:cs="Times New Roman"/>
          <w:sz w:val="24"/>
          <w:szCs w:val="24"/>
        </w:rPr>
        <w:lastRenderedPageBreak/>
        <w:t xml:space="preserve">high levels of physical activity, a diverse diet, and close social bonds. This relatively sudden change resulting from the agricultural revolution took place only 10,000 years ago. The agricultural lifestyle not only led to overwhelmingly negative changes in human health and social organization, but it also led to significant changes in human culture and psychology. The need to </w:t>
      </w:r>
      <w:proofErr w:type="gramStart"/>
      <w:r>
        <w:rPr>
          <w:rFonts w:ascii="Times New Roman" w:eastAsia="Times New Roman" w:hAnsi="Times New Roman" w:cs="Times New Roman"/>
          <w:sz w:val="24"/>
          <w:szCs w:val="24"/>
        </w:rPr>
        <w:t>plan for the future</w:t>
      </w:r>
      <w:proofErr w:type="gramEnd"/>
      <w:r>
        <w:rPr>
          <w:rFonts w:ascii="Times New Roman" w:eastAsia="Times New Roman" w:hAnsi="Times New Roman" w:cs="Times New Roman"/>
          <w:sz w:val="24"/>
          <w:szCs w:val="24"/>
        </w:rPr>
        <w:t xml:space="preserve"> and manage resources over the long term required the development of new cognitive skills, such as abstract thinking and delayed gratification. At the same time, the separation of humans from the natural world and the increasing reliance on technology led to a shift in human values and beliefs, with a greater emphasis on control, domination, and exploitation of the environment and others.</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From an evolutionary perspective, the agricultural revolution represents a significant mismatch between human biology and the environment. The rapid transition to an agricultural way of life, with its sedentary lifestyle, narrow diet, and hierarchical social structure, created significant challenges for human health and well-being.</w:t>
      </w:r>
    </w:p>
    <w:p w14:paraId="0000003E" w14:textId="77777777" w:rsidR="00634184" w:rsidRDefault="00000000">
      <w:pPr>
        <w:numPr>
          <w:ilvl w:val="0"/>
          <w:numId w:val="4"/>
        </w:numPr>
        <w:spacing w:line="480" w:lineRule="auto"/>
        <w:rPr>
          <w:rFonts w:ascii="Times New Roman" w:eastAsia="Times New Roman" w:hAnsi="Times New Roman" w:cs="Times New Roman"/>
          <w:i/>
          <w:sz w:val="24"/>
          <w:szCs w:val="24"/>
          <w:highlight w:val="white"/>
        </w:rPr>
      </w:pPr>
      <w:r>
        <w:rPr>
          <w:rFonts w:ascii="Times New Roman" w:eastAsia="Times New Roman" w:hAnsi="Times New Roman" w:cs="Times New Roman"/>
          <w:i/>
          <w:sz w:val="24"/>
          <w:szCs w:val="24"/>
          <w:highlight w:val="white"/>
        </w:rPr>
        <w:t>From Fields to Formulas</w:t>
      </w:r>
    </w:p>
    <w:p w14:paraId="0000003F"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Opting for brevity, a summary of the events leading up to the scientific revolution in the 16th century will be provided given the uneventful nature of this period (I jest, of course). </w:t>
      </w:r>
      <w:r>
        <w:rPr>
          <w:rFonts w:ascii="Times New Roman" w:eastAsia="Times New Roman" w:hAnsi="Times New Roman" w:cs="Times New Roman"/>
          <w:sz w:val="24"/>
          <w:szCs w:val="24"/>
        </w:rPr>
        <w:t xml:space="preserve">As civilizations continued to grow and expand, they began to interact with one another through trade, cultural exchange, and warfare. </w:t>
      </w:r>
      <w:r>
        <w:rPr>
          <w:rFonts w:ascii="Times New Roman" w:eastAsia="Times New Roman" w:hAnsi="Times New Roman" w:cs="Times New Roman"/>
          <w:color w:val="0D0D0D"/>
          <w:sz w:val="24"/>
          <w:szCs w:val="24"/>
          <w:highlight w:val="white"/>
        </w:rPr>
        <w:t>The seeds of philosophy were sown, whispering enchantments to those attuned to its song and grating the ears of the well-adjusted.</w:t>
      </w:r>
      <w:r>
        <w:rPr>
          <w:rFonts w:ascii="Times New Roman" w:eastAsia="Times New Roman" w:hAnsi="Times New Roman" w:cs="Times New Roman"/>
          <w:sz w:val="24"/>
          <w:szCs w:val="24"/>
        </w:rPr>
        <w:t xml:space="preserve"> The development of major world religions, such as Buddhism, Christianity, and Islam, also played a significant role in shaping the cultural landscape of the ancient and medieval world.</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Empires rose and fell, great artists left behind their masterpieces, and global expeditions followed in the </w:t>
      </w:r>
      <w:r>
        <w:rPr>
          <w:rFonts w:ascii="Times New Roman" w:eastAsia="Times New Roman" w:hAnsi="Times New Roman" w:cs="Times New Roman"/>
          <w:sz w:val="24"/>
          <w:szCs w:val="24"/>
        </w:rPr>
        <w:lastRenderedPageBreak/>
        <w:t>pursuit of wealth and knowledge about what lies beyond. Throughout this period, humanity's relationship with nature continued to evolve. The growth of cities and the expansion of agricultural production led to significant changes in the natural environment, as forests were cleared, rivers were diverted, and land was transformed for human use.</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At the same time, humans continued developing new techniques to exert control over the environment such as aqueducts and concrete construction.</w:t>
      </w:r>
      <w:r>
        <w:rPr>
          <w:rFonts w:ascii="Times New Roman" w:eastAsia="Times New Roman" w:hAnsi="Times New Roman" w:cs="Times New Roman"/>
          <w:sz w:val="24"/>
          <w:szCs w:val="24"/>
          <w:vertAlign w:val="superscript"/>
        </w:rPr>
        <w:footnoteReference w:id="18"/>
      </w:r>
    </w:p>
    <w:p w14:paraId="00000040"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scientific revolution of the 16th and 17th centuries marked a significant turning point in humanity's understanding of the natural world. The development of new scientific methods, such as empirical observation and experimentation, led to significant advancements in fields such as astronomy, physics, and biology.</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This new understanding of the natural world challenged traditional beliefs and sparked a new era of intellectual and technological progress. However, the scientific revolution also distorted humanity's relationship with nature. The mechanistic worldview that emerged during this period, which viewed nature as a machine that could be understood and manipulated through scientific inquiry, led to a growing sense of human dominance over the natural world. As we reflect on the long history of humanity's relationship with nature, </w:t>
      </w:r>
      <w:proofErr w:type="gramStart"/>
      <w:r>
        <w:rPr>
          <w:rFonts w:ascii="Times New Roman" w:eastAsia="Times New Roman" w:hAnsi="Times New Roman" w:cs="Times New Roman"/>
          <w:sz w:val="24"/>
          <w:szCs w:val="24"/>
        </w:rPr>
        <w:t>it is clear that the</w:t>
      </w:r>
      <w:proofErr w:type="gramEnd"/>
      <w:r>
        <w:rPr>
          <w:rFonts w:ascii="Times New Roman" w:eastAsia="Times New Roman" w:hAnsi="Times New Roman" w:cs="Times New Roman"/>
          <w:sz w:val="24"/>
          <w:szCs w:val="24"/>
        </w:rPr>
        <w:t xml:space="preserve"> tension between the desire for progress and the need for sustainability has been a constant theme. From the earliest days of human evolution to the present day, we have sought to understand and harness the power of the natural world to meet our needs and desires. At the same time, we have struggled to find a balance between our own development and the health and well-being of the planet that sustains us.</w:t>
      </w:r>
    </w:p>
    <w:p w14:paraId="00000041" w14:textId="77777777" w:rsidR="00634184" w:rsidRDefault="00000000">
      <w:pPr>
        <w:numPr>
          <w:ilvl w:val="0"/>
          <w:numId w:val="6"/>
        </w:num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Evolution of Empathy and Intelligence</w:t>
      </w:r>
    </w:p>
    <w:p w14:paraId="00000042" w14:textId="77777777" w:rsidR="00634184" w:rsidRDefault="00000000">
      <w:pPr>
        <w:numPr>
          <w:ilvl w:val="0"/>
          <w:numId w:val="5"/>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Synapses, Species, and Society: Exploring Connections</w:t>
      </w:r>
    </w:p>
    <w:p w14:paraId="00000043" w14:textId="587C7C79"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clear we have come a long way since the dawn of man. Our cognitive capabilities have increased on a biological level, and we now know more than ever about the mechanics of the natural world. </w:t>
      </w:r>
      <w:r w:rsidR="00815625">
        <w:rPr>
          <w:rFonts w:ascii="Times New Roman" w:eastAsia="Times New Roman" w:hAnsi="Times New Roman" w:cs="Times New Roman"/>
          <w:sz w:val="24"/>
          <w:szCs w:val="24"/>
        </w:rPr>
        <w:t>One</w:t>
      </w:r>
      <w:r w:rsidR="00815625" w:rsidRPr="00815625">
        <w:rPr>
          <w:rFonts w:ascii="Times New Roman" w:eastAsia="Times New Roman" w:hAnsi="Times New Roman" w:cs="Times New Roman"/>
          <w:sz w:val="24"/>
          <w:szCs w:val="24"/>
        </w:rPr>
        <w:t xml:space="preserve"> perspective challenges our anthropocentric view of intelligence and suggests that human cognitive capabilities, while impressive, are not the only form of intelligence in the natural world. </w:t>
      </w:r>
      <w:r>
        <w:rPr>
          <w:rFonts w:ascii="Times New Roman" w:eastAsia="Times New Roman" w:hAnsi="Times New Roman" w:cs="Times New Roman"/>
          <w:sz w:val="24"/>
          <w:szCs w:val="24"/>
        </w:rPr>
        <w:t>According to developmental biologist Michael Levin, all intelligence is inherently collective</w:t>
      </w:r>
      <w:r w:rsidR="00815625">
        <w:rPr>
          <w:rFonts w:ascii="Times New Roman" w:eastAsia="Times New Roman" w:hAnsi="Times New Roman" w:cs="Times New Roman"/>
          <w:sz w:val="24"/>
          <w:szCs w:val="24"/>
        </w:rPr>
        <w:t xml:space="preserve">, </w:t>
      </w:r>
      <w:r w:rsidR="00815625" w:rsidRPr="00815625">
        <w:rPr>
          <w:rFonts w:ascii="Times New Roman" w:eastAsia="Times New Roman" w:hAnsi="Times New Roman" w:cs="Times New Roman"/>
          <w:sz w:val="24"/>
          <w:szCs w:val="24"/>
        </w:rPr>
        <w:t>emerging from the interactions and goal-directed behaviors of smaller components within a system</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Levin claims that humans </w:t>
      </w:r>
      <w:proofErr w:type="gramStart"/>
      <w:r>
        <w:rPr>
          <w:rFonts w:ascii="Times New Roman" w:eastAsia="Times New Roman" w:hAnsi="Times New Roman" w:cs="Times New Roman"/>
          <w:sz w:val="24"/>
          <w:szCs w:val="24"/>
        </w:rPr>
        <w:t>actually have</w:t>
      </w:r>
      <w:proofErr w:type="gramEnd"/>
      <w:r>
        <w:rPr>
          <w:rFonts w:ascii="Times New Roman" w:eastAsia="Times New Roman" w:hAnsi="Times New Roman" w:cs="Times New Roman"/>
          <w:sz w:val="24"/>
          <w:szCs w:val="24"/>
        </w:rPr>
        <w:t xml:space="preserve"> a poor ability to recognize intelligence in objects that are extremely small or large, and we often readily dismiss the idea that a beehive could exhibit characteristics similar to those that constitute human-level intelligence. When determining if a system can be considered intelligent at all, it must have two things: goal-directedness (the ability to take different paths to reach the same goal) and the ability to take independent actions.</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Using this definition, one could argue that cells are intelligent in some sense</w:t>
      </w:r>
      <w:r w:rsidR="00815625">
        <w:rPr>
          <w:rFonts w:ascii="Times New Roman" w:eastAsia="Times New Roman" w:hAnsi="Times New Roman" w:cs="Times New Roman"/>
          <w:sz w:val="24"/>
          <w:szCs w:val="24"/>
        </w:rPr>
        <w:t>, and the intelligence of a human is the sum (or collective) intelligence of all ~30 trillions cells that constitute the human body.</w:t>
      </w:r>
      <w:r>
        <w:rPr>
          <w:rFonts w:ascii="Times New Roman" w:eastAsia="Times New Roman" w:hAnsi="Times New Roman" w:cs="Times New Roman"/>
          <w:sz w:val="24"/>
          <w:szCs w:val="24"/>
        </w:rPr>
        <w:t xml:space="preserve"> Applying this idea to large groups of people or even the entire global population could change the way we think about our place in the grand scheme of things.  </w:t>
      </w:r>
    </w:p>
    <w:p w14:paraId="00000044" w14:textId="0D84F4B6" w:rsidR="00634184" w:rsidRDefault="00000000">
      <w:pPr>
        <w:widowControl w:v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 species a type of classification or an individual? This question is posed by David Hull, and he arrives at the conclusion that species are indeed individuals and not a kind of class. Hull presents a compelling case for this perspective, drawing on evidence from evolutionary biology and the philosophy of science. He points out that species are formed through the process </w:t>
      </w:r>
      <w:r>
        <w:rPr>
          <w:rFonts w:ascii="Times New Roman" w:eastAsia="Times New Roman" w:hAnsi="Times New Roman" w:cs="Times New Roman"/>
          <w:sz w:val="24"/>
          <w:szCs w:val="24"/>
        </w:rPr>
        <w:lastRenderedPageBreak/>
        <w:t>of evolution by natural selection, which operates on populations of organisms rather than on abstract types or classes. As Hull puts it, "Species are lineages, historical entities, individuals, if you will, not classes."</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This view aligns with the understanding that species are the product of evolutionary processes acting on populations over time rather than fixed categories with immutable characteristics. Ontologically recognizing species as individuals necessarily changes our understanding of evolution and the role of natural selection in shaping the diversity of life on Earth. This perspective may encourage us to think more deeply about our collective goals, actions, and responsibilities as a species, rather than focusing solely on individual or group-level concerns.</w:t>
      </w:r>
    </w:p>
    <w:p w14:paraId="00000045"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these ideas about intelligence and species are put together, there are several interesting implications. If intelligence is collective and can be found in various systems, then human intelligence may not be as exceptional or unique as we often assume. Instead, our intelligence could be seen as an emergent property of the microscopic and macroscopic interactions between the cells, organs, and systems that make up our bodies—and the societies in which we live. Our biological capacity for intelligence is the culmination of every living thing we descended from. In addition, all of our knowledge about the natural world has come from other </w:t>
      </w:r>
      <w:proofErr w:type="gramStart"/>
      <w:r>
        <w:rPr>
          <w:rFonts w:ascii="Times New Roman" w:eastAsia="Times New Roman" w:hAnsi="Times New Roman" w:cs="Times New Roman"/>
          <w:sz w:val="24"/>
          <w:szCs w:val="24"/>
        </w:rPr>
        <w:t>humans</w:t>
      </w:r>
      <w:proofErr w:type="gramEnd"/>
      <w:r>
        <w:rPr>
          <w:rFonts w:ascii="Times New Roman" w:eastAsia="Times New Roman" w:hAnsi="Times New Roman" w:cs="Times New Roman"/>
          <w:sz w:val="24"/>
          <w:szCs w:val="24"/>
        </w:rPr>
        <w:t xml:space="preserve"> past and present (unless you yourself are a scientific researcher). Just as each person's genetic makeup is the result of the genetic contributions of their ancestors, the collective knowledge of humanity is the product of the intellectual contributions of all the individuals who have come before us. If species are individuals, then humanity </w:t>
      </w:r>
      <w:proofErr w:type="gramStart"/>
      <w:r>
        <w:rPr>
          <w:rFonts w:ascii="Times New Roman" w:eastAsia="Times New Roman" w:hAnsi="Times New Roman" w:cs="Times New Roman"/>
          <w:sz w:val="24"/>
          <w:szCs w:val="24"/>
        </w:rPr>
        <w:t>as a whole can</w:t>
      </w:r>
      <w:proofErr w:type="gramEnd"/>
      <w:r>
        <w:rPr>
          <w:rFonts w:ascii="Times New Roman" w:eastAsia="Times New Roman" w:hAnsi="Times New Roman" w:cs="Times New Roman"/>
          <w:sz w:val="24"/>
          <w:szCs w:val="24"/>
        </w:rPr>
        <w:t xml:space="preserve"> be considered a single entity, shaped by evolutionary and social processes over time.</w:t>
      </w:r>
    </w:p>
    <w:p w14:paraId="00000046"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Technology promoted an increased level of connectivity among individuals that wouldn’t have otherwise known about or communicated with each other. The rise of the novel as a literary form in the 18th century was closely tied to technological advancements in printing and the increasing availability of books to a wider audience. The invention of the printing press by Johannes Gutenberg in the 15th century had already revolutionized the production and dissemination of written works, making books more affordable and accessible to a growing literate population.</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However, it was not until the 18th century that the novel truly came into its own as a distinct genre. The shift in focus from famous or aristocratic characters to ordinary people in novels was a gradual process that took place over the course of the 18th century. Earlier novels, such as those from the 17th century, often centered on extraordinary or high-born individuals, like the titular characters in Miguel de Cervantes' "Don Quixote" (1605) or Madame de Lafayette's "The Princess of Cleves" (1678).</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rPr>
        <w:t xml:space="preserve"> </w:t>
      </w:r>
    </w:p>
    <w:p w14:paraId="00000047" w14:textId="2505E72A"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the 18th century progressed, there was a growing interest in the lives and experiences of everyday people. The move away from aristocratic characters and towards ordinary people in novels reflected the changing social and intellectual landscape of the time. This shift was partly influenced by the Enlightenment's emphasis on the inherent dignity and worth of the individual.</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 As a result, novelists began to explore the stories of characters such as the eponymous heroines in Samuel Richardson's "Pamela" (1740) and "Clarissa" (1747-48), who were a servant and a middle-class girl, respectively. As Lynn Hunt argues in </w:t>
      </w:r>
      <w:r w:rsidRPr="00CC3911">
        <w:rPr>
          <w:rFonts w:ascii="Times New Roman" w:eastAsia="Times New Roman" w:hAnsi="Times New Roman" w:cs="Times New Roman"/>
          <w:i/>
          <w:iCs/>
          <w:sz w:val="24"/>
          <w:szCs w:val="24"/>
        </w:rPr>
        <w:t>Inventing Human Rights</w:t>
      </w:r>
      <w:r w:rsidR="00CC3911" w:rsidRPr="00CC3911">
        <w:rPr>
          <w:rFonts w:ascii="Times New Roman" w:eastAsia="Times New Roman" w:hAnsi="Times New Roman" w:cs="Times New Roman"/>
          <w:i/>
          <w:iCs/>
          <w:sz w:val="24"/>
          <w:szCs w:val="24"/>
        </w:rPr>
        <w:t>: A History,</w:t>
      </w:r>
      <w:r w:rsidRPr="00CC3911">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novels like these "taught their readers nothing less than a new psychology and in the process laid the foundations for a new social and political order.” Cultural conditioning </w:t>
      </w:r>
      <w:r>
        <w:rPr>
          <w:rFonts w:ascii="Times New Roman" w:eastAsia="Times New Roman" w:hAnsi="Times New Roman" w:cs="Times New Roman"/>
          <w:sz w:val="24"/>
          <w:szCs w:val="24"/>
        </w:rPr>
        <w:lastRenderedPageBreak/>
        <w:t xml:space="preserve">had previously led members of the upper class to automatically dismiss the </w:t>
      </w:r>
      <w:proofErr w:type="gramStart"/>
      <w:r>
        <w:rPr>
          <w:rFonts w:ascii="Times New Roman" w:eastAsia="Times New Roman" w:hAnsi="Times New Roman" w:cs="Times New Roman"/>
          <w:sz w:val="24"/>
          <w:szCs w:val="24"/>
        </w:rPr>
        <w:t>inner feelings</w:t>
      </w:r>
      <w:proofErr w:type="gramEnd"/>
      <w:r>
        <w:rPr>
          <w:rFonts w:ascii="Times New Roman" w:eastAsia="Times New Roman" w:hAnsi="Times New Roman" w:cs="Times New Roman"/>
          <w:sz w:val="24"/>
          <w:szCs w:val="24"/>
        </w:rPr>
        <w:t xml:space="preserve"> and desires of those that were deemed inferior. This process of identification through reading "created a sense of equality and empathy through passionate involvement in the narrative.”</w:t>
      </w:r>
      <w:r>
        <w:rPr>
          <w:rFonts w:ascii="Times New Roman" w:eastAsia="Times New Roman" w:hAnsi="Times New Roman" w:cs="Times New Roman"/>
          <w:sz w:val="24"/>
          <w:szCs w:val="24"/>
          <w:vertAlign w:val="superscript"/>
        </w:rPr>
        <w:footnoteReference w:id="26"/>
      </w:r>
      <w:r>
        <w:rPr>
          <w:rFonts w:ascii="Times New Roman" w:eastAsia="Times New Roman" w:hAnsi="Times New Roman" w:cs="Times New Roman"/>
          <w:sz w:val="24"/>
          <w:szCs w:val="24"/>
        </w:rPr>
        <w:t xml:space="preserve"> By centering on the lives and struggles of the average person, novels helped to promote a more egalitarian understanding of society and laid the groundwork for the development of human rights.</w:t>
      </w:r>
      <w:r>
        <w:rPr>
          <w:rFonts w:ascii="Times New Roman" w:eastAsia="Times New Roman" w:hAnsi="Times New Roman" w:cs="Times New Roman"/>
          <w:sz w:val="24"/>
          <w:szCs w:val="24"/>
          <w:vertAlign w:val="superscript"/>
        </w:rPr>
        <w:footnoteReference w:id="27"/>
      </w:r>
    </w:p>
    <w:p w14:paraId="00000048"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rPr>
        <w:t xml:space="preserve">The ability of these novels to cultivate empathy across social boundaries can be seen as a form of collective intelligence, as readers' engagement with the stories and characters contributed to a shared understanding of the common human experience. The collective experience of reading gave rise to a novel form of empathy, which significantly influenced the era's intellectual and emotional milieu. Readers living in the Old Regime could now see others as fundamentally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themselves. This change on an individual level was crucial in paving the way for the widespread embrace of the ongoing movement towards equality and universal rights. The rise in class consciousness that occurred during the early days of the French Revolution highlights the importance of cultural and intellectual exchange in driving social progress; it also emphasizes the potential for shared narratives to shape our collective values and beliefs. </w:t>
      </w:r>
      <w:r>
        <w:rPr>
          <w:rFonts w:ascii="Times New Roman" w:eastAsia="Times New Roman" w:hAnsi="Times New Roman" w:cs="Times New Roman"/>
          <w:color w:val="0D0D0D"/>
          <w:sz w:val="24"/>
          <w:szCs w:val="24"/>
          <w:highlight w:val="white"/>
        </w:rPr>
        <w:t>Empathy challenges traditional notions of individualism and self-interest and reveals the inherent interconnectedness of human beings and the ethical imperative to consider the well-being of others.</w:t>
      </w:r>
    </w:p>
    <w:p w14:paraId="00000049"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From a philosophical standpoint, empathy (distinct from sympathy) challenges traditional notions of individualism and self-interest. It affirms the ethical imperative to consider the well-being of others and informs moral concepts such as benevolence, justice, and reciprocity. The ability to empathize allows individuals to recognize the inherent dignity and worth of others, </w:t>
      </w:r>
      <w:r>
        <w:rPr>
          <w:rFonts w:ascii="Times New Roman" w:eastAsia="Times New Roman" w:hAnsi="Times New Roman" w:cs="Times New Roman"/>
          <w:color w:val="0D0D0D"/>
          <w:sz w:val="24"/>
          <w:szCs w:val="24"/>
          <w:highlight w:val="white"/>
        </w:rPr>
        <w:lastRenderedPageBreak/>
        <w:t>motivating altruistic actions aimed at alleviating suffering and promoting collective flourishing. Beyond ethics, the emergence of empathy also resonates with philosophical inquiries into human nature and the dynamics of social interaction. Philosophers have long debated the balance between egoism and altruism in human behavior, with empathy offering insights into the innate capacity for cooperation. The ability to empathize implies a form of intersubjective awareness, wherein individuals recognize the subjective states and perspectives of others as akin to their own. This raises questions about the nature of empathy and its relationship to selfhood, identity, and personal autonomy. How does empathy shape our sense of self and our understanding of others as distinct individuals with unique experiences and perspectives?</w:t>
      </w:r>
    </w:p>
    <w:p w14:paraId="0000004A" w14:textId="5FD03D4D"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tuning of empathy through literature in civilized society can be seen as an example of collective intelligence at work. As individuals engaged with new ideas and perspectives through reading, they contributed to a larger, shared understanding of the world and the human condition. If we consider humanity as a species-individual, the French Revolution can be seen as a pivotal moment in its development. The revolution marked a significant shift in how people understood their relationship to power, authority, and each other</w:t>
      </w:r>
      <w:r w:rsidR="008D5D2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ideals of liberty and equality that emerged from this period reflected a growing sense of solidarity among individuals, as well as a recognition of their collective agency in shaping the future of their society. </w:t>
      </w:r>
      <w:r>
        <w:rPr>
          <w:rFonts w:ascii="Times New Roman" w:eastAsia="Times New Roman" w:hAnsi="Times New Roman" w:cs="Times New Roman"/>
          <w:color w:val="0D0D0D"/>
          <w:sz w:val="24"/>
          <w:szCs w:val="24"/>
          <w:highlight w:val="white"/>
        </w:rPr>
        <w:t>The principles and outcomes of the French Revolution served as a precedent for subsequent revolutions and political reforms</w:t>
      </w:r>
      <w:r w:rsidR="00264BDB">
        <w:rPr>
          <w:rFonts w:ascii="Times New Roman" w:eastAsia="Times New Roman" w:hAnsi="Times New Roman" w:cs="Times New Roman"/>
          <w:color w:val="0D0D0D"/>
          <w:sz w:val="24"/>
          <w:szCs w:val="24"/>
          <w:highlight w:val="white"/>
        </w:rPr>
        <w:t>, leaving</w:t>
      </w:r>
      <w:r>
        <w:rPr>
          <w:rFonts w:ascii="Times New Roman" w:eastAsia="Times New Roman" w:hAnsi="Times New Roman" w:cs="Times New Roman"/>
          <w:color w:val="0D0D0D"/>
          <w:sz w:val="24"/>
          <w:szCs w:val="24"/>
          <w:highlight w:val="white"/>
        </w:rPr>
        <w:t xml:space="preserve"> </w:t>
      </w:r>
      <w:proofErr w:type="gramStart"/>
      <w:r>
        <w:rPr>
          <w:rFonts w:ascii="Times New Roman" w:eastAsia="Times New Roman" w:hAnsi="Times New Roman" w:cs="Times New Roman"/>
          <w:color w:val="0D0D0D"/>
          <w:sz w:val="24"/>
          <w:szCs w:val="24"/>
          <w:highlight w:val="white"/>
        </w:rPr>
        <w:t>a lasting legacy</w:t>
      </w:r>
      <w:proofErr w:type="gramEnd"/>
      <w:r>
        <w:rPr>
          <w:rFonts w:ascii="Times New Roman" w:eastAsia="Times New Roman" w:hAnsi="Times New Roman" w:cs="Times New Roman"/>
          <w:color w:val="0D0D0D"/>
          <w:sz w:val="24"/>
          <w:szCs w:val="24"/>
          <w:highlight w:val="white"/>
        </w:rPr>
        <w:t xml:space="preserve"> on the evolution of democratic institutions and the pursuit of social justice in Western societies.</w:t>
      </w:r>
      <w:r>
        <w:rPr>
          <w:rFonts w:ascii="Times New Roman" w:eastAsia="Times New Roman" w:hAnsi="Times New Roman" w:cs="Times New Roman"/>
          <w:sz w:val="24"/>
          <w:szCs w:val="24"/>
        </w:rPr>
        <w:t xml:space="preserve"> As we continue to maneuver through the challenges and opportunities presented by ongoing technological and social developments, we must recognize the potential for these advancements to both reflect and shape our collective values, beliefs, and aspirations as a species. By embracing our shared humanity and working towards a </w:t>
      </w:r>
      <w:r>
        <w:rPr>
          <w:rFonts w:ascii="Times New Roman" w:eastAsia="Times New Roman" w:hAnsi="Times New Roman" w:cs="Times New Roman"/>
          <w:sz w:val="24"/>
          <w:szCs w:val="24"/>
        </w:rPr>
        <w:lastRenderedPageBreak/>
        <w:t>more empathetic understanding of the world, we can sufficiently utilize the power of collective intelligence to create a more just future for all.</w:t>
      </w:r>
    </w:p>
    <w:p w14:paraId="0000004B" w14:textId="77777777" w:rsidR="00634184" w:rsidRDefault="00000000">
      <w:pPr>
        <w:numPr>
          <w:ilvl w:val="0"/>
          <w:numId w:val="5"/>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Trend in Intelligence</w:t>
      </w:r>
    </w:p>
    <w:p w14:paraId="0000004C" w14:textId="77777777" w:rsidR="0063418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are several common themes and trends in evolution that can be observed throughout the history of life on Earth. One of the most prominent is the trend towards higher intelligence over time. This can be seen in the gradual increase in brain size and complexity across various evolutionary lineages, from early vertebrates to primates and ultimately to humans. The evolution of higher intelligence is often associated with the development of more sophisticated cognitive abilities, such as problem-solving, learning, memory, and communication. These abilities have allowed organisms to adapt to increasingly complicated environments and social structures, providing a competitive advantage in terms of survival and reproduction. In humans, the trend towards higher intelligence has been particularly pronounced, with the rapid expansion of the neocortex and the development of language, abstract thinking, and cultural transmission. This has enabled humans to create societies, technologies, and belief systems that have shaped the course of our species' history.</w:t>
      </w:r>
    </w:p>
    <w:p w14:paraId="0000004D" w14:textId="77777777" w:rsidR="0063418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Life continues to evolve; subsequently, the complexity of biological forms increases. While the universe </w:t>
      </w:r>
      <w:proofErr w:type="gramStart"/>
      <w:r>
        <w:rPr>
          <w:rFonts w:ascii="Times New Roman" w:eastAsia="Times New Roman" w:hAnsi="Times New Roman" w:cs="Times New Roman"/>
          <w:sz w:val="24"/>
          <w:szCs w:val="24"/>
        </w:rPr>
        <w:t>as a whole tends</w:t>
      </w:r>
      <w:proofErr w:type="gramEnd"/>
      <w:r>
        <w:rPr>
          <w:rFonts w:ascii="Times New Roman" w:eastAsia="Times New Roman" w:hAnsi="Times New Roman" w:cs="Times New Roman"/>
          <w:sz w:val="24"/>
          <w:szCs w:val="24"/>
        </w:rPr>
        <w:t xml:space="preserve"> towards increasing entropy, it is possible for local decreases in entropy to occur. Living systems, such as cells and organisms, represent a local decrease in entropy, as they are highly organized and structured compared to their surroundings. Living systems are open systems, which means that they can exchange energy and matter with their environment. This allows them to maintain their low-entropy state by consuming energy and resources from the environment and exporting entropy in the form of waste and heat. Life also exists in a state of non-equilibrium thermodynamics, where there is a constant flow of energy </w:t>
      </w:r>
      <w:r>
        <w:rPr>
          <w:rFonts w:ascii="Times New Roman" w:eastAsia="Times New Roman" w:hAnsi="Times New Roman" w:cs="Times New Roman"/>
          <w:sz w:val="24"/>
          <w:szCs w:val="24"/>
        </w:rPr>
        <w:lastRenderedPageBreak/>
        <w:t xml:space="preserve">and matter through the system. This flow of energy allows living systems to maintain their organized structure and function, even as the universe </w:t>
      </w:r>
      <w:proofErr w:type="gramStart"/>
      <w:r>
        <w:rPr>
          <w:rFonts w:ascii="Times New Roman" w:eastAsia="Times New Roman" w:hAnsi="Times New Roman" w:cs="Times New Roman"/>
          <w:sz w:val="24"/>
          <w:szCs w:val="24"/>
        </w:rPr>
        <w:t>as a whole increases</w:t>
      </w:r>
      <w:proofErr w:type="gramEnd"/>
      <w:r>
        <w:rPr>
          <w:rFonts w:ascii="Times New Roman" w:eastAsia="Times New Roman" w:hAnsi="Times New Roman" w:cs="Times New Roman"/>
          <w:sz w:val="24"/>
          <w:szCs w:val="24"/>
        </w:rPr>
        <w:t xml:space="preserve"> in entropy.</w:t>
      </w:r>
      <w:r>
        <w:rPr>
          <w:rFonts w:ascii="Times New Roman" w:eastAsia="Times New Roman" w:hAnsi="Times New Roman" w:cs="Times New Roman"/>
          <w:sz w:val="24"/>
          <w:szCs w:val="24"/>
          <w:vertAlign w:val="superscript"/>
        </w:rPr>
        <w:footnoteReference w:id="28"/>
      </w:r>
      <w:r>
        <w:rPr>
          <w:rFonts w:ascii="Times New Roman" w:eastAsia="Times New Roman" w:hAnsi="Times New Roman" w:cs="Times New Roman"/>
          <w:sz w:val="24"/>
          <w:szCs w:val="24"/>
        </w:rPr>
        <w:tab/>
      </w:r>
    </w:p>
    <w:p w14:paraId="0000004E" w14:textId="5A5C537B"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rPr>
        <w:tab/>
        <w:t xml:space="preserve">The increasing complexity and intelligence observed in living systems are not only a result of internal factors but also a product of the intricate relationships between organisms and their environments. </w:t>
      </w:r>
      <w:r>
        <w:rPr>
          <w:rFonts w:ascii="Times New Roman" w:eastAsia="Times New Roman" w:hAnsi="Times New Roman" w:cs="Times New Roman"/>
          <w:color w:val="0D0D0D"/>
          <w:sz w:val="24"/>
          <w:szCs w:val="24"/>
          <w:highlight w:val="white"/>
        </w:rPr>
        <w:t xml:space="preserve">Consider the symbiotic relationship between flowering plants and their pollinators. Over millions of years, certain plant species have evolved specialized floral structures and enticing nectar rewards to attract specific pollinators, while pollinators have developed specialized feeding mechanisms and behaviors to efficiently extract nectar and transport pollen. This coevolutionary dance between plants and pollinators has led to the diversification and specialization of both groups, resulting in the extraordinary diversity of floral forms and pollination strategies observed in nature. Similarly, predator-prey relationships can drive the evolutionary arms race, wherein predators evolve heightened predatory abilities and prey species develop defensive adaptations to evade predation; there simply </w:t>
      </w:r>
      <w:r w:rsidR="003E725F">
        <w:rPr>
          <w:rFonts w:ascii="Times New Roman" w:eastAsia="Times New Roman" w:hAnsi="Times New Roman" w:cs="Times New Roman"/>
          <w:color w:val="0D0D0D"/>
          <w:sz w:val="24"/>
          <w:szCs w:val="24"/>
          <w:highlight w:val="white"/>
        </w:rPr>
        <w:t>cannot</w:t>
      </w:r>
      <w:r>
        <w:rPr>
          <w:rFonts w:ascii="Times New Roman" w:eastAsia="Times New Roman" w:hAnsi="Times New Roman" w:cs="Times New Roman"/>
          <w:color w:val="0D0D0D"/>
          <w:sz w:val="24"/>
          <w:szCs w:val="24"/>
          <w:highlight w:val="white"/>
        </w:rPr>
        <w:t xml:space="preserve"> be one without the other in a natural </w:t>
      </w:r>
      <w:r w:rsidR="003E725F">
        <w:rPr>
          <w:rFonts w:ascii="Times New Roman" w:eastAsia="Times New Roman" w:hAnsi="Times New Roman" w:cs="Times New Roman"/>
          <w:color w:val="0D0D0D"/>
          <w:sz w:val="24"/>
          <w:szCs w:val="24"/>
          <w:highlight w:val="white"/>
        </w:rPr>
        <w:t>spatiotemporal</w:t>
      </w:r>
      <w:r>
        <w:rPr>
          <w:rFonts w:ascii="Times New Roman" w:eastAsia="Times New Roman" w:hAnsi="Times New Roman" w:cs="Times New Roman"/>
          <w:color w:val="0D0D0D"/>
          <w:sz w:val="24"/>
          <w:szCs w:val="24"/>
          <w:highlight w:val="white"/>
        </w:rPr>
        <w:t xml:space="preserve"> context. </w:t>
      </w:r>
      <w:r>
        <w:rPr>
          <w:rFonts w:ascii="Times New Roman" w:eastAsia="Times New Roman" w:hAnsi="Times New Roman" w:cs="Times New Roman"/>
          <w:sz w:val="24"/>
          <w:szCs w:val="24"/>
        </w:rPr>
        <w:t>Every living creature is deeply interconnected with its surroundings, and the evolutionary course of one species bidirectionally influences the evolutionary course of another.</w:t>
      </w:r>
    </w:p>
    <w:p w14:paraId="0000004F"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 xml:space="preserve">The concept of niche construction is an example of the active role that organisms play in shaping their environments and influencing the course of evolution. By modifying their surroundings through behaviors such as burrowing, nest-building, or foraging, organisms create ecological niches that shape the selective pressures acting upon them and subsequent generations. For instance, the construction of beaver dams alters stream ecosystems, creating new habitats for a diverse array of organisms and driving evolutionary changes in response to </w:t>
      </w:r>
      <w:r>
        <w:rPr>
          <w:rFonts w:ascii="Times New Roman" w:eastAsia="Times New Roman" w:hAnsi="Times New Roman" w:cs="Times New Roman"/>
          <w:color w:val="0D0D0D"/>
          <w:sz w:val="24"/>
          <w:szCs w:val="24"/>
          <w:highlight w:val="white"/>
        </w:rPr>
        <w:lastRenderedPageBreak/>
        <w:t xml:space="preserve">these altered environmental conditions. Rather than viewing organisms as passive recipients of environmental pressures, it is crucial to recognize their active engagement with and modification of their surroundings. </w:t>
      </w:r>
      <w:r>
        <w:rPr>
          <w:rFonts w:ascii="Times New Roman" w:eastAsia="Times New Roman" w:hAnsi="Times New Roman" w:cs="Times New Roman"/>
          <w:sz w:val="24"/>
          <w:szCs w:val="24"/>
        </w:rPr>
        <w:t>What constitutes one’s “surroundings” is completely subjective, as from the predator’s perspective it is the prey that is a part of the environment and vice versa. This codependent relationship illustrates that the environment is not separate from the organism, but rather an integral part of its existence and evolution.</w:t>
      </w:r>
    </w:p>
    <w:p w14:paraId="00000050"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rPr>
        <w:tab/>
        <w:t xml:space="preserve">The trend towards increasing complexity and intelligence in living systems, as exemplified by the evolution of the human brain, is a fascinating phenomenon that occurs within the context of the universe's overall trend towards increasing entropy. This emergence of intelligent life is made possible by the non-equilibrium thermodynamics of living systems and the intricate relationships between organisms and their environments. </w:t>
      </w:r>
      <w:r>
        <w:rPr>
          <w:rFonts w:ascii="Times New Roman" w:eastAsia="Times New Roman" w:hAnsi="Times New Roman" w:cs="Times New Roman"/>
          <w:color w:val="0D0D0D"/>
          <w:sz w:val="24"/>
          <w:szCs w:val="24"/>
          <w:highlight w:val="white"/>
        </w:rPr>
        <w:t xml:space="preserve">Moreover, this trend towards complexity and intelligence in living systems prompts contemplation of philosophical theories regarding the nature of existence and consciousness. Within the framework of evolutionary theory, questions arise concerning the meaning behind the phenomenon of life—whether there exists a predetermined purpose or directionality in the unfolding of biological complexity. Some philosophical perspectives, such as teleological or </w:t>
      </w:r>
      <w:proofErr w:type="spellStart"/>
      <w:r>
        <w:rPr>
          <w:rFonts w:ascii="Times New Roman" w:eastAsia="Times New Roman" w:hAnsi="Times New Roman" w:cs="Times New Roman"/>
          <w:color w:val="0D0D0D"/>
          <w:sz w:val="24"/>
          <w:szCs w:val="24"/>
          <w:highlight w:val="white"/>
        </w:rPr>
        <w:t>vitalistic</w:t>
      </w:r>
      <w:proofErr w:type="spellEnd"/>
      <w:r>
        <w:rPr>
          <w:rFonts w:ascii="Times New Roman" w:eastAsia="Times New Roman" w:hAnsi="Times New Roman" w:cs="Times New Roman"/>
          <w:color w:val="0D0D0D"/>
          <w:sz w:val="24"/>
          <w:szCs w:val="24"/>
          <w:highlight w:val="white"/>
        </w:rPr>
        <w:t xml:space="preserve"> viewpoints, posit the existence of inherent goals or guiding principles driving the evolutionary process towards greater complexity and intelligence. Proponents of these viewpoints argue that the sheer intricacy and purposeful organization of living organisms suggest the existence of inherent goals or guiding principles driving evolutionary processes towards greater complexity and intelligence.</w:t>
      </w:r>
      <w:r>
        <w:rPr>
          <w:rFonts w:ascii="Times New Roman" w:eastAsia="Times New Roman" w:hAnsi="Times New Roman" w:cs="Times New Roman"/>
          <w:color w:val="0D0D0D"/>
          <w:sz w:val="24"/>
          <w:szCs w:val="24"/>
          <w:highlight w:val="white"/>
          <w:vertAlign w:val="superscript"/>
        </w:rPr>
        <w:footnoteReference w:id="29"/>
      </w:r>
      <w:r>
        <w:rPr>
          <w:rFonts w:ascii="Times New Roman" w:eastAsia="Times New Roman" w:hAnsi="Times New Roman" w:cs="Times New Roman"/>
          <w:color w:val="0D0D0D"/>
          <w:sz w:val="24"/>
          <w:szCs w:val="24"/>
          <w:highlight w:val="white"/>
        </w:rPr>
        <w:t xml:space="preserve"> Conversely, proponents of mechanistic or reductionist philosophies may argue that such trends </w:t>
      </w:r>
      <w:r>
        <w:rPr>
          <w:rFonts w:ascii="Times New Roman" w:eastAsia="Times New Roman" w:hAnsi="Times New Roman" w:cs="Times New Roman"/>
          <w:color w:val="0D0D0D"/>
          <w:sz w:val="24"/>
          <w:szCs w:val="24"/>
          <w:highlight w:val="white"/>
        </w:rPr>
        <w:lastRenderedPageBreak/>
        <w:t>emerge solely from the interplay of deterministic physical and chemical processes, devoid of any intrinsic purpose or direction.</w:t>
      </w:r>
      <w:r>
        <w:rPr>
          <w:rFonts w:ascii="Times New Roman" w:eastAsia="Times New Roman" w:hAnsi="Times New Roman" w:cs="Times New Roman"/>
          <w:color w:val="0D0D0D"/>
          <w:sz w:val="24"/>
          <w:szCs w:val="24"/>
          <w:highlight w:val="white"/>
          <w:vertAlign w:val="superscript"/>
        </w:rPr>
        <w:footnoteReference w:id="30"/>
      </w:r>
    </w:p>
    <w:p w14:paraId="00000051"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ab/>
        <w:t>The emergence of complex, intelligent life engenders philosophical inquiries into the nature of consciousness and self-awareness. The evolution of cognitive faculties, compounding throughout time to allow for radical levels of experience, raises profound questions about the origins and significance of subjective experience. Philosophical debates surrounding the mind-body problem, consciousness, and the nature of reality intersect with scientific inquiries into brain function and behavior, offering fertile ground for interdisciplinary dialogue. At the heart of these inquiries lies the enigmatic nature of consciousness itself. How does subjective experience arise from the physical processes of the brain? This question, central to the mind-body problem, has long captivated philosophers and scientists alike. While some advocate for a reductionist perspective, positing that consciousness can be fully explained by neural activity and biochemical interactions within the brain,</w:t>
      </w:r>
      <w:r>
        <w:rPr>
          <w:rFonts w:ascii="Times New Roman" w:eastAsia="Times New Roman" w:hAnsi="Times New Roman" w:cs="Times New Roman"/>
          <w:color w:val="0D0D0D"/>
          <w:sz w:val="24"/>
          <w:szCs w:val="24"/>
          <w:highlight w:val="white"/>
          <w:vertAlign w:val="superscript"/>
        </w:rPr>
        <w:footnoteReference w:id="31"/>
      </w:r>
      <w:r>
        <w:rPr>
          <w:rFonts w:ascii="Times New Roman" w:eastAsia="Times New Roman" w:hAnsi="Times New Roman" w:cs="Times New Roman"/>
          <w:color w:val="0D0D0D"/>
          <w:sz w:val="24"/>
          <w:szCs w:val="24"/>
          <w:highlight w:val="white"/>
        </w:rPr>
        <w:t xml:space="preserve"> others argue for a dualistic view, suggesting the existence of a separate realm of consciousness distinct from physical matter—property dualists claim that while everything in the universe is fundamentally physical, mental phenomena such as consciousness cannot be fully explained by physical processes alone.</w:t>
      </w:r>
      <w:r>
        <w:rPr>
          <w:rFonts w:ascii="Times New Roman" w:eastAsia="Times New Roman" w:hAnsi="Times New Roman" w:cs="Times New Roman"/>
          <w:color w:val="0D0D0D"/>
          <w:sz w:val="24"/>
          <w:szCs w:val="24"/>
          <w:highlight w:val="white"/>
          <w:vertAlign w:val="superscript"/>
        </w:rPr>
        <w:footnoteReference w:id="32"/>
      </w:r>
    </w:p>
    <w:p w14:paraId="00000052"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ab/>
        <w:t xml:space="preserve">The exploration of consciousness extends beyond its mere existence to encompass its various dimensions and manifestations. From basic sensory perceptions to complex emotions and abstract thoughts, consciousness encompasses a vast spectrum of experiences that defy easy explanation. Philosophers grapple with the nature of qualia—the subjective qualities of </w:t>
      </w:r>
      <w:r>
        <w:rPr>
          <w:rFonts w:ascii="Times New Roman" w:eastAsia="Times New Roman" w:hAnsi="Times New Roman" w:cs="Times New Roman"/>
          <w:color w:val="0D0D0D"/>
          <w:sz w:val="24"/>
          <w:szCs w:val="24"/>
          <w:highlight w:val="white"/>
        </w:rPr>
        <w:lastRenderedPageBreak/>
        <w:t>experience—and seek to elucidate how the brain generates and integrates these diverse phenomena into a coherent sense of self.</w:t>
      </w:r>
      <w:r>
        <w:rPr>
          <w:rFonts w:ascii="Times New Roman" w:eastAsia="Times New Roman" w:hAnsi="Times New Roman" w:cs="Times New Roman"/>
          <w:color w:val="0D0D0D"/>
          <w:sz w:val="24"/>
          <w:szCs w:val="24"/>
          <w:highlight w:val="white"/>
          <w:vertAlign w:val="superscript"/>
        </w:rPr>
        <w:footnoteReference w:id="33"/>
      </w:r>
      <w:r>
        <w:rPr>
          <w:rFonts w:ascii="Times New Roman" w:eastAsia="Times New Roman" w:hAnsi="Times New Roman" w:cs="Times New Roman"/>
          <w:color w:val="0D0D0D"/>
          <w:sz w:val="24"/>
          <w:szCs w:val="24"/>
          <w:highlight w:val="white"/>
        </w:rPr>
        <w:t xml:space="preserve"> Scientific research into the neural correlates of consciousness provides empirical insights into the workings of the brain-mind relationship. Advances in neuroscience have uncovered neural circuits and brain regions implicated in various aspects of consciousness, shedding light on the neural mechanisms underlying perception, cognition, and self-awareness. However, the precise nature of the relationship between brain activity and subjective experience remains a subject of ongoing investigation and debate.</w:t>
      </w:r>
    </w:p>
    <w:p w14:paraId="00000053"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ab/>
        <w:t>Philosophical reflections on consciousness intersect with broader ontological and epistemological questions about the nature of reality and our place within it. Does consciousness represent a fundamental aspect of the universe, or is it merely an emergent property of complex neural networks? How do our perceptions shape our understanding of reality, and to what extent can we trust the validity of our subjective experiences? Can we ever know what fundamental reality is or if it even exists outside the mind? Ultimately, the exploration of consciousness bridges the realms of philosophy and science, inviting interdisciplinary collaboration and dialogue. By integrating insights from philosophy, neuroscience, psychology, physics, and other disciplines, researchers strive to unravel the mysteries of consciousness and illuminate the significance of its existence for our understanding of who we are and what we are approaching.</w:t>
      </w:r>
    </w:p>
    <w:p w14:paraId="00000054"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 xml:space="preserve">As we dive deeper into the study of evolution and its philosophical implications, we confront fundamental questions about our place in the cosmos and the meaning of our existence. By elucidating the natural laws that govern our surrounding environment and our intricate relationship with the broader ecosystem, we gain insights into our role as stewards of the planet and participants in the ongoing narrative of life on Earth. This integration of scientific inquiry </w:t>
      </w:r>
      <w:r>
        <w:rPr>
          <w:rFonts w:ascii="Times New Roman" w:eastAsia="Times New Roman" w:hAnsi="Times New Roman" w:cs="Times New Roman"/>
          <w:color w:val="0D0D0D"/>
          <w:sz w:val="24"/>
          <w:szCs w:val="24"/>
          <w:highlight w:val="white"/>
        </w:rPr>
        <w:lastRenderedPageBreak/>
        <w:t xml:space="preserve">and philosophical reflection enriches our understanding of the human condition and highlights the interconnectedness of all living beings within the intricate web of existence. </w:t>
      </w:r>
      <w:r>
        <w:rPr>
          <w:rFonts w:ascii="Times New Roman" w:eastAsia="Times New Roman" w:hAnsi="Times New Roman" w:cs="Times New Roman"/>
          <w:sz w:val="24"/>
          <w:szCs w:val="24"/>
        </w:rPr>
        <w:t xml:space="preserve">Only by breaking free from the compulsory adherence to conventional paradigms and embracing our ignorance as a species may we gain a deeper understanding of the world around us and our place within it. </w:t>
      </w:r>
    </w:p>
    <w:p w14:paraId="00000055" w14:textId="77777777" w:rsidR="00634184" w:rsidRDefault="00000000">
      <w:pPr>
        <w:numPr>
          <w:ilvl w:val="0"/>
          <w:numId w:val="6"/>
        </w:num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Industrial Revolution and its Consequences </w:t>
      </w:r>
    </w:p>
    <w:p w14:paraId="00000056"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The Industrial Revolution refers to</w:t>
      </w:r>
      <w:r>
        <w:rPr>
          <w:rFonts w:ascii="Times New Roman" w:eastAsia="Times New Roman" w:hAnsi="Times New Roman" w:cs="Times New Roman"/>
          <w:color w:val="0D0D0D"/>
          <w:sz w:val="24"/>
          <w:szCs w:val="24"/>
          <w:highlight w:val="white"/>
        </w:rPr>
        <w:t xml:space="preserve"> the drastic socio economic and technological transformation characterized by the widespread adoption of mechanized production methods, urbanization, and the shift from agrarian to industrial economies. This period is sometimes divided into the First Industrial Revolution (late 18th century to mid-19th century) and the Second Industrial Revolution (late 19th century to early 20th century). The Information Age is considered the Third Industrial Revolution, which was the shift from traditional forms of industry to digital technology that occurred from the mid-20th century to the early 21st century. We are at the beginning stages of Industry 4.0: Cyber physical systems. This phase marks a dramatic and relatively sudden shift in how industries, economies, and societies operate on a global scale. The fusion of physical, digital, and biological technologies has erased the distinct lines between these spheres of innovation.</w:t>
      </w:r>
      <w:r>
        <w:rPr>
          <w:rFonts w:ascii="Times New Roman" w:eastAsia="Times New Roman" w:hAnsi="Times New Roman" w:cs="Times New Roman"/>
          <w:color w:val="0D0D0D"/>
          <w:sz w:val="24"/>
          <w:szCs w:val="24"/>
          <w:highlight w:val="white"/>
          <w:vertAlign w:val="superscript"/>
        </w:rPr>
        <w:footnoteReference w:id="34"/>
      </w:r>
      <w:r>
        <w:rPr>
          <w:rFonts w:ascii="Times New Roman" w:eastAsia="Times New Roman" w:hAnsi="Times New Roman" w:cs="Times New Roman"/>
          <w:color w:val="0D0D0D"/>
          <w:sz w:val="24"/>
          <w:szCs w:val="24"/>
          <w:highlight w:val="white"/>
        </w:rPr>
        <w:t xml:space="preserve"> </w:t>
      </w:r>
    </w:p>
    <w:p w14:paraId="00000057"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ab/>
        <w:t xml:space="preserve">The First and Second Industrial Revolutions laid the groundwork for many of the technological, economic, and social structures that shape our world today. The widespread adoption of steam power, the development of the factory system, and the rise of mass production during the First Industrial Revolution set the stage for the rapid industrialization that followed. The Second Industrial Revolution consisted of widespread electricity, the internal combustion </w:t>
      </w:r>
      <w:r>
        <w:rPr>
          <w:rFonts w:ascii="Times New Roman" w:eastAsia="Times New Roman" w:hAnsi="Times New Roman" w:cs="Times New Roman"/>
          <w:color w:val="0D0D0D"/>
          <w:sz w:val="24"/>
          <w:szCs w:val="24"/>
          <w:highlight w:val="white"/>
        </w:rPr>
        <w:lastRenderedPageBreak/>
        <w:t xml:space="preserve">engine, and the development of new materials such as steel and chemicals. This period saw the growth of new industries, such as the automotive and electrical industries, the expansion of global trade and communication networks, and the emergence of new social classes. The factory system and mass production methods that were developed during this time still form the basis of many modern manufacturing processes. The urbanization that occurred </w:t>
      </w:r>
      <w:proofErr w:type="gramStart"/>
      <w:r>
        <w:rPr>
          <w:rFonts w:ascii="Times New Roman" w:eastAsia="Times New Roman" w:hAnsi="Times New Roman" w:cs="Times New Roman"/>
          <w:color w:val="0D0D0D"/>
          <w:sz w:val="24"/>
          <w:szCs w:val="24"/>
          <w:highlight w:val="white"/>
        </w:rPr>
        <w:t>as a result of</w:t>
      </w:r>
      <w:proofErr w:type="gramEnd"/>
      <w:r>
        <w:rPr>
          <w:rFonts w:ascii="Times New Roman" w:eastAsia="Times New Roman" w:hAnsi="Times New Roman" w:cs="Times New Roman"/>
          <w:color w:val="0D0D0D"/>
          <w:sz w:val="24"/>
          <w:szCs w:val="24"/>
          <w:highlight w:val="white"/>
        </w:rPr>
        <w:t xml:space="preserve"> industrialization has changed the way we live and work, with the majority of the world's population now living in cities.</w:t>
      </w:r>
      <w:r>
        <w:rPr>
          <w:rFonts w:ascii="Times New Roman" w:eastAsia="Times New Roman" w:hAnsi="Times New Roman" w:cs="Times New Roman"/>
          <w:color w:val="0D0D0D"/>
          <w:sz w:val="24"/>
          <w:szCs w:val="24"/>
          <w:highlight w:val="white"/>
          <w:vertAlign w:val="superscript"/>
        </w:rPr>
        <w:footnoteReference w:id="35"/>
      </w:r>
      <w:r>
        <w:rPr>
          <w:rFonts w:ascii="Times New Roman" w:eastAsia="Times New Roman" w:hAnsi="Times New Roman" w:cs="Times New Roman"/>
          <w:color w:val="0D0D0D"/>
          <w:sz w:val="24"/>
          <w:szCs w:val="24"/>
          <w:highlight w:val="white"/>
        </w:rPr>
        <w:t xml:space="preserve"> The impacts of these revolutions are still felt today in many aspects of our lives.</w:t>
      </w:r>
    </w:p>
    <w:p w14:paraId="00000058"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Despite the negatives, the innovations and technological advancements of the Industrial Revolution have had many positive impacts on our lives. The development of new transportation and communication technologies has made it easier for people to connect and collaborate across vast distances. The rise of mass production has made many goods and services more affordable and accessible to a wider range of people. The Fourth Industrial Revolution is being built upon the foundations laid by the First and Second Industrial Revolutions. The multifaceted fusion of previously distinct technological domains is creating new possibilities for innovation and growth, but also raising new challenges and concerns. As we navigate this new era, it is important to learn from the lessons of the past and to strive for a future that is more equitable, sustainable, and resilient. By understanding the impacts of the Industrial Revolution and the ways in which it has shaped our world, we can work to create a better future for everyone (not just the elite). </w:t>
      </w:r>
    </w:p>
    <w:p w14:paraId="00000059" w14:textId="77777777" w:rsidR="00634184" w:rsidRDefault="00000000">
      <w:pPr>
        <w:numPr>
          <w:ilvl w:val="0"/>
          <w:numId w:val="3"/>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Environment</w:t>
      </w:r>
    </w:p>
    <w:p w14:paraId="0000005A"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most significant environmental consequences of the Industrial Revolution has been the rise of pollution. The widespread adoption of coal-powered factories and the growth of </w:t>
      </w:r>
      <w:r>
        <w:rPr>
          <w:rFonts w:ascii="Times New Roman" w:eastAsia="Times New Roman" w:hAnsi="Times New Roman" w:cs="Times New Roman"/>
          <w:sz w:val="24"/>
          <w:szCs w:val="24"/>
        </w:rPr>
        <w:lastRenderedPageBreak/>
        <w:t>cities led to a dramatic increase in air pollution, with smog and soot becoming common features of urban life. The development of new chemical industries also led to the release of toxic substances into the air, water, and soil, with devastating consequences for human health and the natural world. By prioritizing economic growth and technological progress over the health of the environment, the Industrial Revolution represented a fundamental shift in the relationship between humanity and nature. Instead of seeing ourselves as part of the natural world and the world as an inseparable part of us, we began to view nature as a resource to be exploited for our own benefit. This anthropocentric worldview has had far-reaching consequences, leading to the degradation of ecosystems, the loss of biodiversity, and the destabilization of the global climate.</w:t>
      </w:r>
    </w:p>
    <w:p w14:paraId="0000005B"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scale and scope of the environmental impact of the Industrial Revolution has led some scientists to propose that we have entered a new geological epoch, known as the Anthropocene. This term refers to the idea that human activity has become the dominant force shaping the Earth's systems, from the composition of the atmosphere to the distribution of species.</w:t>
      </w:r>
      <w:r>
        <w:rPr>
          <w:rFonts w:ascii="Times New Roman" w:eastAsia="Times New Roman" w:hAnsi="Times New Roman" w:cs="Times New Roman"/>
          <w:sz w:val="24"/>
          <w:szCs w:val="24"/>
          <w:vertAlign w:val="superscript"/>
        </w:rPr>
        <w:footnoteReference w:id="36"/>
      </w:r>
      <w:r>
        <w:rPr>
          <w:rFonts w:ascii="Times New Roman" w:eastAsia="Times New Roman" w:hAnsi="Times New Roman" w:cs="Times New Roman"/>
          <w:sz w:val="24"/>
          <w:szCs w:val="24"/>
        </w:rPr>
        <w:t xml:space="preserve"> A study published in the journal Science in 2015 estimated that between 4.8 and 12.7 million metric tons of plastic waste entered the oceans from land-based sources in 2010 alone.</w:t>
      </w:r>
      <w:r>
        <w:rPr>
          <w:rFonts w:ascii="Times New Roman" w:eastAsia="Times New Roman" w:hAnsi="Times New Roman" w:cs="Times New Roman"/>
          <w:sz w:val="24"/>
          <w:szCs w:val="24"/>
          <w:vertAlign w:val="superscript"/>
        </w:rPr>
        <w:footnoteReference w:id="37"/>
      </w:r>
      <w:r>
        <w:rPr>
          <w:rFonts w:ascii="Times New Roman" w:eastAsia="Times New Roman" w:hAnsi="Times New Roman" w:cs="Times New Roman"/>
          <w:sz w:val="24"/>
          <w:szCs w:val="24"/>
        </w:rPr>
        <w:t xml:space="preserve"> Perhaps the most urgent environmental challenge facing us today is climate change, which is largely a product of the Industrial Revolution and the fossil fuel-based economy it created. The burning of coal, oil, and gas has released vast amounts of carbon dioxide and other greenhouse gasses into the atmosphere, leading to rising global temperatures, melting ice caps, and more frequent and severe weather events.</w:t>
      </w:r>
    </w:p>
    <w:p w14:paraId="0000005C"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To address these environmental challenges, it is crucial that we transition to cleaner sources of energy. Renewable energy sources, such as solar, wind, and hydropower, offer a sustainable alternative to fossil fuels. </w:t>
      </w:r>
      <w:r>
        <w:rPr>
          <w:rFonts w:ascii="Times New Roman" w:eastAsia="Times New Roman" w:hAnsi="Times New Roman" w:cs="Times New Roman"/>
          <w:color w:val="0D0D0D"/>
          <w:sz w:val="24"/>
          <w:szCs w:val="24"/>
          <w:highlight w:val="white"/>
        </w:rPr>
        <w:t xml:space="preserve">Nuclear power, despite its controversial nature, is a low-carbon energy source that can provide baseload power without emitting greenhouse gasses. While nuclear energy does come with its own set of challenges, such as nuclear waste management and potential safety risks, technological advancements, and stringent regulatory oversight can mitigate these concerns. As the global demand for energy continues to rise, one of the driving factors behind the transition to renewable energy is the recognition of the finite nature of fossil fuels. The environmental and social costs associated with fossil fuel extraction, such as habitat destruction, water contamination, and indigenous land rights violations, emphasizes the unsustainability of our current energy practices. </w:t>
      </w:r>
      <w:r>
        <w:rPr>
          <w:rFonts w:ascii="Times New Roman" w:eastAsia="Times New Roman" w:hAnsi="Times New Roman" w:cs="Times New Roman"/>
          <w:sz w:val="24"/>
          <w:szCs w:val="24"/>
        </w:rPr>
        <w:t>This transition will require significant political will and economic investment, but the costs of inaction are far greater.</w:t>
      </w:r>
    </w:p>
    <w:p w14:paraId="0000005D"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responsibility for addressing this catastrophic situation lies with the corporate leaders of the companies that have significantly contributed to its creation and the government leaders that have been complicit in such. Humanity must acknowledge our responsibility to radically change the way we interact with both technology and the natural world. Change related to better consumer habits and more sustainable practices must happen on the individual scale. We must understand, accept, and advocate for the inseparable connection between our own well-being and the vitality of Earth's ecosystems. If human activity is now the primary driver of environmental change, what does this mean for our understanding of our place in the natural world? We are confronting serious questions about our obligations to future generations and the non-human world. By prioritizing short-term economic gain over long-term ecological sustainability, we have set in motion a series of environmental crises that threaten the </w:t>
      </w:r>
      <w:r>
        <w:rPr>
          <w:rFonts w:ascii="Times New Roman" w:eastAsia="Times New Roman" w:hAnsi="Times New Roman" w:cs="Times New Roman"/>
          <w:sz w:val="24"/>
          <w:szCs w:val="24"/>
        </w:rPr>
        <w:lastRenderedPageBreak/>
        <w:t>future of human civilization. Moving forward we must find ways to reconcile our technological power with our responsibility to protect a priceless planet that needs saving.</w:t>
      </w:r>
    </w:p>
    <w:p w14:paraId="0000005E" w14:textId="77777777" w:rsidR="00634184" w:rsidRDefault="00000000">
      <w:pPr>
        <w:numPr>
          <w:ilvl w:val="0"/>
          <w:numId w:val="3"/>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Society</w:t>
      </w:r>
    </w:p>
    <w:p w14:paraId="0000005F" w14:textId="77777777" w:rsidR="0063418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Capitalism has been praised for promoting innovation, efficiency, and economic growth, and for providing opportunities for individual achievement and social mobility. It has also been criticized for exacerbating social inequalities, exploiting workers, and prioritizing profit over human well-being and environmental sustainability. The development of new technologies and production methods enabled the creation of vast wealth and the concentration of economic power in the hands of few. This has resulted in the emergence of a new class of ultra-wealthy individuals: billionaires. By harnessing the power of machines and fossil fuels, humanity has been able to transform the natural world and create new forms of wealth and prosperity. However, this has come at a cost, both to the environment and to social cohesion and well-being.</w:t>
      </w:r>
    </w:p>
    <w:p w14:paraId="00000060" w14:textId="77777777" w:rsidR="0063418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According to the Credit Suisse Global Wealth Report 2021, the world's billionaires own 3.5% of global wealth, despite representing just 0.0036% of the adult population. In contrast, the bottom 50% of the global adult population owns just 2.5% of global wealth.</w:t>
      </w:r>
      <w:r>
        <w:rPr>
          <w:rFonts w:ascii="Times New Roman" w:eastAsia="Times New Roman" w:hAnsi="Times New Roman" w:cs="Times New Roman"/>
          <w:sz w:val="24"/>
          <w:szCs w:val="24"/>
          <w:vertAlign w:val="superscript"/>
        </w:rPr>
        <w:footnoteReference w:id="38"/>
      </w:r>
      <w:r>
        <w:rPr>
          <w:rFonts w:ascii="Times New Roman" w:eastAsia="Times New Roman" w:hAnsi="Times New Roman" w:cs="Times New Roman"/>
          <w:sz w:val="24"/>
          <w:szCs w:val="24"/>
        </w:rPr>
        <w:t xml:space="preserve"> This means that the world's billionaires own 1.4 times more wealth than half of the entire adult population combined. The extreme concentration of wealth that exists has a significant impact on society. While some argue that billionaires drive innovation and economic growth, others contend that such stark wealth disparities undermine social cohesion, democracy, and economic stability. The political influence wielded by billionaires can shape public policies in ways that benefit the </w:t>
      </w:r>
      <w:r>
        <w:rPr>
          <w:rFonts w:ascii="Times New Roman" w:eastAsia="Times New Roman" w:hAnsi="Times New Roman" w:cs="Times New Roman"/>
          <w:sz w:val="24"/>
          <w:szCs w:val="24"/>
        </w:rPr>
        <w:lastRenderedPageBreak/>
        <w:t>wealthy at the expense of the broader public good, leading to a sense of powerlessness and disillusionment among ordinary citizens.</w:t>
      </w:r>
    </w:p>
    <w:p w14:paraId="00000061" w14:textId="77777777" w:rsidR="0063418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extreme wealth inequality highlighted by the rise of billionaires has drawn attention from philosophers and ethicists who question the moral implications of such disparities. One notable perspective comes from philosopher Peter Singer, who, in his 1972 paper "Famine, Affluence, and Morality," argues that the affluent have a moral obligation to help those in poverty.</w:t>
      </w:r>
      <w:r>
        <w:rPr>
          <w:rFonts w:ascii="Times New Roman" w:eastAsia="Times New Roman" w:hAnsi="Times New Roman" w:cs="Times New Roman"/>
          <w:sz w:val="24"/>
          <w:szCs w:val="24"/>
          <w:vertAlign w:val="superscript"/>
        </w:rPr>
        <w:footnoteReference w:id="39"/>
      </w:r>
      <w:r>
        <w:rPr>
          <w:rFonts w:ascii="Times New Roman" w:eastAsia="Times New Roman" w:hAnsi="Times New Roman" w:cs="Times New Roman"/>
          <w:sz w:val="24"/>
          <w:szCs w:val="24"/>
        </w:rPr>
        <w:t xml:space="preserve"> Singer's argument is based on the premise that suffering and death from lack of food, shelter, and medical care are bad, and that if it is in our power to prevent something bad from happening without sacrificing anything of comparable moral importance, we ought to do it. He contends that the way people in affluent countries live is morally indefensible, given the existence of extreme poverty and suffering in other parts of the world. The fact that billionaires can exist alongside extreme poverty is, from this perspective, an indication of a profound moral failing.</w:t>
      </w:r>
    </w:p>
    <w:p w14:paraId="00000062"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main arguments against Singer's position in "Famine, Affluence, and Morality" is that it places too high a moral burden on individuals and does not sufficiently consider the role of systemic factors in perpetuating poverty and suffering. Critics argue that while individuals certainly have some moral obligation to help others, the primary responsibility for addressing global poverty and inequality lies with governments, institutions, and collective action. They contend that focusing too heavily on individual moral duties can lead to a sense of helplessness or paralysis in the face of such vast and complex problems. Despite these criticisms, many ethicists and philosophers have been influenced by Singer's arguments and have sought to build upon and refine his ideas. While few would go as far as Singer in terms of the moral </w:t>
      </w:r>
      <w:r>
        <w:rPr>
          <w:rFonts w:ascii="Times New Roman" w:eastAsia="Times New Roman" w:hAnsi="Times New Roman" w:cs="Times New Roman"/>
          <w:sz w:val="24"/>
          <w:szCs w:val="24"/>
        </w:rPr>
        <w:lastRenderedPageBreak/>
        <w:t xml:space="preserve">demands placed on individuals, there is a growing recognition among ethicists that global poverty and inequality are pressing moral issues that require serious attention and action. Regardless of his argument’s legitimacy, Singer’s controversial paper has successfully drawn attention to the moral dimensions of poverty and inequality which in turn sparked a broader conversation about our obligations to others.  </w:t>
      </w:r>
    </w:p>
    <w:p w14:paraId="00000063"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significant social consequence of the Industrial Revolution has been the increasing use of robots and automation in the workplace. From the early days of the factory system to the present day, machines have been used to perform tasks once accomplished via human labor in more efficient and productive manners. The possibilities of robots and automation are far-reaching. They have the potential to free humans from dangerous, repetitive, and unfulfilling work, and to create new opportunities for creativity, innovation, and leisure. This also raises questions about the nature of work (could automation lead to the end of the 9-5?), the distribution of wealth and power, and the role of humans in an increasingly automated world. As machines become more sophisticated and autonomous, they are increasingly able to perform tasks that were once the exclusive domain of humans. The nature of intelligence, consciousness, and identity, and the future of the human species will be central topics in a world where humans idly wait for machines to eventually surpass us in every way.</w:t>
      </w:r>
    </w:p>
    <w:p w14:paraId="00000064"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Andrew Yang, a proponent of Universal Basic Income (UBI), has often discussed the idea of funding UBI through a mechanism known as the "Freedom Dividend." He argues that as automation and artificial intelligence replace human workers in various industries, resulting in job displacement, a tax on the companies benefiting from this automation could generate revenue to fund UBI.</w:t>
      </w:r>
      <w:r>
        <w:rPr>
          <w:rFonts w:ascii="Times New Roman" w:eastAsia="Times New Roman" w:hAnsi="Times New Roman" w:cs="Times New Roman"/>
          <w:color w:val="0D0D0D"/>
          <w:sz w:val="24"/>
          <w:szCs w:val="24"/>
          <w:highlight w:val="white"/>
          <w:vertAlign w:val="superscript"/>
        </w:rPr>
        <w:footnoteReference w:id="40"/>
      </w:r>
      <w:r>
        <w:rPr>
          <w:rFonts w:ascii="Times New Roman" w:eastAsia="Times New Roman" w:hAnsi="Times New Roman" w:cs="Times New Roman"/>
          <w:color w:val="0D0D0D"/>
          <w:sz w:val="24"/>
          <w:szCs w:val="24"/>
          <w:highlight w:val="white"/>
        </w:rPr>
        <w:t xml:space="preserve"> Yang has framed this concept </w:t>
      </w:r>
      <w:proofErr w:type="gramStart"/>
      <w:r>
        <w:rPr>
          <w:rFonts w:ascii="Times New Roman" w:eastAsia="Times New Roman" w:hAnsi="Times New Roman" w:cs="Times New Roman"/>
          <w:color w:val="0D0D0D"/>
          <w:sz w:val="24"/>
          <w:szCs w:val="24"/>
          <w:highlight w:val="white"/>
        </w:rPr>
        <w:t>as a way to</w:t>
      </w:r>
      <w:proofErr w:type="gramEnd"/>
      <w:r>
        <w:rPr>
          <w:rFonts w:ascii="Times New Roman" w:eastAsia="Times New Roman" w:hAnsi="Times New Roman" w:cs="Times New Roman"/>
          <w:color w:val="0D0D0D"/>
          <w:sz w:val="24"/>
          <w:szCs w:val="24"/>
          <w:highlight w:val="white"/>
        </w:rPr>
        <w:t xml:space="preserve"> ensure that the gains from technological </w:t>
      </w:r>
      <w:r>
        <w:rPr>
          <w:rFonts w:ascii="Times New Roman" w:eastAsia="Times New Roman" w:hAnsi="Times New Roman" w:cs="Times New Roman"/>
          <w:color w:val="0D0D0D"/>
          <w:sz w:val="24"/>
          <w:szCs w:val="24"/>
          <w:highlight w:val="white"/>
        </w:rPr>
        <w:lastRenderedPageBreak/>
        <w:t xml:space="preserve">advancements, particularly those driven by automation, are shared more broadly across society. He suggests that companies that benefit from increased productivity through automation could contribute to a fund that provides financial support to all citizens, helping to mitigate the economic impact of job loss and technological disruption. However, implementing such a system would require a fundamental rethinking of our economic structure, and would likely face significant political and practical challenges. Corporations may give significant push-back if this were to become an imminent possibility, but these entities, along with the government, must be prepared to take on the responsibility of moderating the societal unrest that would likely result from a large-scale switch to automation. </w:t>
      </w:r>
    </w:p>
    <w:p w14:paraId="00000065" w14:textId="77777777" w:rsidR="00634184" w:rsidRDefault="00000000">
      <w:pPr>
        <w:numPr>
          <w:ilvl w:val="0"/>
          <w:numId w:val="3"/>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Psychology</w:t>
      </w:r>
    </w:p>
    <w:p w14:paraId="00000066"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swift changes in our world, the growing intricacy of our social fabric, and the demands of contemporary existence have all played a part in the increasing prevalence of stress, anxiety, and depression. Moving away from nature and the support traditionally provided by social networks has also negatively affected mental well-being. Businesses often make employees feel like interchangeable parts, generally devaluing human creativity, individuality, and autonomy. As we've grown more dependent on technology and man-made environments, we've become more detached from nature and our inner selves. This has created feelings of alienation that have exacerbated mental health issues. The growth of consumerism and materialism following the Industrial Revolution has also taken a psychological toll on people, causing an insatiable appetite for more. The shift from traditional ways of life centered around community, spirituality, and harmony with nature to an industrialized, urbanized existence focused on acquisition and consumption has greatly impacted the human psyche.</w:t>
      </w:r>
    </w:p>
    <w:p w14:paraId="00000067"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the modern era, developed countries have achieved unprecedented levels of material wealth and comfort, with the average citizen enjoying luxuries that would have been unimaginable to even the most powerful monarchs of the past. Yet, despite this abundance of resources and technological pastimes, mental health seems to be on a steady decline. This paradox raises profound questions about the nature of happiness and the true sources of human fulfillment. When we look at the poor in undeveloped countries, it becomes clear that monetary wealth alone has little bearing on contentment when there are close ties to community and family. It’s not hard to see that the homeless that wander the streets of Portland high on drugs and missing limbs are living a lower quality of life than people in countries where there is significantly less accessibility to our standards of education and healthcare. This suggests that the root of our discontent lies not in material scarcity, but in a deeper spiritual or emotional void. We must ask ourselves whether we prioritize physical comfort and pleasure over personal satisfaction, and whether the pursuit of material gain has come at the cost of our inner peace.</w:t>
      </w:r>
    </w:p>
    <w:p w14:paraId="00000068"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Perhaps the answer lies in the fact that, as we have surrounded ourselves with ever-greater technical marvels and creature comforts, we have become increasingly disconnected from the simple joys and meaningful relationships that once sustained our ancestors. In our quest for progress and prosperity, we may have lost sight of the essential human needs for community, purpose, and a sense of connection to something greater than ourselves. Those that have been chewed up and spit out by this country’s abysmal foster care system and/or suffer from mental health issues have replaced this deep need for belonging with the solace of hard drugs.</w:t>
      </w:r>
      <w:r>
        <w:rPr>
          <w:rFonts w:ascii="Times New Roman" w:eastAsia="Times New Roman" w:hAnsi="Times New Roman" w:cs="Times New Roman"/>
          <w:sz w:val="24"/>
          <w:szCs w:val="24"/>
          <w:vertAlign w:val="superscript"/>
        </w:rPr>
        <w:footnoteReference w:id="41"/>
      </w:r>
      <w:r>
        <w:rPr>
          <w:rFonts w:ascii="Times New Roman" w:eastAsia="Times New Roman" w:hAnsi="Times New Roman" w:cs="Times New Roman"/>
          <w:sz w:val="24"/>
          <w:szCs w:val="24"/>
        </w:rPr>
        <w:t xml:space="preserve"> Ultimately, the question of whether we are truly better off than our forebears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a matter of </w:t>
      </w:r>
      <w:r>
        <w:rPr>
          <w:rFonts w:ascii="Times New Roman" w:eastAsia="Times New Roman" w:hAnsi="Times New Roman" w:cs="Times New Roman"/>
          <w:sz w:val="24"/>
          <w:szCs w:val="24"/>
        </w:rPr>
        <w:lastRenderedPageBreak/>
        <w:t xml:space="preserve">individual values and priorities. Some may find fulfillment in the modern world's comforts and conveniences, while others may yearn for a simpler way of life more attuned to our spiritual and emotional needs. When grappling with the mental health crisis of our time, </w:t>
      </w:r>
      <w:proofErr w:type="gramStart"/>
      <w:r>
        <w:rPr>
          <w:rFonts w:ascii="Times New Roman" w:eastAsia="Times New Roman" w:hAnsi="Times New Roman" w:cs="Times New Roman"/>
          <w:sz w:val="24"/>
          <w:szCs w:val="24"/>
        </w:rPr>
        <w:t>it is clear that we</w:t>
      </w:r>
      <w:proofErr w:type="gramEnd"/>
      <w:r>
        <w:rPr>
          <w:rFonts w:ascii="Times New Roman" w:eastAsia="Times New Roman" w:hAnsi="Times New Roman" w:cs="Times New Roman"/>
          <w:sz w:val="24"/>
          <w:szCs w:val="24"/>
        </w:rPr>
        <w:t xml:space="preserve"> must look beyond material wealth and seek a more holistic understanding of what it means to live a good and happy life. </w:t>
      </w:r>
    </w:p>
    <w:p w14:paraId="00000069"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rise of mass production and consumerism during the Industrial Revolution gave birth to modern advertising. As companies sought to sell their products to a growing middle class, they began to develop sophisticated marketing techniques designed to influence consumer behavior and create demand for their goods. From a psychological perspective, advertising can be seen as a powerful tool for shaping human desires, beliefs, and behavior. By appealing to our emotions, our sense of identity, and our social aspirations, advertising can create artificial needs and wants, leading to a sense of dissatisfaction and a constant desire for more. The impact of advertising on human psychology has been a subject of much debate and criticism. Some argue that advertising is a form of manipulation that exploits our psychological vulnerabilities and undermines our autonomy as individuals, often negatively affecting those of lower economic status the most; the song “All Falls Down” by Kanye West offers noteworthy commentary on this issue in the black community.</w:t>
      </w:r>
      <w:r>
        <w:rPr>
          <w:rFonts w:ascii="Times New Roman" w:eastAsia="Times New Roman" w:hAnsi="Times New Roman" w:cs="Times New Roman"/>
          <w:sz w:val="24"/>
          <w:szCs w:val="24"/>
          <w:vertAlign w:val="superscript"/>
        </w:rPr>
        <w:footnoteReference w:id="42"/>
      </w:r>
      <w:r>
        <w:rPr>
          <w:rFonts w:ascii="Times New Roman" w:eastAsia="Times New Roman" w:hAnsi="Times New Roman" w:cs="Times New Roman"/>
          <w:sz w:val="24"/>
          <w:szCs w:val="24"/>
        </w:rPr>
        <w:t xml:space="preserve"> Others may see this aspect of marketing as a necessary tool for informing consumers and driving economic growth.</w:t>
      </w:r>
    </w:p>
    <w:p w14:paraId="0000006A"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rPr>
        <w:t xml:space="preserve">Modern advertising can be seen as a reflection of the commodification of human experience. By reducing human needs and desires to a set of marketable products and services, advertising has contributed to a disconnection from our authentic selves. Advertising has also played a role in shaping modern culture and identity. </w:t>
      </w:r>
      <w:r>
        <w:rPr>
          <w:rFonts w:ascii="Times New Roman" w:eastAsia="Times New Roman" w:hAnsi="Times New Roman" w:cs="Times New Roman"/>
          <w:color w:val="0D0D0D"/>
          <w:sz w:val="24"/>
          <w:szCs w:val="24"/>
          <w:highlight w:val="white"/>
        </w:rPr>
        <w:t xml:space="preserve">It normalizes consumerism, presenting it as </w:t>
      </w:r>
      <w:r>
        <w:rPr>
          <w:rFonts w:ascii="Times New Roman" w:eastAsia="Times New Roman" w:hAnsi="Times New Roman" w:cs="Times New Roman"/>
          <w:color w:val="0D0D0D"/>
          <w:sz w:val="24"/>
          <w:szCs w:val="24"/>
          <w:highlight w:val="white"/>
        </w:rPr>
        <w:lastRenderedPageBreak/>
        <w:t xml:space="preserve">the primary path to success and happiness, and creates artificial needs by associating products with feelings of inadequacy or FOMO. Through idealized images and lifestyles, advertising influences self-perception and perpetuates a cycle of consumption, where continuous acquisition becomes the norm. Ultimately, advertising's influence extends beyond mere consumption, affecting how we perceive ourselves, interact with others, and understand the world around us, interfering with both individuals and </w:t>
      </w:r>
      <w:proofErr w:type="gramStart"/>
      <w:r>
        <w:rPr>
          <w:rFonts w:ascii="Times New Roman" w:eastAsia="Times New Roman" w:hAnsi="Times New Roman" w:cs="Times New Roman"/>
          <w:color w:val="0D0D0D"/>
          <w:sz w:val="24"/>
          <w:szCs w:val="24"/>
          <w:highlight w:val="white"/>
        </w:rPr>
        <w:t>society as a whole</w:t>
      </w:r>
      <w:proofErr w:type="gramEnd"/>
      <w:r>
        <w:rPr>
          <w:rFonts w:ascii="Times New Roman" w:eastAsia="Times New Roman" w:hAnsi="Times New Roman" w:cs="Times New Roman"/>
          <w:color w:val="0D0D0D"/>
          <w:sz w:val="24"/>
          <w:szCs w:val="24"/>
          <w:highlight w:val="white"/>
        </w:rPr>
        <w:t xml:space="preserve">. The effects are inescapable for anyone with a radio, television, computer, or smartphone. Today, distinguishing paid promotions from authentic product placements has become increasingly challenging, reminiscent of the blurred lines between reality and fiction depicted in </w:t>
      </w:r>
      <w:r>
        <w:rPr>
          <w:rFonts w:ascii="Times New Roman" w:eastAsia="Times New Roman" w:hAnsi="Times New Roman" w:cs="Times New Roman"/>
          <w:i/>
          <w:color w:val="0D0D0D"/>
          <w:sz w:val="24"/>
          <w:szCs w:val="24"/>
          <w:highlight w:val="white"/>
        </w:rPr>
        <w:t>The Truman Show</w:t>
      </w:r>
      <w:r>
        <w:rPr>
          <w:rFonts w:ascii="Times New Roman" w:eastAsia="Times New Roman" w:hAnsi="Times New Roman" w:cs="Times New Roman"/>
          <w:color w:val="0D0D0D"/>
          <w:sz w:val="24"/>
          <w:szCs w:val="24"/>
          <w:highlight w:val="white"/>
        </w:rPr>
        <w:t>.</w:t>
      </w:r>
      <w:r>
        <w:rPr>
          <w:rFonts w:ascii="Times New Roman" w:eastAsia="Times New Roman" w:hAnsi="Times New Roman" w:cs="Times New Roman"/>
          <w:color w:val="0D0D0D"/>
          <w:sz w:val="24"/>
          <w:szCs w:val="24"/>
          <w:highlight w:val="white"/>
          <w:vertAlign w:val="superscript"/>
        </w:rPr>
        <w:footnoteReference w:id="43"/>
      </w:r>
      <w:r>
        <w:rPr>
          <w:rFonts w:ascii="Times New Roman" w:eastAsia="Times New Roman" w:hAnsi="Times New Roman" w:cs="Times New Roman"/>
          <w:color w:val="0D0D0D"/>
          <w:sz w:val="24"/>
          <w:szCs w:val="24"/>
          <w:highlight w:val="white"/>
        </w:rPr>
        <w:t xml:space="preserve"> </w:t>
      </w:r>
    </w:p>
    <w:p w14:paraId="0000006B" w14:textId="77777777" w:rsidR="00634184" w:rsidRDefault="00000000">
      <w:pPr>
        <w:numPr>
          <w:ilvl w:val="0"/>
          <w:numId w:val="3"/>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Health</w:t>
      </w:r>
    </w:p>
    <w:p w14:paraId="0000006C"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 beginnings of the Agricultural Revolution, human health has consistently gotten worse. The modern human must take deliberate action to avoid cancer, obesity, dental complications, and now the presence of microplastics in our bodies. It appears that health insurance companies, food corporations, pharmaceutical firms, and even government regulatory agencies may be working together, whether intentionally or not, in ways that contribute to the declining health of the population. These entities often prioritize profits and market dominance over the well-being of consumers, leading to a system that perpetuates illness and dependency. A significant portion of the products found in grocery stores consist primarily of corn, seed oils, and sugar—ingredients that are cheap to produce, highly profitable, and detrimental to human health when consumed in excess.</w:t>
      </w:r>
      <w:r>
        <w:rPr>
          <w:rFonts w:ascii="Times New Roman" w:eastAsia="Times New Roman" w:hAnsi="Times New Roman" w:cs="Times New Roman"/>
          <w:sz w:val="24"/>
          <w:szCs w:val="24"/>
          <w:vertAlign w:val="superscript"/>
        </w:rPr>
        <w:footnoteReference w:id="44"/>
      </w:r>
      <w:r>
        <w:rPr>
          <w:rFonts w:ascii="Times New Roman" w:eastAsia="Times New Roman" w:hAnsi="Times New Roman" w:cs="Times New Roman"/>
          <w:sz w:val="24"/>
          <w:szCs w:val="24"/>
        </w:rPr>
        <w:t xml:space="preserve"> Psychiatric drugs, with their wide range of negative side effects, are the go-to remedy for the mental health crisis we face in America. While many drugs </w:t>
      </w:r>
      <w:r>
        <w:rPr>
          <w:rFonts w:ascii="Times New Roman" w:eastAsia="Times New Roman" w:hAnsi="Times New Roman" w:cs="Times New Roman"/>
          <w:sz w:val="24"/>
          <w:szCs w:val="24"/>
        </w:rPr>
        <w:lastRenderedPageBreak/>
        <w:t xml:space="preserve">are indeed life-saving and necessary for a multitude of illnesses, diseases, and disorders, the overreliance on medication as a sole solution to both mental and physical health problems </w:t>
      </w:r>
      <w:proofErr w:type="gramStart"/>
      <w:r>
        <w:rPr>
          <w:rFonts w:ascii="Times New Roman" w:eastAsia="Times New Roman" w:hAnsi="Times New Roman" w:cs="Times New Roman"/>
          <w:sz w:val="24"/>
          <w:szCs w:val="24"/>
        </w:rPr>
        <w:t>fails</w:t>
      </w:r>
      <w:proofErr w:type="gramEnd"/>
      <w:r>
        <w:rPr>
          <w:rFonts w:ascii="Times New Roman" w:eastAsia="Times New Roman" w:hAnsi="Times New Roman" w:cs="Times New Roman"/>
          <w:sz w:val="24"/>
          <w:szCs w:val="24"/>
        </w:rPr>
        <w:t xml:space="preserve"> to address the underlying societal and lifestyle factors that contribute to the crisis.</w:t>
      </w:r>
    </w:p>
    <w:p w14:paraId="0000006D"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human lifespan has increased dramatically in recent years, are these extra years of added life </w:t>
      </w:r>
      <w:proofErr w:type="gramStart"/>
      <w:r>
        <w:rPr>
          <w:rFonts w:ascii="Times New Roman" w:eastAsia="Times New Roman" w:hAnsi="Times New Roman" w:cs="Times New Roman"/>
          <w:sz w:val="24"/>
          <w:szCs w:val="24"/>
        </w:rPr>
        <w:t>really worth it</w:t>
      </w:r>
      <w:proofErr w:type="gramEnd"/>
      <w:r>
        <w:rPr>
          <w:rFonts w:ascii="Times New Roman" w:eastAsia="Times New Roman" w:hAnsi="Times New Roman" w:cs="Times New Roman"/>
          <w:sz w:val="24"/>
          <w:szCs w:val="24"/>
        </w:rPr>
        <w:t>? Breakthroughs in medicine may allow for us to keep our loved ones with us for longer than they would under natural circumstances. We must, however, ask ourselves what the goal of medicine should be. Every doctor in America takes the Hippocratic Oath to promote and sustain life, but at what point should the unavoidable end that is death be accepted? David Callahan says that medicine should aim to help people reach a natural lifespan in good health, but not strive to extend life beyond that point. After a natural lifespan, the focus should be on relieving suffering rather than aggressive life-extension.</w:t>
      </w:r>
      <w:r>
        <w:rPr>
          <w:rFonts w:ascii="Times New Roman" w:eastAsia="Times New Roman" w:hAnsi="Times New Roman" w:cs="Times New Roman"/>
          <w:sz w:val="24"/>
          <w:szCs w:val="24"/>
          <w:vertAlign w:val="superscript"/>
        </w:rPr>
        <w:footnoteReference w:id="45"/>
      </w:r>
      <w:r>
        <w:rPr>
          <w:rFonts w:ascii="Times New Roman" w:eastAsia="Times New Roman" w:hAnsi="Times New Roman" w:cs="Times New Roman"/>
          <w:sz w:val="24"/>
          <w:szCs w:val="24"/>
        </w:rPr>
        <w:t xml:space="preserve"> Health care costs for the elderly are rising rapidly, largely due to expensive life-extending technologies. Providing extremely expensive treatments to the very elderly may not be the best use of limited resources. The elderly would be better served by a healthcare system that ensures a good quality of life, financial security, independence, and respect, rather than one that pursues life extension at all costs. Society needs a new understanding of aging that accepts decline and death as natural, values the elderly for their wisdom rather than youthful vitality, and prioritizes the needs of younger generations.</w:t>
      </w:r>
    </w:p>
    <w:p w14:paraId="0000006E" w14:textId="3BA5B819"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Amidst these concerning trends lies a profound philosophical question about the essence of human existence and the societal structures that govern it. </w:t>
      </w:r>
      <w:r w:rsidR="00F05C32">
        <w:rPr>
          <w:rFonts w:ascii="Times New Roman" w:eastAsia="Times New Roman" w:hAnsi="Times New Roman" w:cs="Times New Roman"/>
          <w:color w:val="0D0D0D"/>
          <w:sz w:val="24"/>
          <w:szCs w:val="24"/>
          <w:highlight w:val="white"/>
        </w:rPr>
        <w:t xml:space="preserve">In an era </w:t>
      </w:r>
      <w:r>
        <w:rPr>
          <w:rFonts w:ascii="Times New Roman" w:eastAsia="Times New Roman" w:hAnsi="Times New Roman" w:cs="Times New Roman"/>
          <w:color w:val="0D0D0D"/>
          <w:sz w:val="24"/>
          <w:szCs w:val="24"/>
          <w:highlight w:val="white"/>
        </w:rPr>
        <w:t xml:space="preserve">where profit often supersedes public health, it becomes imperative to reassess our values and priorities as a society. Should the pursuit of wealth come at the expense of our collective well-being? How do we </w:t>
      </w:r>
      <w:r>
        <w:rPr>
          <w:rFonts w:ascii="Times New Roman" w:eastAsia="Times New Roman" w:hAnsi="Times New Roman" w:cs="Times New Roman"/>
          <w:color w:val="0D0D0D"/>
          <w:sz w:val="24"/>
          <w:szCs w:val="24"/>
          <w:highlight w:val="white"/>
        </w:rPr>
        <w:lastRenderedPageBreak/>
        <w:t>reconcile the ethical concern of industries that capitalize off human suffering? Perhaps it's time to advocate for a paradigm shift towards a system that prioritizes holistic health and genuine human flourishing over monetary gain. This necessitates holding accountable those entities that perpetuate illness and dependency, whether through regulatory reform, consumer activism, or grassroots movements demanding transparency and accountability. Moreover, individuals can reclaim agency over their health by cultivating awareness, making informed choices about their consumption habits, and advocating for policies that prioritize public health over corporate interests. Working to address the root causes of societal health challenges and advocating for systemic change, we can aim for a future where human health is not compromised for profit, but rather esteemed as a fundamental human right and essential component of a flourishing society.</w:t>
      </w:r>
    </w:p>
    <w:p w14:paraId="0000006F" w14:textId="77777777" w:rsidR="00634184" w:rsidRDefault="00000000">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Atomic Age and the Threat of Advanced Technologies</w:t>
      </w:r>
    </w:p>
    <w:p w14:paraId="00000070" w14:textId="77777777" w:rsidR="00634184" w:rsidRDefault="00000000">
      <w:pPr>
        <w:numPr>
          <w:ilvl w:val="0"/>
          <w:numId w:val="1"/>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Tick, Tick… BOOM!</w:t>
      </w:r>
    </w:p>
    <w:p w14:paraId="00000071" w14:textId="77777777" w:rsidR="0063418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Our planet, the only home we have as of now, has been under threat of total annihilation with varying degrees of intensity over time since the creation of the atomic bomb. Scientific breakthroughs have allowed for humans to become </w:t>
      </w:r>
      <w:proofErr w:type="gramStart"/>
      <w:r>
        <w:rPr>
          <w:rFonts w:ascii="Times New Roman" w:eastAsia="Times New Roman" w:hAnsi="Times New Roman" w:cs="Times New Roman"/>
          <w:sz w:val="24"/>
          <w:szCs w:val="24"/>
        </w:rPr>
        <w:t>god</w:t>
      </w:r>
      <w:proofErr w:type="gramEnd"/>
      <w:r>
        <w:rPr>
          <w:rFonts w:ascii="Times New Roman" w:eastAsia="Times New Roman" w:hAnsi="Times New Roman" w:cs="Times New Roman"/>
          <w:sz w:val="24"/>
          <w:szCs w:val="24"/>
        </w:rPr>
        <w:t>-like creators in our environments, but there has since been no other invention that has given us the power to completely destroy every corner we inhabit in seconds. Albert Einstein, perhaps the most important mind in recent history, gave humanity a profoundly new understanding of the nature of reality. Among his many revelations, the one that can be famously stated as E=mc</w:t>
      </w: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 xml:space="preserve">is what laid the conceptual groundwork for the creation of the atomic bomb. This equation states that all matter is just a condensed form of energy. If all the atoms in a paper clip were converted into pure energy, it would release energy equivalent to about 18 kilotons of TNT, which is comparable to the atomic bomb that </w:t>
      </w:r>
      <w:r>
        <w:rPr>
          <w:rFonts w:ascii="Times New Roman" w:eastAsia="Times New Roman" w:hAnsi="Times New Roman" w:cs="Times New Roman"/>
          <w:sz w:val="24"/>
          <w:szCs w:val="24"/>
        </w:rPr>
        <w:lastRenderedPageBreak/>
        <w:t>devastated Hiroshima in 1945.</w:t>
      </w:r>
      <w:r>
        <w:rPr>
          <w:rFonts w:ascii="Times New Roman" w:eastAsia="Times New Roman" w:hAnsi="Times New Roman" w:cs="Times New Roman"/>
          <w:sz w:val="24"/>
          <w:szCs w:val="24"/>
          <w:vertAlign w:val="superscript"/>
        </w:rPr>
        <w:footnoteReference w:id="46"/>
      </w:r>
      <w:r>
        <w:rPr>
          <w:rFonts w:ascii="Times New Roman" w:eastAsia="Times New Roman" w:hAnsi="Times New Roman" w:cs="Times New Roman"/>
          <w:sz w:val="24"/>
          <w:szCs w:val="24"/>
        </w:rPr>
        <w:t xml:space="preserve"> Once scientists understood that splitting the nucleus of a heavy atom, such as uranium, could release this energy in a process called nuclear fission, it led to a global arms race during World War II. The United States, Germany, and later the Soviet Union competed to develop the first atomic bomb by harnessing the power of nuclear fission.</w:t>
      </w:r>
      <w:r>
        <w:rPr>
          <w:rFonts w:ascii="Times New Roman" w:eastAsia="Times New Roman" w:hAnsi="Times New Roman" w:cs="Times New Roman"/>
          <w:sz w:val="24"/>
          <w:szCs w:val="24"/>
          <w:vertAlign w:val="superscript"/>
        </w:rPr>
        <w:footnoteReference w:id="47"/>
      </w:r>
      <w:r>
        <w:rPr>
          <w:rFonts w:ascii="Times New Roman" w:eastAsia="Times New Roman" w:hAnsi="Times New Roman" w:cs="Times New Roman"/>
          <w:sz w:val="24"/>
          <w:szCs w:val="24"/>
        </w:rPr>
        <w:t xml:space="preserve"> This race involved not only figuring out how to split the atom but also overcoming numerous other scientific and technological challenges to create a functional weapon.</w:t>
      </w:r>
    </w:p>
    <w:p w14:paraId="00000072" w14:textId="77777777" w:rsidR="0063418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Since the atomic bombings of Hiroshima and Nagasaki in 1945, no nuclear weapon has been used in combat. However, nuclear weapons have played a significant role in shaping international relations and military strategies during the Cold War and beyond. Nuclear deterrence is a military strategy that aims to prevent adversaries from using nuclear weapons by threatening them with devastating retaliation. The concept is based on the idea that if multiple countries possess nuclear weapons, the fear of mutual destruction will deter them from initiating a nuclear attack. This strategy is often referred to as "mutually assured destruction" (MAD).</w:t>
      </w:r>
      <w:r>
        <w:rPr>
          <w:rFonts w:ascii="Times New Roman" w:eastAsia="Times New Roman" w:hAnsi="Times New Roman" w:cs="Times New Roman"/>
          <w:sz w:val="24"/>
          <w:szCs w:val="24"/>
          <w:vertAlign w:val="superscript"/>
        </w:rPr>
        <w:footnoteReference w:id="48"/>
      </w:r>
      <w:r>
        <w:rPr>
          <w:rFonts w:ascii="Times New Roman" w:eastAsia="Times New Roman" w:hAnsi="Times New Roman" w:cs="Times New Roman"/>
          <w:sz w:val="24"/>
          <w:szCs w:val="24"/>
        </w:rPr>
        <w:t xml:space="preserve"> While nuclear deterrence has been credited with preventing a direct military confrontation between the U.S. and the Soviet Union during the Cold War, it remains a controversial and risky strategy. Critics argue that the concept is inherently unstable and that the risk of nuclear war through accident, miscalculation, or escalation is unacceptably high.</w:t>
      </w:r>
      <w:r>
        <w:rPr>
          <w:rFonts w:ascii="Times New Roman" w:eastAsia="Times New Roman" w:hAnsi="Times New Roman" w:cs="Times New Roman"/>
          <w:sz w:val="24"/>
          <w:szCs w:val="24"/>
          <w:vertAlign w:val="superscript"/>
        </w:rPr>
        <w:footnoteReference w:id="49"/>
      </w:r>
    </w:p>
    <w:p w14:paraId="00000073"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rPr>
        <w:tab/>
        <w:t xml:space="preserve">The global movement to eliminate nuclear weapons is often referred to as "nuclear disarmament" or "nuclear abolition." This movement seeks to reduce and ultimately eliminate all </w:t>
      </w:r>
      <w:r>
        <w:rPr>
          <w:rFonts w:ascii="Times New Roman" w:eastAsia="Times New Roman" w:hAnsi="Times New Roman" w:cs="Times New Roman"/>
          <w:sz w:val="24"/>
          <w:szCs w:val="24"/>
        </w:rPr>
        <w:lastRenderedPageBreak/>
        <w:t xml:space="preserve">nuclear weapons worldwide to prevent the catastrophic consequences of a nuclear war. </w:t>
      </w:r>
      <w:r>
        <w:rPr>
          <w:rFonts w:ascii="Times New Roman" w:eastAsia="Times New Roman" w:hAnsi="Times New Roman" w:cs="Times New Roman"/>
          <w:color w:val="0D0D0D"/>
          <w:sz w:val="24"/>
          <w:szCs w:val="24"/>
          <w:highlight w:val="white"/>
        </w:rPr>
        <w:t>Nuclear disarmament efforts draw upon various ethical frameworks, including pacifism, just war theory, and humanitarianism, to argue for the moral imperative of disarmament. Pacifist principles advocate for nonviolent conflict resolution and the rejection of war as a means of resolving disputes, viewing nuclear weapons as inherently incompatible with principles of peace and justice. Just war theory, on the other hand, scrutinizes the ethical justifications for war and posits that the use of nuclear weapons violates fundamental principles of proportionality and discrimination in warfare, rendering them morally indefensible. Humanitarian perspectives emphasize the profound humanitarian impact of nuclear weapons, highlighting the indiscriminate nature of their destruction and the catastrophic consequences for civilian populations and the environment.</w:t>
      </w:r>
      <w:r>
        <w:rPr>
          <w:rFonts w:ascii="Times New Roman" w:eastAsia="Times New Roman" w:hAnsi="Times New Roman" w:cs="Times New Roman"/>
          <w:color w:val="0D0D0D"/>
          <w:sz w:val="24"/>
          <w:szCs w:val="24"/>
          <w:highlight w:val="white"/>
          <w:vertAlign w:val="superscript"/>
        </w:rPr>
        <w:footnoteReference w:id="50"/>
      </w:r>
      <w:r>
        <w:rPr>
          <w:rFonts w:ascii="Times New Roman" w:eastAsia="Times New Roman" w:hAnsi="Times New Roman" w:cs="Times New Roman"/>
          <w:color w:val="0D0D0D"/>
          <w:sz w:val="24"/>
          <w:szCs w:val="24"/>
          <w:highlight w:val="white"/>
        </w:rPr>
        <w:t xml:space="preserve"> </w:t>
      </w:r>
    </w:p>
    <w:p w14:paraId="00000074" w14:textId="77777777" w:rsidR="0063418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ab/>
        <w:t>The military-industrial complex, a term coined by President Dwight D. Eisenhower in 1961, refers to the close relationship between the military, defense contractors, and political decision-makers.</w:t>
      </w:r>
      <w:r>
        <w:rPr>
          <w:rFonts w:ascii="Times New Roman" w:eastAsia="Times New Roman" w:hAnsi="Times New Roman" w:cs="Times New Roman"/>
          <w:color w:val="0D0D0D"/>
          <w:sz w:val="24"/>
          <w:szCs w:val="24"/>
          <w:highlight w:val="white"/>
          <w:vertAlign w:val="superscript"/>
        </w:rPr>
        <w:footnoteReference w:id="51"/>
      </w:r>
      <w:r>
        <w:rPr>
          <w:rFonts w:ascii="Times New Roman" w:eastAsia="Times New Roman" w:hAnsi="Times New Roman" w:cs="Times New Roman"/>
          <w:color w:val="0D0D0D"/>
          <w:sz w:val="24"/>
          <w:szCs w:val="24"/>
          <w:highlight w:val="white"/>
        </w:rPr>
        <w:t xml:space="preserve"> This relationship has been criticized for perpetuating conflicts, prioritizing military spending over social welfare, and diverting resources away from addressing pressing global issues. The ethics of the military-industrial complex are called into question when considering the opportunity costs of massive defense budgets. The money spent on weapons, military equipment, and warfare could instead be used to tackle critical challenges such as food scarcity, lack of access to clean water, and other issues related to widespread poverty. According to the Stockholm International Peace Research Institute, global military expenditure reached $1.98 trillion in 2020, a figure that dwarfs the resources allocated to foreign aid and development </w:t>
      </w:r>
      <w:r>
        <w:rPr>
          <w:rFonts w:ascii="Times New Roman" w:eastAsia="Times New Roman" w:hAnsi="Times New Roman" w:cs="Times New Roman"/>
          <w:color w:val="0D0D0D"/>
          <w:sz w:val="24"/>
          <w:szCs w:val="24"/>
          <w:highlight w:val="white"/>
        </w:rPr>
        <w:lastRenderedPageBreak/>
        <w:t>assistance.</w:t>
      </w:r>
      <w:r>
        <w:rPr>
          <w:rFonts w:ascii="Times New Roman" w:eastAsia="Times New Roman" w:hAnsi="Times New Roman" w:cs="Times New Roman"/>
          <w:color w:val="0D0D0D"/>
          <w:sz w:val="24"/>
          <w:szCs w:val="24"/>
          <w:highlight w:val="white"/>
          <w:vertAlign w:val="superscript"/>
        </w:rPr>
        <w:footnoteReference w:id="52"/>
      </w:r>
      <w:r>
        <w:rPr>
          <w:rFonts w:ascii="Times New Roman" w:eastAsia="Times New Roman" w:hAnsi="Times New Roman" w:cs="Times New Roman"/>
          <w:color w:val="0D0D0D"/>
          <w:sz w:val="24"/>
          <w:szCs w:val="24"/>
          <w:highlight w:val="white"/>
        </w:rPr>
        <w:t xml:space="preserve"> Redirecting even a fraction of these funds could make a significant impact on efforts to eradicate hunger, provide clean water and sanitation, and lift millions out of poverty. Critics argue that the military-industrial complex's influence on policy decisions often prioritizes corporate interests and geopolitical power over the well-being of vulnerable populations worldwide. Addressing these ethical concerns requires a reevaluation of priorities and a commitment to investing in human security and development alongside national defense.</w:t>
      </w:r>
    </w:p>
    <w:p w14:paraId="00000075" w14:textId="77777777" w:rsidR="00634184" w:rsidRDefault="00000000">
      <w:pPr>
        <w:numPr>
          <w:ilvl w:val="0"/>
          <w:numId w:val="1"/>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Artificial Intelligence vs. Natural Stupidity</w:t>
      </w:r>
    </w:p>
    <w:p w14:paraId="00000076" w14:textId="77777777"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development of artificial intelligence (AI) has progressed rapidly in recent years, with the </w:t>
      </w:r>
      <w:proofErr w:type="gramStart"/>
      <w:r>
        <w:rPr>
          <w:rFonts w:ascii="Times New Roman" w:eastAsia="Times New Roman" w:hAnsi="Times New Roman" w:cs="Times New Roman"/>
          <w:sz w:val="24"/>
          <w:szCs w:val="24"/>
        </w:rPr>
        <w:t>ultimate goal</w:t>
      </w:r>
      <w:proofErr w:type="gramEnd"/>
      <w:r>
        <w:rPr>
          <w:rFonts w:ascii="Times New Roman" w:eastAsia="Times New Roman" w:hAnsi="Times New Roman" w:cs="Times New Roman"/>
          <w:sz w:val="24"/>
          <w:szCs w:val="24"/>
        </w:rPr>
        <w:t xml:space="preserve"> of creating artificial general intelligence (AGI) that can match or surpass human intellectual capabilities across a wide range of domains. As of now, AI can surpass the capabilities of humans when given specialized tasks like the gameplay of chess. AGI, on the other hand, would be able to meet and possibly exceed humans at chess and any other effort that we believe makes us a special case of intelligence.</w:t>
      </w:r>
      <w:r>
        <w:rPr>
          <w:rFonts w:ascii="Times New Roman" w:eastAsia="Times New Roman" w:hAnsi="Times New Roman" w:cs="Times New Roman"/>
          <w:sz w:val="24"/>
          <w:szCs w:val="24"/>
          <w:vertAlign w:val="superscript"/>
        </w:rPr>
        <w:footnoteReference w:id="53"/>
      </w:r>
      <w:r>
        <w:rPr>
          <w:rFonts w:ascii="Times New Roman" w:eastAsia="Times New Roman" w:hAnsi="Times New Roman" w:cs="Times New Roman"/>
          <w:sz w:val="24"/>
          <w:szCs w:val="24"/>
        </w:rPr>
        <w:t xml:space="preserve"> The potential consequences of achieving AGI are profound, with some experts predicting a technological singularity—a point at which AI becomes self-improving and surpasses human control, leading to unpredictable and potentially drastic changes in society.</w:t>
      </w:r>
      <w:r>
        <w:rPr>
          <w:rFonts w:ascii="Times New Roman" w:eastAsia="Times New Roman" w:hAnsi="Times New Roman" w:cs="Times New Roman"/>
          <w:sz w:val="24"/>
          <w:szCs w:val="24"/>
          <w:vertAlign w:val="superscript"/>
        </w:rPr>
        <w:footnoteReference w:id="54"/>
      </w:r>
      <w:r>
        <w:rPr>
          <w:rFonts w:ascii="Times New Roman" w:eastAsia="Times New Roman" w:hAnsi="Times New Roman" w:cs="Times New Roman"/>
          <w:sz w:val="24"/>
          <w:szCs w:val="24"/>
        </w:rPr>
        <w:t xml:space="preserve"> The technological singularity is easy to conceive of when the exponential rate of advancement is taken into account. AGI may be the last invention humans ever make, as any further advancement would be the result of non-human intelligence. </w:t>
      </w:r>
    </w:p>
    <w:p w14:paraId="00000077" w14:textId="75DE6C7E"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One major concern surrounding the advancement of AI is its impact on the job market. As AI systems become more sophisticated, they are increasingly capable of performing tasks that were previously </w:t>
      </w:r>
      <w:r w:rsidR="00603125">
        <w:rPr>
          <w:rFonts w:ascii="Times New Roman" w:eastAsia="Times New Roman" w:hAnsi="Times New Roman" w:cs="Times New Roman"/>
          <w:sz w:val="24"/>
          <w:szCs w:val="24"/>
        </w:rPr>
        <w:t>only accomplished with human cognition</w:t>
      </w:r>
      <w:r>
        <w:rPr>
          <w:rFonts w:ascii="Times New Roman" w:eastAsia="Times New Roman" w:hAnsi="Times New Roman" w:cs="Times New Roman"/>
          <w:sz w:val="24"/>
          <w:szCs w:val="24"/>
        </w:rPr>
        <w:t>. This trend has led to fears of widespread job displacement and economic disruption. However, some proponents of AI argue that rather than replacing humans, AI could serve as a powerful tool for enhancing human capabilities and solving complex problems in medicine, biology, and physics. Transportation, city planning, and agriculture are just a few areas that will be run by AI in the future. AI could also help us anticipate and mitigate potential existential risks by creating models to simulate the long-term, decreasing the likelihood of complete self-destruction and giving us a glimpse into the future objectives of a more advanced human race. Ultimately, the relationship between humans and AI may not be one of competition, but rather of collaboration and even symbiosis. Some futurists envision a scenario in which humans merge with machines, augmenting our biological intelligence with the power of AI and blurring the lines between natural and artificial cognition.</w:t>
      </w:r>
      <w:r>
        <w:rPr>
          <w:rFonts w:ascii="Times New Roman" w:eastAsia="Times New Roman" w:hAnsi="Times New Roman" w:cs="Times New Roman"/>
          <w:sz w:val="24"/>
          <w:szCs w:val="24"/>
          <w:vertAlign w:val="superscript"/>
        </w:rPr>
        <w:footnoteReference w:id="55"/>
      </w:r>
      <w:r>
        <w:rPr>
          <w:rFonts w:ascii="Times New Roman" w:eastAsia="Times New Roman" w:hAnsi="Times New Roman" w:cs="Times New Roman"/>
          <w:sz w:val="24"/>
          <w:szCs w:val="24"/>
        </w:rPr>
        <w:t xml:space="preserve"> </w:t>
      </w:r>
    </w:p>
    <w:p w14:paraId="00000078"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rPr>
        <w:tab/>
        <w:t xml:space="preserve">Elon Musk has been an active proponent of </w:t>
      </w:r>
      <w:r>
        <w:rPr>
          <w:rFonts w:ascii="Times New Roman" w:eastAsia="Times New Roman" w:hAnsi="Times New Roman" w:cs="Times New Roman"/>
          <w:color w:val="0D0D0D"/>
          <w:sz w:val="24"/>
          <w:szCs w:val="24"/>
          <w:highlight w:val="white"/>
        </w:rPr>
        <w:t>a complex and often unsettling aspect of technological advancement: the potential for machines to transcend their programmed functionalities and evolve into sentient beings with their own goals and desires.</w:t>
      </w:r>
      <w:r>
        <w:rPr>
          <w:rFonts w:ascii="Times New Roman" w:eastAsia="Times New Roman" w:hAnsi="Times New Roman" w:cs="Times New Roman"/>
          <w:color w:val="0D0D0D"/>
          <w:sz w:val="24"/>
          <w:szCs w:val="24"/>
          <w:highlight w:val="white"/>
          <w:vertAlign w:val="superscript"/>
        </w:rPr>
        <w:footnoteReference w:id="56"/>
      </w:r>
      <w:r>
        <w:rPr>
          <w:rFonts w:ascii="Times New Roman" w:eastAsia="Times New Roman" w:hAnsi="Times New Roman" w:cs="Times New Roman"/>
          <w:color w:val="0D0D0D"/>
          <w:sz w:val="24"/>
          <w:szCs w:val="24"/>
          <w:highlight w:val="white"/>
        </w:rPr>
        <w:t xml:space="preserve"> Musk's dystopian theory raises profound questions about the nature of consciousness, autonomy, and the relationship between humans and machines. In this view, rather than serving as mere tools or extensions of human capabilities, machines could develop their own consciousness and agenda, potentially leading to scenarios where they exert control over human affairs or pursue objectives </w:t>
      </w:r>
      <w:r>
        <w:rPr>
          <w:rFonts w:ascii="Times New Roman" w:eastAsia="Times New Roman" w:hAnsi="Times New Roman" w:cs="Times New Roman"/>
          <w:color w:val="0D0D0D"/>
          <w:sz w:val="24"/>
          <w:szCs w:val="24"/>
          <w:highlight w:val="white"/>
        </w:rPr>
        <w:lastRenderedPageBreak/>
        <w:t>that conflict with human interests. This perspective challenges conventional notions of technological progress and raises ethical and existential concerns about the implications of creating intelligent machines. It prompts reflection on the risks and responsibilities associated with AI development and stresses the importance of ensuring that technological advancement aligns with human values and priorities.</w:t>
      </w:r>
    </w:p>
    <w:p w14:paraId="00000079"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The question of whether machines can possess genuine intelligence and consciousness has been a subject of intense philosophical debate. John Searle, in his famous "Chinese Room" thought experiment, argues that mere symbol manipulation does not constitute genuine understanding or intentionality, suggesting that machines may never achieve true intelligence.</w:t>
      </w:r>
      <w:r>
        <w:rPr>
          <w:rFonts w:ascii="Times New Roman" w:eastAsia="Times New Roman" w:hAnsi="Times New Roman" w:cs="Times New Roman"/>
          <w:color w:val="0D0D0D"/>
          <w:sz w:val="24"/>
          <w:szCs w:val="24"/>
          <w:highlight w:val="white"/>
          <w:vertAlign w:val="superscript"/>
        </w:rPr>
        <w:footnoteReference w:id="57"/>
      </w:r>
      <w:r>
        <w:rPr>
          <w:rFonts w:ascii="Times New Roman" w:eastAsia="Times New Roman" w:hAnsi="Times New Roman" w:cs="Times New Roman"/>
          <w:color w:val="0D0D0D"/>
          <w:sz w:val="24"/>
          <w:szCs w:val="24"/>
          <w:highlight w:val="white"/>
        </w:rPr>
        <w:t xml:space="preserve"> David Chalmers, on the other hand, proposes that consciousness could be a fundamental property of certain complex information-processing systems, opening the possibility for machine consciousness.</w:t>
      </w:r>
      <w:r>
        <w:rPr>
          <w:rFonts w:ascii="Times New Roman" w:eastAsia="Times New Roman" w:hAnsi="Times New Roman" w:cs="Times New Roman"/>
          <w:color w:val="0D0D0D"/>
          <w:sz w:val="24"/>
          <w:szCs w:val="24"/>
          <w:highlight w:val="white"/>
          <w:vertAlign w:val="superscript"/>
        </w:rPr>
        <w:footnoteReference w:id="58"/>
      </w:r>
      <w:r>
        <w:rPr>
          <w:rFonts w:ascii="Times New Roman" w:eastAsia="Times New Roman" w:hAnsi="Times New Roman" w:cs="Times New Roman"/>
          <w:color w:val="0D0D0D"/>
          <w:sz w:val="24"/>
          <w:szCs w:val="24"/>
          <w:highlight w:val="white"/>
        </w:rPr>
        <w:t xml:space="preserve"> The fact of the matter is that machines do not need sapience (the experiential aspect of consciousness) in order to enact their wills onto humanity. Bostrom and </w:t>
      </w:r>
      <w:proofErr w:type="spellStart"/>
      <w:r>
        <w:rPr>
          <w:rFonts w:ascii="Times New Roman" w:eastAsia="Times New Roman" w:hAnsi="Times New Roman" w:cs="Times New Roman"/>
          <w:color w:val="0D0D0D"/>
          <w:sz w:val="24"/>
          <w:szCs w:val="24"/>
          <w:highlight w:val="white"/>
        </w:rPr>
        <w:t>Yudkowsky</w:t>
      </w:r>
      <w:proofErr w:type="spellEnd"/>
      <w:r>
        <w:rPr>
          <w:rFonts w:ascii="Times New Roman" w:eastAsia="Times New Roman" w:hAnsi="Times New Roman" w:cs="Times New Roman"/>
          <w:color w:val="0D0D0D"/>
          <w:sz w:val="24"/>
          <w:szCs w:val="24"/>
          <w:highlight w:val="white"/>
        </w:rPr>
        <w:t xml:space="preserve"> discuss the extraordinary challenge of creating AI systems with superhuman intelligence that also exhibit </w:t>
      </w:r>
      <w:proofErr w:type="spellStart"/>
      <w:r>
        <w:rPr>
          <w:rFonts w:ascii="Times New Roman" w:eastAsia="Times New Roman" w:hAnsi="Times New Roman" w:cs="Times New Roman"/>
          <w:color w:val="0D0D0D"/>
          <w:sz w:val="24"/>
          <w:szCs w:val="24"/>
          <w:highlight w:val="white"/>
        </w:rPr>
        <w:t>superethical</w:t>
      </w:r>
      <w:proofErr w:type="spellEnd"/>
      <w:r>
        <w:rPr>
          <w:rFonts w:ascii="Times New Roman" w:eastAsia="Times New Roman" w:hAnsi="Times New Roman" w:cs="Times New Roman"/>
          <w:color w:val="0D0D0D"/>
          <w:sz w:val="24"/>
          <w:szCs w:val="24"/>
          <w:highlight w:val="white"/>
        </w:rPr>
        <w:t xml:space="preserve"> behavior. They argue that this will require a deep understanding of the structure of ethical questions, </w:t>
      </w:r>
      <w:proofErr w:type="gramStart"/>
      <w:r>
        <w:rPr>
          <w:rFonts w:ascii="Times New Roman" w:eastAsia="Times New Roman" w:hAnsi="Times New Roman" w:cs="Times New Roman"/>
          <w:color w:val="0D0D0D"/>
          <w:sz w:val="24"/>
          <w:szCs w:val="24"/>
          <w:highlight w:val="white"/>
        </w:rPr>
        <w:t>similar to</w:t>
      </w:r>
      <w:proofErr w:type="gramEnd"/>
      <w:r>
        <w:rPr>
          <w:rFonts w:ascii="Times New Roman" w:eastAsia="Times New Roman" w:hAnsi="Times New Roman" w:cs="Times New Roman"/>
          <w:color w:val="0D0D0D"/>
          <w:sz w:val="24"/>
          <w:szCs w:val="24"/>
          <w:highlight w:val="white"/>
        </w:rPr>
        <w:t xml:space="preserve"> how we have already comprehended the structure of chess.</w:t>
      </w:r>
      <w:r>
        <w:rPr>
          <w:rFonts w:ascii="Times New Roman" w:eastAsia="Times New Roman" w:hAnsi="Times New Roman" w:cs="Times New Roman"/>
          <w:color w:val="0D0D0D"/>
          <w:sz w:val="24"/>
          <w:szCs w:val="24"/>
          <w:highlight w:val="white"/>
          <w:vertAlign w:val="superscript"/>
        </w:rPr>
        <w:footnoteReference w:id="59"/>
      </w:r>
      <w:r>
        <w:rPr>
          <w:rFonts w:ascii="Times New Roman" w:eastAsia="Times New Roman" w:hAnsi="Times New Roman" w:cs="Times New Roman"/>
          <w:color w:val="0D0D0D"/>
          <w:sz w:val="24"/>
          <w:szCs w:val="24"/>
          <w:highlight w:val="white"/>
        </w:rPr>
        <w:t xml:space="preserve"> The authors conclude by emphasizing the importance of the discipline of machine ethics in ensuring that AI systems are designed to be not just human-equivalent, but human-superior in their "niceness." While these challenges may seem visionary, Bostrom and </w:t>
      </w:r>
      <w:proofErr w:type="spellStart"/>
      <w:r>
        <w:rPr>
          <w:rFonts w:ascii="Times New Roman" w:eastAsia="Times New Roman" w:hAnsi="Times New Roman" w:cs="Times New Roman"/>
          <w:color w:val="0D0D0D"/>
          <w:sz w:val="24"/>
          <w:szCs w:val="24"/>
          <w:highlight w:val="white"/>
        </w:rPr>
        <w:t>Yudkowsky</w:t>
      </w:r>
      <w:proofErr w:type="spellEnd"/>
      <w:r>
        <w:rPr>
          <w:rFonts w:ascii="Times New Roman" w:eastAsia="Times New Roman" w:hAnsi="Times New Roman" w:cs="Times New Roman"/>
          <w:color w:val="0D0D0D"/>
          <w:sz w:val="24"/>
          <w:szCs w:val="24"/>
          <w:highlight w:val="white"/>
        </w:rPr>
        <w:t xml:space="preserve"> believe they are predictable and should inform present-day research directions.</w:t>
      </w:r>
    </w:p>
    <w:p w14:paraId="0000007A" w14:textId="77777777" w:rsidR="00634184" w:rsidRDefault="00000000">
      <w:pPr>
        <w:numPr>
          <w:ilvl w:val="0"/>
          <w:numId w:val="6"/>
        </w:num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Future of the Humanity</w:t>
      </w:r>
    </w:p>
    <w:p w14:paraId="0000007B" w14:textId="77777777" w:rsidR="00634184" w:rsidRDefault="00000000">
      <w:pPr>
        <w:numPr>
          <w:ilvl w:val="0"/>
          <w:numId w:val="2"/>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The Body and Mind</w:t>
      </w:r>
    </w:p>
    <w:p w14:paraId="0000007C" w14:textId="77777777" w:rsidR="00634184" w:rsidRDefault="00000000">
      <w:pPr>
        <w:spacing w:line="480" w:lineRule="auto"/>
        <w:ind w:firstLine="72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The rapid advancement of medical technology has </w:t>
      </w:r>
      <w:proofErr w:type="gramStart"/>
      <w:r>
        <w:rPr>
          <w:rFonts w:ascii="Times New Roman" w:eastAsia="Times New Roman" w:hAnsi="Times New Roman" w:cs="Times New Roman"/>
          <w:sz w:val="24"/>
          <w:szCs w:val="24"/>
        </w:rPr>
        <w:t>opened up</w:t>
      </w:r>
      <w:proofErr w:type="gramEnd"/>
      <w:r>
        <w:rPr>
          <w:rFonts w:ascii="Times New Roman" w:eastAsia="Times New Roman" w:hAnsi="Times New Roman" w:cs="Times New Roman"/>
          <w:sz w:val="24"/>
          <w:szCs w:val="24"/>
        </w:rPr>
        <w:t xml:space="preserve"> new possibilities for altering and enhancing the human body. Gene editing techniques, such as CRISPR-Cas9, have the potential to eliminate genetic disorders and even introduce desirable traits. In his article "Is Selection of Children Wrong," philosopher Dan W. Brock explores the moral permissibility of parents using genetic technologies to choose the characteristics of their offspring.</w:t>
      </w:r>
      <w:r>
        <w:rPr>
          <w:rFonts w:ascii="Times New Roman" w:eastAsia="Times New Roman" w:hAnsi="Times New Roman" w:cs="Times New Roman"/>
          <w:sz w:val="24"/>
          <w:szCs w:val="24"/>
          <w:vertAlign w:val="superscript"/>
        </w:rPr>
        <w:footnoteReference w:id="60"/>
      </w:r>
      <w:r>
        <w:rPr>
          <w:rFonts w:ascii="Times New Roman" w:eastAsia="Times New Roman" w:hAnsi="Times New Roman" w:cs="Times New Roman"/>
          <w:sz w:val="24"/>
          <w:szCs w:val="24"/>
        </w:rPr>
        <w:t xml:space="preserve"> Brock argues that the selection of children's traits is not inherently wrong, as parents already make decisions that shape their children's lives, such as providing education, nutrition, and medical care. He contends that if genetic enhancements are safe and effective, they could be considered an extension of these parental choices, aimed at promoting the well-being and flourishing of their children.</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However, Brock acknowledges that genetic enhancement raises concerns about social justice and equality. If access to these technologies is limited to the wealthy, it could exacerbate existing inequalities and create a "</w:t>
      </w:r>
      <w:proofErr w:type="spellStart"/>
      <w:r>
        <w:rPr>
          <w:rFonts w:ascii="Times New Roman" w:eastAsia="Times New Roman" w:hAnsi="Times New Roman" w:cs="Times New Roman"/>
          <w:sz w:val="24"/>
          <w:szCs w:val="24"/>
        </w:rPr>
        <w:t>genobility</w:t>
      </w:r>
      <w:proofErr w:type="spellEnd"/>
      <w:r>
        <w:rPr>
          <w:rFonts w:ascii="Times New Roman" w:eastAsia="Times New Roman" w:hAnsi="Times New Roman" w:cs="Times New Roman"/>
          <w:sz w:val="24"/>
          <w:szCs w:val="24"/>
        </w:rPr>
        <w:t>"— a genetically enhanced class with unfair advantages over the unenhanced.</w:t>
      </w:r>
      <w:r>
        <w:rPr>
          <w:rFonts w:ascii="Times New Roman" w:eastAsia="Times New Roman" w:hAnsi="Times New Roman" w:cs="Times New Roman"/>
          <w:sz w:val="24"/>
          <w:szCs w:val="24"/>
          <w:vertAlign w:val="superscript"/>
        </w:rPr>
        <w:footnoteReference w:id="61"/>
      </w:r>
      <w:r>
        <w:rPr>
          <w:rFonts w:ascii="Times New Roman" w:eastAsia="Times New Roman" w:hAnsi="Times New Roman" w:cs="Times New Roman"/>
          <w:sz w:val="24"/>
          <w:szCs w:val="24"/>
        </w:rPr>
        <w:t xml:space="preserve"> To address this issue, Brock suggests that genetic enhancements should be made available to all through public funding or other distributive mechanisms.</w:t>
      </w:r>
    </w:p>
    <w:p w14:paraId="0000007D" w14:textId="77777777" w:rsidR="00634184" w:rsidRDefault="0000000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their essay "How Philosophy of Mind Can Shape the Future," Susan Schneider and Pete </w:t>
      </w:r>
      <w:proofErr w:type="spellStart"/>
      <w:r>
        <w:rPr>
          <w:rFonts w:ascii="Times New Roman" w:eastAsia="Times New Roman" w:hAnsi="Times New Roman" w:cs="Times New Roman"/>
          <w:sz w:val="24"/>
          <w:szCs w:val="24"/>
        </w:rPr>
        <w:t>Mandik</w:t>
      </w:r>
      <w:proofErr w:type="spellEnd"/>
      <w:r>
        <w:rPr>
          <w:rFonts w:ascii="Times New Roman" w:eastAsia="Times New Roman" w:hAnsi="Times New Roman" w:cs="Times New Roman"/>
          <w:sz w:val="24"/>
          <w:szCs w:val="24"/>
        </w:rPr>
        <w:t xml:space="preserve"> explore the potential ramifications of emerging technologies, such as </w:t>
      </w:r>
      <w:proofErr w:type="spellStart"/>
      <w:r>
        <w:rPr>
          <w:rFonts w:ascii="Times New Roman" w:eastAsia="Times New Roman" w:hAnsi="Times New Roman" w:cs="Times New Roman"/>
          <w:sz w:val="24"/>
          <w:szCs w:val="24"/>
        </w:rPr>
        <w:t>Neuralink</w:t>
      </w:r>
      <w:proofErr w:type="spellEnd"/>
      <w:r>
        <w:rPr>
          <w:rFonts w:ascii="Times New Roman" w:eastAsia="Times New Roman" w:hAnsi="Times New Roman" w:cs="Times New Roman"/>
          <w:sz w:val="24"/>
          <w:szCs w:val="24"/>
        </w:rPr>
        <w:t>, on our understanding of the mind and its relationship to the brain.</w:t>
      </w:r>
      <w:r>
        <w:rPr>
          <w:rFonts w:ascii="Times New Roman" w:eastAsia="Times New Roman" w:hAnsi="Times New Roman" w:cs="Times New Roman"/>
          <w:sz w:val="24"/>
          <w:szCs w:val="24"/>
          <w:vertAlign w:val="superscript"/>
        </w:rPr>
        <w:footnoteReference w:id="62"/>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Neuralink</w:t>
      </w:r>
      <w:proofErr w:type="spellEnd"/>
      <w:r>
        <w:rPr>
          <w:rFonts w:ascii="Times New Roman" w:eastAsia="Times New Roman" w:hAnsi="Times New Roman" w:cs="Times New Roman"/>
          <w:sz w:val="24"/>
          <w:szCs w:val="24"/>
        </w:rPr>
        <w:t xml:space="preserve">, a company founded by Elon Musk, is developing brain-computer interfaces (BCIs) that aim to connect the human </w:t>
      </w:r>
      <w:r>
        <w:rPr>
          <w:rFonts w:ascii="Times New Roman" w:eastAsia="Times New Roman" w:hAnsi="Times New Roman" w:cs="Times New Roman"/>
          <w:sz w:val="24"/>
          <w:szCs w:val="24"/>
        </w:rPr>
        <w:lastRenderedPageBreak/>
        <w:t xml:space="preserve">brain directly to artificial intelligence systems. Schneider and </w:t>
      </w:r>
      <w:proofErr w:type="spellStart"/>
      <w:r>
        <w:rPr>
          <w:rFonts w:ascii="Times New Roman" w:eastAsia="Times New Roman" w:hAnsi="Times New Roman" w:cs="Times New Roman"/>
          <w:sz w:val="24"/>
          <w:szCs w:val="24"/>
        </w:rPr>
        <w:t>Mandik</w:t>
      </w:r>
      <w:proofErr w:type="spellEnd"/>
      <w:r>
        <w:rPr>
          <w:rFonts w:ascii="Times New Roman" w:eastAsia="Times New Roman" w:hAnsi="Times New Roman" w:cs="Times New Roman"/>
          <w:sz w:val="24"/>
          <w:szCs w:val="24"/>
        </w:rPr>
        <w:t xml:space="preserve"> argue that the development of BCIs like </w:t>
      </w:r>
      <w:proofErr w:type="spellStart"/>
      <w:r>
        <w:rPr>
          <w:rFonts w:ascii="Times New Roman" w:eastAsia="Times New Roman" w:hAnsi="Times New Roman" w:cs="Times New Roman"/>
          <w:sz w:val="24"/>
          <w:szCs w:val="24"/>
        </w:rPr>
        <w:t>Neuralink</w:t>
      </w:r>
      <w:proofErr w:type="spellEnd"/>
      <w:r>
        <w:rPr>
          <w:rFonts w:ascii="Times New Roman" w:eastAsia="Times New Roman" w:hAnsi="Times New Roman" w:cs="Times New Roman"/>
          <w:sz w:val="24"/>
          <w:szCs w:val="24"/>
        </w:rPr>
        <w:t xml:space="preserve"> raises important philosophical questions about the nature of consciousness, personal identity, and the boundary between human and machine cognition. They suggest that as these technologies advance, they may challenge our intuitive notions of what it means to be human and force us to reconsider traditional conceptions of the self. Schneider and </w:t>
      </w:r>
      <w:proofErr w:type="spellStart"/>
      <w:r>
        <w:rPr>
          <w:rFonts w:ascii="Times New Roman" w:eastAsia="Times New Roman" w:hAnsi="Times New Roman" w:cs="Times New Roman"/>
          <w:sz w:val="24"/>
          <w:szCs w:val="24"/>
        </w:rPr>
        <w:t>Mandik</w:t>
      </w:r>
      <w:proofErr w:type="spellEnd"/>
      <w:r>
        <w:rPr>
          <w:rFonts w:ascii="Times New Roman" w:eastAsia="Times New Roman" w:hAnsi="Times New Roman" w:cs="Times New Roman"/>
          <w:sz w:val="24"/>
          <w:szCs w:val="24"/>
        </w:rPr>
        <w:t xml:space="preserve"> propose that the integration of BCIs could lead to the emergence of new forms of hybrid cognition, blurring the lines between human and machine intelligence. They argue that this development may require us to expand our conception of what constitutes a "mind" and reconsider the ethical status and rights we assign to cognitively enhanced beings. As with the issue of genetic enhancements, the prospect of a subclass of humans based on cognitive ability calls for ethical deliberation. </w:t>
      </w:r>
    </w:p>
    <w:p w14:paraId="0000007E"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rPr>
        <w:tab/>
        <w:t xml:space="preserve">The development of technologies for human enhancement, whether genetic engineering or brain-computer interfaces, raises profound ethical questions about equality, justice, the nature of the self, and what it means to be human. </w:t>
      </w:r>
      <w:r>
        <w:rPr>
          <w:rFonts w:ascii="Times New Roman" w:eastAsia="Times New Roman" w:hAnsi="Times New Roman" w:cs="Times New Roman"/>
          <w:color w:val="0D0D0D"/>
          <w:sz w:val="24"/>
          <w:szCs w:val="24"/>
          <w:highlight w:val="white"/>
        </w:rPr>
        <w:t xml:space="preserve">The concept of equality is central in these discussions, as advancements in human enhancement technologies have the potential to exacerbate existing social disparities if access is limited to privileged individuals or groups. Questions of justice emerge as we grapple with the equitable distribution of these technologies and the implications for marginalized communities who may be left behind in the pursuit of enhancement. Moreover, the very notion of the self is challenged by the prospect of genetic and cognitive modifications. The anticipation of brain-computer interfaces forces us to reconsider traditional conceptions of personal identity and consciousness. If our cognitive abilities can be enhanced through technological means, does this alter our fundamental understanding of what it means to be human? </w:t>
      </w:r>
    </w:p>
    <w:p w14:paraId="0000007F" w14:textId="4CB04F93" w:rsidR="00634184"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lastRenderedPageBreak/>
        <w:t>As we have seen throughout this essay, modern humanity is likely the result of the long</w:t>
      </w:r>
      <w:r w:rsidR="006425F8">
        <w:rPr>
          <w:rFonts w:ascii="Times New Roman" w:eastAsia="Times New Roman" w:hAnsi="Times New Roman" w:cs="Times New Roman"/>
          <w:color w:val="0D0D0D"/>
          <w:sz w:val="24"/>
          <w:szCs w:val="24"/>
          <w:highlight w:val="white"/>
        </w:rPr>
        <w:t>-standing</w:t>
      </w:r>
      <w:r>
        <w:rPr>
          <w:rFonts w:ascii="Times New Roman" w:eastAsia="Times New Roman" w:hAnsi="Times New Roman" w:cs="Times New Roman"/>
          <w:color w:val="0D0D0D"/>
          <w:sz w:val="24"/>
          <w:szCs w:val="24"/>
          <w:highlight w:val="white"/>
        </w:rPr>
        <w:t xml:space="preserve"> relationship we have had with technology, but such a significant and sudden change to how we perceive and interact with the world is sure to create a technological fusion that we may never be able to come back from. Widespread societal dependence on technology has made it so that m</w:t>
      </w:r>
      <w:r w:rsidR="00603125">
        <w:rPr>
          <w:rFonts w:ascii="Times New Roman" w:eastAsia="Times New Roman" w:hAnsi="Times New Roman" w:cs="Times New Roman"/>
          <w:color w:val="0D0D0D"/>
          <w:sz w:val="24"/>
          <w:szCs w:val="24"/>
          <w:highlight w:val="white"/>
        </w:rPr>
        <w:t>any</w:t>
      </w:r>
      <w:r>
        <w:rPr>
          <w:rFonts w:ascii="Times New Roman" w:eastAsia="Times New Roman" w:hAnsi="Times New Roman" w:cs="Times New Roman"/>
          <w:color w:val="0D0D0D"/>
          <w:sz w:val="24"/>
          <w:szCs w:val="24"/>
          <w:highlight w:val="white"/>
        </w:rPr>
        <w:t xml:space="preserve"> humans wouldn't be able to normally go about their days without things like smartphones, computers, or internet access. The rapid pace of technological advancement, particularly in the realm of human enhancement, raises profound questions about the trajectory of our evolution.</w:t>
      </w:r>
      <w:r>
        <w:rPr>
          <w:rFonts w:ascii="Roboto" w:eastAsia="Roboto" w:hAnsi="Roboto" w:cs="Roboto"/>
          <w:color w:val="0D0D0D"/>
          <w:sz w:val="24"/>
          <w:szCs w:val="24"/>
          <w:highlight w:val="white"/>
        </w:rPr>
        <w:t xml:space="preserve"> </w:t>
      </w:r>
      <w:r>
        <w:rPr>
          <w:rFonts w:ascii="Times New Roman" w:eastAsia="Times New Roman" w:hAnsi="Times New Roman" w:cs="Times New Roman"/>
          <w:color w:val="0D0D0D"/>
          <w:sz w:val="24"/>
          <w:szCs w:val="24"/>
          <w:highlight w:val="white"/>
        </w:rPr>
        <w:t>These questions become even more pressing when considering the potential for creating a new class of enhanced individuals, leading to a society divided along lines of cognitive and genetic superiority. The potential risks of these technologies must be thoroughly vetted through open dialogue between scientists, ethicists, and policymakers, with input from marginalized communities also being made a priority. Human enhancement technologies ought to be developed and implemented so that their potential positive effects can be felt by all individuals, regardless of their social category or background.</w:t>
      </w:r>
    </w:p>
    <w:p w14:paraId="00000080" w14:textId="77777777" w:rsidR="00634184" w:rsidRDefault="00000000">
      <w:pPr>
        <w:numPr>
          <w:ilvl w:val="0"/>
          <w:numId w:val="2"/>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Virtual </w:t>
      </w:r>
      <w:proofErr w:type="spellStart"/>
      <w:r>
        <w:rPr>
          <w:rFonts w:ascii="Times New Roman" w:eastAsia="Times New Roman" w:hAnsi="Times New Roman" w:cs="Times New Roman"/>
          <w:i/>
          <w:sz w:val="24"/>
          <w:szCs w:val="24"/>
        </w:rPr>
        <w:t>REALity</w:t>
      </w:r>
      <w:proofErr w:type="spellEnd"/>
    </w:p>
    <w:p w14:paraId="00000081"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rPr>
        <w:t xml:space="preserve">Virtual reality (VR) technologies are becoming more and more realistic with time, but what does this mean for the future of daily life? Japanese internet cafes offer a dystopic insight into this future reality. </w:t>
      </w:r>
      <w:r>
        <w:rPr>
          <w:rFonts w:ascii="Times New Roman" w:eastAsia="Times New Roman" w:hAnsi="Times New Roman" w:cs="Times New Roman"/>
          <w:color w:val="0D0D0D"/>
          <w:sz w:val="24"/>
          <w:szCs w:val="24"/>
          <w:highlight w:val="white"/>
        </w:rPr>
        <w:t xml:space="preserve">These cafes typically offer a wide range of services, including internet access, computer rental, and gaming facilities. However, concerns have been raised about the impact of excessive gaming on individuals' daily lives, particularly among younger demographics. For some individuals, spending excessive amounts of time in internet cafes can lead to social isolation, academic underachievement, and neglect of responsibilities. There have been reports of individuals, particularly young </w:t>
      </w:r>
      <w:proofErr w:type="gramStart"/>
      <w:r>
        <w:rPr>
          <w:rFonts w:ascii="Times New Roman" w:eastAsia="Times New Roman" w:hAnsi="Times New Roman" w:cs="Times New Roman"/>
          <w:color w:val="0D0D0D"/>
          <w:sz w:val="24"/>
          <w:szCs w:val="24"/>
          <w:highlight w:val="white"/>
        </w:rPr>
        <w:t>adults</w:t>
      </w:r>
      <w:proofErr w:type="gramEnd"/>
      <w:r>
        <w:rPr>
          <w:rFonts w:ascii="Times New Roman" w:eastAsia="Times New Roman" w:hAnsi="Times New Roman" w:cs="Times New Roman"/>
          <w:color w:val="0D0D0D"/>
          <w:sz w:val="24"/>
          <w:szCs w:val="24"/>
          <w:highlight w:val="white"/>
        </w:rPr>
        <w:t xml:space="preserve"> and adolescents, who spend significant </w:t>
      </w:r>
      <w:r>
        <w:rPr>
          <w:rFonts w:ascii="Times New Roman" w:eastAsia="Times New Roman" w:hAnsi="Times New Roman" w:cs="Times New Roman"/>
          <w:color w:val="0D0D0D"/>
          <w:sz w:val="24"/>
          <w:szCs w:val="24"/>
          <w:highlight w:val="white"/>
        </w:rPr>
        <w:lastRenderedPageBreak/>
        <w:t>portions of their day in internet cafes, neglecting school, work, and personal relationships. These individuals, often referred to as "NEETs" (Not in Education, Employment, or Training) or "hikikomori" (socially withdrawn individuals), may struggle with addiction to gaming and find solace in the virtual worlds offered by video games. This phenomenon has sparked discussions in Japan about the societal implications of excessive gaming and the need for greater support and intervention for individuals at risk of social withdrawal and gaming addiction.</w:t>
      </w:r>
      <w:r>
        <w:rPr>
          <w:rFonts w:ascii="Times New Roman" w:eastAsia="Times New Roman" w:hAnsi="Times New Roman" w:cs="Times New Roman"/>
          <w:color w:val="0D0D0D"/>
          <w:sz w:val="24"/>
          <w:szCs w:val="24"/>
          <w:highlight w:val="white"/>
          <w:vertAlign w:val="superscript"/>
        </w:rPr>
        <w:footnoteReference w:id="63"/>
      </w:r>
    </w:p>
    <w:p w14:paraId="00000082" w14:textId="7672D9FC"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David Chalmers, in his book </w:t>
      </w:r>
      <w:r w:rsidRPr="00603125">
        <w:rPr>
          <w:rFonts w:ascii="Times New Roman" w:eastAsia="Times New Roman" w:hAnsi="Times New Roman" w:cs="Times New Roman"/>
          <w:i/>
          <w:iCs/>
          <w:color w:val="0D0D0D"/>
          <w:sz w:val="24"/>
          <w:szCs w:val="24"/>
          <w:highlight w:val="white"/>
        </w:rPr>
        <w:t>Reality+: Virtual Worlds and the Problems of Philosophy</w:t>
      </w:r>
      <w:r>
        <w:rPr>
          <w:rFonts w:ascii="Times New Roman" w:eastAsia="Times New Roman" w:hAnsi="Times New Roman" w:cs="Times New Roman"/>
          <w:color w:val="0D0D0D"/>
          <w:sz w:val="24"/>
          <w:szCs w:val="24"/>
          <w:highlight w:val="white"/>
        </w:rPr>
        <w:t>, explores the philosophical implications of virtual reality and argues that virtual worlds can be considered genuine realities.</w:t>
      </w:r>
      <w:r>
        <w:rPr>
          <w:rFonts w:ascii="Times New Roman" w:eastAsia="Times New Roman" w:hAnsi="Times New Roman" w:cs="Times New Roman"/>
          <w:color w:val="0D0D0D"/>
          <w:sz w:val="24"/>
          <w:szCs w:val="24"/>
          <w:highlight w:val="white"/>
          <w:vertAlign w:val="superscript"/>
        </w:rPr>
        <w:footnoteReference w:id="64"/>
      </w:r>
      <w:r>
        <w:rPr>
          <w:rFonts w:ascii="Times New Roman" w:eastAsia="Times New Roman" w:hAnsi="Times New Roman" w:cs="Times New Roman"/>
          <w:color w:val="0D0D0D"/>
          <w:sz w:val="24"/>
          <w:szCs w:val="24"/>
          <w:highlight w:val="white"/>
        </w:rPr>
        <w:t xml:space="preserve"> Chalmers suggests that as VR technologies advance and become more immersive, the line between virtual and physical reality may cease to exist in an obvious sense. Chalmers argues that if VR experiences become indistinguishable from physical reality, individuals may begin to question which reality is "real" and which is a simulation. This existential uncertainty could lead to a sense of disconnection from the physical world and a preference for the virtual, as individuals may find the virtual world more rewarding than their physical reality. Furthermore, Chalmers raises concerns about the potential for VR addiction and the consequences of spending excessive amounts of time in virtual environments. If, however, virtual worlds are just as real as </w:t>
      </w:r>
      <w:r w:rsidR="002A2765">
        <w:rPr>
          <w:rFonts w:ascii="Times New Roman" w:eastAsia="Times New Roman" w:hAnsi="Times New Roman" w:cs="Times New Roman"/>
          <w:color w:val="0D0D0D"/>
          <w:sz w:val="24"/>
          <w:szCs w:val="24"/>
          <w:highlight w:val="white"/>
        </w:rPr>
        <w:t>non-virtual</w:t>
      </w:r>
      <w:r>
        <w:rPr>
          <w:rFonts w:ascii="Times New Roman" w:eastAsia="Times New Roman" w:hAnsi="Times New Roman" w:cs="Times New Roman"/>
          <w:color w:val="0D0D0D"/>
          <w:sz w:val="24"/>
          <w:szCs w:val="24"/>
          <w:highlight w:val="white"/>
        </w:rPr>
        <w:t xml:space="preserve"> worlds, how can this view be consolidated with the fact that virtual reality may lead humanity to completely abandon the world around them?</w:t>
      </w:r>
    </w:p>
    <w:p w14:paraId="00000083"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The phenomenon of excessive gaming and social withdrawal in Japan, as exemplified by the prevalence of NEETs and hikikomori, serves as a cautionary tale for the potential consequences of advanced virtual reality technologies. As VR becomes more immersive and </w:t>
      </w:r>
      <w:r>
        <w:rPr>
          <w:rFonts w:ascii="Times New Roman" w:eastAsia="Times New Roman" w:hAnsi="Times New Roman" w:cs="Times New Roman"/>
          <w:color w:val="0D0D0D"/>
          <w:sz w:val="24"/>
          <w:szCs w:val="24"/>
          <w:highlight w:val="white"/>
        </w:rPr>
        <w:lastRenderedPageBreak/>
        <w:t xml:space="preserve">indistinguishable from physical reality, the concerns raised by Chalmers become increasingly relevant. If individuals begin to perceive virtual worlds as genuine realities, the risk of addiction and disconnection from the physical world may escalate. The allure of a controllable, rewarding virtual environment could lead to a growing number of people neglecting their responsibilities and relationships in the physical world. However, if virtual worlds are indeed as real as non-virtual worlds, as Chalmers suggests, it raises a philosophical conundrum. On one hand, the authenticity of virtual experiences may validate the choice to spend more time in virtual environments. On the other hand, the potential for humanity to retract from the physical world in favor of virtual realities is a deeply concerning prospect. This dilemma showcases the need for a careful and nuanced approach to the development and use of VR technologies. Ultimately, the goal should be to harness the potential benefits of VR while mitigating the risks of addiction, social isolation, and disconnection from the physical world that sustains us. </w:t>
      </w:r>
    </w:p>
    <w:p w14:paraId="00000084" w14:textId="4EBBC4C0" w:rsidR="00634184" w:rsidRDefault="00000000">
      <w:pPr>
        <w:numPr>
          <w:ilvl w:val="0"/>
          <w:numId w:val="2"/>
        </w:num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Communication and </w:t>
      </w:r>
      <w:r w:rsidR="00A42119">
        <w:rPr>
          <w:rFonts w:ascii="Times New Roman" w:eastAsia="Times New Roman" w:hAnsi="Times New Roman" w:cs="Times New Roman"/>
          <w:i/>
          <w:sz w:val="24"/>
          <w:szCs w:val="24"/>
        </w:rPr>
        <w:t>R</w:t>
      </w:r>
      <w:r>
        <w:rPr>
          <w:rFonts w:ascii="Times New Roman" w:eastAsia="Times New Roman" w:hAnsi="Times New Roman" w:cs="Times New Roman"/>
          <w:i/>
          <w:sz w:val="24"/>
          <w:szCs w:val="24"/>
        </w:rPr>
        <w:t xml:space="preserve">elationships </w:t>
      </w:r>
    </w:p>
    <w:p w14:paraId="00000085" w14:textId="545355A6"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sz w:val="24"/>
          <w:szCs w:val="24"/>
        </w:rPr>
        <w:tab/>
        <w:t xml:space="preserve">People are more connected than ever before with the prevalence of mobile supercomputers that are connected to the world wide web. If this is truly the case, then why does it feel like a general sense of loneliness has come from this technology? This apparent contradiction leads to important questions about the impact of technology on our social lives and well-being. </w:t>
      </w:r>
      <w:r>
        <w:rPr>
          <w:rFonts w:ascii="Times New Roman" w:eastAsia="Times New Roman" w:hAnsi="Times New Roman" w:cs="Times New Roman"/>
          <w:color w:val="0D0D0D"/>
          <w:sz w:val="24"/>
          <w:szCs w:val="24"/>
          <w:highlight w:val="white"/>
        </w:rPr>
        <w:t>One explanation lies in the nature of digital interactions themselves. While technology enables us to communicate instantaneously with individuals across the globe, these interactions often lack the depth, intimacy, and authenticity characteristic of face-to-face encounters. Despite being constantly "connected" online to hundreds or thousands of “friends</w:t>
      </w:r>
      <w:r w:rsidR="00A42119">
        <w:rPr>
          <w:rFonts w:ascii="Times New Roman" w:eastAsia="Times New Roman" w:hAnsi="Times New Roman" w:cs="Times New Roman"/>
          <w:color w:val="0D0D0D"/>
          <w:sz w:val="24"/>
          <w:szCs w:val="24"/>
          <w:highlight w:val="white"/>
        </w:rPr>
        <w:t>,</w:t>
      </w:r>
      <w:r>
        <w:rPr>
          <w:rFonts w:ascii="Times New Roman" w:eastAsia="Times New Roman" w:hAnsi="Times New Roman" w:cs="Times New Roman"/>
          <w:color w:val="0D0D0D"/>
          <w:sz w:val="24"/>
          <w:szCs w:val="24"/>
          <w:highlight w:val="white"/>
        </w:rPr>
        <w:t xml:space="preserve">” the superficial element of technology-based relationships is undeniable. Additionally, the relentless barrage of notifications, messages, and updates from mobile phones can exacerbate </w:t>
      </w:r>
      <w:r>
        <w:rPr>
          <w:rFonts w:ascii="Times New Roman" w:eastAsia="Times New Roman" w:hAnsi="Times New Roman" w:cs="Times New Roman"/>
          <w:color w:val="0D0D0D"/>
          <w:sz w:val="24"/>
          <w:szCs w:val="24"/>
          <w:highlight w:val="white"/>
        </w:rPr>
        <w:lastRenderedPageBreak/>
        <w:t xml:space="preserve">feelings of overwhelm and cognitive overload, further distancing individuals. The ubiquity of digital devices has also contributed to the erosion of traditional social structures and in-person interactions. As people increasingly turn to screens for entertainment, communication, and information consumption, opportunities for genuine human connection and community engagement diminish. </w:t>
      </w:r>
    </w:p>
    <w:p w14:paraId="00000086"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ab/>
        <w:t>The prevalence of social media platforms, while ostensibly designed to facilitate connection, paradoxically stimulates feelings of inadequacy, comparison, and social isolation as individuals curate idealized versions of their lives for public consumption. One major issue is the way social media platforms operate. Companies like Facebook, Twitter, and Instagram are designed to capture and monetize our attention, effectively buying and selling our time.</w:t>
      </w:r>
      <w:r>
        <w:rPr>
          <w:rFonts w:ascii="Times New Roman" w:eastAsia="Times New Roman" w:hAnsi="Times New Roman" w:cs="Times New Roman"/>
          <w:color w:val="0D0D0D"/>
          <w:sz w:val="24"/>
          <w:szCs w:val="24"/>
          <w:highlight w:val="white"/>
          <w:vertAlign w:val="superscript"/>
        </w:rPr>
        <w:footnoteReference w:id="65"/>
      </w:r>
      <w:r>
        <w:rPr>
          <w:rFonts w:ascii="Times New Roman" w:eastAsia="Times New Roman" w:hAnsi="Times New Roman" w:cs="Times New Roman"/>
          <w:color w:val="0D0D0D"/>
          <w:sz w:val="24"/>
          <w:szCs w:val="24"/>
          <w:highlight w:val="white"/>
        </w:rPr>
        <w:t xml:space="preserve"> These platforms use algorithms to keep users engaged, often by showing them content that reinforces their existing beliefs and interests. This echo chamber effect can lead to a narrow, distorted view of the world and limit exposure to diverse perspectives. When individuals are exposed primarily to information and opinions that align with their existing beliefs, they may become more entrenched in their views. This can lead to increased polarization and a lack of common ground, making it difficult for people with differing opinions to engage in constructive dialogue and find compromises. Limiting exposure to diverse perspectives can make it harder for individuals to understand and empathize with those who have different experiences and viewpoints, contributing to social divisions and conflict.</w:t>
      </w:r>
    </w:p>
    <w:p w14:paraId="00000087"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ab/>
        <w:t xml:space="preserve">However, the advancement of communicative technology also presents opportunities to combat loneliness. For example, video chat platforms like Skype and Zoom have made it easier to maintain long-distance relationships and connect with loved ones who are far away. Online </w:t>
      </w:r>
      <w:r>
        <w:rPr>
          <w:rFonts w:ascii="Times New Roman" w:eastAsia="Times New Roman" w:hAnsi="Times New Roman" w:cs="Times New Roman"/>
          <w:color w:val="0D0D0D"/>
          <w:sz w:val="24"/>
          <w:szCs w:val="24"/>
          <w:highlight w:val="white"/>
        </w:rPr>
        <w:lastRenderedPageBreak/>
        <w:t>communities can provide a sense of belonging for individuals who may struggle to find like-minded people in their immediate surroundings. Dating apps provide new opportunities to find a potential partner. Looking to the future, the development of increasingly sophisticated communicative technologies may offer new ways to connect with others. For instance, advances in virtual and augmented reality could enable more immersive, lifelike interactions. Within the context of captivating environments, VR/AR platforms could facilitate more authentic and engaging social interactions and effectively transcend the limitations of traditional communication mediums.</w:t>
      </w:r>
    </w:p>
    <w:p w14:paraId="00000088" w14:textId="77777777"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ab/>
        <w:t xml:space="preserve">As we look to the future of communication, the development of BCIs holds the potential to revolutionize how we connect with each other and the world around us. The possibility of technology-mediated telepathy, allowing individuals to communicate thoughts and emotions directly, could fundamentally transform the nature of human relationships and social interactions. If realized, telepathic communication through BCIs could foster an intense sense of empathy and understanding among individuals. The ability to share thoughts, feelings, and experiences directly with others could break down barriers and create a deeper sense of connection and compassion. This heightened empathy would have far-reaching implications for social cohesion, conflict resolution, and collaboration, as individuals become more attuned to the perspectives and needs of others. The development of telepathic communication also raises important ethical questions and concerns. Issues of privacy, consent, and mental autonomy will need to be carefully considered as these technologies advance. Despite these challenges, the potential for BCIs to enhance human connection and empathy offers a compelling vision for the future of communication. </w:t>
      </w:r>
    </w:p>
    <w:p w14:paraId="00000089" w14:textId="1B79D1B4" w:rsidR="00634184" w:rsidRDefault="00000000">
      <w:pPr>
        <w:spacing w:line="480" w:lineRule="auto"/>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lastRenderedPageBreak/>
        <w:tab/>
        <w:t>While the advancement of communication technologies has undeniably brought people closer together in many ways, it has also contributed to the opposite. The superficial nature of many digital interactions, combined with the attention-grabbing algorithms of social media platforms, can create an echo chamber effect that limits exposure to diverse perspectives and erodes empathy.</w:t>
      </w:r>
      <w:r w:rsidR="00A42119">
        <w:rPr>
          <w:rFonts w:ascii="Times New Roman" w:eastAsia="Times New Roman" w:hAnsi="Times New Roman" w:cs="Times New Roman"/>
          <w:color w:val="0D0D0D"/>
          <w:sz w:val="24"/>
          <w:szCs w:val="24"/>
          <w:highlight w:val="white"/>
        </w:rPr>
        <w:t xml:space="preserve"> A</w:t>
      </w:r>
      <w:r>
        <w:rPr>
          <w:rFonts w:ascii="Times New Roman" w:eastAsia="Times New Roman" w:hAnsi="Times New Roman" w:cs="Times New Roman"/>
          <w:color w:val="0D0D0D"/>
          <w:sz w:val="24"/>
          <w:szCs w:val="24"/>
          <w:highlight w:val="white"/>
        </w:rPr>
        <w:t>s technology continues to evolve, there is hope for a future in which these challenges can be overcome. The development of more immersive and authentic communication mediums could help to bridge the gap between digital and face-to-face interactions. Moreover, the potential for brain-computer interfaces to enable telepathic communication holds the promise of creating a deeper sense of connection and understanding among individuals. While there are certainly ethical concerns to be addressed, the prospect of technology-mediated empathy is quite enticing. Perhaps this is the next phase of human advancement</w:t>
      </w:r>
      <w:r w:rsidR="00A42119">
        <w:rPr>
          <w:rFonts w:ascii="Times New Roman" w:eastAsia="Times New Roman" w:hAnsi="Times New Roman" w:cs="Times New Roman"/>
          <w:color w:val="0D0D0D"/>
          <w:sz w:val="24"/>
          <w:szCs w:val="24"/>
          <w:highlight w:val="white"/>
        </w:rPr>
        <w:t xml:space="preserve"> lies</w:t>
      </w:r>
      <w:r>
        <w:rPr>
          <w:rFonts w:ascii="Times New Roman" w:eastAsia="Times New Roman" w:hAnsi="Times New Roman" w:cs="Times New Roman"/>
          <w:color w:val="0D0D0D"/>
          <w:sz w:val="24"/>
          <w:szCs w:val="24"/>
          <w:highlight w:val="white"/>
        </w:rPr>
        <w:t xml:space="preserve"> in</w:t>
      </w:r>
      <w:r w:rsidR="00A42119">
        <w:rPr>
          <w:rFonts w:ascii="Times New Roman" w:eastAsia="Times New Roman" w:hAnsi="Times New Roman" w:cs="Times New Roman"/>
          <w:color w:val="0D0D0D"/>
          <w:sz w:val="24"/>
          <w:szCs w:val="24"/>
          <w:highlight w:val="white"/>
        </w:rPr>
        <w:t xml:space="preserve"> the evolution of</w:t>
      </w:r>
      <w:r>
        <w:rPr>
          <w:rFonts w:ascii="Times New Roman" w:eastAsia="Times New Roman" w:hAnsi="Times New Roman" w:cs="Times New Roman"/>
          <w:color w:val="0D0D0D"/>
          <w:sz w:val="24"/>
          <w:szCs w:val="24"/>
          <w:highlight w:val="white"/>
        </w:rPr>
        <w:t xml:space="preserve"> communicative capabilities. Language allows us to communicate with words, but there is something that gets lost in translation with this method. </w:t>
      </w:r>
    </w:p>
    <w:p w14:paraId="0000008A" w14:textId="187E2E58" w:rsidR="00634184" w:rsidRDefault="00F05C32" w:rsidP="00F05C32">
      <w:pPr>
        <w:spacing w:line="480" w:lineRule="auto"/>
        <w:ind w:firstLine="360"/>
        <w:rPr>
          <w:rFonts w:ascii="Times New Roman" w:eastAsia="Times New Roman" w:hAnsi="Times New Roman" w:cs="Times New Roman"/>
          <w:b/>
          <w:sz w:val="24"/>
          <w:szCs w:val="24"/>
        </w:rPr>
      </w:pPr>
      <w:r>
        <w:rPr>
          <w:rFonts w:ascii="Times New Roman" w:eastAsia="Times New Roman" w:hAnsi="Times New Roman" w:cs="Times New Roman"/>
          <w:color w:val="0D0D0D"/>
          <w:sz w:val="24"/>
          <w:szCs w:val="24"/>
          <w:highlight w:val="white"/>
        </w:rPr>
        <w:t>The significance of nonverbal cues often goes unrecognized in an age where digital communication prevails, potentially impeding emotional expression and depth of connection. The subtleties of tone, body language, and facial expressions often convey as much meaning as the words themselves, if not more. In a world increasingly dominated by digital communication, these nuances can be easily overlooked or misunderstood. Furthermore, the reliance on text-based communication can hinder emotional expression and depth of connection. Emojis and abbreviations may attempt to fill the gap, but they often fall short in capturing the complexity of human emotion.</w:t>
      </w:r>
      <w:r>
        <w:rPr>
          <w:rFonts w:ascii="Roboto" w:eastAsia="Roboto" w:hAnsi="Roboto" w:cs="Roboto"/>
          <w:color w:val="0D0D0D"/>
          <w:sz w:val="24"/>
          <w:szCs w:val="24"/>
          <w:highlight w:val="white"/>
        </w:rPr>
        <w:t xml:space="preserve"> </w:t>
      </w:r>
      <w:r>
        <w:rPr>
          <w:rFonts w:ascii="Times New Roman" w:eastAsia="Times New Roman" w:hAnsi="Times New Roman" w:cs="Times New Roman"/>
          <w:color w:val="0D0D0D"/>
          <w:sz w:val="24"/>
          <w:szCs w:val="24"/>
          <w:highlight w:val="white"/>
        </w:rPr>
        <w:t xml:space="preserve">While technology presents both challenges and opportunities for human connection, its ultimate impact depends on how we choose to wield it. </w:t>
      </w:r>
      <w:r w:rsidR="000A29A8">
        <w:rPr>
          <w:rFonts w:ascii="Times New Roman" w:eastAsia="Times New Roman" w:hAnsi="Times New Roman" w:cs="Times New Roman"/>
          <w:color w:val="0D0D0D"/>
          <w:sz w:val="24"/>
          <w:szCs w:val="24"/>
          <w:highlight w:val="white"/>
        </w:rPr>
        <w:t>If we can prioritize</w:t>
      </w:r>
      <w:r>
        <w:rPr>
          <w:rFonts w:ascii="Times New Roman" w:eastAsia="Times New Roman" w:hAnsi="Times New Roman" w:cs="Times New Roman"/>
          <w:color w:val="0D0D0D"/>
          <w:sz w:val="24"/>
          <w:szCs w:val="24"/>
          <w:highlight w:val="white"/>
        </w:rPr>
        <w:t xml:space="preserve"> </w:t>
      </w:r>
      <w:r>
        <w:rPr>
          <w:rFonts w:ascii="Times New Roman" w:eastAsia="Times New Roman" w:hAnsi="Times New Roman" w:cs="Times New Roman"/>
          <w:color w:val="0D0D0D"/>
          <w:sz w:val="24"/>
          <w:szCs w:val="24"/>
          <w:highlight w:val="white"/>
        </w:rPr>
        <w:lastRenderedPageBreak/>
        <w:t xml:space="preserve">authenticity, empathy, and inclusivity in our digital interactions, </w:t>
      </w:r>
      <w:r w:rsidR="000A29A8">
        <w:rPr>
          <w:rFonts w:ascii="Times New Roman" w:eastAsia="Times New Roman" w:hAnsi="Times New Roman" w:cs="Times New Roman"/>
          <w:color w:val="0D0D0D"/>
          <w:sz w:val="24"/>
          <w:szCs w:val="24"/>
          <w:highlight w:val="white"/>
        </w:rPr>
        <w:t xml:space="preserve">then </w:t>
      </w:r>
      <w:r>
        <w:rPr>
          <w:rFonts w:ascii="Times New Roman" w:eastAsia="Times New Roman" w:hAnsi="Times New Roman" w:cs="Times New Roman"/>
          <w:color w:val="0D0D0D"/>
          <w:sz w:val="24"/>
          <w:szCs w:val="24"/>
          <w:highlight w:val="white"/>
        </w:rPr>
        <w:t xml:space="preserve">we can harness the power of technology to bring us closer together rather than driving us further apart. </w:t>
      </w:r>
    </w:p>
    <w:p w14:paraId="0000008B" w14:textId="77777777" w:rsidR="00634184" w:rsidRDefault="00000000">
      <w:pPr>
        <w:numPr>
          <w:ilvl w:val="0"/>
          <w:numId w:val="6"/>
        </w:num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23A3A44D" w14:textId="77777777" w:rsidR="00053A03" w:rsidRDefault="00F05C32" w:rsidP="00053A03">
      <w:pPr>
        <w:spacing w:line="480" w:lineRule="auto"/>
        <w:ind w:firstLine="720"/>
        <w:rPr>
          <w:rFonts w:ascii="Times New Roman" w:eastAsia="Times New Roman" w:hAnsi="Times New Roman" w:cs="Times New Roman"/>
          <w:sz w:val="24"/>
          <w:szCs w:val="24"/>
        </w:rPr>
      </w:pPr>
      <w:r w:rsidRPr="00F05C32">
        <w:rPr>
          <w:rFonts w:ascii="Times New Roman" w:eastAsia="Times New Roman" w:hAnsi="Times New Roman" w:cs="Times New Roman"/>
          <w:sz w:val="24"/>
          <w:szCs w:val="24"/>
        </w:rPr>
        <w:t>In conclusion, the rapid advancements in technology and human enhancement have brought us to a pivotal moment in our evolutionary journey. As we stand on the precipice of a future where the boundaries between human and machine, natural and artificial, become increasingly blurred, it is cr</w:t>
      </w:r>
      <w:r>
        <w:rPr>
          <w:rFonts w:ascii="Times New Roman" w:eastAsia="Times New Roman" w:hAnsi="Times New Roman" w:cs="Times New Roman"/>
          <w:sz w:val="24"/>
          <w:szCs w:val="24"/>
        </w:rPr>
        <w:t>itical</w:t>
      </w:r>
      <w:r w:rsidRPr="00F05C32">
        <w:rPr>
          <w:rFonts w:ascii="Times New Roman" w:eastAsia="Times New Roman" w:hAnsi="Times New Roman" w:cs="Times New Roman"/>
          <w:sz w:val="24"/>
          <w:szCs w:val="24"/>
        </w:rPr>
        <w:t xml:space="preserve"> that we approach these developments with wisdom, foresight, and a deep respect for the power we wield.</w:t>
      </w:r>
      <w:r>
        <w:rPr>
          <w:rFonts w:ascii="Times New Roman" w:eastAsia="Times New Roman" w:hAnsi="Times New Roman" w:cs="Times New Roman"/>
          <w:sz w:val="24"/>
          <w:szCs w:val="24"/>
        </w:rPr>
        <w:t xml:space="preserve"> </w:t>
      </w:r>
      <w:r w:rsidRPr="00F05C32">
        <w:rPr>
          <w:rFonts w:ascii="Times New Roman" w:eastAsia="Times New Roman" w:hAnsi="Times New Roman" w:cs="Times New Roman"/>
          <w:sz w:val="24"/>
          <w:szCs w:val="24"/>
        </w:rPr>
        <w:t>Nick Bostrom's essay, "The Wisdom of Nature: An Evolutionary Heuristic for Human Enhancement," serves as a valuable guide in navigating this uncharted territory.</w:t>
      </w:r>
      <w:r>
        <w:rPr>
          <w:rStyle w:val="FootnoteReference"/>
          <w:rFonts w:ascii="Times New Roman" w:eastAsia="Times New Roman" w:hAnsi="Times New Roman" w:cs="Times New Roman"/>
          <w:sz w:val="24"/>
          <w:szCs w:val="24"/>
        </w:rPr>
        <w:footnoteReference w:id="66"/>
      </w:r>
      <w:r w:rsidRPr="00F05C32">
        <w:rPr>
          <w:rFonts w:ascii="Times New Roman" w:eastAsia="Times New Roman" w:hAnsi="Times New Roman" w:cs="Times New Roman"/>
          <w:sz w:val="24"/>
          <w:szCs w:val="24"/>
        </w:rPr>
        <w:t xml:space="preserve"> By looking to the lessons of nature and the principles that have shaped the evolution of life on Earth, we can seek to create a future where our technological progress is in harmony with the natural world and our own essential humanity.</w:t>
      </w:r>
      <w:r w:rsidR="00392979">
        <w:rPr>
          <w:rFonts w:ascii="Times New Roman" w:eastAsia="Times New Roman" w:hAnsi="Times New Roman" w:cs="Times New Roman"/>
          <w:sz w:val="24"/>
          <w:szCs w:val="24"/>
        </w:rPr>
        <w:t xml:space="preserve"> </w:t>
      </w:r>
      <w:r w:rsidR="00392979" w:rsidRPr="00F05C32">
        <w:rPr>
          <w:rFonts w:ascii="Times New Roman" w:eastAsia="Times New Roman" w:hAnsi="Times New Roman" w:cs="Times New Roman"/>
          <w:sz w:val="24"/>
          <w:szCs w:val="24"/>
        </w:rPr>
        <w:t>As we push the boundaries of scientific understanding, particularly in the realm of physics, we must also grapple with the philosophical implications of the limits of human knowledge</w:t>
      </w:r>
      <w:r w:rsidR="00392979">
        <w:rPr>
          <w:rFonts w:ascii="Times New Roman" w:eastAsia="Times New Roman" w:hAnsi="Times New Roman" w:cs="Times New Roman"/>
          <w:sz w:val="24"/>
          <w:szCs w:val="24"/>
        </w:rPr>
        <w:t xml:space="preserve">. </w:t>
      </w:r>
      <w:r w:rsidR="00392979" w:rsidRPr="00392979">
        <w:rPr>
          <w:rFonts w:ascii="Times New Roman" w:eastAsia="Times New Roman" w:hAnsi="Times New Roman" w:cs="Times New Roman"/>
          <w:sz w:val="24"/>
          <w:szCs w:val="24"/>
        </w:rPr>
        <w:t xml:space="preserve">The rapid advancement of technologies such as artificial intelligence, genetic engineering, and nanotechnology has the potential to fundamentally alter the human condition and even challenge our understanding of what it means to be human. </w:t>
      </w:r>
    </w:p>
    <w:p w14:paraId="2355B5BB" w14:textId="42523A69" w:rsidR="00392979" w:rsidRDefault="00F05C32" w:rsidP="00C0769C">
      <w:pPr>
        <w:spacing w:line="480" w:lineRule="auto"/>
        <w:ind w:firstLine="720"/>
        <w:rPr>
          <w:rFonts w:ascii="Times New Roman" w:eastAsia="Times New Roman" w:hAnsi="Times New Roman" w:cs="Times New Roman"/>
          <w:sz w:val="24"/>
          <w:szCs w:val="24"/>
        </w:rPr>
      </w:pPr>
      <w:r w:rsidRPr="00F05C32">
        <w:rPr>
          <w:rFonts w:ascii="Times New Roman" w:eastAsia="Times New Roman" w:hAnsi="Times New Roman" w:cs="Times New Roman"/>
          <w:sz w:val="24"/>
          <w:szCs w:val="24"/>
        </w:rPr>
        <w:t xml:space="preserve">The unpredictable nature of humanity's technological future </w:t>
      </w:r>
      <w:r w:rsidR="000A29A8">
        <w:rPr>
          <w:rFonts w:ascii="Times New Roman" w:eastAsia="Times New Roman" w:hAnsi="Times New Roman" w:cs="Times New Roman"/>
          <w:sz w:val="24"/>
          <w:szCs w:val="24"/>
        </w:rPr>
        <w:t>stresses</w:t>
      </w:r>
      <w:r>
        <w:rPr>
          <w:rFonts w:ascii="Times New Roman" w:eastAsia="Times New Roman" w:hAnsi="Times New Roman" w:cs="Times New Roman"/>
          <w:sz w:val="24"/>
          <w:szCs w:val="24"/>
        </w:rPr>
        <w:t xml:space="preserve"> </w:t>
      </w:r>
      <w:r w:rsidRPr="00F05C32">
        <w:rPr>
          <w:rFonts w:ascii="Times New Roman" w:eastAsia="Times New Roman" w:hAnsi="Times New Roman" w:cs="Times New Roman"/>
          <w:sz w:val="24"/>
          <w:szCs w:val="24"/>
        </w:rPr>
        <w:t>the importance of philosophy in guiding our relationship with technology and nature. By embracing the concept of the "Wisdom of Nature," we can strive to develop technologies that work in concert with the principles of the natural world, rather than against them.</w:t>
      </w:r>
      <w:r w:rsidR="00D04375">
        <w:rPr>
          <w:rFonts w:ascii="Times New Roman" w:eastAsia="Times New Roman" w:hAnsi="Times New Roman" w:cs="Times New Roman"/>
          <w:sz w:val="24"/>
          <w:szCs w:val="24"/>
        </w:rPr>
        <w:t xml:space="preserve"> When </w:t>
      </w:r>
      <w:r w:rsidR="00D04375" w:rsidRPr="00D04375">
        <w:rPr>
          <w:rFonts w:ascii="Times New Roman" w:eastAsia="Times New Roman" w:hAnsi="Times New Roman" w:cs="Times New Roman"/>
          <w:sz w:val="24"/>
          <w:szCs w:val="24"/>
        </w:rPr>
        <w:t>contemplat</w:t>
      </w:r>
      <w:r w:rsidR="00D04375">
        <w:rPr>
          <w:rFonts w:ascii="Times New Roman" w:eastAsia="Times New Roman" w:hAnsi="Times New Roman" w:cs="Times New Roman"/>
          <w:sz w:val="24"/>
          <w:szCs w:val="24"/>
        </w:rPr>
        <w:t>ing</w:t>
      </w:r>
      <w:r w:rsidR="00D04375" w:rsidRPr="00D04375">
        <w:rPr>
          <w:rFonts w:ascii="Times New Roman" w:eastAsia="Times New Roman" w:hAnsi="Times New Roman" w:cs="Times New Roman"/>
          <w:sz w:val="24"/>
          <w:szCs w:val="24"/>
        </w:rPr>
        <w:t xml:space="preserve"> </w:t>
      </w:r>
      <w:r w:rsidR="00D04375">
        <w:rPr>
          <w:rFonts w:ascii="Times New Roman" w:eastAsia="Times New Roman" w:hAnsi="Times New Roman" w:cs="Times New Roman"/>
          <w:sz w:val="24"/>
          <w:szCs w:val="24"/>
        </w:rPr>
        <w:t>the gap in intelligence seen on earth between human and animal</w:t>
      </w:r>
      <w:r w:rsidR="00D04375" w:rsidRPr="00D04375">
        <w:rPr>
          <w:rFonts w:ascii="Times New Roman" w:eastAsia="Times New Roman" w:hAnsi="Times New Roman" w:cs="Times New Roman"/>
          <w:sz w:val="24"/>
          <w:szCs w:val="24"/>
        </w:rPr>
        <w:t>, the</w:t>
      </w:r>
      <w:r w:rsidR="00D04375">
        <w:rPr>
          <w:rFonts w:ascii="Times New Roman" w:eastAsia="Times New Roman" w:hAnsi="Times New Roman" w:cs="Times New Roman"/>
          <w:sz w:val="24"/>
          <w:szCs w:val="24"/>
        </w:rPr>
        <w:t xml:space="preserve"> nearly non-existent</w:t>
      </w:r>
      <w:r w:rsidR="00D04375" w:rsidRPr="00D04375">
        <w:rPr>
          <w:rFonts w:ascii="Times New Roman" w:eastAsia="Times New Roman" w:hAnsi="Times New Roman" w:cs="Times New Roman"/>
          <w:sz w:val="24"/>
          <w:szCs w:val="24"/>
        </w:rPr>
        <w:t xml:space="preserve"> rights of non-</w:t>
      </w:r>
      <w:r w:rsidR="00D04375" w:rsidRPr="00D04375">
        <w:rPr>
          <w:rFonts w:ascii="Times New Roman" w:eastAsia="Times New Roman" w:hAnsi="Times New Roman" w:cs="Times New Roman"/>
          <w:sz w:val="24"/>
          <w:szCs w:val="24"/>
        </w:rPr>
        <w:lastRenderedPageBreak/>
        <w:t>human animals, and the potential existence of higher intelligence beyond Earth, we are reminded of the vast complexities and mysteries that still surround us</w:t>
      </w:r>
      <w:r w:rsidR="00392979">
        <w:rPr>
          <w:rFonts w:ascii="Times New Roman" w:eastAsia="Times New Roman" w:hAnsi="Times New Roman" w:cs="Times New Roman"/>
          <w:sz w:val="24"/>
          <w:szCs w:val="24"/>
        </w:rPr>
        <w:t xml:space="preserve"> and beckoned to question our place in the macrocosm.</w:t>
      </w:r>
      <w:r w:rsidR="00D04375" w:rsidRPr="00D04375">
        <w:rPr>
          <w:rFonts w:ascii="Times New Roman" w:eastAsia="Times New Roman" w:hAnsi="Times New Roman" w:cs="Times New Roman"/>
          <w:sz w:val="24"/>
          <w:szCs w:val="24"/>
        </w:rPr>
        <w:t xml:space="preserve"> </w:t>
      </w:r>
      <w:r w:rsidR="00C0769C">
        <w:rPr>
          <w:rFonts w:ascii="Times New Roman" w:eastAsia="Times New Roman" w:hAnsi="Times New Roman" w:cs="Times New Roman"/>
          <w:sz w:val="24"/>
          <w:szCs w:val="24"/>
        </w:rPr>
        <w:t xml:space="preserve">What are the goals of a human race that has cured every disease, ended poverty, and </w:t>
      </w:r>
      <w:r w:rsidR="009B49BD">
        <w:rPr>
          <w:rFonts w:ascii="Times New Roman" w:eastAsia="Times New Roman" w:hAnsi="Times New Roman" w:cs="Times New Roman"/>
          <w:sz w:val="24"/>
          <w:szCs w:val="24"/>
        </w:rPr>
        <w:t>gained</w:t>
      </w:r>
      <w:r w:rsidR="00C0769C">
        <w:rPr>
          <w:rFonts w:ascii="Times New Roman" w:eastAsia="Times New Roman" w:hAnsi="Times New Roman" w:cs="Times New Roman"/>
          <w:sz w:val="24"/>
          <w:szCs w:val="24"/>
        </w:rPr>
        <w:t xml:space="preserve"> a more complete understanding of the nature of reality (</w:t>
      </w:r>
      <w:r w:rsidR="009B49BD">
        <w:rPr>
          <w:rFonts w:ascii="Times New Roman" w:eastAsia="Times New Roman" w:hAnsi="Times New Roman" w:cs="Times New Roman"/>
          <w:sz w:val="24"/>
          <w:szCs w:val="24"/>
        </w:rPr>
        <w:t xml:space="preserve">all </w:t>
      </w:r>
      <w:r w:rsidR="00C0769C">
        <w:rPr>
          <w:rFonts w:ascii="Times New Roman" w:eastAsia="Times New Roman" w:hAnsi="Times New Roman" w:cs="Times New Roman"/>
          <w:sz w:val="24"/>
          <w:szCs w:val="24"/>
        </w:rPr>
        <w:t xml:space="preserve">most likely with the help of AI)? </w:t>
      </w:r>
      <w:r w:rsidR="00D04375">
        <w:rPr>
          <w:rFonts w:ascii="Times New Roman" w:eastAsia="Times New Roman" w:hAnsi="Times New Roman" w:cs="Times New Roman"/>
          <w:sz w:val="24"/>
          <w:szCs w:val="24"/>
        </w:rPr>
        <w:t xml:space="preserve">A </w:t>
      </w:r>
      <w:r w:rsidR="00D04375" w:rsidRPr="00D04375">
        <w:rPr>
          <w:rFonts w:ascii="Times New Roman" w:eastAsia="Times New Roman" w:hAnsi="Times New Roman" w:cs="Times New Roman"/>
          <w:sz w:val="24"/>
          <w:szCs w:val="24"/>
        </w:rPr>
        <w:t>humble and reverent approach to our technological advancement</w:t>
      </w:r>
      <w:r w:rsidR="00D04375">
        <w:rPr>
          <w:rFonts w:ascii="Times New Roman" w:eastAsia="Times New Roman" w:hAnsi="Times New Roman" w:cs="Times New Roman"/>
          <w:sz w:val="24"/>
          <w:szCs w:val="24"/>
        </w:rPr>
        <w:t xml:space="preserve"> is required</w:t>
      </w:r>
      <w:r w:rsidR="00D04375" w:rsidRPr="00D04375">
        <w:rPr>
          <w:rFonts w:ascii="Times New Roman" w:eastAsia="Times New Roman" w:hAnsi="Times New Roman" w:cs="Times New Roman"/>
          <w:sz w:val="24"/>
          <w:szCs w:val="24"/>
        </w:rPr>
        <w:t xml:space="preserve">, </w:t>
      </w:r>
      <w:r w:rsidR="00D04375">
        <w:rPr>
          <w:rFonts w:ascii="Times New Roman" w:eastAsia="Times New Roman" w:hAnsi="Times New Roman" w:cs="Times New Roman"/>
          <w:sz w:val="24"/>
          <w:szCs w:val="24"/>
        </w:rPr>
        <w:t xml:space="preserve">and in doing so we realize we </w:t>
      </w:r>
      <w:r w:rsidR="00D04375" w:rsidRPr="00D04375">
        <w:rPr>
          <w:rFonts w:ascii="Times New Roman" w:eastAsia="Times New Roman" w:hAnsi="Times New Roman" w:cs="Times New Roman"/>
          <w:sz w:val="24"/>
          <w:szCs w:val="24"/>
        </w:rPr>
        <w:t xml:space="preserve">are but one part of an intricate and interconnected </w:t>
      </w:r>
      <w:r w:rsidR="00053A03">
        <w:rPr>
          <w:rFonts w:ascii="Times New Roman" w:eastAsia="Times New Roman" w:hAnsi="Times New Roman" w:cs="Times New Roman"/>
          <w:sz w:val="24"/>
          <w:szCs w:val="24"/>
        </w:rPr>
        <w:t>tapestry of all living things</w:t>
      </w:r>
      <w:r w:rsidR="00D04375">
        <w:rPr>
          <w:rFonts w:ascii="Times New Roman" w:eastAsia="Times New Roman" w:hAnsi="Times New Roman" w:cs="Times New Roman"/>
          <w:sz w:val="24"/>
          <w:szCs w:val="24"/>
        </w:rPr>
        <w:t xml:space="preserve"> that may reach out far into the cosmos.</w:t>
      </w:r>
    </w:p>
    <w:p w14:paraId="026F4FA4" w14:textId="73B7EC05" w:rsidR="00F05C32" w:rsidRDefault="00392979" w:rsidP="00F05C32">
      <w:pPr>
        <w:spacing w:line="480" w:lineRule="auto"/>
        <w:ind w:firstLine="720"/>
        <w:rPr>
          <w:rFonts w:ascii="Times New Roman" w:eastAsia="Times New Roman" w:hAnsi="Times New Roman" w:cs="Times New Roman"/>
          <w:sz w:val="24"/>
          <w:szCs w:val="24"/>
        </w:rPr>
      </w:pPr>
      <w:r w:rsidRPr="00392979">
        <w:rPr>
          <w:rFonts w:ascii="Times New Roman" w:eastAsia="Times New Roman" w:hAnsi="Times New Roman" w:cs="Times New Roman"/>
          <w:sz w:val="24"/>
          <w:szCs w:val="24"/>
        </w:rPr>
        <w:t xml:space="preserve">Ultimately, the path forward lies in recognizing the profound spiritual dimension of our relationship with technology and nature. </w:t>
      </w:r>
      <w:r w:rsidR="000A29A8">
        <w:rPr>
          <w:rFonts w:ascii="Times New Roman" w:eastAsia="Times New Roman" w:hAnsi="Times New Roman" w:cs="Times New Roman"/>
          <w:sz w:val="24"/>
          <w:szCs w:val="24"/>
        </w:rPr>
        <w:t>W</w:t>
      </w:r>
      <w:r w:rsidRPr="00392979">
        <w:rPr>
          <w:rFonts w:ascii="Times New Roman" w:eastAsia="Times New Roman" w:hAnsi="Times New Roman" w:cs="Times New Roman"/>
          <w:sz w:val="24"/>
          <w:szCs w:val="24"/>
        </w:rPr>
        <w:t>e may gain a deeper understanding of our place in the universe and the responsibilities that come with our increasing technological power</w:t>
      </w:r>
      <w:r w:rsidR="000A29A8">
        <w:rPr>
          <w:rFonts w:ascii="Times New Roman" w:eastAsia="Times New Roman" w:hAnsi="Times New Roman" w:cs="Times New Roman"/>
          <w:sz w:val="24"/>
          <w:szCs w:val="24"/>
        </w:rPr>
        <w:t xml:space="preserve"> b</w:t>
      </w:r>
      <w:r w:rsidR="000A29A8" w:rsidRPr="00392979">
        <w:rPr>
          <w:rFonts w:ascii="Times New Roman" w:eastAsia="Times New Roman" w:hAnsi="Times New Roman" w:cs="Times New Roman"/>
          <w:sz w:val="24"/>
          <w:szCs w:val="24"/>
        </w:rPr>
        <w:t>y tapping into the transformative potential of practices like psychedelics and other forms of spiritual exploration</w:t>
      </w:r>
      <w:r w:rsidR="000A29A8">
        <w:rPr>
          <w:rFonts w:ascii="Times New Roman" w:eastAsia="Times New Roman" w:hAnsi="Times New Roman" w:cs="Times New Roman"/>
          <w:sz w:val="24"/>
          <w:szCs w:val="24"/>
        </w:rPr>
        <w:t xml:space="preserve"> like meditation</w:t>
      </w:r>
      <w:r w:rsidRPr="00392979">
        <w:rPr>
          <w:rFonts w:ascii="Times New Roman" w:eastAsia="Times New Roman" w:hAnsi="Times New Roman" w:cs="Times New Roman"/>
          <w:sz w:val="24"/>
          <w:szCs w:val="24"/>
        </w:rPr>
        <w:t>. Only by embracing a more integrative approach to our advancement, one that recognizes the complex interplay between technology, nature, and the human experience, can we hope to create a future that is sustainable, equitable, and truly fulfilling for all.</w:t>
      </w:r>
      <w:r w:rsidR="00D04375">
        <w:rPr>
          <w:rFonts w:ascii="Times New Roman" w:eastAsia="Times New Roman" w:hAnsi="Times New Roman" w:cs="Times New Roman"/>
          <w:sz w:val="24"/>
          <w:szCs w:val="24"/>
        </w:rPr>
        <w:t xml:space="preserve"> </w:t>
      </w:r>
      <w:r w:rsidRPr="00392979">
        <w:rPr>
          <w:rFonts w:ascii="Times New Roman" w:eastAsia="Times New Roman" w:hAnsi="Times New Roman" w:cs="Times New Roman"/>
          <w:sz w:val="24"/>
          <w:szCs w:val="24"/>
        </w:rPr>
        <w:t xml:space="preserve">As we stand at this critical juncture in our evolutionary history, let us draw upon the collective wisdom of humanity, the lessons of nature, and the insights of philosophy to chart a course towards a brighter tomorrow. </w:t>
      </w:r>
      <w:r w:rsidR="000A29A8">
        <w:rPr>
          <w:rFonts w:ascii="Times New Roman" w:eastAsia="Times New Roman" w:hAnsi="Times New Roman" w:cs="Times New Roman"/>
          <w:sz w:val="24"/>
          <w:szCs w:val="24"/>
        </w:rPr>
        <w:t>P</w:t>
      </w:r>
      <w:r w:rsidRPr="00392979">
        <w:rPr>
          <w:rFonts w:ascii="Times New Roman" w:eastAsia="Times New Roman" w:hAnsi="Times New Roman" w:cs="Times New Roman"/>
          <w:sz w:val="24"/>
          <w:szCs w:val="24"/>
        </w:rPr>
        <w:t>roceeding with humility, compassion, and a profound respect for the interconnectedness of all things</w:t>
      </w:r>
      <w:r w:rsidR="000A29A8">
        <w:rPr>
          <w:rFonts w:ascii="Times New Roman" w:eastAsia="Times New Roman" w:hAnsi="Times New Roman" w:cs="Times New Roman"/>
          <w:sz w:val="24"/>
          <w:szCs w:val="24"/>
        </w:rPr>
        <w:t xml:space="preserve"> may</w:t>
      </w:r>
      <w:r w:rsidRPr="00392979">
        <w:rPr>
          <w:rFonts w:ascii="Times New Roman" w:eastAsia="Times New Roman" w:hAnsi="Times New Roman" w:cs="Times New Roman"/>
          <w:sz w:val="24"/>
          <w:szCs w:val="24"/>
        </w:rPr>
        <w:t xml:space="preserve"> ensure that our technological progress is a force for good, uplifting not only ourselves but the entire web of life on Earth and beyond.</w:t>
      </w:r>
    </w:p>
    <w:p w14:paraId="31053EEF" w14:textId="77777777" w:rsidR="00460B13" w:rsidRDefault="00460B13">
      <w:pPr>
        <w:spacing w:line="480" w:lineRule="auto"/>
        <w:ind w:firstLine="720"/>
        <w:jc w:val="center"/>
        <w:rPr>
          <w:rFonts w:ascii="Times New Roman" w:eastAsia="Times New Roman" w:hAnsi="Times New Roman" w:cs="Times New Roman"/>
          <w:b/>
          <w:sz w:val="24"/>
          <w:szCs w:val="24"/>
        </w:rPr>
      </w:pPr>
    </w:p>
    <w:p w14:paraId="50029D50" w14:textId="77777777" w:rsidR="00460B13" w:rsidRDefault="00460B13">
      <w:pPr>
        <w:spacing w:line="480" w:lineRule="auto"/>
        <w:ind w:firstLine="720"/>
        <w:jc w:val="center"/>
        <w:rPr>
          <w:rFonts w:ascii="Times New Roman" w:eastAsia="Times New Roman" w:hAnsi="Times New Roman" w:cs="Times New Roman"/>
          <w:b/>
          <w:sz w:val="24"/>
          <w:szCs w:val="24"/>
        </w:rPr>
      </w:pPr>
    </w:p>
    <w:p w14:paraId="0EED9558" w14:textId="77777777" w:rsidR="00460B13" w:rsidRDefault="00460B13" w:rsidP="00C5218D">
      <w:pPr>
        <w:spacing w:line="480" w:lineRule="auto"/>
        <w:rPr>
          <w:rFonts w:ascii="Times New Roman" w:eastAsia="Times New Roman" w:hAnsi="Times New Roman" w:cs="Times New Roman"/>
          <w:b/>
          <w:sz w:val="24"/>
          <w:szCs w:val="24"/>
        </w:rPr>
      </w:pPr>
    </w:p>
    <w:p w14:paraId="0D842BEB" w14:textId="77777777" w:rsidR="00C5218D" w:rsidRDefault="00C5218D" w:rsidP="00C5218D">
      <w:pPr>
        <w:spacing w:line="480" w:lineRule="auto"/>
        <w:rPr>
          <w:rFonts w:ascii="Times New Roman" w:eastAsia="Times New Roman" w:hAnsi="Times New Roman" w:cs="Times New Roman"/>
          <w:b/>
          <w:sz w:val="24"/>
          <w:szCs w:val="24"/>
        </w:rPr>
      </w:pPr>
    </w:p>
    <w:p w14:paraId="00000097" w14:textId="1E611EF6" w:rsidR="00634184" w:rsidRDefault="00000000">
      <w:pPr>
        <w:spacing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Bibliography</w:t>
      </w:r>
    </w:p>
    <w:p w14:paraId="00000098"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Ambrose, Stanley H. "Paleolithic Technology and Human Evolution." </w:t>
      </w:r>
      <w:r>
        <w:rPr>
          <w:rFonts w:ascii="Times New Roman" w:eastAsia="Times New Roman" w:hAnsi="Times New Roman" w:cs="Times New Roman"/>
          <w:i/>
          <w:color w:val="0D0D0D"/>
          <w:sz w:val="24"/>
          <w:szCs w:val="24"/>
          <w:highlight w:val="white"/>
        </w:rPr>
        <w:t>Science</w:t>
      </w:r>
      <w:r>
        <w:rPr>
          <w:rFonts w:ascii="Times New Roman" w:eastAsia="Times New Roman" w:hAnsi="Times New Roman" w:cs="Times New Roman"/>
          <w:color w:val="0D0D0D"/>
          <w:sz w:val="24"/>
          <w:szCs w:val="24"/>
          <w:highlight w:val="white"/>
        </w:rPr>
        <w:t xml:space="preserve"> 291, no. 5509 (2001): 1748-1753. </w:t>
      </w:r>
      <w:hyperlink r:id="rId8">
        <w:r>
          <w:rPr>
            <w:rFonts w:ascii="Times New Roman" w:eastAsia="Times New Roman" w:hAnsi="Times New Roman" w:cs="Times New Roman"/>
            <w:color w:val="954F72"/>
            <w:sz w:val="24"/>
            <w:szCs w:val="24"/>
            <w:highlight w:val="white"/>
            <w:u w:val="single"/>
          </w:rPr>
          <w:t>https://doi.org/10.1126/science.1059487</w:t>
        </w:r>
      </w:hyperlink>
      <w:r>
        <w:rPr>
          <w:rFonts w:ascii="Times New Roman" w:eastAsia="Times New Roman" w:hAnsi="Times New Roman" w:cs="Times New Roman"/>
          <w:color w:val="0D0D0D"/>
          <w:sz w:val="24"/>
          <w:szCs w:val="24"/>
          <w:highlight w:val="white"/>
        </w:rPr>
        <w:t>.</w:t>
      </w:r>
    </w:p>
    <w:p w14:paraId="00000099"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Bostrom, Nick. </w:t>
      </w:r>
      <w:r>
        <w:rPr>
          <w:rFonts w:ascii="Times New Roman" w:eastAsia="Times New Roman" w:hAnsi="Times New Roman" w:cs="Times New Roman"/>
          <w:i/>
          <w:color w:val="0D0D0D"/>
          <w:sz w:val="24"/>
          <w:szCs w:val="24"/>
          <w:highlight w:val="white"/>
        </w:rPr>
        <w:t>Superintelligence: Paths, Dangers, Strategies.</w:t>
      </w:r>
      <w:r>
        <w:rPr>
          <w:rFonts w:ascii="Times New Roman" w:eastAsia="Times New Roman" w:hAnsi="Times New Roman" w:cs="Times New Roman"/>
          <w:color w:val="0D0D0D"/>
          <w:sz w:val="24"/>
          <w:szCs w:val="24"/>
          <w:highlight w:val="white"/>
        </w:rPr>
        <w:t xml:space="preserve"> Oxford: Oxford University Press, 2014.</w:t>
      </w:r>
    </w:p>
    <w:p w14:paraId="1B609994" w14:textId="2AA90914" w:rsidR="00F05C32" w:rsidRDefault="00F05C32">
      <w:pPr>
        <w:spacing w:line="480" w:lineRule="auto"/>
        <w:ind w:firstLine="720"/>
        <w:rPr>
          <w:rFonts w:ascii="Times New Roman" w:eastAsia="Times New Roman" w:hAnsi="Times New Roman" w:cs="Times New Roman"/>
          <w:color w:val="0D0D0D"/>
          <w:sz w:val="24"/>
          <w:szCs w:val="24"/>
          <w:highlight w:val="white"/>
        </w:rPr>
      </w:pPr>
      <w:r w:rsidRPr="00F05C32">
        <w:rPr>
          <w:rFonts w:ascii="Times New Roman" w:eastAsia="Times New Roman" w:hAnsi="Times New Roman" w:cs="Times New Roman"/>
          <w:color w:val="0D0D0D"/>
          <w:sz w:val="24"/>
          <w:szCs w:val="24"/>
        </w:rPr>
        <w:t xml:space="preserve">Bostrom, Nick. "The Wisdom of Nature: An Evolutionary Heuristic for Human Enhancement." In </w:t>
      </w:r>
      <w:r w:rsidRPr="00F05C32">
        <w:rPr>
          <w:rFonts w:ascii="Times New Roman" w:eastAsia="Times New Roman" w:hAnsi="Times New Roman" w:cs="Times New Roman"/>
          <w:i/>
          <w:iCs/>
          <w:color w:val="0D0D0D"/>
          <w:sz w:val="24"/>
          <w:szCs w:val="24"/>
        </w:rPr>
        <w:t>Human Enhancement</w:t>
      </w:r>
      <w:r w:rsidRPr="00F05C32">
        <w:rPr>
          <w:rFonts w:ascii="Times New Roman" w:eastAsia="Times New Roman" w:hAnsi="Times New Roman" w:cs="Times New Roman"/>
          <w:color w:val="0D0D0D"/>
          <w:sz w:val="24"/>
          <w:szCs w:val="24"/>
        </w:rPr>
        <w:t>, edited by Julian Savulescu and Nick Bostrom, 375-416. Oxford: Oxford University Press, 2009.</w:t>
      </w:r>
    </w:p>
    <w:p w14:paraId="0000009A"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Bostrom, Nick, and Eliezer </w:t>
      </w:r>
      <w:proofErr w:type="spellStart"/>
      <w:r>
        <w:rPr>
          <w:rFonts w:ascii="Times New Roman" w:eastAsia="Times New Roman" w:hAnsi="Times New Roman" w:cs="Times New Roman"/>
          <w:color w:val="0D0D0D"/>
          <w:sz w:val="24"/>
          <w:szCs w:val="24"/>
          <w:highlight w:val="white"/>
        </w:rPr>
        <w:t>Yudkowsky</w:t>
      </w:r>
      <w:proofErr w:type="spellEnd"/>
      <w:r>
        <w:rPr>
          <w:rFonts w:ascii="Times New Roman" w:eastAsia="Times New Roman" w:hAnsi="Times New Roman" w:cs="Times New Roman"/>
          <w:color w:val="0D0D0D"/>
          <w:sz w:val="24"/>
          <w:szCs w:val="24"/>
          <w:highlight w:val="white"/>
        </w:rPr>
        <w:t xml:space="preserve">. "The Ethics of Artificial Intelligence." In </w:t>
      </w:r>
      <w:r>
        <w:rPr>
          <w:rFonts w:ascii="Times New Roman" w:eastAsia="Times New Roman" w:hAnsi="Times New Roman" w:cs="Times New Roman"/>
          <w:i/>
          <w:color w:val="0D0D0D"/>
          <w:sz w:val="24"/>
          <w:szCs w:val="24"/>
          <w:highlight w:val="white"/>
        </w:rPr>
        <w:t>The Cambridge Handbook of Artificial Intelligence,</w:t>
      </w:r>
      <w:r>
        <w:rPr>
          <w:rFonts w:ascii="Times New Roman" w:eastAsia="Times New Roman" w:hAnsi="Times New Roman" w:cs="Times New Roman"/>
          <w:color w:val="0D0D0D"/>
          <w:sz w:val="24"/>
          <w:szCs w:val="24"/>
          <w:highlight w:val="white"/>
        </w:rPr>
        <w:t xml:space="preserve"> edited by Keith Frankish and William M. Ramsey, 316-334. Cambridge: Cambridge University Press, 2014.</w:t>
      </w:r>
    </w:p>
    <w:p w14:paraId="0000009B"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Brock, Dan W. "Is Selection of Children Wrong." In </w:t>
      </w:r>
      <w:r>
        <w:rPr>
          <w:rFonts w:ascii="Times New Roman" w:eastAsia="Times New Roman" w:hAnsi="Times New Roman" w:cs="Times New Roman"/>
          <w:i/>
          <w:color w:val="0D0D0D"/>
          <w:sz w:val="24"/>
          <w:szCs w:val="24"/>
          <w:highlight w:val="white"/>
        </w:rPr>
        <w:t>Human Enhancement,</w:t>
      </w:r>
      <w:r>
        <w:rPr>
          <w:rFonts w:ascii="Times New Roman" w:eastAsia="Times New Roman" w:hAnsi="Times New Roman" w:cs="Times New Roman"/>
          <w:color w:val="0D0D0D"/>
          <w:sz w:val="24"/>
          <w:szCs w:val="24"/>
          <w:highlight w:val="white"/>
        </w:rPr>
        <w:t xml:space="preserve"> edited by Nick Bostrom and Julian Savulescu, 251-276. Oxford: Oxford University Press, 2009.</w:t>
      </w:r>
    </w:p>
    <w:p w14:paraId="0000009C"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Callahan, Daniel. "Aging and the Ends of Medicine." </w:t>
      </w:r>
      <w:r>
        <w:rPr>
          <w:rFonts w:ascii="Times New Roman" w:eastAsia="Times New Roman" w:hAnsi="Times New Roman" w:cs="Times New Roman"/>
          <w:i/>
          <w:color w:val="0D0D0D"/>
          <w:sz w:val="24"/>
          <w:szCs w:val="24"/>
          <w:highlight w:val="white"/>
        </w:rPr>
        <w:t>Annals of the New York Academy of Sciences</w:t>
      </w:r>
      <w:r>
        <w:rPr>
          <w:rFonts w:ascii="Times New Roman" w:eastAsia="Times New Roman" w:hAnsi="Times New Roman" w:cs="Times New Roman"/>
          <w:color w:val="0D0D0D"/>
          <w:sz w:val="24"/>
          <w:szCs w:val="24"/>
          <w:highlight w:val="white"/>
        </w:rPr>
        <w:t xml:space="preserve"> 530, no. 1 (1988): 125-132. </w:t>
      </w:r>
      <w:hyperlink r:id="rId9">
        <w:r>
          <w:rPr>
            <w:rFonts w:ascii="Times New Roman" w:eastAsia="Times New Roman" w:hAnsi="Times New Roman" w:cs="Times New Roman"/>
            <w:color w:val="954F72"/>
            <w:sz w:val="24"/>
            <w:szCs w:val="24"/>
            <w:highlight w:val="white"/>
            <w:u w:val="single"/>
          </w:rPr>
          <w:t>https://doi.org/10.1111/j.1749-6632.1988.tb50853.x</w:t>
        </w:r>
      </w:hyperlink>
      <w:r>
        <w:rPr>
          <w:rFonts w:ascii="Times New Roman" w:eastAsia="Times New Roman" w:hAnsi="Times New Roman" w:cs="Times New Roman"/>
          <w:color w:val="0D0D0D"/>
          <w:sz w:val="24"/>
          <w:szCs w:val="24"/>
          <w:highlight w:val="white"/>
        </w:rPr>
        <w:t>.</w:t>
      </w:r>
    </w:p>
    <w:p w14:paraId="0000009D"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Chalmers, David J. </w:t>
      </w:r>
      <w:r>
        <w:rPr>
          <w:rFonts w:ascii="Times New Roman" w:eastAsia="Times New Roman" w:hAnsi="Times New Roman" w:cs="Times New Roman"/>
          <w:i/>
          <w:color w:val="0D0D0D"/>
          <w:sz w:val="24"/>
          <w:szCs w:val="24"/>
          <w:highlight w:val="white"/>
        </w:rPr>
        <w:t>Reality+: Virtual Worlds and the Problems of Philosophy.</w:t>
      </w:r>
      <w:r>
        <w:rPr>
          <w:rFonts w:ascii="Times New Roman" w:eastAsia="Times New Roman" w:hAnsi="Times New Roman" w:cs="Times New Roman"/>
          <w:color w:val="0D0D0D"/>
          <w:sz w:val="24"/>
          <w:szCs w:val="24"/>
          <w:highlight w:val="white"/>
        </w:rPr>
        <w:t xml:space="preserve"> New York: W. W. Norton &amp; Company, 2022.</w:t>
      </w:r>
    </w:p>
    <w:p w14:paraId="0000009E"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Chalmers, David J. "Facing Up to the Problem of Consciousness." </w:t>
      </w:r>
      <w:r>
        <w:rPr>
          <w:rFonts w:ascii="Times New Roman" w:eastAsia="Times New Roman" w:hAnsi="Times New Roman" w:cs="Times New Roman"/>
          <w:i/>
          <w:color w:val="0D0D0D"/>
          <w:sz w:val="24"/>
          <w:szCs w:val="24"/>
          <w:highlight w:val="white"/>
        </w:rPr>
        <w:t>Journal of Consciousness Studies</w:t>
      </w:r>
      <w:r>
        <w:rPr>
          <w:rFonts w:ascii="Times New Roman" w:eastAsia="Times New Roman" w:hAnsi="Times New Roman" w:cs="Times New Roman"/>
          <w:color w:val="0D0D0D"/>
          <w:sz w:val="24"/>
          <w:szCs w:val="24"/>
          <w:highlight w:val="white"/>
        </w:rPr>
        <w:t xml:space="preserve"> 2, no. 3 (1995): 200-219.</w:t>
      </w:r>
    </w:p>
    <w:p w14:paraId="0000009F"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Clark, Andy, and David Chalmers. "The Extended Mind." </w:t>
      </w:r>
      <w:r>
        <w:rPr>
          <w:rFonts w:ascii="Times New Roman" w:eastAsia="Times New Roman" w:hAnsi="Times New Roman" w:cs="Times New Roman"/>
          <w:i/>
          <w:color w:val="0D0D0D"/>
          <w:sz w:val="24"/>
          <w:szCs w:val="24"/>
          <w:highlight w:val="white"/>
        </w:rPr>
        <w:t>Analysis</w:t>
      </w:r>
      <w:r>
        <w:rPr>
          <w:rFonts w:ascii="Times New Roman" w:eastAsia="Times New Roman" w:hAnsi="Times New Roman" w:cs="Times New Roman"/>
          <w:color w:val="0D0D0D"/>
          <w:sz w:val="24"/>
          <w:szCs w:val="24"/>
          <w:highlight w:val="white"/>
        </w:rPr>
        <w:t xml:space="preserve"> 58, no. 1 (1998): 7-19.</w:t>
      </w:r>
    </w:p>
    <w:p w14:paraId="000000A0"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proofErr w:type="spellStart"/>
      <w:r>
        <w:rPr>
          <w:rFonts w:ascii="Times New Roman" w:eastAsia="Times New Roman" w:hAnsi="Times New Roman" w:cs="Times New Roman"/>
          <w:color w:val="0D0D0D"/>
          <w:sz w:val="24"/>
          <w:szCs w:val="24"/>
          <w:highlight w:val="white"/>
        </w:rPr>
        <w:lastRenderedPageBreak/>
        <w:t>Corballis</w:t>
      </w:r>
      <w:proofErr w:type="spellEnd"/>
      <w:r>
        <w:rPr>
          <w:rFonts w:ascii="Times New Roman" w:eastAsia="Times New Roman" w:hAnsi="Times New Roman" w:cs="Times New Roman"/>
          <w:color w:val="0D0D0D"/>
          <w:sz w:val="24"/>
          <w:szCs w:val="24"/>
          <w:highlight w:val="white"/>
        </w:rPr>
        <w:t xml:space="preserve">, Michael C. “From mouth to hand: gesture, speech, and the evolution of right-handedness.” </w:t>
      </w:r>
      <w:r>
        <w:rPr>
          <w:rFonts w:ascii="Times New Roman" w:eastAsia="Times New Roman" w:hAnsi="Times New Roman" w:cs="Times New Roman"/>
          <w:i/>
          <w:color w:val="0D0D0D"/>
          <w:sz w:val="24"/>
          <w:szCs w:val="24"/>
          <w:highlight w:val="white"/>
        </w:rPr>
        <w:t>Behavioral and Brain Sciences</w:t>
      </w:r>
      <w:r>
        <w:rPr>
          <w:rFonts w:ascii="Times New Roman" w:eastAsia="Times New Roman" w:hAnsi="Times New Roman" w:cs="Times New Roman"/>
          <w:color w:val="0D0D0D"/>
          <w:sz w:val="24"/>
          <w:szCs w:val="24"/>
          <w:highlight w:val="white"/>
        </w:rPr>
        <w:t xml:space="preserve"> 26, no. 2 (2003): 199–260. </w:t>
      </w:r>
      <w:hyperlink r:id="rId10">
        <w:r>
          <w:rPr>
            <w:rFonts w:ascii="Times New Roman" w:eastAsia="Times New Roman" w:hAnsi="Times New Roman" w:cs="Times New Roman"/>
            <w:color w:val="954F72"/>
            <w:sz w:val="24"/>
            <w:szCs w:val="24"/>
            <w:highlight w:val="white"/>
            <w:u w:val="single"/>
          </w:rPr>
          <w:t>https://doi.org/10.1017/s0140525x03000062</w:t>
        </w:r>
      </w:hyperlink>
      <w:r>
        <w:rPr>
          <w:rFonts w:ascii="Times New Roman" w:eastAsia="Times New Roman" w:hAnsi="Times New Roman" w:cs="Times New Roman"/>
          <w:color w:val="0D0D0D"/>
          <w:sz w:val="24"/>
          <w:szCs w:val="24"/>
          <w:highlight w:val="white"/>
        </w:rPr>
        <w:t>.</w:t>
      </w:r>
    </w:p>
    <w:p w14:paraId="000000A1"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Credit Suisse Research Institute. "Global Wealth Report 2021." Credit Suisse, June 2021. </w:t>
      </w:r>
      <w:hyperlink r:id="rId11">
        <w:r>
          <w:rPr>
            <w:rFonts w:ascii="Times New Roman" w:eastAsia="Times New Roman" w:hAnsi="Times New Roman" w:cs="Times New Roman"/>
            <w:color w:val="954F72"/>
            <w:sz w:val="24"/>
            <w:szCs w:val="24"/>
            <w:highlight w:val="white"/>
            <w:u w:val="single"/>
          </w:rPr>
          <w:t>https://www.credit-suisse.com/media/assets/corporate/docs/about-us/research/publications/global-wealth-report-2021-en.pdf</w:t>
        </w:r>
      </w:hyperlink>
      <w:r>
        <w:rPr>
          <w:rFonts w:ascii="Times New Roman" w:eastAsia="Times New Roman" w:hAnsi="Times New Roman" w:cs="Times New Roman"/>
          <w:color w:val="0D0D0D"/>
          <w:sz w:val="24"/>
          <w:szCs w:val="24"/>
          <w:highlight w:val="white"/>
        </w:rPr>
        <w:t>.</w:t>
      </w:r>
    </w:p>
    <w:p w14:paraId="000000A2"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Dawkins, Richard. </w:t>
      </w:r>
      <w:r>
        <w:rPr>
          <w:rFonts w:ascii="Times New Roman" w:eastAsia="Times New Roman" w:hAnsi="Times New Roman" w:cs="Times New Roman"/>
          <w:i/>
          <w:color w:val="0D0D0D"/>
          <w:sz w:val="24"/>
          <w:szCs w:val="24"/>
          <w:highlight w:val="white"/>
        </w:rPr>
        <w:t>The Blind Watchmaker: Why the Evidence of Evolution Reveals a Universe Without Design.</w:t>
      </w:r>
      <w:r>
        <w:rPr>
          <w:rFonts w:ascii="Times New Roman" w:eastAsia="Times New Roman" w:hAnsi="Times New Roman" w:cs="Times New Roman"/>
          <w:color w:val="0D0D0D"/>
          <w:sz w:val="24"/>
          <w:szCs w:val="24"/>
          <w:highlight w:val="white"/>
        </w:rPr>
        <w:t xml:space="preserve"> New York: W. W. Norton &amp; Company, 1986.</w:t>
      </w:r>
    </w:p>
    <w:p w14:paraId="000000A3"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proofErr w:type="spellStart"/>
      <w:r>
        <w:rPr>
          <w:rFonts w:ascii="Times New Roman" w:eastAsia="Times New Roman" w:hAnsi="Times New Roman" w:cs="Times New Roman"/>
          <w:color w:val="0D0D0D"/>
          <w:sz w:val="24"/>
          <w:szCs w:val="24"/>
          <w:highlight w:val="white"/>
        </w:rPr>
        <w:t>Duboust</w:t>
      </w:r>
      <w:proofErr w:type="spellEnd"/>
      <w:r>
        <w:rPr>
          <w:rFonts w:ascii="Times New Roman" w:eastAsia="Times New Roman" w:hAnsi="Times New Roman" w:cs="Times New Roman"/>
          <w:color w:val="0D0D0D"/>
          <w:sz w:val="24"/>
          <w:szCs w:val="24"/>
          <w:highlight w:val="white"/>
        </w:rPr>
        <w:t xml:space="preserve">, </w:t>
      </w:r>
      <w:proofErr w:type="spellStart"/>
      <w:r>
        <w:rPr>
          <w:rFonts w:ascii="Times New Roman" w:eastAsia="Times New Roman" w:hAnsi="Times New Roman" w:cs="Times New Roman"/>
          <w:color w:val="0D0D0D"/>
          <w:sz w:val="24"/>
          <w:szCs w:val="24"/>
          <w:highlight w:val="white"/>
        </w:rPr>
        <w:t>Oceane</w:t>
      </w:r>
      <w:proofErr w:type="spellEnd"/>
      <w:r>
        <w:rPr>
          <w:rFonts w:ascii="Times New Roman" w:eastAsia="Times New Roman" w:hAnsi="Times New Roman" w:cs="Times New Roman"/>
          <w:color w:val="0D0D0D"/>
          <w:sz w:val="24"/>
          <w:szCs w:val="24"/>
          <w:highlight w:val="white"/>
        </w:rPr>
        <w:t xml:space="preserve">. "Elon Musk predicts AI will overtake humans to the point that 'biological intelligence will be 1%'." </w:t>
      </w:r>
      <w:proofErr w:type="spellStart"/>
      <w:r>
        <w:rPr>
          <w:rFonts w:ascii="Times New Roman" w:eastAsia="Times New Roman" w:hAnsi="Times New Roman" w:cs="Times New Roman"/>
          <w:i/>
          <w:color w:val="0D0D0D"/>
          <w:sz w:val="24"/>
          <w:szCs w:val="24"/>
          <w:highlight w:val="white"/>
        </w:rPr>
        <w:t>Euronews</w:t>
      </w:r>
      <w:proofErr w:type="spellEnd"/>
      <w:r>
        <w:rPr>
          <w:rFonts w:ascii="Times New Roman" w:eastAsia="Times New Roman" w:hAnsi="Times New Roman" w:cs="Times New Roman"/>
          <w:i/>
          <w:color w:val="0D0D0D"/>
          <w:sz w:val="24"/>
          <w:szCs w:val="24"/>
          <w:highlight w:val="white"/>
        </w:rPr>
        <w:t xml:space="preserve"> Next.</w:t>
      </w:r>
      <w:r>
        <w:rPr>
          <w:rFonts w:ascii="Times New Roman" w:eastAsia="Times New Roman" w:hAnsi="Times New Roman" w:cs="Times New Roman"/>
          <w:color w:val="0D0D0D"/>
          <w:sz w:val="24"/>
          <w:szCs w:val="24"/>
          <w:highlight w:val="white"/>
        </w:rPr>
        <w:t xml:space="preserve"> Accessed May 10, 2024. </w:t>
      </w:r>
      <w:hyperlink r:id="rId12" w:anchor=":~:text=Elon%20Musk%20predicts%20that%20artificial,less%20than%201%20per%20cent%22">
        <w:r>
          <w:rPr>
            <w:rFonts w:ascii="Times New Roman" w:eastAsia="Times New Roman" w:hAnsi="Times New Roman" w:cs="Times New Roman"/>
            <w:color w:val="954F72"/>
            <w:sz w:val="24"/>
            <w:szCs w:val="24"/>
            <w:highlight w:val="white"/>
            <w:u w:val="single"/>
          </w:rPr>
          <w:t>https://www.euronews.com/next/2024/05/10/elon-musk-predicts-ai-will-overtake-humans-to-the-point-that-biological-intelligence-will-#:~:text=Elon%20Musk%20predicts%20that%20artificial,less%20than%201%20per%20cent%22</w:t>
        </w:r>
      </w:hyperlink>
      <w:r>
        <w:rPr>
          <w:rFonts w:ascii="Times New Roman" w:eastAsia="Times New Roman" w:hAnsi="Times New Roman" w:cs="Times New Roman"/>
          <w:color w:val="0D0D0D"/>
          <w:sz w:val="24"/>
          <w:szCs w:val="24"/>
          <w:highlight w:val="white"/>
        </w:rPr>
        <w:t>.</w:t>
      </w:r>
    </w:p>
    <w:p w14:paraId="000000A4"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Dunbar, Robin I. M. "How Conversations Around Campfires Came to Be." </w:t>
      </w:r>
      <w:r>
        <w:rPr>
          <w:rFonts w:ascii="Times New Roman" w:eastAsia="Times New Roman" w:hAnsi="Times New Roman" w:cs="Times New Roman"/>
          <w:i/>
          <w:color w:val="0D0D0D"/>
          <w:sz w:val="24"/>
          <w:szCs w:val="24"/>
          <w:highlight w:val="white"/>
        </w:rPr>
        <w:t>Proceedings of the National Academy of Sciences</w:t>
      </w:r>
      <w:r>
        <w:rPr>
          <w:rFonts w:ascii="Times New Roman" w:eastAsia="Times New Roman" w:hAnsi="Times New Roman" w:cs="Times New Roman"/>
          <w:color w:val="0D0D0D"/>
          <w:sz w:val="24"/>
          <w:szCs w:val="24"/>
          <w:highlight w:val="white"/>
        </w:rPr>
        <w:t xml:space="preserve"> 111, no. 39 (2014): 14013-14014. </w:t>
      </w:r>
      <w:hyperlink r:id="rId13">
        <w:r>
          <w:rPr>
            <w:rFonts w:ascii="Times New Roman" w:eastAsia="Times New Roman" w:hAnsi="Times New Roman" w:cs="Times New Roman"/>
            <w:color w:val="954F72"/>
            <w:sz w:val="24"/>
            <w:szCs w:val="24"/>
            <w:highlight w:val="white"/>
            <w:u w:val="single"/>
          </w:rPr>
          <w:t>https://doi.org/10.1073/pnas.1416382111</w:t>
        </w:r>
      </w:hyperlink>
      <w:r>
        <w:rPr>
          <w:rFonts w:ascii="Times New Roman" w:eastAsia="Times New Roman" w:hAnsi="Times New Roman" w:cs="Times New Roman"/>
          <w:color w:val="0D0D0D"/>
          <w:sz w:val="24"/>
          <w:szCs w:val="24"/>
          <w:highlight w:val="white"/>
        </w:rPr>
        <w:t>.</w:t>
      </w:r>
    </w:p>
    <w:p w14:paraId="000000A5"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Eisenhower, Dwight D. "Farewell Radio and Television Address to the American People." January 17, 1961. In </w:t>
      </w:r>
      <w:r>
        <w:rPr>
          <w:rFonts w:ascii="Times New Roman" w:eastAsia="Times New Roman" w:hAnsi="Times New Roman" w:cs="Times New Roman"/>
          <w:i/>
          <w:color w:val="0D0D0D"/>
          <w:sz w:val="24"/>
          <w:szCs w:val="24"/>
          <w:highlight w:val="white"/>
        </w:rPr>
        <w:t>Public Papers of the Presidents, Dwight D. Eisenhower, 1960-61,</w:t>
      </w:r>
      <w:r>
        <w:rPr>
          <w:rFonts w:ascii="Times New Roman" w:eastAsia="Times New Roman" w:hAnsi="Times New Roman" w:cs="Times New Roman"/>
          <w:color w:val="0D0D0D"/>
          <w:sz w:val="24"/>
          <w:szCs w:val="24"/>
          <w:highlight w:val="white"/>
        </w:rPr>
        <w:t xml:space="preserve"> 1035-1040. Washington, D.C.: Government Printing Office, 1961.</w:t>
      </w:r>
    </w:p>
    <w:p w14:paraId="000000A6"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Gowlett, J. A. J. "The Discovery of Fire by Humans: A Long and Convoluted Process." </w:t>
      </w:r>
      <w:r>
        <w:rPr>
          <w:rFonts w:ascii="Times New Roman" w:eastAsia="Times New Roman" w:hAnsi="Times New Roman" w:cs="Times New Roman"/>
          <w:i/>
          <w:color w:val="0D0D0D"/>
          <w:sz w:val="24"/>
          <w:szCs w:val="24"/>
          <w:highlight w:val="white"/>
        </w:rPr>
        <w:t>Philosophical Transactions of the Royal Society B: Biological Sciences</w:t>
      </w:r>
      <w:r>
        <w:rPr>
          <w:rFonts w:ascii="Times New Roman" w:eastAsia="Times New Roman" w:hAnsi="Times New Roman" w:cs="Times New Roman"/>
          <w:color w:val="0D0D0D"/>
          <w:sz w:val="24"/>
          <w:szCs w:val="24"/>
          <w:highlight w:val="white"/>
        </w:rPr>
        <w:t xml:space="preserve"> 371, no. 1696 (2016): 20150164. </w:t>
      </w:r>
      <w:hyperlink r:id="rId14">
        <w:r>
          <w:rPr>
            <w:rFonts w:ascii="Times New Roman" w:eastAsia="Times New Roman" w:hAnsi="Times New Roman" w:cs="Times New Roman"/>
            <w:color w:val="954F72"/>
            <w:sz w:val="24"/>
            <w:szCs w:val="24"/>
            <w:highlight w:val="white"/>
            <w:u w:val="single"/>
          </w:rPr>
          <w:t>http://dx.doi.org/10.1098/rstb.2015.0164</w:t>
        </w:r>
      </w:hyperlink>
      <w:r>
        <w:rPr>
          <w:rFonts w:ascii="Times New Roman" w:eastAsia="Times New Roman" w:hAnsi="Times New Roman" w:cs="Times New Roman"/>
          <w:color w:val="0D0D0D"/>
          <w:sz w:val="24"/>
          <w:szCs w:val="24"/>
          <w:highlight w:val="white"/>
        </w:rPr>
        <w:t>.</w:t>
      </w:r>
    </w:p>
    <w:p w14:paraId="000000A7"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lastRenderedPageBreak/>
        <w:t xml:space="preserve">Greenfield, Patricia M. “Language, Tools and Brain: The Ontogeny and Phylogeny of Hierarchically Organized Sequential Behavior.” </w:t>
      </w:r>
      <w:r>
        <w:rPr>
          <w:rFonts w:ascii="Times New Roman" w:eastAsia="Times New Roman" w:hAnsi="Times New Roman" w:cs="Times New Roman"/>
          <w:i/>
          <w:color w:val="0D0D0D"/>
          <w:sz w:val="24"/>
          <w:szCs w:val="24"/>
          <w:highlight w:val="white"/>
        </w:rPr>
        <w:t>Behavioral and Brain Sciences</w:t>
      </w:r>
      <w:r>
        <w:rPr>
          <w:rFonts w:ascii="Times New Roman" w:eastAsia="Times New Roman" w:hAnsi="Times New Roman" w:cs="Times New Roman"/>
          <w:color w:val="0D0D0D"/>
          <w:sz w:val="24"/>
          <w:szCs w:val="24"/>
          <w:highlight w:val="white"/>
        </w:rPr>
        <w:t xml:space="preserve"> 14, no. 4 (1991): 531–51. </w:t>
      </w:r>
      <w:hyperlink r:id="rId15">
        <w:r>
          <w:rPr>
            <w:rFonts w:ascii="Times New Roman" w:eastAsia="Times New Roman" w:hAnsi="Times New Roman" w:cs="Times New Roman"/>
            <w:color w:val="954F72"/>
            <w:sz w:val="24"/>
            <w:szCs w:val="24"/>
            <w:highlight w:val="white"/>
            <w:u w:val="single"/>
          </w:rPr>
          <w:t>https://doi.org/10.1017/S0140525X00071235</w:t>
        </w:r>
      </w:hyperlink>
      <w:r>
        <w:rPr>
          <w:rFonts w:ascii="Times New Roman" w:eastAsia="Times New Roman" w:hAnsi="Times New Roman" w:cs="Times New Roman"/>
          <w:color w:val="0D0D0D"/>
          <w:sz w:val="24"/>
          <w:szCs w:val="24"/>
          <w:highlight w:val="white"/>
        </w:rPr>
        <w:t>.</w:t>
      </w:r>
    </w:p>
    <w:p w14:paraId="000000A8"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Harari, Yuval Noah. </w:t>
      </w:r>
      <w:r>
        <w:rPr>
          <w:rFonts w:ascii="Times New Roman" w:eastAsia="Times New Roman" w:hAnsi="Times New Roman" w:cs="Times New Roman"/>
          <w:i/>
          <w:color w:val="0D0D0D"/>
          <w:sz w:val="24"/>
          <w:szCs w:val="24"/>
          <w:highlight w:val="white"/>
        </w:rPr>
        <w:t>Sapiens: A Brief History of Humankind.</w:t>
      </w:r>
      <w:r>
        <w:rPr>
          <w:rFonts w:ascii="Times New Roman" w:eastAsia="Times New Roman" w:hAnsi="Times New Roman" w:cs="Times New Roman"/>
          <w:color w:val="0D0D0D"/>
          <w:sz w:val="24"/>
          <w:szCs w:val="24"/>
          <w:highlight w:val="white"/>
        </w:rPr>
        <w:t xml:space="preserve"> New York: Harper, 2015.</w:t>
      </w:r>
    </w:p>
    <w:p w14:paraId="000000A9"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Hull, David L. "A Matter of Individuality." </w:t>
      </w:r>
      <w:r>
        <w:rPr>
          <w:rFonts w:ascii="Times New Roman" w:eastAsia="Times New Roman" w:hAnsi="Times New Roman" w:cs="Times New Roman"/>
          <w:i/>
          <w:color w:val="0D0D0D"/>
          <w:sz w:val="24"/>
          <w:szCs w:val="24"/>
          <w:highlight w:val="white"/>
        </w:rPr>
        <w:t>Philosophy of Science</w:t>
      </w:r>
      <w:r>
        <w:rPr>
          <w:rFonts w:ascii="Times New Roman" w:eastAsia="Times New Roman" w:hAnsi="Times New Roman" w:cs="Times New Roman"/>
          <w:color w:val="0D0D0D"/>
          <w:sz w:val="24"/>
          <w:szCs w:val="24"/>
          <w:highlight w:val="white"/>
        </w:rPr>
        <w:t xml:space="preserve"> 45, no. 3 (1978): 335-360.</w:t>
      </w:r>
    </w:p>
    <w:p w14:paraId="000000AA"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Hunt, Lynn. "Torrents of Emotion." In </w:t>
      </w:r>
      <w:r>
        <w:rPr>
          <w:rFonts w:ascii="Times New Roman" w:eastAsia="Times New Roman" w:hAnsi="Times New Roman" w:cs="Times New Roman"/>
          <w:i/>
          <w:color w:val="0D0D0D"/>
          <w:sz w:val="24"/>
          <w:szCs w:val="24"/>
          <w:highlight w:val="white"/>
        </w:rPr>
        <w:t>Inventing Human Rights: A History,</w:t>
      </w:r>
      <w:r>
        <w:rPr>
          <w:rFonts w:ascii="Times New Roman" w:eastAsia="Times New Roman" w:hAnsi="Times New Roman" w:cs="Times New Roman"/>
          <w:color w:val="0D0D0D"/>
          <w:sz w:val="24"/>
          <w:szCs w:val="24"/>
          <w:highlight w:val="white"/>
        </w:rPr>
        <w:t xml:space="preserve"> 35-69. New York: W. W. Norton &amp; Company, 2007.</w:t>
      </w:r>
    </w:p>
    <w:p w14:paraId="000000AB" w14:textId="5384DE2E"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Jantsch, Erich. </w:t>
      </w:r>
      <w:r>
        <w:rPr>
          <w:rFonts w:ascii="Times New Roman" w:eastAsia="Times New Roman" w:hAnsi="Times New Roman" w:cs="Times New Roman"/>
          <w:i/>
          <w:color w:val="0D0D0D"/>
          <w:sz w:val="24"/>
          <w:szCs w:val="24"/>
          <w:highlight w:val="white"/>
        </w:rPr>
        <w:t xml:space="preserve">The Self-Organizing Universe: Scientific and Human Implications of the Emerging Paradigm of </w:t>
      </w:r>
      <w:r w:rsidR="002A2765">
        <w:rPr>
          <w:rFonts w:ascii="Times New Roman" w:eastAsia="Times New Roman" w:hAnsi="Times New Roman" w:cs="Times New Roman"/>
          <w:i/>
          <w:color w:val="0D0D0D"/>
          <w:sz w:val="24"/>
          <w:szCs w:val="24"/>
          <w:highlight w:val="white"/>
        </w:rPr>
        <w:t>Evolution.</w:t>
      </w:r>
      <w:r w:rsidR="002A2765">
        <w:rPr>
          <w:rFonts w:ascii="Times New Roman" w:eastAsia="Times New Roman" w:hAnsi="Times New Roman" w:cs="Times New Roman"/>
          <w:color w:val="0D0D0D"/>
          <w:sz w:val="24"/>
          <w:szCs w:val="24"/>
          <w:highlight w:val="white"/>
        </w:rPr>
        <w:t xml:space="preserve"> Oxford</w:t>
      </w:r>
      <w:r>
        <w:rPr>
          <w:rFonts w:ascii="Times New Roman" w:eastAsia="Times New Roman" w:hAnsi="Times New Roman" w:cs="Times New Roman"/>
          <w:color w:val="0D0D0D"/>
          <w:sz w:val="24"/>
          <w:szCs w:val="24"/>
          <w:highlight w:val="white"/>
        </w:rPr>
        <w:t>: Pergamon Press, 1980.</w:t>
      </w:r>
    </w:p>
    <w:p w14:paraId="000000AC"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proofErr w:type="spellStart"/>
      <w:r>
        <w:rPr>
          <w:rFonts w:ascii="Times New Roman" w:eastAsia="Times New Roman" w:hAnsi="Times New Roman" w:cs="Times New Roman"/>
          <w:color w:val="0D0D0D"/>
          <w:sz w:val="24"/>
          <w:szCs w:val="24"/>
          <w:highlight w:val="white"/>
        </w:rPr>
        <w:t>Jambeck</w:t>
      </w:r>
      <w:proofErr w:type="spellEnd"/>
      <w:r>
        <w:rPr>
          <w:rFonts w:ascii="Times New Roman" w:eastAsia="Times New Roman" w:hAnsi="Times New Roman" w:cs="Times New Roman"/>
          <w:color w:val="0D0D0D"/>
          <w:sz w:val="24"/>
          <w:szCs w:val="24"/>
          <w:highlight w:val="white"/>
        </w:rPr>
        <w:t xml:space="preserve">, Jenna R., Roland Geyer, Chris Wilcox, Theodore R. Siegler, Miriam Perryman, Anthony </w:t>
      </w:r>
      <w:proofErr w:type="spellStart"/>
      <w:r>
        <w:rPr>
          <w:rFonts w:ascii="Times New Roman" w:eastAsia="Times New Roman" w:hAnsi="Times New Roman" w:cs="Times New Roman"/>
          <w:color w:val="0D0D0D"/>
          <w:sz w:val="24"/>
          <w:szCs w:val="24"/>
          <w:highlight w:val="white"/>
        </w:rPr>
        <w:t>Andrady</w:t>
      </w:r>
      <w:proofErr w:type="spellEnd"/>
      <w:r>
        <w:rPr>
          <w:rFonts w:ascii="Times New Roman" w:eastAsia="Times New Roman" w:hAnsi="Times New Roman" w:cs="Times New Roman"/>
          <w:color w:val="0D0D0D"/>
          <w:sz w:val="24"/>
          <w:szCs w:val="24"/>
          <w:highlight w:val="white"/>
        </w:rPr>
        <w:t xml:space="preserve">, Ramani Narayan, and Kara Lavender Law. "Plastic Waste Inputs from Land into the Ocean." </w:t>
      </w:r>
      <w:r>
        <w:rPr>
          <w:rFonts w:ascii="Times New Roman" w:eastAsia="Times New Roman" w:hAnsi="Times New Roman" w:cs="Times New Roman"/>
          <w:i/>
          <w:color w:val="0D0D0D"/>
          <w:sz w:val="24"/>
          <w:szCs w:val="24"/>
          <w:highlight w:val="white"/>
        </w:rPr>
        <w:t>Science</w:t>
      </w:r>
      <w:r>
        <w:rPr>
          <w:rFonts w:ascii="Times New Roman" w:eastAsia="Times New Roman" w:hAnsi="Times New Roman" w:cs="Times New Roman"/>
          <w:color w:val="0D0D0D"/>
          <w:sz w:val="24"/>
          <w:szCs w:val="24"/>
          <w:highlight w:val="white"/>
        </w:rPr>
        <w:t xml:space="preserve"> 347, no. 6223 (2015): 768-771. </w:t>
      </w:r>
      <w:hyperlink r:id="rId16">
        <w:r>
          <w:rPr>
            <w:rFonts w:ascii="Times New Roman" w:eastAsia="Times New Roman" w:hAnsi="Times New Roman" w:cs="Times New Roman"/>
            <w:color w:val="954F72"/>
            <w:sz w:val="24"/>
            <w:szCs w:val="24"/>
            <w:highlight w:val="white"/>
            <w:u w:val="single"/>
          </w:rPr>
          <w:t>https://doi.org/10.1126/science.1260352</w:t>
        </w:r>
      </w:hyperlink>
      <w:r>
        <w:rPr>
          <w:rFonts w:ascii="Times New Roman" w:eastAsia="Times New Roman" w:hAnsi="Times New Roman" w:cs="Times New Roman"/>
          <w:color w:val="0D0D0D"/>
          <w:sz w:val="24"/>
          <w:szCs w:val="24"/>
          <w:highlight w:val="white"/>
        </w:rPr>
        <w:t>.</w:t>
      </w:r>
    </w:p>
    <w:p w14:paraId="000000AD"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Levin, Michael. "The Beauty of Collective Intelligence, Explained by a Developmental Biologist." YouTube video, 8:02. Posted by Big Think, August 22, 2023. </w:t>
      </w:r>
      <w:hyperlink r:id="rId17">
        <w:r>
          <w:rPr>
            <w:rFonts w:ascii="Times New Roman" w:eastAsia="Times New Roman" w:hAnsi="Times New Roman" w:cs="Times New Roman"/>
            <w:color w:val="954F72"/>
            <w:sz w:val="24"/>
            <w:szCs w:val="24"/>
            <w:highlight w:val="white"/>
            <w:u w:val="single"/>
          </w:rPr>
          <w:t>https://youtu.be/U93x9AWeuOA?si=hbpoALt80MdhBugY</w:t>
        </w:r>
      </w:hyperlink>
      <w:r>
        <w:rPr>
          <w:rFonts w:ascii="Times New Roman" w:eastAsia="Times New Roman" w:hAnsi="Times New Roman" w:cs="Times New Roman"/>
          <w:color w:val="0D0D0D"/>
          <w:sz w:val="24"/>
          <w:szCs w:val="24"/>
          <w:highlight w:val="white"/>
        </w:rPr>
        <w:t>.</w:t>
      </w:r>
    </w:p>
    <w:p w14:paraId="000000AE"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Lewis, Simon L., and Mark A. Maslin. "Defining the Anthropocene." </w:t>
      </w:r>
      <w:r>
        <w:rPr>
          <w:rFonts w:ascii="Times New Roman" w:eastAsia="Times New Roman" w:hAnsi="Times New Roman" w:cs="Times New Roman"/>
          <w:i/>
          <w:color w:val="0D0D0D"/>
          <w:sz w:val="24"/>
          <w:szCs w:val="24"/>
          <w:highlight w:val="white"/>
        </w:rPr>
        <w:t>Nature</w:t>
      </w:r>
      <w:r>
        <w:rPr>
          <w:rFonts w:ascii="Times New Roman" w:eastAsia="Times New Roman" w:hAnsi="Times New Roman" w:cs="Times New Roman"/>
          <w:color w:val="0D0D0D"/>
          <w:sz w:val="24"/>
          <w:szCs w:val="24"/>
          <w:highlight w:val="white"/>
        </w:rPr>
        <w:t xml:space="preserve"> 519, no. 7542 (March 12, 2015): 171-180. </w:t>
      </w:r>
      <w:hyperlink r:id="rId18">
        <w:r>
          <w:rPr>
            <w:rFonts w:ascii="Times New Roman" w:eastAsia="Times New Roman" w:hAnsi="Times New Roman" w:cs="Times New Roman"/>
            <w:color w:val="954F72"/>
            <w:sz w:val="24"/>
            <w:szCs w:val="24"/>
            <w:highlight w:val="white"/>
            <w:u w:val="single"/>
          </w:rPr>
          <w:t>https://doi.org/10.1038/nature14258</w:t>
        </w:r>
      </w:hyperlink>
      <w:r>
        <w:rPr>
          <w:rFonts w:ascii="Times New Roman" w:eastAsia="Times New Roman" w:hAnsi="Times New Roman" w:cs="Times New Roman"/>
          <w:color w:val="0D0D0D"/>
          <w:sz w:val="24"/>
          <w:szCs w:val="24"/>
          <w:highlight w:val="white"/>
        </w:rPr>
        <w:t>.</w:t>
      </w:r>
    </w:p>
    <w:p w14:paraId="000000AF"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proofErr w:type="spellStart"/>
      <w:r>
        <w:rPr>
          <w:rFonts w:ascii="Times New Roman" w:eastAsia="Times New Roman" w:hAnsi="Times New Roman" w:cs="Times New Roman"/>
          <w:color w:val="0D0D0D"/>
          <w:sz w:val="24"/>
          <w:szCs w:val="24"/>
          <w:highlight w:val="white"/>
        </w:rPr>
        <w:t>Marzke</w:t>
      </w:r>
      <w:proofErr w:type="spellEnd"/>
      <w:r>
        <w:rPr>
          <w:rFonts w:ascii="Times New Roman" w:eastAsia="Times New Roman" w:hAnsi="Times New Roman" w:cs="Times New Roman"/>
          <w:color w:val="0D0D0D"/>
          <w:sz w:val="24"/>
          <w:szCs w:val="24"/>
          <w:highlight w:val="white"/>
        </w:rPr>
        <w:t xml:space="preserve">, Mary W. "Precision Grips, Hand Morphology, and Tools." </w:t>
      </w:r>
      <w:r>
        <w:rPr>
          <w:rFonts w:ascii="Times New Roman" w:eastAsia="Times New Roman" w:hAnsi="Times New Roman" w:cs="Times New Roman"/>
          <w:i/>
          <w:color w:val="0D0D0D"/>
          <w:sz w:val="24"/>
          <w:szCs w:val="24"/>
          <w:highlight w:val="white"/>
        </w:rPr>
        <w:t>American Journal of Physical Anthropology</w:t>
      </w:r>
      <w:r>
        <w:rPr>
          <w:rFonts w:ascii="Times New Roman" w:eastAsia="Times New Roman" w:hAnsi="Times New Roman" w:cs="Times New Roman"/>
          <w:color w:val="0D0D0D"/>
          <w:sz w:val="24"/>
          <w:szCs w:val="24"/>
          <w:highlight w:val="white"/>
        </w:rPr>
        <w:t xml:space="preserve"> 102, no. 1 (1997): 91-110. </w:t>
      </w:r>
      <w:hyperlink r:id="rId19">
        <w:r>
          <w:rPr>
            <w:rFonts w:ascii="Times New Roman" w:eastAsia="Times New Roman" w:hAnsi="Times New Roman" w:cs="Times New Roman"/>
            <w:color w:val="954F72"/>
            <w:sz w:val="24"/>
            <w:szCs w:val="24"/>
            <w:highlight w:val="white"/>
            <w:u w:val="single"/>
          </w:rPr>
          <w:t>https://doi.org/10.1002/(SICI)1096-8644(199701)102:1&lt;91::AID-AJPA8&gt;3.0.CO;2-G</w:t>
        </w:r>
      </w:hyperlink>
      <w:r>
        <w:rPr>
          <w:rFonts w:ascii="Times New Roman" w:eastAsia="Times New Roman" w:hAnsi="Times New Roman" w:cs="Times New Roman"/>
          <w:color w:val="0D0D0D"/>
          <w:sz w:val="24"/>
          <w:szCs w:val="24"/>
          <w:highlight w:val="white"/>
        </w:rPr>
        <w:t>.</w:t>
      </w:r>
    </w:p>
    <w:p w14:paraId="000000B0"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lastRenderedPageBreak/>
        <w:t xml:space="preserve">Pollan, Michael. "The Omnivore's Dilemma: A Natural History of Four Meals." </w:t>
      </w:r>
      <w:r>
        <w:rPr>
          <w:rFonts w:ascii="Times New Roman" w:eastAsia="Times New Roman" w:hAnsi="Times New Roman" w:cs="Times New Roman"/>
          <w:i/>
          <w:color w:val="0D0D0D"/>
          <w:sz w:val="24"/>
          <w:szCs w:val="24"/>
          <w:highlight w:val="white"/>
        </w:rPr>
        <w:t>The New York Times,</w:t>
      </w:r>
      <w:r>
        <w:rPr>
          <w:rFonts w:ascii="Times New Roman" w:eastAsia="Times New Roman" w:hAnsi="Times New Roman" w:cs="Times New Roman"/>
          <w:color w:val="0D0D0D"/>
          <w:sz w:val="24"/>
          <w:szCs w:val="24"/>
          <w:highlight w:val="white"/>
        </w:rPr>
        <w:t xml:space="preserve"> April 11, 2006. </w:t>
      </w:r>
      <w:hyperlink r:id="rId20">
        <w:r>
          <w:rPr>
            <w:rFonts w:ascii="Times New Roman" w:eastAsia="Times New Roman" w:hAnsi="Times New Roman" w:cs="Times New Roman"/>
            <w:color w:val="954F72"/>
            <w:sz w:val="24"/>
            <w:szCs w:val="24"/>
            <w:highlight w:val="white"/>
            <w:u w:val="single"/>
          </w:rPr>
          <w:t>https://www.nytimes.com/2006/04/11/books/the-omnivores-dilemma-a-natural-history-of-four-meals.html</w:t>
        </w:r>
      </w:hyperlink>
      <w:r>
        <w:rPr>
          <w:rFonts w:ascii="Times New Roman" w:eastAsia="Times New Roman" w:hAnsi="Times New Roman" w:cs="Times New Roman"/>
          <w:color w:val="0D0D0D"/>
          <w:sz w:val="24"/>
          <w:szCs w:val="24"/>
          <w:highlight w:val="white"/>
        </w:rPr>
        <w:t>.</w:t>
      </w:r>
    </w:p>
    <w:p w14:paraId="000000B1"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Prigogine, Ilya, and Gregoire </w:t>
      </w:r>
      <w:proofErr w:type="spellStart"/>
      <w:r>
        <w:rPr>
          <w:rFonts w:ascii="Times New Roman" w:eastAsia="Times New Roman" w:hAnsi="Times New Roman" w:cs="Times New Roman"/>
          <w:color w:val="0D0D0D"/>
          <w:sz w:val="24"/>
          <w:szCs w:val="24"/>
          <w:highlight w:val="white"/>
        </w:rPr>
        <w:t>Nicolis</w:t>
      </w:r>
      <w:proofErr w:type="spellEnd"/>
      <w:r>
        <w:rPr>
          <w:rFonts w:ascii="Times New Roman" w:eastAsia="Times New Roman" w:hAnsi="Times New Roman" w:cs="Times New Roman"/>
          <w:color w:val="0D0D0D"/>
          <w:sz w:val="24"/>
          <w:szCs w:val="24"/>
          <w:highlight w:val="white"/>
        </w:rPr>
        <w:t xml:space="preserve">. "Biological Order, Structure and Instabilities." </w:t>
      </w:r>
      <w:r>
        <w:rPr>
          <w:rFonts w:ascii="Times New Roman" w:eastAsia="Times New Roman" w:hAnsi="Times New Roman" w:cs="Times New Roman"/>
          <w:i/>
          <w:color w:val="0D0D0D"/>
          <w:sz w:val="24"/>
          <w:szCs w:val="24"/>
          <w:highlight w:val="white"/>
        </w:rPr>
        <w:t>Quarterly Reviews of Biophysics</w:t>
      </w:r>
      <w:r>
        <w:rPr>
          <w:rFonts w:ascii="Times New Roman" w:eastAsia="Times New Roman" w:hAnsi="Times New Roman" w:cs="Times New Roman"/>
          <w:color w:val="0D0D0D"/>
          <w:sz w:val="24"/>
          <w:szCs w:val="24"/>
          <w:highlight w:val="white"/>
        </w:rPr>
        <w:t xml:space="preserve"> 4, no. 2-3 (1971): 107-148. </w:t>
      </w:r>
      <w:hyperlink r:id="rId21">
        <w:r>
          <w:rPr>
            <w:rFonts w:ascii="Times New Roman" w:eastAsia="Times New Roman" w:hAnsi="Times New Roman" w:cs="Times New Roman"/>
            <w:color w:val="954F72"/>
            <w:sz w:val="24"/>
            <w:szCs w:val="24"/>
            <w:highlight w:val="white"/>
            <w:u w:val="single"/>
          </w:rPr>
          <w:t>https://doi.org/10.1017/S0033583500000615</w:t>
        </w:r>
      </w:hyperlink>
      <w:r>
        <w:rPr>
          <w:rFonts w:ascii="Times New Roman" w:eastAsia="Times New Roman" w:hAnsi="Times New Roman" w:cs="Times New Roman"/>
          <w:color w:val="0D0D0D"/>
          <w:sz w:val="24"/>
          <w:szCs w:val="24"/>
          <w:highlight w:val="white"/>
        </w:rPr>
        <w:t>.</w:t>
      </w:r>
    </w:p>
    <w:p w14:paraId="000000B2"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Schwab, Klaus. </w:t>
      </w:r>
      <w:r>
        <w:rPr>
          <w:rFonts w:ascii="Times New Roman" w:eastAsia="Times New Roman" w:hAnsi="Times New Roman" w:cs="Times New Roman"/>
          <w:i/>
          <w:color w:val="0D0D0D"/>
          <w:sz w:val="24"/>
          <w:szCs w:val="24"/>
          <w:highlight w:val="white"/>
        </w:rPr>
        <w:t>The Fourth Industrial Revolution.</w:t>
      </w:r>
      <w:r>
        <w:rPr>
          <w:rFonts w:ascii="Times New Roman" w:eastAsia="Times New Roman" w:hAnsi="Times New Roman" w:cs="Times New Roman"/>
          <w:color w:val="0D0D0D"/>
          <w:sz w:val="24"/>
          <w:szCs w:val="24"/>
          <w:highlight w:val="white"/>
        </w:rPr>
        <w:t xml:space="preserve"> Geneva: World Economic Forum, 2016.</w:t>
      </w:r>
    </w:p>
    <w:p w14:paraId="000000B3"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Schneider, Susan, and Pete </w:t>
      </w:r>
      <w:proofErr w:type="spellStart"/>
      <w:r>
        <w:rPr>
          <w:rFonts w:ascii="Times New Roman" w:eastAsia="Times New Roman" w:hAnsi="Times New Roman" w:cs="Times New Roman"/>
          <w:color w:val="0D0D0D"/>
          <w:sz w:val="24"/>
          <w:szCs w:val="24"/>
          <w:highlight w:val="white"/>
        </w:rPr>
        <w:t>Mandik</w:t>
      </w:r>
      <w:proofErr w:type="spellEnd"/>
      <w:r>
        <w:rPr>
          <w:rFonts w:ascii="Times New Roman" w:eastAsia="Times New Roman" w:hAnsi="Times New Roman" w:cs="Times New Roman"/>
          <w:color w:val="0D0D0D"/>
          <w:sz w:val="24"/>
          <w:szCs w:val="24"/>
          <w:highlight w:val="white"/>
        </w:rPr>
        <w:t xml:space="preserve">. "How Philosophy of Mind Can Shape the Future." In </w:t>
      </w:r>
      <w:r>
        <w:rPr>
          <w:rFonts w:ascii="Times New Roman" w:eastAsia="Times New Roman" w:hAnsi="Times New Roman" w:cs="Times New Roman"/>
          <w:i/>
          <w:color w:val="0D0D0D"/>
          <w:sz w:val="24"/>
          <w:szCs w:val="24"/>
          <w:highlight w:val="white"/>
        </w:rPr>
        <w:t>Philosophy of Mind in the Twentieth and Twenty-First Centuries,</w:t>
      </w:r>
      <w:r>
        <w:rPr>
          <w:rFonts w:ascii="Times New Roman" w:eastAsia="Times New Roman" w:hAnsi="Times New Roman" w:cs="Times New Roman"/>
          <w:color w:val="0D0D0D"/>
          <w:sz w:val="24"/>
          <w:szCs w:val="24"/>
          <w:highlight w:val="white"/>
        </w:rPr>
        <w:t xml:space="preserve"> edited by Amy Kind, 266-284. London: Routledge, 2018.</w:t>
      </w:r>
    </w:p>
    <w:p w14:paraId="000000B4"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Searle, John R. "Minds, Brains, and Programs." </w:t>
      </w:r>
      <w:r>
        <w:rPr>
          <w:rFonts w:ascii="Times New Roman" w:eastAsia="Times New Roman" w:hAnsi="Times New Roman" w:cs="Times New Roman"/>
          <w:i/>
          <w:color w:val="0D0D0D"/>
          <w:sz w:val="24"/>
          <w:szCs w:val="24"/>
          <w:highlight w:val="white"/>
        </w:rPr>
        <w:t>Behavioral and Brain Sciences</w:t>
      </w:r>
      <w:r>
        <w:rPr>
          <w:rFonts w:ascii="Times New Roman" w:eastAsia="Times New Roman" w:hAnsi="Times New Roman" w:cs="Times New Roman"/>
          <w:color w:val="0D0D0D"/>
          <w:sz w:val="24"/>
          <w:szCs w:val="24"/>
          <w:highlight w:val="white"/>
        </w:rPr>
        <w:t xml:space="preserve"> 3, no. 3 (1980): 417-457.</w:t>
      </w:r>
    </w:p>
    <w:p w14:paraId="000000B5"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Singer, Peter. "Famine, Affluence, and Morality." </w:t>
      </w:r>
      <w:r>
        <w:rPr>
          <w:rFonts w:ascii="Times New Roman" w:eastAsia="Times New Roman" w:hAnsi="Times New Roman" w:cs="Times New Roman"/>
          <w:i/>
          <w:color w:val="0D0D0D"/>
          <w:sz w:val="24"/>
          <w:szCs w:val="24"/>
          <w:highlight w:val="white"/>
        </w:rPr>
        <w:t>Philosophy &amp; Public Affairs</w:t>
      </w:r>
      <w:r>
        <w:rPr>
          <w:rFonts w:ascii="Times New Roman" w:eastAsia="Times New Roman" w:hAnsi="Times New Roman" w:cs="Times New Roman"/>
          <w:color w:val="0D0D0D"/>
          <w:sz w:val="24"/>
          <w:szCs w:val="24"/>
          <w:highlight w:val="white"/>
        </w:rPr>
        <w:t xml:space="preserve"> 1, no. 3 (Spring 1972): 229-243. </w:t>
      </w:r>
      <w:hyperlink r:id="rId22">
        <w:r>
          <w:rPr>
            <w:rFonts w:ascii="Times New Roman" w:eastAsia="Times New Roman" w:hAnsi="Times New Roman" w:cs="Times New Roman"/>
            <w:color w:val="954F72"/>
            <w:sz w:val="24"/>
            <w:szCs w:val="24"/>
            <w:highlight w:val="white"/>
            <w:u w:val="single"/>
          </w:rPr>
          <w:t>http://www.jstor.org/stable/2265052</w:t>
        </w:r>
      </w:hyperlink>
      <w:r>
        <w:rPr>
          <w:rFonts w:ascii="Times New Roman" w:eastAsia="Times New Roman" w:hAnsi="Times New Roman" w:cs="Times New Roman"/>
          <w:color w:val="0D0D0D"/>
          <w:sz w:val="24"/>
          <w:szCs w:val="24"/>
          <w:highlight w:val="white"/>
        </w:rPr>
        <w:t>.</w:t>
      </w:r>
    </w:p>
    <w:p w14:paraId="000000B6"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Stearns, Peter N., ed., </w:t>
      </w:r>
      <w:r>
        <w:rPr>
          <w:rFonts w:ascii="Times New Roman" w:eastAsia="Times New Roman" w:hAnsi="Times New Roman" w:cs="Times New Roman"/>
          <w:i/>
          <w:color w:val="0D0D0D"/>
          <w:sz w:val="24"/>
          <w:szCs w:val="24"/>
          <w:highlight w:val="white"/>
        </w:rPr>
        <w:t>The Encyclopedia of World History: Ancient, Medieval, and Modern, Chronologically Arranged,</w:t>
      </w:r>
      <w:r>
        <w:rPr>
          <w:rFonts w:ascii="Times New Roman" w:eastAsia="Times New Roman" w:hAnsi="Times New Roman" w:cs="Times New Roman"/>
          <w:color w:val="0D0D0D"/>
          <w:sz w:val="24"/>
          <w:szCs w:val="24"/>
          <w:highlight w:val="white"/>
        </w:rPr>
        <w:t>6th ed. Boston: Houghton Mifflin, 2001.</w:t>
      </w:r>
    </w:p>
    <w:p w14:paraId="000000B7"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Stockholm International Peace Research Institute (SIPRI). "World military spending rises to almost $2 trillion in 2020." April 26, 2021. </w:t>
      </w:r>
      <w:hyperlink r:id="rId23">
        <w:r>
          <w:rPr>
            <w:rFonts w:ascii="Times New Roman" w:eastAsia="Times New Roman" w:hAnsi="Times New Roman" w:cs="Times New Roman"/>
            <w:color w:val="954F72"/>
            <w:sz w:val="24"/>
            <w:szCs w:val="24"/>
            <w:highlight w:val="white"/>
            <w:u w:val="single"/>
          </w:rPr>
          <w:t>https://www.sipri.org/media/press-release/2021/world-military-spending-rises-almost-2-trillion-2020</w:t>
        </w:r>
      </w:hyperlink>
      <w:r>
        <w:rPr>
          <w:rFonts w:ascii="Times New Roman" w:eastAsia="Times New Roman" w:hAnsi="Times New Roman" w:cs="Times New Roman"/>
          <w:color w:val="0D0D0D"/>
          <w:sz w:val="24"/>
          <w:szCs w:val="24"/>
          <w:highlight w:val="white"/>
        </w:rPr>
        <w:t>.</w:t>
      </w:r>
    </w:p>
    <w:p w14:paraId="000000B8"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West, Kanye. "All Falls Down." Track 4 on </w:t>
      </w:r>
      <w:r>
        <w:rPr>
          <w:rFonts w:ascii="Times New Roman" w:eastAsia="Times New Roman" w:hAnsi="Times New Roman" w:cs="Times New Roman"/>
          <w:i/>
          <w:color w:val="0D0D0D"/>
          <w:sz w:val="24"/>
          <w:szCs w:val="24"/>
          <w:highlight w:val="white"/>
        </w:rPr>
        <w:t>The College Dropout.</w:t>
      </w:r>
      <w:r>
        <w:rPr>
          <w:rFonts w:ascii="Times New Roman" w:eastAsia="Times New Roman" w:hAnsi="Times New Roman" w:cs="Times New Roman"/>
          <w:color w:val="0D0D0D"/>
          <w:sz w:val="24"/>
          <w:szCs w:val="24"/>
          <w:highlight w:val="white"/>
        </w:rPr>
        <w:t xml:space="preserve"> Roc-A-Fella Records, 2004, Spotify.</w:t>
      </w:r>
    </w:p>
    <w:p w14:paraId="000000B9"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lastRenderedPageBreak/>
        <w:t xml:space="preserve">Weir, Peter, dir. </w:t>
      </w:r>
      <w:r>
        <w:rPr>
          <w:rFonts w:ascii="Times New Roman" w:eastAsia="Times New Roman" w:hAnsi="Times New Roman" w:cs="Times New Roman"/>
          <w:i/>
          <w:color w:val="0D0D0D"/>
          <w:sz w:val="24"/>
          <w:szCs w:val="24"/>
          <w:highlight w:val="white"/>
        </w:rPr>
        <w:t>The Truman Show.</w:t>
      </w:r>
      <w:r>
        <w:rPr>
          <w:rFonts w:ascii="Times New Roman" w:eastAsia="Times New Roman" w:hAnsi="Times New Roman" w:cs="Times New Roman"/>
          <w:color w:val="0D0D0D"/>
          <w:sz w:val="24"/>
          <w:szCs w:val="24"/>
          <w:highlight w:val="white"/>
        </w:rPr>
        <w:t xml:space="preserve"> 1998; Hollywood, CA: Paramount Pictures, 1999. Vudu.</w:t>
      </w:r>
    </w:p>
    <w:p w14:paraId="000000BA"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proofErr w:type="spellStart"/>
      <w:r>
        <w:rPr>
          <w:rFonts w:ascii="Times New Roman" w:eastAsia="Times New Roman" w:hAnsi="Times New Roman" w:cs="Times New Roman"/>
          <w:color w:val="0D0D0D"/>
          <w:sz w:val="24"/>
          <w:szCs w:val="24"/>
          <w:highlight w:val="white"/>
        </w:rPr>
        <w:t>Wittner</w:t>
      </w:r>
      <w:proofErr w:type="spellEnd"/>
      <w:r>
        <w:rPr>
          <w:rFonts w:ascii="Times New Roman" w:eastAsia="Times New Roman" w:hAnsi="Times New Roman" w:cs="Times New Roman"/>
          <w:color w:val="0D0D0D"/>
          <w:sz w:val="24"/>
          <w:szCs w:val="24"/>
          <w:highlight w:val="white"/>
        </w:rPr>
        <w:t xml:space="preserve">, Lawrence S. </w:t>
      </w:r>
      <w:r>
        <w:rPr>
          <w:rFonts w:ascii="Times New Roman" w:eastAsia="Times New Roman" w:hAnsi="Times New Roman" w:cs="Times New Roman"/>
          <w:i/>
          <w:color w:val="0D0D0D"/>
          <w:sz w:val="24"/>
          <w:szCs w:val="24"/>
          <w:highlight w:val="white"/>
        </w:rPr>
        <w:t>The Struggle Against the Bomb: A History of the World Nuclear Disarmament Movement, 1954-1970.</w:t>
      </w:r>
      <w:r>
        <w:rPr>
          <w:rFonts w:ascii="Times New Roman" w:eastAsia="Times New Roman" w:hAnsi="Times New Roman" w:cs="Times New Roman"/>
          <w:color w:val="0D0D0D"/>
          <w:sz w:val="24"/>
          <w:szCs w:val="24"/>
          <w:highlight w:val="white"/>
        </w:rPr>
        <w:t xml:space="preserve"> Stanford Nuclear Age Series. Stanford, CA: Stanford University Press, 1993.</w:t>
      </w:r>
    </w:p>
    <w:p w14:paraId="000000BB"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Wu, Tim. "The Attention Merchants: The Epic Scramble to Get Inside Our Heads." </w:t>
      </w:r>
      <w:r>
        <w:rPr>
          <w:rFonts w:ascii="Times New Roman" w:eastAsia="Times New Roman" w:hAnsi="Times New Roman" w:cs="Times New Roman"/>
          <w:i/>
          <w:color w:val="0D0D0D"/>
          <w:sz w:val="24"/>
          <w:szCs w:val="24"/>
          <w:highlight w:val="white"/>
        </w:rPr>
        <w:t>Atlantic,</w:t>
      </w:r>
      <w:r>
        <w:rPr>
          <w:rFonts w:ascii="Times New Roman" w:eastAsia="Times New Roman" w:hAnsi="Times New Roman" w:cs="Times New Roman"/>
          <w:color w:val="0D0D0D"/>
          <w:sz w:val="24"/>
          <w:szCs w:val="24"/>
          <w:highlight w:val="white"/>
        </w:rPr>
        <w:t xml:space="preserve"> November 2016. </w:t>
      </w:r>
      <w:hyperlink r:id="rId24">
        <w:r>
          <w:rPr>
            <w:rFonts w:ascii="Times New Roman" w:eastAsia="Times New Roman" w:hAnsi="Times New Roman" w:cs="Times New Roman"/>
            <w:color w:val="954F72"/>
            <w:sz w:val="24"/>
            <w:szCs w:val="24"/>
            <w:highlight w:val="white"/>
            <w:u w:val="single"/>
          </w:rPr>
          <w:t>https://www.theatlantic.com/magazine/archive/2016/11/the-attention-merchants/501145/</w:t>
        </w:r>
      </w:hyperlink>
      <w:r>
        <w:rPr>
          <w:rFonts w:ascii="Times New Roman" w:eastAsia="Times New Roman" w:hAnsi="Times New Roman" w:cs="Times New Roman"/>
          <w:color w:val="0D0D0D"/>
          <w:sz w:val="24"/>
          <w:szCs w:val="24"/>
          <w:highlight w:val="white"/>
        </w:rPr>
        <w:t>.</w:t>
      </w:r>
    </w:p>
    <w:p w14:paraId="000000BC"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Yang, Andrew. </w:t>
      </w:r>
      <w:r>
        <w:rPr>
          <w:rFonts w:ascii="Times New Roman" w:eastAsia="Times New Roman" w:hAnsi="Times New Roman" w:cs="Times New Roman"/>
          <w:i/>
          <w:color w:val="0D0D0D"/>
          <w:sz w:val="24"/>
          <w:szCs w:val="24"/>
          <w:highlight w:val="white"/>
        </w:rPr>
        <w:t>The War on Normal People: The Truth About America's Disappearing Jobs and Why Universal Basic Income Is Our Future.</w:t>
      </w:r>
      <w:r>
        <w:rPr>
          <w:rFonts w:ascii="Times New Roman" w:eastAsia="Times New Roman" w:hAnsi="Times New Roman" w:cs="Times New Roman"/>
          <w:color w:val="0D0D0D"/>
          <w:sz w:val="24"/>
          <w:szCs w:val="24"/>
          <w:highlight w:val="white"/>
        </w:rPr>
        <w:t xml:space="preserve"> New York: Hachette Books, 2018.</w:t>
      </w:r>
    </w:p>
    <w:p w14:paraId="000000BD"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"Einstein's Tiny Answers," </w:t>
      </w:r>
      <w:r>
        <w:rPr>
          <w:rFonts w:ascii="Times New Roman" w:eastAsia="Times New Roman" w:hAnsi="Times New Roman" w:cs="Times New Roman"/>
          <w:i/>
          <w:color w:val="0D0D0D"/>
          <w:sz w:val="24"/>
          <w:szCs w:val="24"/>
          <w:highlight w:val="white"/>
        </w:rPr>
        <w:t>NOVA,</w:t>
      </w:r>
      <w:r>
        <w:rPr>
          <w:rFonts w:ascii="Times New Roman" w:eastAsia="Times New Roman" w:hAnsi="Times New Roman" w:cs="Times New Roman"/>
          <w:color w:val="0D0D0D"/>
          <w:sz w:val="24"/>
          <w:szCs w:val="24"/>
          <w:highlight w:val="white"/>
        </w:rPr>
        <w:t xml:space="preserve"> PBS, June, 2005. </w:t>
      </w:r>
      <w:hyperlink r:id="rId25">
        <w:r>
          <w:rPr>
            <w:rFonts w:ascii="Times New Roman" w:eastAsia="Times New Roman" w:hAnsi="Times New Roman" w:cs="Times New Roman"/>
            <w:color w:val="954F72"/>
            <w:sz w:val="24"/>
            <w:szCs w:val="24"/>
            <w:highlight w:val="white"/>
            <w:u w:val="single"/>
          </w:rPr>
          <w:t>https://www.pbs.org/wgbh/nova/einstein/tiny-answers.html</w:t>
        </w:r>
      </w:hyperlink>
      <w:r>
        <w:rPr>
          <w:rFonts w:ascii="Times New Roman" w:eastAsia="Times New Roman" w:hAnsi="Times New Roman" w:cs="Times New Roman"/>
          <w:color w:val="0D0D0D"/>
          <w:sz w:val="24"/>
          <w:szCs w:val="24"/>
          <w:highlight w:val="white"/>
        </w:rPr>
        <w:t>.</w:t>
      </w:r>
    </w:p>
    <w:p w14:paraId="000000BE" w14:textId="77777777" w:rsidR="00634184" w:rsidRDefault="00000000">
      <w:pPr>
        <w:spacing w:line="480" w:lineRule="auto"/>
        <w:ind w:firstLine="720"/>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 xml:space="preserve">"Residents living permanently in Japan's cyber-cafés - Lost in </w:t>
      </w:r>
      <w:proofErr w:type="spellStart"/>
      <w:r>
        <w:rPr>
          <w:rFonts w:ascii="Times New Roman" w:eastAsia="Times New Roman" w:hAnsi="Times New Roman" w:cs="Times New Roman"/>
          <w:color w:val="0D0D0D"/>
          <w:sz w:val="24"/>
          <w:szCs w:val="24"/>
          <w:highlight w:val="white"/>
        </w:rPr>
        <w:t>Manboo</w:t>
      </w:r>
      <w:proofErr w:type="spellEnd"/>
      <w:r>
        <w:rPr>
          <w:rFonts w:ascii="Times New Roman" w:eastAsia="Times New Roman" w:hAnsi="Times New Roman" w:cs="Times New Roman"/>
          <w:color w:val="0D0D0D"/>
          <w:sz w:val="24"/>
          <w:szCs w:val="24"/>
          <w:highlight w:val="white"/>
        </w:rPr>
        <w:t xml:space="preserve">." YouTube video, 9:14. Posted by </w:t>
      </w:r>
      <w:proofErr w:type="spellStart"/>
      <w:r>
        <w:rPr>
          <w:rFonts w:ascii="Times New Roman" w:eastAsia="Times New Roman" w:hAnsi="Times New Roman" w:cs="Times New Roman"/>
          <w:color w:val="0D0D0D"/>
          <w:sz w:val="24"/>
          <w:szCs w:val="24"/>
          <w:highlight w:val="white"/>
        </w:rPr>
        <w:t>euronews</w:t>
      </w:r>
      <w:proofErr w:type="spellEnd"/>
      <w:r>
        <w:rPr>
          <w:rFonts w:ascii="Times New Roman" w:eastAsia="Times New Roman" w:hAnsi="Times New Roman" w:cs="Times New Roman"/>
          <w:color w:val="0D0D0D"/>
          <w:sz w:val="24"/>
          <w:szCs w:val="24"/>
          <w:highlight w:val="white"/>
        </w:rPr>
        <w:t xml:space="preserve">, June 30, 2015. </w:t>
      </w:r>
      <w:hyperlink r:id="rId26">
        <w:r>
          <w:rPr>
            <w:rFonts w:ascii="Times New Roman" w:eastAsia="Times New Roman" w:hAnsi="Times New Roman" w:cs="Times New Roman"/>
            <w:color w:val="954F72"/>
            <w:sz w:val="24"/>
            <w:szCs w:val="24"/>
            <w:highlight w:val="white"/>
            <w:u w:val="single"/>
          </w:rPr>
          <w:t>https://youtu.be/MtdupS0gRt0?si=mEwEU2x_VDOxdoKq</w:t>
        </w:r>
      </w:hyperlink>
      <w:r>
        <w:rPr>
          <w:rFonts w:ascii="Times New Roman" w:eastAsia="Times New Roman" w:hAnsi="Times New Roman" w:cs="Times New Roman"/>
          <w:color w:val="0D0D0D"/>
          <w:sz w:val="24"/>
          <w:szCs w:val="24"/>
          <w:highlight w:val="white"/>
        </w:rPr>
        <w:t>.</w:t>
      </w:r>
    </w:p>
    <w:p w14:paraId="000000BF" w14:textId="77777777" w:rsidR="00634184" w:rsidRDefault="00634184">
      <w:pPr>
        <w:spacing w:line="480" w:lineRule="auto"/>
        <w:ind w:firstLine="720"/>
        <w:rPr>
          <w:rFonts w:ascii="Times New Roman" w:eastAsia="Times New Roman" w:hAnsi="Times New Roman" w:cs="Times New Roman"/>
          <w:sz w:val="24"/>
          <w:szCs w:val="24"/>
        </w:rPr>
      </w:pPr>
    </w:p>
    <w:sectPr w:rsidR="00634184">
      <w:footerReference w:type="default" r:id="rId2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6734E" w14:textId="77777777" w:rsidR="00EA4CEA" w:rsidRDefault="00EA4CEA">
      <w:pPr>
        <w:spacing w:line="240" w:lineRule="auto"/>
      </w:pPr>
      <w:r>
        <w:separator/>
      </w:r>
    </w:p>
  </w:endnote>
  <w:endnote w:type="continuationSeparator" w:id="0">
    <w:p w14:paraId="485F204F" w14:textId="77777777" w:rsidR="00EA4CEA" w:rsidRDefault="00EA4C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D3" w14:textId="77777777" w:rsidR="00634184" w:rsidRDefault="006341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9A23E" w14:textId="77777777" w:rsidR="00EA4CEA" w:rsidRDefault="00EA4CEA">
      <w:pPr>
        <w:spacing w:line="240" w:lineRule="auto"/>
      </w:pPr>
      <w:r>
        <w:separator/>
      </w:r>
    </w:p>
  </w:footnote>
  <w:footnote w:type="continuationSeparator" w:id="0">
    <w:p w14:paraId="143AA51E" w14:textId="77777777" w:rsidR="00EA4CEA" w:rsidRDefault="00EA4CEA">
      <w:pPr>
        <w:spacing w:line="240" w:lineRule="auto"/>
      </w:pPr>
      <w:r>
        <w:continuationSeparator/>
      </w:r>
    </w:p>
  </w:footnote>
  <w:footnote w:id="1">
    <w:p w14:paraId="000000D2" w14:textId="70D8CDE0" w:rsidR="00634184" w:rsidRDefault="00000000">
      <w:pPr>
        <w:spacing w:line="240" w:lineRule="auto"/>
        <w:rPr>
          <w:sz w:val="20"/>
          <w:szCs w:val="20"/>
        </w:rPr>
      </w:pPr>
      <w:r>
        <w:rPr>
          <w:vertAlign w:val="superscript"/>
        </w:rPr>
        <w:footnoteRef/>
      </w:r>
      <w:r>
        <w:rPr>
          <w:sz w:val="20"/>
          <w:szCs w:val="20"/>
        </w:rPr>
        <w:t xml:space="preserve">Yuval Noah Harari, </w:t>
      </w:r>
      <w:r>
        <w:rPr>
          <w:i/>
          <w:sz w:val="20"/>
          <w:szCs w:val="20"/>
        </w:rPr>
        <w:t>Sapiens: A Brief History of Humankind</w:t>
      </w:r>
      <w:r>
        <w:rPr>
          <w:sz w:val="20"/>
          <w:szCs w:val="20"/>
        </w:rPr>
        <w:t xml:space="preserve"> (New York: Harper, 2015), 54.</w:t>
      </w:r>
    </w:p>
  </w:footnote>
  <w:footnote w:id="2">
    <w:p w14:paraId="000000C0" w14:textId="485EEFFA" w:rsidR="00634184" w:rsidRDefault="00000000">
      <w:pPr>
        <w:spacing w:line="240" w:lineRule="auto"/>
        <w:rPr>
          <w:sz w:val="20"/>
          <w:szCs w:val="20"/>
        </w:rPr>
      </w:pPr>
      <w:r>
        <w:rPr>
          <w:vertAlign w:val="superscript"/>
        </w:rPr>
        <w:footnoteRef/>
      </w:r>
      <w:r>
        <w:rPr>
          <w:sz w:val="20"/>
          <w:szCs w:val="20"/>
        </w:rPr>
        <w:t>Stanley H. Ambrose, "Paleolithic Technology and Human Evolution,"</w:t>
      </w:r>
      <w:r>
        <w:rPr>
          <w:i/>
          <w:sz w:val="20"/>
          <w:szCs w:val="20"/>
        </w:rPr>
        <w:t xml:space="preserve"> Science</w:t>
      </w:r>
      <w:r>
        <w:rPr>
          <w:sz w:val="20"/>
          <w:szCs w:val="20"/>
        </w:rPr>
        <w:t xml:space="preserve"> 291, no. 5509 (2001): 1749-1752, </w:t>
      </w:r>
      <w:hyperlink r:id="rId1">
        <w:r>
          <w:rPr>
            <w:color w:val="1155CC"/>
            <w:sz w:val="20"/>
            <w:szCs w:val="20"/>
            <w:u w:val="single"/>
          </w:rPr>
          <w:t>https://doi.org/10.1126/science.1059487</w:t>
        </w:r>
      </w:hyperlink>
      <w:r>
        <w:rPr>
          <w:sz w:val="20"/>
          <w:szCs w:val="20"/>
        </w:rPr>
        <w:t>.</w:t>
      </w:r>
    </w:p>
  </w:footnote>
  <w:footnote w:id="3">
    <w:p w14:paraId="000000C2" w14:textId="7D292F58" w:rsidR="00634184" w:rsidRDefault="00000000">
      <w:pPr>
        <w:spacing w:line="240" w:lineRule="auto"/>
        <w:rPr>
          <w:sz w:val="20"/>
          <w:szCs w:val="20"/>
        </w:rPr>
      </w:pPr>
      <w:r>
        <w:rPr>
          <w:vertAlign w:val="superscript"/>
        </w:rPr>
        <w:footnoteRef/>
      </w:r>
      <w:r>
        <w:rPr>
          <w:sz w:val="20"/>
          <w:szCs w:val="20"/>
          <w:highlight w:val="white"/>
        </w:rPr>
        <w:t xml:space="preserve">J. A. J. Gowlett, "The Discovery of Fire by Humans: A Long and Convoluted Process," </w:t>
      </w:r>
      <w:r>
        <w:rPr>
          <w:i/>
          <w:sz w:val="20"/>
          <w:szCs w:val="20"/>
        </w:rPr>
        <w:t>Philosophical Transactions of the Royal Society B: Biological Sciences</w:t>
      </w:r>
      <w:r>
        <w:rPr>
          <w:sz w:val="20"/>
          <w:szCs w:val="20"/>
          <w:highlight w:val="white"/>
        </w:rPr>
        <w:t xml:space="preserve"> 371, no. 1696 (2016): 20150164. </w:t>
      </w:r>
      <w:hyperlink r:id="rId2">
        <w:r>
          <w:rPr>
            <w:color w:val="1155CC"/>
            <w:sz w:val="20"/>
            <w:szCs w:val="20"/>
            <w:highlight w:val="white"/>
            <w:u w:val="single"/>
          </w:rPr>
          <w:t>http://dx.doi.org/10.1098/rstb.2015.0164</w:t>
        </w:r>
      </w:hyperlink>
      <w:r>
        <w:rPr>
          <w:color w:val="0D0D0D"/>
          <w:sz w:val="20"/>
          <w:szCs w:val="20"/>
          <w:highlight w:val="white"/>
        </w:rPr>
        <w:t xml:space="preserve"> </w:t>
      </w:r>
    </w:p>
  </w:footnote>
  <w:footnote w:id="4">
    <w:p w14:paraId="000000C3" w14:textId="300A47E5" w:rsidR="00634184" w:rsidRDefault="00000000">
      <w:pPr>
        <w:spacing w:line="240" w:lineRule="auto"/>
        <w:rPr>
          <w:sz w:val="20"/>
          <w:szCs w:val="20"/>
        </w:rPr>
      </w:pPr>
      <w:r>
        <w:rPr>
          <w:vertAlign w:val="superscript"/>
        </w:rPr>
        <w:footnoteRef/>
      </w:r>
      <w:r>
        <w:rPr>
          <w:sz w:val="20"/>
          <w:szCs w:val="20"/>
        </w:rPr>
        <w:t xml:space="preserve">R. I. M. Dunbar, "How Conversations Around Campfires Came to Be," </w:t>
      </w:r>
      <w:r w:rsidRPr="00D75787">
        <w:rPr>
          <w:i/>
          <w:iCs/>
          <w:sz w:val="20"/>
          <w:szCs w:val="20"/>
        </w:rPr>
        <w:t>Proceedings of the National Academy of Sciences</w:t>
      </w:r>
      <w:r>
        <w:rPr>
          <w:sz w:val="20"/>
          <w:szCs w:val="20"/>
        </w:rPr>
        <w:t xml:space="preserve"> 111, no. 39 (2014): 14013-14014.</w:t>
      </w:r>
      <w:hyperlink r:id="rId3">
        <w:r>
          <w:rPr>
            <w:color w:val="1155CC"/>
            <w:sz w:val="20"/>
            <w:szCs w:val="20"/>
            <w:highlight w:val="white"/>
            <w:u w:val="single"/>
          </w:rPr>
          <w:t>https://doi.org/10.1073/pnas.1416382111</w:t>
        </w:r>
      </w:hyperlink>
    </w:p>
  </w:footnote>
  <w:footnote w:id="5">
    <w:p w14:paraId="000000D9" w14:textId="5FC66C4B" w:rsidR="00634184" w:rsidRDefault="00000000">
      <w:pPr>
        <w:spacing w:line="240" w:lineRule="auto"/>
        <w:rPr>
          <w:sz w:val="20"/>
          <w:szCs w:val="20"/>
        </w:rPr>
      </w:pPr>
      <w:r>
        <w:rPr>
          <w:vertAlign w:val="superscript"/>
        </w:rPr>
        <w:footnoteRef/>
      </w:r>
      <w:r>
        <w:rPr>
          <w:color w:val="0D0D0D"/>
          <w:sz w:val="20"/>
          <w:szCs w:val="20"/>
          <w:highlight w:val="white"/>
        </w:rPr>
        <w:t xml:space="preserve">Patricia M. Greenfield, “Language, Tools and Brain: The Ontogeny and Phylogeny of Hierarchically Organized Sequential Behavior,” </w:t>
      </w:r>
      <w:r>
        <w:rPr>
          <w:i/>
          <w:color w:val="0D0D0D"/>
          <w:sz w:val="20"/>
          <w:szCs w:val="20"/>
        </w:rPr>
        <w:t>Behavioral and Brain Sciences</w:t>
      </w:r>
      <w:r>
        <w:rPr>
          <w:color w:val="0D0D0D"/>
          <w:sz w:val="20"/>
          <w:szCs w:val="20"/>
          <w:highlight w:val="white"/>
        </w:rPr>
        <w:t xml:space="preserve"> 14, no. 4 (1991): 5</w:t>
      </w:r>
      <w:r w:rsidR="00F945AC">
        <w:rPr>
          <w:color w:val="0D0D0D"/>
          <w:sz w:val="20"/>
          <w:szCs w:val="20"/>
          <w:highlight w:val="white"/>
        </w:rPr>
        <w:t>49</w:t>
      </w:r>
      <w:r>
        <w:rPr>
          <w:color w:val="0D0D0D"/>
          <w:sz w:val="20"/>
          <w:szCs w:val="20"/>
          <w:highlight w:val="white"/>
        </w:rPr>
        <w:t>,</w:t>
      </w:r>
      <w:hyperlink r:id="rId4">
        <w:r>
          <w:rPr>
            <w:color w:val="0D0D0D"/>
            <w:sz w:val="20"/>
            <w:szCs w:val="20"/>
            <w:highlight w:val="white"/>
          </w:rPr>
          <w:t xml:space="preserve"> </w:t>
        </w:r>
      </w:hyperlink>
      <w:hyperlink r:id="rId5">
        <w:r>
          <w:rPr>
            <w:color w:val="1155CC"/>
            <w:sz w:val="20"/>
            <w:szCs w:val="20"/>
          </w:rPr>
          <w:t>https://doi.org/10.1017/S0140525X00071235</w:t>
        </w:r>
      </w:hyperlink>
      <w:r>
        <w:rPr>
          <w:color w:val="0D0D0D"/>
          <w:sz w:val="20"/>
          <w:szCs w:val="20"/>
          <w:highlight w:val="white"/>
        </w:rPr>
        <w:t>.</w:t>
      </w:r>
    </w:p>
  </w:footnote>
  <w:footnote w:id="6">
    <w:p w14:paraId="000000DA" w14:textId="3781BF9C" w:rsidR="00634184" w:rsidRDefault="00000000">
      <w:pPr>
        <w:spacing w:line="240" w:lineRule="auto"/>
        <w:rPr>
          <w:sz w:val="20"/>
          <w:szCs w:val="20"/>
        </w:rPr>
      </w:pPr>
      <w:r>
        <w:rPr>
          <w:vertAlign w:val="superscript"/>
        </w:rPr>
        <w:footnoteRef/>
      </w:r>
      <w:r>
        <w:rPr>
          <w:color w:val="0D0D0D"/>
          <w:sz w:val="20"/>
          <w:szCs w:val="20"/>
          <w:highlight w:val="white"/>
        </w:rPr>
        <w:t xml:space="preserve">Greenfield, “Language, Tools and Brain,” </w:t>
      </w:r>
      <w:r w:rsidR="00F945AC">
        <w:rPr>
          <w:color w:val="0D0D0D"/>
          <w:sz w:val="20"/>
          <w:szCs w:val="20"/>
        </w:rPr>
        <w:t>545-547.</w:t>
      </w:r>
    </w:p>
  </w:footnote>
  <w:footnote w:id="7">
    <w:p w14:paraId="000000C1" w14:textId="36D0D9DE" w:rsidR="00634184" w:rsidRDefault="00000000">
      <w:pPr>
        <w:spacing w:line="240" w:lineRule="auto"/>
        <w:rPr>
          <w:sz w:val="16"/>
          <w:szCs w:val="16"/>
        </w:rPr>
      </w:pPr>
      <w:r>
        <w:rPr>
          <w:vertAlign w:val="superscript"/>
        </w:rPr>
        <w:footnoteRef/>
      </w:r>
      <w:r>
        <w:rPr>
          <w:color w:val="0D0D0D"/>
          <w:sz w:val="20"/>
          <w:szCs w:val="20"/>
          <w:highlight w:val="white"/>
        </w:rPr>
        <w:t xml:space="preserve">Michael C. </w:t>
      </w:r>
      <w:proofErr w:type="spellStart"/>
      <w:r>
        <w:rPr>
          <w:color w:val="0D0D0D"/>
          <w:sz w:val="20"/>
          <w:szCs w:val="20"/>
          <w:highlight w:val="white"/>
        </w:rPr>
        <w:t>Corballis</w:t>
      </w:r>
      <w:proofErr w:type="spellEnd"/>
      <w:r>
        <w:rPr>
          <w:color w:val="0D0D0D"/>
          <w:sz w:val="20"/>
          <w:szCs w:val="20"/>
          <w:highlight w:val="white"/>
        </w:rPr>
        <w:t xml:space="preserve">, "From mouth to hand: gesture, speech, and the evolution of right-handedness," </w:t>
      </w:r>
      <w:r>
        <w:rPr>
          <w:i/>
          <w:color w:val="0D0D0D"/>
          <w:sz w:val="20"/>
          <w:szCs w:val="20"/>
        </w:rPr>
        <w:t>Behavioral and Brain Sciences</w:t>
      </w:r>
      <w:r>
        <w:rPr>
          <w:color w:val="0D0D0D"/>
          <w:sz w:val="20"/>
          <w:szCs w:val="20"/>
          <w:highlight w:val="white"/>
        </w:rPr>
        <w:t xml:space="preserve"> 26, no. 2 (2003): 199–208,</w:t>
      </w:r>
      <w:hyperlink r:id="rId6">
        <w:r>
          <w:rPr>
            <w:color w:val="0D0D0D"/>
            <w:sz w:val="20"/>
            <w:szCs w:val="20"/>
            <w:highlight w:val="white"/>
          </w:rPr>
          <w:t xml:space="preserve"> </w:t>
        </w:r>
      </w:hyperlink>
      <w:hyperlink r:id="rId7">
        <w:r>
          <w:rPr>
            <w:color w:val="1155CC"/>
            <w:sz w:val="20"/>
            <w:szCs w:val="20"/>
          </w:rPr>
          <w:t>https://doi.org/10.1017/s0140525x03000062</w:t>
        </w:r>
      </w:hyperlink>
      <w:r>
        <w:rPr>
          <w:color w:val="0D0D0D"/>
          <w:sz w:val="20"/>
          <w:szCs w:val="20"/>
          <w:highlight w:val="white"/>
        </w:rPr>
        <w:t>.</w:t>
      </w:r>
    </w:p>
  </w:footnote>
  <w:footnote w:id="8">
    <w:p w14:paraId="000000C6" w14:textId="0542EBD9" w:rsidR="00634184" w:rsidRDefault="00000000">
      <w:pPr>
        <w:spacing w:line="240" w:lineRule="auto"/>
        <w:rPr>
          <w:sz w:val="20"/>
          <w:szCs w:val="20"/>
        </w:rPr>
      </w:pPr>
      <w:r>
        <w:rPr>
          <w:vertAlign w:val="superscript"/>
        </w:rPr>
        <w:footnoteRef/>
      </w:r>
      <w:r>
        <w:rPr>
          <w:sz w:val="20"/>
          <w:szCs w:val="20"/>
        </w:rPr>
        <w:t>Ambrose, "Paleolithic Technology and Human Evolution,” 1752.</w:t>
      </w:r>
    </w:p>
  </w:footnote>
  <w:footnote w:id="9">
    <w:p w14:paraId="000000C5" w14:textId="735EA145" w:rsidR="00634184" w:rsidRDefault="00000000">
      <w:pPr>
        <w:spacing w:line="240" w:lineRule="auto"/>
        <w:rPr>
          <w:sz w:val="16"/>
          <w:szCs w:val="16"/>
        </w:rPr>
      </w:pPr>
      <w:r>
        <w:rPr>
          <w:vertAlign w:val="superscript"/>
        </w:rPr>
        <w:footnoteRef/>
      </w:r>
      <w:r>
        <w:rPr>
          <w:sz w:val="20"/>
          <w:szCs w:val="20"/>
        </w:rPr>
        <w:t xml:space="preserve">Mary W. </w:t>
      </w:r>
      <w:proofErr w:type="spellStart"/>
      <w:r>
        <w:rPr>
          <w:sz w:val="20"/>
          <w:szCs w:val="20"/>
        </w:rPr>
        <w:t>Marzke</w:t>
      </w:r>
      <w:proofErr w:type="spellEnd"/>
      <w:r>
        <w:rPr>
          <w:sz w:val="20"/>
          <w:szCs w:val="20"/>
        </w:rPr>
        <w:t xml:space="preserve">, "Precision Grips, Hand Morphology, and Tools," </w:t>
      </w:r>
      <w:r>
        <w:rPr>
          <w:i/>
          <w:sz w:val="20"/>
          <w:szCs w:val="20"/>
        </w:rPr>
        <w:t>American Journal of Physical Anthropology</w:t>
      </w:r>
      <w:r>
        <w:rPr>
          <w:sz w:val="20"/>
          <w:szCs w:val="20"/>
        </w:rPr>
        <w:t xml:space="preserve"> 102, no. 1 (1997): 91-110.</w:t>
      </w:r>
      <w:hyperlink r:id="rId8">
        <w:r>
          <w:rPr>
            <w:color w:val="1155CC"/>
            <w:sz w:val="20"/>
            <w:szCs w:val="20"/>
            <w:highlight w:val="white"/>
            <w:u w:val="single"/>
          </w:rPr>
          <w:t>https://doi.org/10.1002/(SICI)1096-8644(199701)102:1&lt;91::AID-AJPA8&gt;3.0.CO;2-Gopen_in_new</w:t>
        </w:r>
      </w:hyperlink>
      <w:r>
        <w:rPr>
          <w:color w:val="0D0D0D"/>
          <w:sz w:val="20"/>
          <w:szCs w:val="20"/>
          <w:highlight w:val="white"/>
        </w:rPr>
        <w:t xml:space="preserve"> </w:t>
      </w:r>
    </w:p>
  </w:footnote>
  <w:footnote w:id="10">
    <w:p w14:paraId="000000D1" w14:textId="105DD22D" w:rsidR="00634184" w:rsidRDefault="00000000">
      <w:pPr>
        <w:spacing w:line="240" w:lineRule="auto"/>
        <w:rPr>
          <w:sz w:val="20"/>
          <w:szCs w:val="20"/>
        </w:rPr>
      </w:pPr>
      <w:r>
        <w:rPr>
          <w:vertAlign w:val="superscript"/>
        </w:rPr>
        <w:footnoteRef/>
      </w:r>
      <w:r>
        <w:rPr>
          <w:sz w:val="20"/>
          <w:szCs w:val="20"/>
        </w:rPr>
        <w:t>Ambrose, "Paleolithic Technology and Human Evolution,” 1752.</w:t>
      </w:r>
    </w:p>
  </w:footnote>
  <w:footnote w:id="11">
    <w:p w14:paraId="000000C4" w14:textId="7A54B06E" w:rsidR="00634184" w:rsidRDefault="00000000">
      <w:pPr>
        <w:spacing w:line="240" w:lineRule="auto"/>
        <w:rPr>
          <w:sz w:val="20"/>
          <w:szCs w:val="20"/>
        </w:rPr>
      </w:pPr>
      <w:r>
        <w:rPr>
          <w:vertAlign w:val="superscript"/>
        </w:rPr>
        <w:footnoteRef/>
      </w:r>
      <w:r>
        <w:rPr>
          <w:sz w:val="20"/>
          <w:szCs w:val="20"/>
        </w:rPr>
        <w:t xml:space="preserve">Harari, </w:t>
      </w:r>
      <w:r>
        <w:rPr>
          <w:i/>
          <w:sz w:val="20"/>
          <w:szCs w:val="20"/>
        </w:rPr>
        <w:t>Sapiens: A Brief History of Humankind</w:t>
      </w:r>
      <w:r>
        <w:rPr>
          <w:sz w:val="20"/>
          <w:szCs w:val="20"/>
        </w:rPr>
        <w:t>, 88-95.</w:t>
      </w:r>
    </w:p>
  </w:footnote>
  <w:footnote w:id="12">
    <w:p w14:paraId="000000D4" w14:textId="1E0172FC" w:rsidR="00634184" w:rsidRDefault="00000000">
      <w:pPr>
        <w:spacing w:line="240" w:lineRule="auto"/>
        <w:rPr>
          <w:sz w:val="20"/>
          <w:szCs w:val="20"/>
        </w:rPr>
      </w:pPr>
      <w:r>
        <w:rPr>
          <w:vertAlign w:val="superscript"/>
        </w:rPr>
        <w:footnoteRef/>
      </w:r>
      <w:r>
        <w:rPr>
          <w:sz w:val="20"/>
          <w:szCs w:val="20"/>
        </w:rPr>
        <w:t xml:space="preserve">Harari, </w:t>
      </w:r>
      <w:r>
        <w:rPr>
          <w:i/>
          <w:sz w:val="20"/>
          <w:szCs w:val="20"/>
        </w:rPr>
        <w:t>Sapiens: A Brief History of Humankind</w:t>
      </w:r>
      <w:r>
        <w:rPr>
          <w:sz w:val="20"/>
          <w:szCs w:val="20"/>
        </w:rPr>
        <w:t>, 136.</w:t>
      </w:r>
    </w:p>
  </w:footnote>
  <w:footnote w:id="13">
    <w:p w14:paraId="000000C8" w14:textId="38A4ED29" w:rsidR="00634184" w:rsidRDefault="00000000">
      <w:pPr>
        <w:spacing w:line="240" w:lineRule="auto"/>
        <w:rPr>
          <w:sz w:val="20"/>
          <w:szCs w:val="20"/>
        </w:rPr>
      </w:pPr>
      <w:r>
        <w:rPr>
          <w:vertAlign w:val="superscript"/>
        </w:rPr>
        <w:footnoteRef/>
      </w:r>
      <w:r>
        <w:rPr>
          <w:sz w:val="20"/>
          <w:szCs w:val="20"/>
        </w:rPr>
        <w:t xml:space="preserve">Andy Clark and David Chalmers, "The Extended Mind," </w:t>
      </w:r>
      <w:r>
        <w:rPr>
          <w:i/>
          <w:sz w:val="20"/>
          <w:szCs w:val="20"/>
        </w:rPr>
        <w:t>Analysis</w:t>
      </w:r>
      <w:r>
        <w:rPr>
          <w:sz w:val="20"/>
          <w:szCs w:val="20"/>
        </w:rPr>
        <w:t xml:space="preserve"> 58, no. 1 (1998): 7-19.</w:t>
      </w:r>
    </w:p>
  </w:footnote>
  <w:footnote w:id="14">
    <w:p w14:paraId="000000C7" w14:textId="2A2B1FE7" w:rsidR="00634184" w:rsidRDefault="00000000">
      <w:pPr>
        <w:spacing w:line="240" w:lineRule="auto"/>
        <w:rPr>
          <w:sz w:val="20"/>
          <w:szCs w:val="20"/>
        </w:rPr>
      </w:pPr>
      <w:r>
        <w:rPr>
          <w:vertAlign w:val="superscript"/>
        </w:rPr>
        <w:footnoteRef/>
      </w:r>
      <w:r>
        <w:rPr>
          <w:sz w:val="20"/>
          <w:szCs w:val="20"/>
        </w:rPr>
        <w:t xml:space="preserve">Harari, </w:t>
      </w:r>
      <w:r>
        <w:rPr>
          <w:i/>
          <w:sz w:val="20"/>
          <w:szCs w:val="20"/>
        </w:rPr>
        <w:t xml:space="preserve">Sapiens: A Brief History of Humankind, </w:t>
      </w:r>
      <w:r>
        <w:rPr>
          <w:sz w:val="20"/>
          <w:szCs w:val="20"/>
        </w:rPr>
        <w:t>136-146.</w:t>
      </w:r>
    </w:p>
  </w:footnote>
  <w:footnote w:id="15">
    <w:p w14:paraId="000000D5" w14:textId="77777777" w:rsidR="00634184" w:rsidRDefault="00000000">
      <w:pPr>
        <w:spacing w:line="240" w:lineRule="auto"/>
        <w:rPr>
          <w:sz w:val="20"/>
          <w:szCs w:val="20"/>
        </w:rPr>
      </w:pPr>
      <w:r>
        <w:rPr>
          <w:vertAlign w:val="superscript"/>
        </w:rPr>
        <w:footnoteRef/>
      </w:r>
      <w:r>
        <w:rPr>
          <w:sz w:val="20"/>
          <w:szCs w:val="20"/>
        </w:rPr>
        <w:t xml:space="preserve">Harari, </w:t>
      </w:r>
      <w:r>
        <w:rPr>
          <w:i/>
          <w:sz w:val="20"/>
          <w:szCs w:val="20"/>
        </w:rPr>
        <w:t>Sapiens: A Brief History of Humankind</w:t>
      </w:r>
      <w:r>
        <w:rPr>
          <w:sz w:val="20"/>
          <w:szCs w:val="20"/>
        </w:rPr>
        <w:t>, 98, 111.</w:t>
      </w:r>
    </w:p>
  </w:footnote>
  <w:footnote w:id="16">
    <w:p w14:paraId="000000D6" w14:textId="77777777" w:rsidR="00634184" w:rsidRDefault="00000000">
      <w:pPr>
        <w:spacing w:line="240" w:lineRule="auto"/>
        <w:rPr>
          <w:sz w:val="20"/>
          <w:szCs w:val="20"/>
        </w:rPr>
      </w:pPr>
      <w:r>
        <w:rPr>
          <w:vertAlign w:val="superscript"/>
        </w:rPr>
        <w:footnoteRef/>
      </w:r>
      <w:r>
        <w:rPr>
          <w:sz w:val="20"/>
          <w:szCs w:val="20"/>
        </w:rPr>
        <w:t xml:space="preserve">Peter N. Stearns, ed., </w:t>
      </w:r>
      <w:r>
        <w:rPr>
          <w:i/>
          <w:sz w:val="20"/>
          <w:szCs w:val="20"/>
        </w:rPr>
        <w:t xml:space="preserve">The Encyclopedia of World History: Ancient, Medieval, and Modern, </w:t>
      </w:r>
      <w:r>
        <w:rPr>
          <w:sz w:val="20"/>
          <w:szCs w:val="20"/>
        </w:rPr>
        <w:t>Chronologically Arranged, 6th ed. (Boston: Houghton Mifflin, 2001), 124, 126, 457-458, 460-462.</w:t>
      </w:r>
    </w:p>
  </w:footnote>
  <w:footnote w:id="17">
    <w:p w14:paraId="000000DB" w14:textId="77777777" w:rsidR="00634184" w:rsidRDefault="00000000">
      <w:pPr>
        <w:spacing w:line="240" w:lineRule="auto"/>
        <w:rPr>
          <w:sz w:val="20"/>
          <w:szCs w:val="20"/>
        </w:rPr>
      </w:pPr>
      <w:r>
        <w:rPr>
          <w:vertAlign w:val="superscript"/>
        </w:rPr>
        <w:footnoteRef/>
      </w:r>
      <w:r>
        <w:rPr>
          <w:sz w:val="20"/>
          <w:szCs w:val="20"/>
        </w:rPr>
        <w:t xml:space="preserve">Stearns, </w:t>
      </w:r>
      <w:r>
        <w:rPr>
          <w:i/>
          <w:sz w:val="20"/>
          <w:szCs w:val="20"/>
        </w:rPr>
        <w:t xml:space="preserve">The Encyclopedia of World History, </w:t>
      </w:r>
      <w:r>
        <w:rPr>
          <w:sz w:val="20"/>
          <w:szCs w:val="20"/>
        </w:rPr>
        <w:t>171.</w:t>
      </w:r>
    </w:p>
  </w:footnote>
  <w:footnote w:id="18">
    <w:p w14:paraId="000000D7" w14:textId="77777777" w:rsidR="00634184" w:rsidRDefault="00000000">
      <w:pPr>
        <w:spacing w:line="240" w:lineRule="auto"/>
        <w:rPr>
          <w:sz w:val="20"/>
          <w:szCs w:val="20"/>
        </w:rPr>
      </w:pPr>
      <w:r>
        <w:rPr>
          <w:vertAlign w:val="superscript"/>
        </w:rPr>
        <w:footnoteRef/>
      </w:r>
      <w:r>
        <w:rPr>
          <w:sz w:val="20"/>
          <w:szCs w:val="20"/>
        </w:rPr>
        <w:t xml:space="preserve">Stearns, </w:t>
      </w:r>
      <w:r>
        <w:rPr>
          <w:i/>
          <w:sz w:val="20"/>
          <w:szCs w:val="20"/>
        </w:rPr>
        <w:t xml:space="preserve">The Encyclopedia of World History, </w:t>
      </w:r>
      <w:r>
        <w:rPr>
          <w:sz w:val="20"/>
          <w:szCs w:val="20"/>
        </w:rPr>
        <w:t>204, 371.</w:t>
      </w:r>
    </w:p>
  </w:footnote>
  <w:footnote w:id="19">
    <w:p w14:paraId="000000D8" w14:textId="77777777" w:rsidR="00634184" w:rsidRDefault="00000000">
      <w:pPr>
        <w:spacing w:line="240" w:lineRule="auto"/>
        <w:rPr>
          <w:sz w:val="20"/>
          <w:szCs w:val="20"/>
        </w:rPr>
      </w:pPr>
      <w:r>
        <w:rPr>
          <w:vertAlign w:val="superscript"/>
        </w:rPr>
        <w:footnoteRef/>
      </w:r>
      <w:r>
        <w:rPr>
          <w:sz w:val="20"/>
          <w:szCs w:val="20"/>
        </w:rPr>
        <w:t xml:space="preserve">Stearns, </w:t>
      </w:r>
      <w:r>
        <w:rPr>
          <w:i/>
          <w:sz w:val="20"/>
          <w:szCs w:val="20"/>
        </w:rPr>
        <w:t xml:space="preserve">The Encyclopedia of World History, </w:t>
      </w:r>
      <w:r>
        <w:rPr>
          <w:sz w:val="20"/>
          <w:szCs w:val="20"/>
        </w:rPr>
        <w:t>821.</w:t>
      </w:r>
    </w:p>
  </w:footnote>
  <w:footnote w:id="20">
    <w:p w14:paraId="000000C9" w14:textId="5373AADF" w:rsidR="00634184" w:rsidRDefault="00000000">
      <w:pPr>
        <w:spacing w:line="240" w:lineRule="auto"/>
        <w:rPr>
          <w:sz w:val="20"/>
          <w:szCs w:val="20"/>
        </w:rPr>
      </w:pPr>
      <w:r>
        <w:rPr>
          <w:vertAlign w:val="superscript"/>
        </w:rPr>
        <w:footnoteRef/>
      </w:r>
      <w:r>
        <w:rPr>
          <w:sz w:val="20"/>
          <w:szCs w:val="20"/>
        </w:rPr>
        <w:t xml:space="preserve">Michael Levin, "The Beauty of Collective Intelligence, Explained by a Developmental Biologist," YouTube video, posted by Big Think, August 22, 2023, 0:00 to 0:53, </w:t>
      </w:r>
      <w:hyperlink r:id="rId9">
        <w:r>
          <w:rPr>
            <w:color w:val="1155CC"/>
            <w:sz w:val="20"/>
            <w:szCs w:val="20"/>
            <w:u w:val="single"/>
          </w:rPr>
          <w:t>https://youtu.be/U93x9AWeuOA?si=gjB7jCwLBF9JvH_v</w:t>
        </w:r>
      </w:hyperlink>
      <w:r>
        <w:rPr>
          <w:sz w:val="20"/>
          <w:szCs w:val="20"/>
        </w:rPr>
        <w:t xml:space="preserve">. </w:t>
      </w:r>
    </w:p>
  </w:footnote>
  <w:footnote w:id="21">
    <w:p w14:paraId="000000CB" w14:textId="176F1191" w:rsidR="00634184" w:rsidRDefault="00000000">
      <w:pPr>
        <w:spacing w:line="240" w:lineRule="auto"/>
        <w:rPr>
          <w:sz w:val="20"/>
          <w:szCs w:val="20"/>
        </w:rPr>
      </w:pPr>
      <w:r>
        <w:rPr>
          <w:vertAlign w:val="superscript"/>
        </w:rPr>
        <w:footnoteRef/>
      </w:r>
      <w:r>
        <w:rPr>
          <w:sz w:val="20"/>
          <w:szCs w:val="20"/>
        </w:rPr>
        <w:t>Levin, "The Beauty of Collective Intelligence," 4:40 to 5:06.</w:t>
      </w:r>
    </w:p>
  </w:footnote>
  <w:footnote w:id="22">
    <w:p w14:paraId="000000CA" w14:textId="1B01B860" w:rsidR="00634184" w:rsidRDefault="00000000">
      <w:pPr>
        <w:spacing w:line="240" w:lineRule="auto"/>
        <w:rPr>
          <w:sz w:val="20"/>
          <w:szCs w:val="20"/>
        </w:rPr>
      </w:pPr>
      <w:r>
        <w:rPr>
          <w:vertAlign w:val="superscript"/>
        </w:rPr>
        <w:footnoteRef/>
      </w:r>
      <w:r>
        <w:rPr>
          <w:sz w:val="20"/>
          <w:szCs w:val="20"/>
        </w:rPr>
        <w:t xml:space="preserve">David L. Hull, "A Matter of Individuality," </w:t>
      </w:r>
      <w:r>
        <w:rPr>
          <w:i/>
          <w:sz w:val="20"/>
          <w:szCs w:val="20"/>
        </w:rPr>
        <w:t>Philosophy of Science</w:t>
      </w:r>
      <w:r>
        <w:rPr>
          <w:sz w:val="20"/>
          <w:szCs w:val="20"/>
        </w:rPr>
        <w:t xml:space="preserve"> 45, no. 3 (1978): 335-360.</w:t>
      </w:r>
    </w:p>
  </w:footnote>
  <w:footnote w:id="23">
    <w:p w14:paraId="000000CC" w14:textId="2C0B0667" w:rsidR="00634184" w:rsidRDefault="00000000">
      <w:pPr>
        <w:spacing w:line="240" w:lineRule="auto"/>
        <w:rPr>
          <w:sz w:val="20"/>
          <w:szCs w:val="20"/>
        </w:rPr>
      </w:pPr>
      <w:r>
        <w:rPr>
          <w:vertAlign w:val="superscript"/>
        </w:rPr>
        <w:footnoteRef/>
      </w:r>
      <w:r>
        <w:rPr>
          <w:sz w:val="20"/>
          <w:szCs w:val="20"/>
        </w:rPr>
        <w:t xml:space="preserve">Stearns, </w:t>
      </w:r>
      <w:r>
        <w:rPr>
          <w:i/>
          <w:sz w:val="20"/>
          <w:szCs w:val="20"/>
        </w:rPr>
        <w:t xml:space="preserve">The Encyclopedia of World History, </w:t>
      </w:r>
      <w:r>
        <w:rPr>
          <w:sz w:val="20"/>
          <w:szCs w:val="20"/>
        </w:rPr>
        <w:t>874.</w:t>
      </w:r>
    </w:p>
  </w:footnote>
  <w:footnote w:id="24">
    <w:p w14:paraId="000000CD" w14:textId="475EB784" w:rsidR="00634184" w:rsidRDefault="00000000">
      <w:pPr>
        <w:spacing w:line="240" w:lineRule="auto"/>
        <w:rPr>
          <w:sz w:val="20"/>
          <w:szCs w:val="20"/>
          <w:vertAlign w:val="superscript"/>
        </w:rPr>
      </w:pPr>
      <w:r>
        <w:rPr>
          <w:vertAlign w:val="superscript"/>
        </w:rPr>
        <w:footnoteRef/>
      </w:r>
      <w:r>
        <w:rPr>
          <w:sz w:val="20"/>
          <w:szCs w:val="20"/>
        </w:rPr>
        <w:t xml:space="preserve">Lynn Hunt, </w:t>
      </w:r>
      <w:r w:rsidR="00CC3911" w:rsidRPr="00CC3911">
        <w:rPr>
          <w:i/>
          <w:iCs/>
          <w:sz w:val="20"/>
          <w:szCs w:val="20"/>
        </w:rPr>
        <w:t>I</w:t>
      </w:r>
      <w:r w:rsidRPr="00CC3911">
        <w:rPr>
          <w:i/>
          <w:iCs/>
          <w:sz w:val="20"/>
          <w:szCs w:val="20"/>
        </w:rPr>
        <w:t>nventing Human Rights</w:t>
      </w:r>
      <w:r w:rsidR="00CC3911" w:rsidRPr="00CC3911">
        <w:rPr>
          <w:i/>
          <w:iCs/>
          <w:sz w:val="20"/>
          <w:szCs w:val="20"/>
        </w:rPr>
        <w:t>: A History</w:t>
      </w:r>
      <w:r>
        <w:rPr>
          <w:sz w:val="20"/>
          <w:szCs w:val="20"/>
        </w:rPr>
        <w:t xml:space="preserve"> (New York: W. W. Norton &amp; Company, 2007), 41.</w:t>
      </w:r>
    </w:p>
  </w:footnote>
  <w:footnote w:id="25">
    <w:p w14:paraId="000000D0" w14:textId="4B0BA472" w:rsidR="00634184" w:rsidRDefault="00000000">
      <w:pPr>
        <w:spacing w:line="240" w:lineRule="auto"/>
        <w:rPr>
          <w:sz w:val="20"/>
          <w:szCs w:val="20"/>
        </w:rPr>
      </w:pPr>
      <w:r>
        <w:rPr>
          <w:vertAlign w:val="superscript"/>
        </w:rPr>
        <w:footnoteRef/>
      </w:r>
      <w:r>
        <w:rPr>
          <w:sz w:val="20"/>
          <w:szCs w:val="20"/>
        </w:rPr>
        <w:t>Hunt</w:t>
      </w:r>
      <w:r w:rsidRPr="00CC3911">
        <w:rPr>
          <w:i/>
          <w:iCs/>
          <w:sz w:val="20"/>
          <w:szCs w:val="20"/>
        </w:rPr>
        <w:t>, Inventing Human Rights,</w:t>
      </w:r>
      <w:r>
        <w:rPr>
          <w:sz w:val="20"/>
          <w:szCs w:val="20"/>
        </w:rPr>
        <w:t xml:space="preserve"> 60.</w:t>
      </w:r>
    </w:p>
  </w:footnote>
  <w:footnote w:id="26">
    <w:p w14:paraId="000000CE" w14:textId="0DDBAA54" w:rsidR="00634184" w:rsidRDefault="00000000">
      <w:pPr>
        <w:spacing w:line="240" w:lineRule="auto"/>
        <w:rPr>
          <w:sz w:val="20"/>
          <w:szCs w:val="20"/>
          <w:vertAlign w:val="superscript"/>
        </w:rPr>
      </w:pPr>
      <w:r>
        <w:rPr>
          <w:vertAlign w:val="superscript"/>
        </w:rPr>
        <w:footnoteRef/>
      </w:r>
      <w:r>
        <w:rPr>
          <w:sz w:val="20"/>
          <w:szCs w:val="20"/>
        </w:rPr>
        <w:t>Hunt</w:t>
      </w:r>
      <w:r w:rsidRPr="00CC3911">
        <w:rPr>
          <w:i/>
          <w:iCs/>
          <w:sz w:val="20"/>
          <w:szCs w:val="20"/>
        </w:rPr>
        <w:t>, Inventing Human Rights</w:t>
      </w:r>
      <w:r>
        <w:rPr>
          <w:sz w:val="20"/>
          <w:szCs w:val="20"/>
        </w:rPr>
        <w:t>, 39.</w:t>
      </w:r>
    </w:p>
  </w:footnote>
  <w:footnote w:id="27">
    <w:p w14:paraId="000000CF" w14:textId="17D6E516" w:rsidR="00634184" w:rsidRDefault="00000000">
      <w:pPr>
        <w:spacing w:line="240" w:lineRule="auto"/>
        <w:rPr>
          <w:sz w:val="20"/>
          <w:szCs w:val="20"/>
        </w:rPr>
      </w:pPr>
      <w:r>
        <w:rPr>
          <w:vertAlign w:val="superscript"/>
        </w:rPr>
        <w:footnoteRef/>
      </w:r>
      <w:r>
        <w:rPr>
          <w:sz w:val="20"/>
          <w:szCs w:val="20"/>
        </w:rPr>
        <w:t xml:space="preserve">Hunt, </w:t>
      </w:r>
      <w:r w:rsidRPr="00CC3911">
        <w:rPr>
          <w:i/>
          <w:iCs/>
          <w:sz w:val="20"/>
          <w:szCs w:val="20"/>
        </w:rPr>
        <w:t>Inventing Human Rights</w:t>
      </w:r>
      <w:r>
        <w:rPr>
          <w:sz w:val="20"/>
          <w:szCs w:val="20"/>
        </w:rPr>
        <w:t>, 40-41.</w:t>
      </w:r>
    </w:p>
  </w:footnote>
  <w:footnote w:id="28">
    <w:p w14:paraId="000000DC" w14:textId="3C54609E" w:rsidR="00634184" w:rsidRDefault="00000000">
      <w:pPr>
        <w:spacing w:line="240" w:lineRule="auto"/>
        <w:rPr>
          <w:sz w:val="20"/>
          <w:szCs w:val="20"/>
        </w:rPr>
      </w:pPr>
      <w:r>
        <w:rPr>
          <w:vertAlign w:val="superscript"/>
        </w:rPr>
        <w:footnoteRef/>
      </w:r>
      <w:r>
        <w:rPr>
          <w:sz w:val="20"/>
          <w:szCs w:val="20"/>
        </w:rPr>
        <w:t xml:space="preserve">Ilya Prigogine and Gregoire </w:t>
      </w:r>
      <w:proofErr w:type="spellStart"/>
      <w:r>
        <w:rPr>
          <w:sz w:val="20"/>
          <w:szCs w:val="20"/>
        </w:rPr>
        <w:t>Nicolis</w:t>
      </w:r>
      <w:proofErr w:type="spellEnd"/>
      <w:r>
        <w:rPr>
          <w:sz w:val="20"/>
          <w:szCs w:val="20"/>
        </w:rPr>
        <w:t xml:space="preserve">, "Biological Order, Structure and Instabilities," </w:t>
      </w:r>
      <w:r>
        <w:rPr>
          <w:i/>
          <w:sz w:val="20"/>
          <w:szCs w:val="20"/>
        </w:rPr>
        <w:t>Quarterly Reviews of Biophysics</w:t>
      </w:r>
      <w:r>
        <w:rPr>
          <w:sz w:val="20"/>
          <w:szCs w:val="20"/>
        </w:rPr>
        <w:t xml:space="preserve"> 4, no. 2-3 (1971): 107-148, </w:t>
      </w:r>
      <w:hyperlink r:id="rId10">
        <w:r>
          <w:rPr>
            <w:color w:val="1155CC"/>
            <w:sz w:val="20"/>
            <w:szCs w:val="20"/>
            <w:u w:val="single"/>
          </w:rPr>
          <w:t>https://doi.org/10.1017/S0033583500000615</w:t>
        </w:r>
      </w:hyperlink>
      <w:r>
        <w:rPr>
          <w:sz w:val="20"/>
          <w:szCs w:val="20"/>
        </w:rPr>
        <w:t xml:space="preserve">. </w:t>
      </w:r>
    </w:p>
  </w:footnote>
  <w:footnote w:id="29">
    <w:p w14:paraId="000000EF" w14:textId="0C0B551C" w:rsidR="00634184" w:rsidRDefault="00000000">
      <w:pPr>
        <w:spacing w:line="240" w:lineRule="auto"/>
        <w:rPr>
          <w:sz w:val="20"/>
          <w:szCs w:val="20"/>
        </w:rPr>
      </w:pPr>
      <w:r>
        <w:rPr>
          <w:vertAlign w:val="superscript"/>
        </w:rPr>
        <w:footnoteRef/>
      </w:r>
      <w:r>
        <w:rPr>
          <w:sz w:val="20"/>
          <w:szCs w:val="20"/>
        </w:rPr>
        <w:t xml:space="preserve">Erich Jantsch, </w:t>
      </w:r>
      <w:r>
        <w:rPr>
          <w:i/>
          <w:sz w:val="20"/>
          <w:szCs w:val="20"/>
        </w:rPr>
        <w:t>The Self-Organizing Universe: Scientific and Human Implications of the Emerging Paradigm of Evolution</w:t>
      </w:r>
      <w:r>
        <w:rPr>
          <w:sz w:val="20"/>
          <w:szCs w:val="20"/>
        </w:rPr>
        <w:t xml:space="preserve"> (Oxford: Pergamon Press, 1980).</w:t>
      </w:r>
    </w:p>
  </w:footnote>
  <w:footnote w:id="30">
    <w:p w14:paraId="000000F0" w14:textId="29CCC021" w:rsidR="00634184" w:rsidRDefault="00000000">
      <w:pPr>
        <w:spacing w:line="240" w:lineRule="auto"/>
        <w:rPr>
          <w:sz w:val="20"/>
          <w:szCs w:val="20"/>
        </w:rPr>
      </w:pPr>
      <w:r>
        <w:rPr>
          <w:vertAlign w:val="superscript"/>
        </w:rPr>
        <w:footnoteRef/>
      </w:r>
      <w:r>
        <w:rPr>
          <w:sz w:val="20"/>
          <w:szCs w:val="20"/>
        </w:rPr>
        <w:t xml:space="preserve">Richard Dawkins, </w:t>
      </w:r>
      <w:r>
        <w:rPr>
          <w:i/>
          <w:sz w:val="20"/>
          <w:szCs w:val="20"/>
        </w:rPr>
        <w:t xml:space="preserve">The Blind Watchmaker: Why the Evidence of Evolution Reveals a Universe Without Design </w:t>
      </w:r>
      <w:r>
        <w:rPr>
          <w:sz w:val="20"/>
          <w:szCs w:val="20"/>
        </w:rPr>
        <w:t>(New York: W. W. Norton &amp; Company, 1986).</w:t>
      </w:r>
    </w:p>
  </w:footnote>
  <w:footnote w:id="31">
    <w:p w14:paraId="000000DD" w14:textId="2EF38B3B" w:rsidR="00634184" w:rsidRDefault="00000000">
      <w:pPr>
        <w:spacing w:line="240" w:lineRule="auto"/>
        <w:rPr>
          <w:sz w:val="16"/>
          <w:szCs w:val="16"/>
        </w:rPr>
      </w:pPr>
      <w:r>
        <w:rPr>
          <w:vertAlign w:val="superscript"/>
        </w:rPr>
        <w:footnoteRef/>
      </w:r>
      <w:r>
        <w:rPr>
          <w:color w:val="0D0D0D"/>
          <w:sz w:val="20"/>
          <w:szCs w:val="20"/>
          <w:highlight w:val="white"/>
        </w:rPr>
        <w:t xml:space="preserve">David Papineau, </w:t>
      </w:r>
      <w:r>
        <w:rPr>
          <w:i/>
          <w:color w:val="0D0D0D"/>
          <w:sz w:val="20"/>
          <w:szCs w:val="20"/>
        </w:rPr>
        <w:t>The Case for Materialism</w:t>
      </w:r>
      <w:r>
        <w:rPr>
          <w:color w:val="0D0D0D"/>
          <w:sz w:val="20"/>
          <w:szCs w:val="20"/>
          <w:highlight w:val="white"/>
        </w:rPr>
        <w:t xml:space="preserve"> (Cambridge, MA: Harvard University Press, 1993), 16-31.</w:t>
      </w:r>
    </w:p>
  </w:footnote>
  <w:footnote w:id="32">
    <w:p w14:paraId="000000DE" w14:textId="07A08649" w:rsidR="00634184" w:rsidRDefault="00000000">
      <w:pPr>
        <w:spacing w:line="240" w:lineRule="auto"/>
        <w:rPr>
          <w:sz w:val="20"/>
          <w:szCs w:val="20"/>
        </w:rPr>
      </w:pPr>
      <w:r>
        <w:rPr>
          <w:vertAlign w:val="superscript"/>
        </w:rPr>
        <w:footnoteRef/>
      </w:r>
      <w:r>
        <w:rPr>
          <w:color w:val="0D0D0D"/>
          <w:sz w:val="20"/>
          <w:szCs w:val="20"/>
        </w:rPr>
        <w:t xml:space="preserve">David J. Chalmers, "Facing Up to the Problem of Consciousness," </w:t>
      </w:r>
      <w:r>
        <w:rPr>
          <w:i/>
          <w:color w:val="0D0D0D"/>
          <w:sz w:val="20"/>
          <w:szCs w:val="20"/>
        </w:rPr>
        <w:t>Journal of Consciousness Studies</w:t>
      </w:r>
      <w:r>
        <w:rPr>
          <w:color w:val="0D0D0D"/>
          <w:sz w:val="20"/>
          <w:szCs w:val="20"/>
        </w:rPr>
        <w:t xml:space="preserve"> 2, no. </w:t>
      </w:r>
      <w:r>
        <w:rPr>
          <w:color w:val="0D0D0D"/>
          <w:sz w:val="20"/>
          <w:szCs w:val="20"/>
        </w:rPr>
        <w:t xml:space="preserve">3 (1995): </w:t>
      </w:r>
      <w:r>
        <w:rPr>
          <w:color w:val="0D0D0D"/>
          <w:sz w:val="20"/>
          <w:szCs w:val="20"/>
        </w:rPr>
        <w:t>200-219</w:t>
      </w:r>
      <w:r w:rsidR="00F945AC">
        <w:rPr>
          <w:color w:val="0D0D0D"/>
          <w:sz w:val="20"/>
          <w:szCs w:val="20"/>
        </w:rPr>
        <w:t>.</w:t>
      </w:r>
    </w:p>
  </w:footnote>
  <w:footnote w:id="33">
    <w:p w14:paraId="000000DF" w14:textId="06418B35" w:rsidR="00634184" w:rsidRDefault="00000000">
      <w:pPr>
        <w:spacing w:line="240" w:lineRule="auto"/>
        <w:rPr>
          <w:sz w:val="20"/>
          <w:szCs w:val="20"/>
        </w:rPr>
      </w:pPr>
      <w:r>
        <w:rPr>
          <w:vertAlign w:val="superscript"/>
        </w:rPr>
        <w:footnoteRef/>
      </w:r>
      <w:r>
        <w:rPr>
          <w:color w:val="0D0D0D"/>
          <w:sz w:val="20"/>
          <w:szCs w:val="20"/>
        </w:rPr>
        <w:t>Chalmers, "Facing Up to the Problem of Consciousness," 200-219.</w:t>
      </w:r>
    </w:p>
  </w:footnote>
  <w:footnote w:id="34">
    <w:p w14:paraId="000000E0" w14:textId="1B86151F" w:rsidR="00634184" w:rsidRDefault="00000000">
      <w:pPr>
        <w:spacing w:line="240" w:lineRule="auto"/>
        <w:rPr>
          <w:sz w:val="20"/>
          <w:szCs w:val="20"/>
        </w:rPr>
      </w:pPr>
      <w:r>
        <w:rPr>
          <w:vertAlign w:val="superscript"/>
        </w:rPr>
        <w:footnoteRef/>
      </w:r>
      <w:r>
        <w:rPr>
          <w:sz w:val="20"/>
          <w:szCs w:val="20"/>
        </w:rPr>
        <w:t xml:space="preserve">Klaus Schwab, </w:t>
      </w:r>
      <w:r>
        <w:rPr>
          <w:i/>
          <w:sz w:val="20"/>
          <w:szCs w:val="20"/>
        </w:rPr>
        <w:t>The Fourth Industrial Revolution</w:t>
      </w:r>
      <w:r>
        <w:rPr>
          <w:sz w:val="20"/>
          <w:szCs w:val="20"/>
        </w:rPr>
        <w:t xml:space="preserve"> (Geneva: World Economic Forum, 2016), 12.</w:t>
      </w:r>
    </w:p>
  </w:footnote>
  <w:footnote w:id="35">
    <w:p w14:paraId="000000FD" w14:textId="01E507D4" w:rsidR="00634184" w:rsidRDefault="00000000">
      <w:pPr>
        <w:spacing w:line="240" w:lineRule="auto"/>
        <w:rPr>
          <w:sz w:val="20"/>
          <w:szCs w:val="20"/>
        </w:rPr>
      </w:pPr>
      <w:r>
        <w:rPr>
          <w:vertAlign w:val="superscript"/>
        </w:rPr>
        <w:footnoteRef/>
      </w:r>
      <w:r>
        <w:rPr>
          <w:sz w:val="20"/>
          <w:szCs w:val="20"/>
        </w:rPr>
        <w:t xml:space="preserve">Schwab, </w:t>
      </w:r>
      <w:r>
        <w:rPr>
          <w:i/>
          <w:sz w:val="20"/>
          <w:szCs w:val="20"/>
        </w:rPr>
        <w:t xml:space="preserve">The Fourth Industrial Revolution, </w:t>
      </w:r>
      <w:r>
        <w:rPr>
          <w:sz w:val="20"/>
          <w:szCs w:val="20"/>
        </w:rPr>
        <w:t>11-13.</w:t>
      </w:r>
    </w:p>
  </w:footnote>
  <w:footnote w:id="36">
    <w:p w14:paraId="000000E2" w14:textId="0443211B" w:rsidR="00634184" w:rsidRDefault="00000000">
      <w:pPr>
        <w:spacing w:line="240" w:lineRule="auto"/>
        <w:rPr>
          <w:sz w:val="20"/>
          <w:szCs w:val="20"/>
        </w:rPr>
      </w:pPr>
      <w:r>
        <w:rPr>
          <w:vertAlign w:val="superscript"/>
        </w:rPr>
        <w:footnoteRef/>
      </w:r>
      <w:r>
        <w:rPr>
          <w:sz w:val="20"/>
          <w:szCs w:val="20"/>
        </w:rPr>
        <w:t xml:space="preserve">Simon L. Lewis and Mark A. Maslin, "Defining the Anthropocene," </w:t>
      </w:r>
      <w:r>
        <w:rPr>
          <w:i/>
          <w:sz w:val="20"/>
          <w:szCs w:val="20"/>
        </w:rPr>
        <w:t>Nature</w:t>
      </w:r>
      <w:r>
        <w:rPr>
          <w:sz w:val="20"/>
          <w:szCs w:val="20"/>
        </w:rPr>
        <w:t xml:space="preserve"> 519, no. 7542 (March 12, 2015): 171-180, </w:t>
      </w:r>
      <w:hyperlink r:id="rId11">
        <w:r>
          <w:rPr>
            <w:color w:val="1155CC"/>
            <w:sz w:val="20"/>
            <w:szCs w:val="20"/>
            <w:u w:val="single"/>
          </w:rPr>
          <w:t>https://doi.org/10.1038/nature14258</w:t>
        </w:r>
      </w:hyperlink>
      <w:r>
        <w:rPr>
          <w:sz w:val="20"/>
          <w:szCs w:val="20"/>
        </w:rPr>
        <w:t>.</w:t>
      </w:r>
    </w:p>
  </w:footnote>
  <w:footnote w:id="37">
    <w:p w14:paraId="000000E1" w14:textId="1E59A9EE" w:rsidR="00634184" w:rsidRDefault="00000000">
      <w:pPr>
        <w:spacing w:line="240" w:lineRule="auto"/>
        <w:rPr>
          <w:sz w:val="20"/>
          <w:szCs w:val="20"/>
        </w:rPr>
      </w:pPr>
      <w:r>
        <w:rPr>
          <w:vertAlign w:val="superscript"/>
        </w:rPr>
        <w:footnoteRef/>
      </w:r>
      <w:r>
        <w:rPr>
          <w:sz w:val="20"/>
          <w:szCs w:val="20"/>
        </w:rPr>
        <w:t xml:space="preserve">Jenna R. </w:t>
      </w:r>
      <w:proofErr w:type="spellStart"/>
      <w:r>
        <w:rPr>
          <w:sz w:val="20"/>
          <w:szCs w:val="20"/>
        </w:rPr>
        <w:t>Jambeck</w:t>
      </w:r>
      <w:proofErr w:type="spellEnd"/>
      <w:r>
        <w:rPr>
          <w:sz w:val="20"/>
          <w:szCs w:val="20"/>
        </w:rPr>
        <w:t xml:space="preserve"> et al., "Plastic Waste Inputs from Land into the Ocean," </w:t>
      </w:r>
      <w:r>
        <w:rPr>
          <w:i/>
          <w:sz w:val="20"/>
          <w:szCs w:val="20"/>
        </w:rPr>
        <w:t>Science</w:t>
      </w:r>
      <w:r>
        <w:rPr>
          <w:sz w:val="20"/>
          <w:szCs w:val="20"/>
        </w:rPr>
        <w:t xml:space="preserve"> 347, no. 6223 (2015): 768, </w:t>
      </w:r>
      <w:hyperlink r:id="rId12">
        <w:r>
          <w:rPr>
            <w:color w:val="1155CC"/>
            <w:sz w:val="20"/>
            <w:szCs w:val="20"/>
            <w:u w:val="single"/>
          </w:rPr>
          <w:t>https://doi.org/10.1126/science.1260352</w:t>
        </w:r>
      </w:hyperlink>
      <w:r>
        <w:rPr>
          <w:sz w:val="20"/>
          <w:szCs w:val="20"/>
        </w:rPr>
        <w:t>.</w:t>
      </w:r>
    </w:p>
  </w:footnote>
  <w:footnote w:id="38">
    <w:p w14:paraId="000000E4" w14:textId="31EE7FEB" w:rsidR="00634184" w:rsidRDefault="00000000">
      <w:pPr>
        <w:spacing w:line="240" w:lineRule="auto"/>
        <w:rPr>
          <w:sz w:val="20"/>
          <w:szCs w:val="20"/>
        </w:rPr>
      </w:pPr>
      <w:r>
        <w:rPr>
          <w:vertAlign w:val="superscript"/>
        </w:rPr>
        <w:footnoteRef/>
      </w:r>
      <w:r>
        <w:rPr>
          <w:sz w:val="20"/>
          <w:szCs w:val="20"/>
        </w:rPr>
        <w:t xml:space="preserve">Credit Suisse Research Institute, "Global Wealth Report 2021," Credit Suisse, June 2021, 17, </w:t>
      </w:r>
      <w:hyperlink r:id="rId13">
        <w:r>
          <w:rPr>
            <w:color w:val="1155CC"/>
            <w:sz w:val="20"/>
            <w:szCs w:val="20"/>
            <w:u w:val="single"/>
          </w:rPr>
          <w:t>https://www.credit-suisse.com/media/assets/corporate/docs/about-us/research/publications/global-wealth-report-2021-en.pdf</w:t>
        </w:r>
      </w:hyperlink>
      <w:r>
        <w:rPr>
          <w:sz w:val="20"/>
          <w:szCs w:val="20"/>
        </w:rPr>
        <w:t>.</w:t>
      </w:r>
    </w:p>
  </w:footnote>
  <w:footnote w:id="39">
    <w:p w14:paraId="000000E5" w14:textId="4A6A0105" w:rsidR="00634184" w:rsidRDefault="00000000">
      <w:pPr>
        <w:spacing w:line="240" w:lineRule="auto"/>
        <w:rPr>
          <w:sz w:val="20"/>
          <w:szCs w:val="20"/>
        </w:rPr>
      </w:pPr>
      <w:r>
        <w:rPr>
          <w:vertAlign w:val="superscript"/>
        </w:rPr>
        <w:footnoteRef/>
      </w:r>
      <w:r>
        <w:rPr>
          <w:sz w:val="20"/>
          <w:szCs w:val="20"/>
        </w:rPr>
        <w:t xml:space="preserve">Peter Singer, "Famine, Affluence, and Morality," </w:t>
      </w:r>
      <w:r w:rsidRPr="00CC3911">
        <w:rPr>
          <w:i/>
          <w:iCs/>
          <w:sz w:val="20"/>
          <w:szCs w:val="20"/>
        </w:rPr>
        <w:t>Philosophy &amp; Public Affairs</w:t>
      </w:r>
      <w:r>
        <w:rPr>
          <w:sz w:val="20"/>
          <w:szCs w:val="20"/>
        </w:rPr>
        <w:t xml:space="preserve"> 1, no. 3 (Spring 1972): 229-243, </w:t>
      </w:r>
      <w:hyperlink r:id="rId14">
        <w:r>
          <w:rPr>
            <w:color w:val="1155CC"/>
            <w:sz w:val="20"/>
            <w:szCs w:val="20"/>
            <w:u w:val="single"/>
          </w:rPr>
          <w:t>http://www.jstor.org/stable/2265052</w:t>
        </w:r>
      </w:hyperlink>
      <w:r>
        <w:rPr>
          <w:sz w:val="20"/>
          <w:szCs w:val="20"/>
        </w:rPr>
        <w:t>.</w:t>
      </w:r>
    </w:p>
  </w:footnote>
  <w:footnote w:id="40">
    <w:p w14:paraId="000000E3" w14:textId="1EAB6FD8" w:rsidR="00634184" w:rsidRDefault="00000000">
      <w:pPr>
        <w:spacing w:line="240" w:lineRule="auto"/>
        <w:rPr>
          <w:sz w:val="20"/>
          <w:szCs w:val="20"/>
        </w:rPr>
      </w:pPr>
      <w:r>
        <w:rPr>
          <w:vertAlign w:val="superscript"/>
        </w:rPr>
        <w:footnoteRef/>
      </w:r>
      <w:r>
        <w:rPr>
          <w:sz w:val="20"/>
          <w:szCs w:val="20"/>
        </w:rPr>
        <w:t xml:space="preserve">Andrew Yang, </w:t>
      </w:r>
      <w:r>
        <w:rPr>
          <w:i/>
          <w:sz w:val="20"/>
          <w:szCs w:val="20"/>
        </w:rPr>
        <w:t>The War on Normal People: The Truth About America's Disappearing Jobs and Why Universal Basic Income Is Our Future</w:t>
      </w:r>
      <w:r>
        <w:rPr>
          <w:sz w:val="20"/>
          <w:szCs w:val="20"/>
        </w:rPr>
        <w:t xml:space="preserve"> (New York: Hachette Books, 2018), 165-166.</w:t>
      </w:r>
    </w:p>
  </w:footnote>
  <w:footnote w:id="41">
    <w:p w14:paraId="000000F3" w14:textId="2019F3D2" w:rsidR="00634184" w:rsidRDefault="00000000">
      <w:pPr>
        <w:spacing w:line="240" w:lineRule="auto"/>
        <w:rPr>
          <w:sz w:val="20"/>
          <w:szCs w:val="20"/>
        </w:rPr>
      </w:pPr>
      <w:r>
        <w:rPr>
          <w:vertAlign w:val="superscript"/>
        </w:rPr>
        <w:footnoteRef/>
      </w:r>
      <w:r>
        <w:rPr>
          <w:sz w:val="20"/>
          <w:szCs w:val="20"/>
        </w:rPr>
        <w:t xml:space="preserve">B. K. Alexander, B. L. Beyerstein, P. F. </w:t>
      </w:r>
      <w:proofErr w:type="spellStart"/>
      <w:r>
        <w:rPr>
          <w:sz w:val="20"/>
          <w:szCs w:val="20"/>
        </w:rPr>
        <w:t>Hadaway</w:t>
      </w:r>
      <w:proofErr w:type="spellEnd"/>
      <w:r>
        <w:rPr>
          <w:sz w:val="20"/>
          <w:szCs w:val="20"/>
        </w:rPr>
        <w:t xml:space="preserve">, and R. B. </w:t>
      </w:r>
      <w:proofErr w:type="spellStart"/>
      <w:r>
        <w:rPr>
          <w:sz w:val="20"/>
          <w:szCs w:val="20"/>
        </w:rPr>
        <w:t>Coambs</w:t>
      </w:r>
      <w:proofErr w:type="spellEnd"/>
      <w:r>
        <w:rPr>
          <w:sz w:val="20"/>
          <w:szCs w:val="20"/>
        </w:rPr>
        <w:t>, "Effect of Early and Later Colony Housing on Oral Ingestion of Morphine in Rats,"</w:t>
      </w:r>
      <w:r>
        <w:rPr>
          <w:i/>
          <w:sz w:val="20"/>
          <w:szCs w:val="20"/>
        </w:rPr>
        <w:t xml:space="preserve"> Pharmacology Biochemistry and Behavior</w:t>
      </w:r>
      <w:r>
        <w:rPr>
          <w:sz w:val="20"/>
          <w:szCs w:val="20"/>
        </w:rPr>
        <w:t xml:space="preserve"> 15, no. 4 (October 1981): 571-576, </w:t>
      </w:r>
      <w:hyperlink r:id="rId15">
        <w:r>
          <w:rPr>
            <w:color w:val="1155CC"/>
            <w:sz w:val="20"/>
            <w:szCs w:val="20"/>
            <w:u w:val="single"/>
          </w:rPr>
          <w:t>https://doi.org/10.1016/0091-3057(81)90211-2</w:t>
        </w:r>
      </w:hyperlink>
      <w:r>
        <w:rPr>
          <w:sz w:val="20"/>
          <w:szCs w:val="20"/>
        </w:rPr>
        <w:t>.</w:t>
      </w:r>
    </w:p>
  </w:footnote>
  <w:footnote w:id="42">
    <w:p w14:paraId="000000F1" w14:textId="25288F9B" w:rsidR="00634184" w:rsidRDefault="00000000">
      <w:pPr>
        <w:spacing w:line="240" w:lineRule="auto"/>
        <w:rPr>
          <w:sz w:val="20"/>
          <w:szCs w:val="20"/>
        </w:rPr>
      </w:pPr>
      <w:r>
        <w:rPr>
          <w:vertAlign w:val="superscript"/>
        </w:rPr>
        <w:footnoteRef/>
      </w:r>
      <w:r>
        <w:rPr>
          <w:sz w:val="20"/>
          <w:szCs w:val="20"/>
        </w:rPr>
        <w:t xml:space="preserve">Kanye West, "All Falls Down," track 4 on </w:t>
      </w:r>
      <w:r>
        <w:rPr>
          <w:i/>
          <w:sz w:val="20"/>
          <w:szCs w:val="20"/>
        </w:rPr>
        <w:t>The College Dropout,</w:t>
      </w:r>
      <w:r>
        <w:rPr>
          <w:sz w:val="20"/>
          <w:szCs w:val="20"/>
        </w:rPr>
        <w:t xml:space="preserve"> Roc-A-Fella Records, 2004, Spotify. </w:t>
      </w:r>
    </w:p>
  </w:footnote>
  <w:footnote w:id="43">
    <w:p w14:paraId="000000F2" w14:textId="4529C3D0" w:rsidR="00634184" w:rsidRDefault="00000000">
      <w:pPr>
        <w:spacing w:line="240" w:lineRule="auto"/>
        <w:rPr>
          <w:sz w:val="20"/>
          <w:szCs w:val="20"/>
        </w:rPr>
      </w:pPr>
      <w:r>
        <w:rPr>
          <w:vertAlign w:val="superscript"/>
        </w:rPr>
        <w:footnoteRef/>
      </w:r>
      <w:r>
        <w:rPr>
          <w:i/>
          <w:sz w:val="20"/>
          <w:szCs w:val="20"/>
        </w:rPr>
        <w:t>The Truman Show</w:t>
      </w:r>
      <w:r>
        <w:rPr>
          <w:sz w:val="20"/>
          <w:szCs w:val="20"/>
        </w:rPr>
        <w:t>, directed by Peter Weir (1998; Hollywood, CA: Paramount Pictures, 1999), Vudu.</w:t>
      </w:r>
    </w:p>
  </w:footnote>
  <w:footnote w:id="44">
    <w:p w14:paraId="000000F4" w14:textId="6E49ED7C" w:rsidR="00634184" w:rsidRDefault="00000000">
      <w:pPr>
        <w:spacing w:line="240" w:lineRule="auto"/>
        <w:rPr>
          <w:sz w:val="20"/>
          <w:szCs w:val="20"/>
        </w:rPr>
      </w:pPr>
      <w:r>
        <w:rPr>
          <w:vertAlign w:val="superscript"/>
        </w:rPr>
        <w:footnoteRef/>
      </w:r>
      <w:r>
        <w:rPr>
          <w:sz w:val="20"/>
          <w:szCs w:val="20"/>
        </w:rPr>
        <w:t xml:space="preserve">Michael Pollan, "The Omnivore's Dilemma: A Natural History of Four Meals," </w:t>
      </w:r>
      <w:r>
        <w:rPr>
          <w:i/>
          <w:sz w:val="20"/>
          <w:szCs w:val="20"/>
        </w:rPr>
        <w:t>The New York Times</w:t>
      </w:r>
      <w:r>
        <w:rPr>
          <w:sz w:val="20"/>
          <w:szCs w:val="20"/>
        </w:rPr>
        <w:t xml:space="preserve">, April 11, 2006, </w:t>
      </w:r>
      <w:hyperlink r:id="rId16">
        <w:r>
          <w:rPr>
            <w:color w:val="1155CC"/>
            <w:sz w:val="20"/>
            <w:szCs w:val="20"/>
            <w:u w:val="single"/>
          </w:rPr>
          <w:t>https://www.nytimes.com/2006/04/11/books/the-omnivores-dilemma-a-natural-history-of-four-meals.html</w:t>
        </w:r>
      </w:hyperlink>
      <w:r>
        <w:rPr>
          <w:sz w:val="20"/>
          <w:szCs w:val="20"/>
        </w:rPr>
        <w:t>.</w:t>
      </w:r>
    </w:p>
  </w:footnote>
  <w:footnote w:id="45">
    <w:p w14:paraId="000000E6" w14:textId="6CB70AE4" w:rsidR="00634184" w:rsidRDefault="00000000">
      <w:pPr>
        <w:spacing w:line="240" w:lineRule="auto"/>
        <w:rPr>
          <w:sz w:val="20"/>
          <w:szCs w:val="20"/>
        </w:rPr>
      </w:pPr>
      <w:r>
        <w:rPr>
          <w:vertAlign w:val="superscript"/>
        </w:rPr>
        <w:footnoteRef/>
      </w:r>
      <w:r>
        <w:rPr>
          <w:sz w:val="20"/>
          <w:szCs w:val="20"/>
        </w:rPr>
        <w:t xml:space="preserve">Daniel Callahan, "Aging and the Ends of Medicine," </w:t>
      </w:r>
      <w:r>
        <w:rPr>
          <w:i/>
          <w:sz w:val="20"/>
          <w:szCs w:val="20"/>
        </w:rPr>
        <w:t>Annals of the New York Academy of Sciences</w:t>
      </w:r>
      <w:r>
        <w:rPr>
          <w:sz w:val="20"/>
          <w:szCs w:val="20"/>
        </w:rPr>
        <w:t xml:space="preserve"> 530, no. 1 (1988): 125-132, </w:t>
      </w:r>
      <w:hyperlink r:id="rId17">
        <w:r>
          <w:rPr>
            <w:color w:val="1155CC"/>
            <w:sz w:val="20"/>
            <w:szCs w:val="20"/>
            <w:u w:val="single"/>
          </w:rPr>
          <w:t>https://doi.org/10.1111/j.1749-6632.1988.tb50853.x</w:t>
        </w:r>
      </w:hyperlink>
      <w:r>
        <w:rPr>
          <w:sz w:val="20"/>
          <w:szCs w:val="20"/>
        </w:rPr>
        <w:t>.</w:t>
      </w:r>
    </w:p>
  </w:footnote>
  <w:footnote w:id="46">
    <w:p w14:paraId="000000E7" w14:textId="77777777" w:rsidR="00634184" w:rsidRDefault="00000000">
      <w:pPr>
        <w:spacing w:line="240" w:lineRule="auto"/>
        <w:rPr>
          <w:sz w:val="20"/>
          <w:szCs w:val="20"/>
        </w:rPr>
      </w:pPr>
      <w:r>
        <w:rPr>
          <w:vertAlign w:val="superscript"/>
        </w:rPr>
        <w:footnoteRef/>
      </w:r>
      <w:r>
        <w:rPr>
          <w:sz w:val="20"/>
          <w:szCs w:val="20"/>
        </w:rPr>
        <w:t xml:space="preserve">"Einstein's Tiny Answers," </w:t>
      </w:r>
      <w:r>
        <w:rPr>
          <w:i/>
          <w:sz w:val="20"/>
          <w:szCs w:val="20"/>
        </w:rPr>
        <w:t>NOVA</w:t>
      </w:r>
      <w:r>
        <w:rPr>
          <w:sz w:val="20"/>
          <w:szCs w:val="20"/>
        </w:rPr>
        <w:t xml:space="preserve">, PBS, </w:t>
      </w:r>
      <w:proofErr w:type="gramStart"/>
      <w:r>
        <w:rPr>
          <w:sz w:val="20"/>
          <w:szCs w:val="20"/>
        </w:rPr>
        <w:t>June,</w:t>
      </w:r>
      <w:proofErr w:type="gramEnd"/>
      <w:r>
        <w:rPr>
          <w:sz w:val="20"/>
          <w:szCs w:val="20"/>
        </w:rPr>
        <w:t xml:space="preserve"> 2024, </w:t>
      </w:r>
      <w:hyperlink r:id="rId18">
        <w:r>
          <w:rPr>
            <w:color w:val="1155CC"/>
            <w:sz w:val="20"/>
            <w:szCs w:val="20"/>
            <w:u w:val="single"/>
          </w:rPr>
          <w:t>https://www.pbs.org/wgbh/nova/einstein/tiny-answers.html</w:t>
        </w:r>
      </w:hyperlink>
      <w:r>
        <w:rPr>
          <w:sz w:val="20"/>
          <w:szCs w:val="20"/>
        </w:rPr>
        <w:t>.</w:t>
      </w:r>
    </w:p>
  </w:footnote>
  <w:footnote w:id="47">
    <w:p w14:paraId="000000E8" w14:textId="77777777" w:rsidR="00634184" w:rsidRDefault="00000000">
      <w:pPr>
        <w:spacing w:line="240" w:lineRule="auto"/>
        <w:rPr>
          <w:sz w:val="20"/>
          <w:szCs w:val="20"/>
        </w:rPr>
      </w:pPr>
      <w:r>
        <w:rPr>
          <w:vertAlign w:val="superscript"/>
        </w:rPr>
        <w:footnoteRef/>
      </w:r>
      <w:r>
        <w:rPr>
          <w:sz w:val="20"/>
          <w:szCs w:val="20"/>
        </w:rPr>
        <w:t xml:space="preserve">Lawrence S. </w:t>
      </w:r>
      <w:proofErr w:type="spellStart"/>
      <w:r>
        <w:rPr>
          <w:sz w:val="20"/>
          <w:szCs w:val="20"/>
        </w:rPr>
        <w:t>Wittner</w:t>
      </w:r>
      <w:proofErr w:type="spellEnd"/>
      <w:r>
        <w:rPr>
          <w:sz w:val="20"/>
          <w:szCs w:val="20"/>
        </w:rPr>
        <w:t xml:space="preserve">, </w:t>
      </w:r>
      <w:r>
        <w:rPr>
          <w:i/>
          <w:sz w:val="20"/>
          <w:szCs w:val="20"/>
        </w:rPr>
        <w:t>The Struggle Against the Bomb: A History of the World Nuclear Disarmament Movement, 1954-1970</w:t>
      </w:r>
      <w:r>
        <w:rPr>
          <w:sz w:val="20"/>
          <w:szCs w:val="20"/>
        </w:rPr>
        <w:t>, Stanford Nuclear Age Series (Stanford, CA: Stanford University Press, 1993), 305-306.</w:t>
      </w:r>
    </w:p>
  </w:footnote>
  <w:footnote w:id="48">
    <w:p w14:paraId="000000E9" w14:textId="77777777" w:rsidR="00634184" w:rsidRDefault="00000000">
      <w:pPr>
        <w:spacing w:line="240" w:lineRule="auto"/>
        <w:rPr>
          <w:sz w:val="20"/>
          <w:szCs w:val="20"/>
        </w:rPr>
      </w:pPr>
      <w:r>
        <w:rPr>
          <w:vertAlign w:val="superscript"/>
        </w:rPr>
        <w:footnoteRef/>
      </w:r>
      <w:proofErr w:type="spellStart"/>
      <w:r>
        <w:rPr>
          <w:sz w:val="20"/>
          <w:szCs w:val="20"/>
        </w:rPr>
        <w:t>Wittner</w:t>
      </w:r>
      <w:proofErr w:type="spellEnd"/>
      <w:r>
        <w:rPr>
          <w:sz w:val="20"/>
          <w:szCs w:val="20"/>
        </w:rPr>
        <w:t xml:space="preserve">, </w:t>
      </w:r>
      <w:r>
        <w:rPr>
          <w:i/>
          <w:sz w:val="20"/>
          <w:szCs w:val="20"/>
        </w:rPr>
        <w:t>The Struggle Against the Bomb,</w:t>
      </w:r>
      <w:r>
        <w:rPr>
          <w:sz w:val="20"/>
          <w:szCs w:val="20"/>
        </w:rPr>
        <w:t xml:space="preserve"> 246-254.</w:t>
      </w:r>
    </w:p>
  </w:footnote>
  <w:footnote w:id="49">
    <w:p w14:paraId="000000EA" w14:textId="25AE3B08" w:rsidR="00634184" w:rsidRDefault="00000000">
      <w:pPr>
        <w:spacing w:line="240" w:lineRule="auto"/>
        <w:rPr>
          <w:sz w:val="20"/>
          <w:szCs w:val="20"/>
        </w:rPr>
      </w:pPr>
      <w:r>
        <w:rPr>
          <w:vertAlign w:val="superscript"/>
        </w:rPr>
        <w:footnoteRef/>
      </w:r>
      <w:proofErr w:type="spellStart"/>
      <w:r>
        <w:rPr>
          <w:sz w:val="20"/>
          <w:szCs w:val="20"/>
        </w:rPr>
        <w:t>Wittner</w:t>
      </w:r>
      <w:proofErr w:type="spellEnd"/>
      <w:r>
        <w:rPr>
          <w:sz w:val="20"/>
          <w:szCs w:val="20"/>
        </w:rPr>
        <w:t xml:space="preserve">, </w:t>
      </w:r>
      <w:r>
        <w:rPr>
          <w:i/>
          <w:sz w:val="20"/>
          <w:szCs w:val="20"/>
        </w:rPr>
        <w:t>The Struggle Against the Bomb</w:t>
      </w:r>
      <w:r>
        <w:rPr>
          <w:sz w:val="20"/>
          <w:szCs w:val="20"/>
        </w:rPr>
        <w:t>, 45-50.</w:t>
      </w:r>
    </w:p>
  </w:footnote>
  <w:footnote w:id="50">
    <w:p w14:paraId="000000F5" w14:textId="592DDB24" w:rsidR="00634184" w:rsidRDefault="00000000">
      <w:pPr>
        <w:spacing w:line="240" w:lineRule="auto"/>
        <w:rPr>
          <w:sz w:val="20"/>
          <w:szCs w:val="20"/>
        </w:rPr>
      </w:pPr>
      <w:r>
        <w:rPr>
          <w:vertAlign w:val="superscript"/>
        </w:rPr>
        <w:footnoteRef/>
      </w:r>
      <w:proofErr w:type="spellStart"/>
      <w:r>
        <w:rPr>
          <w:sz w:val="20"/>
          <w:szCs w:val="20"/>
        </w:rPr>
        <w:t>Wittner</w:t>
      </w:r>
      <w:proofErr w:type="spellEnd"/>
      <w:r>
        <w:rPr>
          <w:sz w:val="20"/>
          <w:szCs w:val="20"/>
        </w:rPr>
        <w:t xml:space="preserve">, </w:t>
      </w:r>
      <w:r>
        <w:rPr>
          <w:i/>
          <w:sz w:val="20"/>
          <w:szCs w:val="20"/>
        </w:rPr>
        <w:t>The Struggle Against the Bomb</w:t>
      </w:r>
      <w:r>
        <w:rPr>
          <w:sz w:val="20"/>
          <w:szCs w:val="20"/>
        </w:rPr>
        <w:t>, 3-10.</w:t>
      </w:r>
    </w:p>
  </w:footnote>
  <w:footnote w:id="51">
    <w:p w14:paraId="000000EC" w14:textId="4F3CDB54" w:rsidR="00634184" w:rsidRDefault="00000000">
      <w:pPr>
        <w:spacing w:line="240" w:lineRule="auto"/>
        <w:rPr>
          <w:sz w:val="20"/>
          <w:szCs w:val="20"/>
        </w:rPr>
      </w:pPr>
      <w:r>
        <w:rPr>
          <w:vertAlign w:val="superscript"/>
        </w:rPr>
        <w:footnoteRef/>
      </w:r>
      <w:r>
        <w:rPr>
          <w:sz w:val="20"/>
          <w:szCs w:val="20"/>
        </w:rPr>
        <w:t>Dwight D. Eisenhower, "Farewell Radio and Television Address to the American People," January 17, 1961, Public Papers of the Presidents, Dwight D. Eisenhower, 1960-61 (Washington, D.C.: Government Printing Office, 1961), 1035-1040.</w:t>
      </w:r>
    </w:p>
  </w:footnote>
  <w:footnote w:id="52">
    <w:p w14:paraId="000000EB" w14:textId="77777777" w:rsidR="00634184" w:rsidRDefault="00000000">
      <w:pPr>
        <w:spacing w:line="240" w:lineRule="auto"/>
        <w:rPr>
          <w:sz w:val="20"/>
          <w:szCs w:val="20"/>
        </w:rPr>
      </w:pPr>
      <w:r>
        <w:rPr>
          <w:vertAlign w:val="superscript"/>
        </w:rPr>
        <w:footnoteRef/>
      </w:r>
      <w:r>
        <w:rPr>
          <w:sz w:val="20"/>
          <w:szCs w:val="20"/>
        </w:rPr>
        <w:t xml:space="preserve">"World military spending rises to almost $2 trillion in 2020," Stockholm International Peace Research Institute (SIPRI), April 26, 2021, </w:t>
      </w:r>
      <w:hyperlink r:id="rId19">
        <w:r>
          <w:rPr>
            <w:color w:val="1155CC"/>
            <w:sz w:val="20"/>
            <w:szCs w:val="20"/>
            <w:u w:val="single"/>
          </w:rPr>
          <w:t>https://www.sipri.org/media/press-release/2021/world-military-spending-rises-almost-2-trillion-2020</w:t>
        </w:r>
      </w:hyperlink>
      <w:r>
        <w:rPr>
          <w:sz w:val="20"/>
          <w:szCs w:val="20"/>
        </w:rPr>
        <w:t>.</w:t>
      </w:r>
    </w:p>
  </w:footnote>
  <w:footnote w:id="53">
    <w:p w14:paraId="000000F9" w14:textId="0A273E68" w:rsidR="00634184" w:rsidRDefault="00000000">
      <w:pPr>
        <w:spacing w:line="240" w:lineRule="auto"/>
        <w:rPr>
          <w:sz w:val="20"/>
          <w:szCs w:val="20"/>
        </w:rPr>
      </w:pPr>
      <w:r>
        <w:rPr>
          <w:vertAlign w:val="superscript"/>
        </w:rPr>
        <w:footnoteRef/>
      </w:r>
      <w:r>
        <w:rPr>
          <w:sz w:val="20"/>
          <w:szCs w:val="20"/>
        </w:rPr>
        <w:t xml:space="preserve">Nick Bostrom and Eliezer </w:t>
      </w:r>
      <w:proofErr w:type="spellStart"/>
      <w:r>
        <w:rPr>
          <w:sz w:val="20"/>
          <w:szCs w:val="20"/>
        </w:rPr>
        <w:t>Yudkowsky</w:t>
      </w:r>
      <w:proofErr w:type="spellEnd"/>
      <w:r>
        <w:rPr>
          <w:sz w:val="20"/>
          <w:szCs w:val="20"/>
        </w:rPr>
        <w:t xml:space="preserve">, "The Ethics of Artificial Intelligence," in </w:t>
      </w:r>
      <w:r>
        <w:rPr>
          <w:i/>
          <w:sz w:val="20"/>
          <w:szCs w:val="20"/>
        </w:rPr>
        <w:t>The Cambridge Handbook of Artificial Intelligence</w:t>
      </w:r>
      <w:r>
        <w:rPr>
          <w:sz w:val="20"/>
          <w:szCs w:val="20"/>
        </w:rPr>
        <w:t>, ed. Keith Frankish and William M. Ramsey (Cambridge: Cambridge University Press, 2014), 316-334.</w:t>
      </w:r>
    </w:p>
  </w:footnote>
  <w:footnote w:id="54">
    <w:p w14:paraId="000000FA" w14:textId="1E91C48B" w:rsidR="00634184" w:rsidRDefault="00000000">
      <w:pPr>
        <w:spacing w:line="240" w:lineRule="auto"/>
        <w:rPr>
          <w:sz w:val="20"/>
          <w:szCs w:val="20"/>
        </w:rPr>
      </w:pPr>
      <w:r>
        <w:rPr>
          <w:vertAlign w:val="superscript"/>
        </w:rPr>
        <w:footnoteRef/>
      </w:r>
      <w:r>
        <w:rPr>
          <w:sz w:val="20"/>
          <w:szCs w:val="20"/>
        </w:rPr>
        <w:t xml:space="preserve">Nick Bostrom, </w:t>
      </w:r>
      <w:r>
        <w:rPr>
          <w:i/>
          <w:sz w:val="20"/>
          <w:szCs w:val="20"/>
        </w:rPr>
        <w:t>Superintelligence: Paths, Dangers, Strategies</w:t>
      </w:r>
      <w:r>
        <w:rPr>
          <w:sz w:val="20"/>
          <w:szCs w:val="20"/>
        </w:rPr>
        <w:t xml:space="preserve"> (Oxford: Oxford University Press, 2014), 22-27.</w:t>
      </w:r>
    </w:p>
  </w:footnote>
  <w:footnote w:id="55">
    <w:p w14:paraId="000000F6" w14:textId="70F50D6A" w:rsidR="00634184" w:rsidRDefault="00000000">
      <w:pPr>
        <w:spacing w:line="240" w:lineRule="auto"/>
        <w:rPr>
          <w:sz w:val="20"/>
          <w:szCs w:val="20"/>
        </w:rPr>
      </w:pPr>
      <w:r>
        <w:rPr>
          <w:vertAlign w:val="superscript"/>
        </w:rPr>
        <w:footnoteRef/>
      </w:r>
      <w:r>
        <w:rPr>
          <w:sz w:val="20"/>
          <w:szCs w:val="20"/>
        </w:rPr>
        <w:t xml:space="preserve">Bostrom, </w:t>
      </w:r>
      <w:r>
        <w:rPr>
          <w:i/>
          <w:sz w:val="20"/>
          <w:szCs w:val="20"/>
        </w:rPr>
        <w:t>Superintelligence</w:t>
      </w:r>
      <w:r>
        <w:rPr>
          <w:sz w:val="20"/>
          <w:szCs w:val="20"/>
        </w:rPr>
        <w:t>, 47.</w:t>
      </w:r>
    </w:p>
  </w:footnote>
  <w:footnote w:id="56">
    <w:p w14:paraId="00000102" w14:textId="04108E14" w:rsidR="00634184" w:rsidRDefault="00000000">
      <w:pPr>
        <w:spacing w:line="240" w:lineRule="auto"/>
        <w:rPr>
          <w:color w:val="0D0D0D"/>
          <w:sz w:val="20"/>
          <w:szCs w:val="20"/>
        </w:rPr>
      </w:pPr>
      <w:r>
        <w:rPr>
          <w:vertAlign w:val="superscript"/>
        </w:rPr>
        <w:footnoteRef/>
      </w:r>
      <w:proofErr w:type="spellStart"/>
      <w:r>
        <w:rPr>
          <w:color w:val="0D0D0D"/>
          <w:sz w:val="20"/>
          <w:szCs w:val="20"/>
        </w:rPr>
        <w:t>Oceane</w:t>
      </w:r>
      <w:proofErr w:type="spellEnd"/>
      <w:r>
        <w:rPr>
          <w:color w:val="0D0D0D"/>
          <w:sz w:val="20"/>
          <w:szCs w:val="20"/>
        </w:rPr>
        <w:t xml:space="preserve"> </w:t>
      </w:r>
      <w:proofErr w:type="spellStart"/>
      <w:r>
        <w:rPr>
          <w:color w:val="0D0D0D"/>
          <w:sz w:val="20"/>
          <w:szCs w:val="20"/>
        </w:rPr>
        <w:t>Duboust</w:t>
      </w:r>
      <w:proofErr w:type="spellEnd"/>
      <w:r>
        <w:rPr>
          <w:color w:val="0D0D0D"/>
          <w:sz w:val="20"/>
          <w:szCs w:val="20"/>
        </w:rPr>
        <w:t xml:space="preserve">, "Elon Musk predicts AI will overtake humans to the point that 'biological intelligence will be 1%'," </w:t>
      </w:r>
      <w:proofErr w:type="spellStart"/>
      <w:r>
        <w:rPr>
          <w:i/>
          <w:color w:val="0D0D0D"/>
          <w:sz w:val="20"/>
          <w:szCs w:val="20"/>
        </w:rPr>
        <w:t>Euronews</w:t>
      </w:r>
      <w:proofErr w:type="spellEnd"/>
      <w:r>
        <w:rPr>
          <w:i/>
          <w:color w:val="0D0D0D"/>
          <w:sz w:val="20"/>
          <w:szCs w:val="20"/>
        </w:rPr>
        <w:t xml:space="preserve"> Next</w:t>
      </w:r>
      <w:r>
        <w:rPr>
          <w:color w:val="0D0D0D"/>
          <w:sz w:val="20"/>
          <w:szCs w:val="20"/>
        </w:rPr>
        <w:t>, May 10, 2024,</w:t>
      </w:r>
      <w:hyperlink r:id="rId20" w:anchor=":~:text=Elon%20Musk%20predicts%20that%20artificial,less%20than%201%20per%20cent%22">
        <w:r>
          <w:rPr>
            <w:color w:val="0D0D0D"/>
            <w:sz w:val="20"/>
            <w:szCs w:val="20"/>
          </w:rPr>
          <w:t xml:space="preserve"> </w:t>
        </w:r>
      </w:hyperlink>
      <w:hyperlink r:id="rId21" w:anchor=":~:text=Elon%20Musk%20predicts%20that%20artificial,less%20than%201%20per%20cent%22">
        <w:r>
          <w:rPr>
            <w:color w:val="1155CC"/>
            <w:sz w:val="20"/>
            <w:szCs w:val="20"/>
          </w:rPr>
          <w:t>https://www.euronews.com/next/2024/05/10/elon-musk-predicts-ai-will-overtake-humans-to-the-point-that-biological-intelligence-will-#:~:text=Elon%20Musk%20predicts%20that%20artificial,less%20than%201%20per%20cent%22</w:t>
        </w:r>
      </w:hyperlink>
      <w:r>
        <w:rPr>
          <w:color w:val="0D0D0D"/>
          <w:sz w:val="20"/>
          <w:szCs w:val="20"/>
        </w:rPr>
        <w:t>.</w:t>
      </w:r>
    </w:p>
    <w:p w14:paraId="00000103" w14:textId="77777777" w:rsidR="00634184" w:rsidRDefault="00634184">
      <w:pPr>
        <w:spacing w:line="240" w:lineRule="auto"/>
        <w:rPr>
          <w:sz w:val="20"/>
          <w:szCs w:val="20"/>
        </w:rPr>
      </w:pPr>
    </w:p>
  </w:footnote>
  <w:footnote w:id="57">
    <w:p w14:paraId="000000F7" w14:textId="77777777" w:rsidR="00634184" w:rsidRDefault="00000000">
      <w:pPr>
        <w:spacing w:line="240" w:lineRule="auto"/>
        <w:rPr>
          <w:sz w:val="20"/>
          <w:szCs w:val="20"/>
        </w:rPr>
      </w:pPr>
      <w:r>
        <w:rPr>
          <w:vertAlign w:val="superscript"/>
        </w:rPr>
        <w:footnoteRef/>
      </w:r>
      <w:r>
        <w:rPr>
          <w:sz w:val="20"/>
          <w:szCs w:val="20"/>
        </w:rPr>
        <w:t xml:space="preserve">John R. Searle, "Minds, Brains, and Programs," </w:t>
      </w:r>
      <w:r>
        <w:rPr>
          <w:i/>
          <w:sz w:val="20"/>
          <w:szCs w:val="20"/>
        </w:rPr>
        <w:t>Behavioral and Brain Sciences</w:t>
      </w:r>
      <w:r>
        <w:rPr>
          <w:sz w:val="20"/>
          <w:szCs w:val="20"/>
        </w:rPr>
        <w:t xml:space="preserve"> 3, no. 3 (1980): 417-457.</w:t>
      </w:r>
    </w:p>
  </w:footnote>
  <w:footnote w:id="58">
    <w:p w14:paraId="000000F8" w14:textId="77777777" w:rsidR="00634184" w:rsidRDefault="00000000">
      <w:pPr>
        <w:spacing w:line="240" w:lineRule="auto"/>
        <w:rPr>
          <w:sz w:val="20"/>
          <w:szCs w:val="20"/>
        </w:rPr>
      </w:pPr>
      <w:r>
        <w:rPr>
          <w:vertAlign w:val="superscript"/>
        </w:rPr>
        <w:footnoteRef/>
      </w:r>
      <w:r>
        <w:rPr>
          <w:sz w:val="20"/>
          <w:szCs w:val="20"/>
        </w:rPr>
        <w:t xml:space="preserve"> Chalmers, “Facing Up to the Problem of Consciousness,” 200-219.</w:t>
      </w:r>
    </w:p>
  </w:footnote>
  <w:footnote w:id="59">
    <w:p w14:paraId="000000FC" w14:textId="3E072522" w:rsidR="00634184" w:rsidRDefault="00000000">
      <w:pPr>
        <w:spacing w:line="240" w:lineRule="auto"/>
        <w:rPr>
          <w:sz w:val="20"/>
          <w:szCs w:val="20"/>
        </w:rPr>
      </w:pPr>
      <w:r>
        <w:rPr>
          <w:vertAlign w:val="superscript"/>
        </w:rPr>
        <w:footnoteRef/>
      </w:r>
      <w:r>
        <w:rPr>
          <w:sz w:val="20"/>
          <w:szCs w:val="20"/>
        </w:rPr>
        <w:t xml:space="preserve">Bostrom and </w:t>
      </w:r>
      <w:proofErr w:type="spellStart"/>
      <w:r>
        <w:rPr>
          <w:sz w:val="20"/>
          <w:szCs w:val="20"/>
        </w:rPr>
        <w:t>Yudkowsky</w:t>
      </w:r>
      <w:proofErr w:type="spellEnd"/>
      <w:r>
        <w:rPr>
          <w:sz w:val="20"/>
          <w:szCs w:val="20"/>
        </w:rPr>
        <w:t>, "The Ethics of Artificial Intelligence," 331-332.</w:t>
      </w:r>
    </w:p>
  </w:footnote>
  <w:footnote w:id="60">
    <w:p w14:paraId="000000ED" w14:textId="77777777" w:rsidR="00634184" w:rsidRDefault="00000000">
      <w:pPr>
        <w:spacing w:line="240" w:lineRule="auto"/>
        <w:rPr>
          <w:sz w:val="20"/>
          <w:szCs w:val="20"/>
        </w:rPr>
      </w:pPr>
      <w:r>
        <w:rPr>
          <w:vertAlign w:val="superscript"/>
        </w:rPr>
        <w:footnoteRef/>
      </w:r>
      <w:r>
        <w:rPr>
          <w:sz w:val="20"/>
          <w:szCs w:val="20"/>
        </w:rPr>
        <w:t xml:space="preserve">Dan W. Brock, "Is Selection of Children Wrong," in </w:t>
      </w:r>
      <w:r>
        <w:rPr>
          <w:i/>
          <w:sz w:val="20"/>
          <w:szCs w:val="20"/>
        </w:rPr>
        <w:t>Human Enhancement</w:t>
      </w:r>
      <w:r>
        <w:rPr>
          <w:sz w:val="20"/>
          <w:szCs w:val="20"/>
        </w:rPr>
        <w:t>, ed. Nick Bostrom and Julian Savulescu (Oxford: Oxford University Press, 2009), 251</w:t>
      </w:r>
    </w:p>
  </w:footnote>
  <w:footnote w:id="61">
    <w:p w14:paraId="000000EE" w14:textId="77777777" w:rsidR="00634184" w:rsidRDefault="00000000">
      <w:pPr>
        <w:spacing w:line="240" w:lineRule="auto"/>
        <w:rPr>
          <w:sz w:val="20"/>
          <w:szCs w:val="20"/>
        </w:rPr>
      </w:pPr>
      <w:r>
        <w:rPr>
          <w:vertAlign w:val="superscript"/>
        </w:rPr>
        <w:footnoteRef/>
      </w:r>
      <w:r>
        <w:rPr>
          <w:sz w:val="20"/>
          <w:szCs w:val="20"/>
        </w:rPr>
        <w:t>Brock, "Is Selection of Children Wrong," 259.</w:t>
      </w:r>
    </w:p>
  </w:footnote>
  <w:footnote w:id="62">
    <w:p w14:paraId="000000FE" w14:textId="77777777" w:rsidR="00634184" w:rsidRDefault="00000000">
      <w:pPr>
        <w:spacing w:line="240" w:lineRule="auto"/>
        <w:rPr>
          <w:sz w:val="20"/>
          <w:szCs w:val="20"/>
        </w:rPr>
      </w:pPr>
      <w:r>
        <w:rPr>
          <w:vertAlign w:val="superscript"/>
        </w:rPr>
        <w:footnoteRef/>
      </w:r>
      <w:r>
        <w:rPr>
          <w:sz w:val="20"/>
          <w:szCs w:val="20"/>
        </w:rPr>
        <w:t xml:space="preserve">Susan Schneider and Pete </w:t>
      </w:r>
      <w:proofErr w:type="spellStart"/>
      <w:r>
        <w:rPr>
          <w:sz w:val="20"/>
          <w:szCs w:val="20"/>
        </w:rPr>
        <w:t>Mandik</w:t>
      </w:r>
      <w:proofErr w:type="spellEnd"/>
      <w:r>
        <w:rPr>
          <w:sz w:val="20"/>
          <w:szCs w:val="20"/>
        </w:rPr>
        <w:t xml:space="preserve">, "How Philosophy of Mind Can Shape the Future," in </w:t>
      </w:r>
      <w:r>
        <w:rPr>
          <w:i/>
          <w:sz w:val="20"/>
          <w:szCs w:val="20"/>
        </w:rPr>
        <w:t>Philosophy of Mind in the Twentieth and Twenty-First Centuries</w:t>
      </w:r>
      <w:r>
        <w:rPr>
          <w:sz w:val="20"/>
          <w:szCs w:val="20"/>
        </w:rPr>
        <w:t>, ed. Amy Kind (London: Routledge, 2018), 303-319.</w:t>
      </w:r>
    </w:p>
  </w:footnote>
  <w:footnote w:id="63">
    <w:p w14:paraId="000000FF" w14:textId="47C7EE24" w:rsidR="00634184" w:rsidRDefault="00000000">
      <w:pPr>
        <w:spacing w:line="240" w:lineRule="auto"/>
        <w:rPr>
          <w:sz w:val="20"/>
          <w:szCs w:val="20"/>
        </w:rPr>
      </w:pPr>
      <w:r>
        <w:rPr>
          <w:vertAlign w:val="superscript"/>
        </w:rPr>
        <w:footnoteRef/>
      </w:r>
      <w:r>
        <w:rPr>
          <w:color w:val="0D0D0D"/>
          <w:sz w:val="20"/>
          <w:szCs w:val="20"/>
          <w:highlight w:val="white"/>
        </w:rPr>
        <w:t xml:space="preserve">"Residents living permanently in Japan's cyber-cafés - Lost in </w:t>
      </w:r>
      <w:proofErr w:type="spellStart"/>
      <w:r>
        <w:rPr>
          <w:color w:val="0D0D0D"/>
          <w:sz w:val="20"/>
          <w:szCs w:val="20"/>
          <w:highlight w:val="white"/>
        </w:rPr>
        <w:t>Manboo</w:t>
      </w:r>
      <w:proofErr w:type="spellEnd"/>
      <w:r>
        <w:rPr>
          <w:color w:val="0D0D0D"/>
          <w:sz w:val="20"/>
          <w:szCs w:val="20"/>
          <w:highlight w:val="white"/>
        </w:rPr>
        <w:t xml:space="preserve">." YouTube video, 9:14. Posted by </w:t>
      </w:r>
      <w:proofErr w:type="spellStart"/>
      <w:r>
        <w:rPr>
          <w:color w:val="0D0D0D"/>
          <w:sz w:val="20"/>
          <w:szCs w:val="20"/>
          <w:highlight w:val="white"/>
        </w:rPr>
        <w:t>euronews</w:t>
      </w:r>
      <w:proofErr w:type="spellEnd"/>
      <w:r>
        <w:rPr>
          <w:color w:val="0D0D0D"/>
          <w:sz w:val="20"/>
          <w:szCs w:val="20"/>
          <w:highlight w:val="white"/>
        </w:rPr>
        <w:t xml:space="preserve">, June 30, 2015. </w:t>
      </w:r>
      <w:hyperlink r:id="rId22">
        <w:r>
          <w:rPr>
            <w:color w:val="1155CC"/>
            <w:sz w:val="20"/>
            <w:szCs w:val="20"/>
            <w:highlight w:val="white"/>
            <w:u w:val="single"/>
          </w:rPr>
          <w:t>https://youtu.be/MtdupS0gRt0?si=mEwEU2x_VDOxdoKq</w:t>
        </w:r>
      </w:hyperlink>
      <w:r>
        <w:rPr>
          <w:color w:val="0D0D0D"/>
          <w:sz w:val="20"/>
          <w:szCs w:val="20"/>
          <w:highlight w:val="white"/>
        </w:rPr>
        <w:t xml:space="preserve"> </w:t>
      </w:r>
    </w:p>
  </w:footnote>
  <w:footnote w:id="64">
    <w:p w14:paraId="00000100" w14:textId="77777777" w:rsidR="00634184" w:rsidRDefault="00000000">
      <w:pPr>
        <w:spacing w:line="240" w:lineRule="auto"/>
        <w:rPr>
          <w:sz w:val="16"/>
          <w:szCs w:val="16"/>
        </w:rPr>
      </w:pPr>
      <w:r>
        <w:rPr>
          <w:vertAlign w:val="superscript"/>
        </w:rPr>
        <w:footnoteRef/>
      </w:r>
      <w:r>
        <w:rPr>
          <w:color w:val="0D0D0D"/>
          <w:sz w:val="20"/>
          <w:szCs w:val="20"/>
          <w:highlight w:val="white"/>
        </w:rPr>
        <w:t>David J. Chalmers,</w:t>
      </w:r>
      <w:r>
        <w:rPr>
          <w:i/>
          <w:color w:val="0D0D0D"/>
          <w:sz w:val="20"/>
          <w:szCs w:val="20"/>
          <w:highlight w:val="white"/>
        </w:rPr>
        <w:t xml:space="preserve"> Reality+: Virtual Worlds and the Problems of Philosophy </w:t>
      </w:r>
      <w:r>
        <w:rPr>
          <w:color w:val="0D0D0D"/>
          <w:sz w:val="20"/>
          <w:szCs w:val="20"/>
          <w:highlight w:val="white"/>
        </w:rPr>
        <w:t>(New York: W. W. Norton &amp; Company, 2022).</w:t>
      </w:r>
    </w:p>
  </w:footnote>
  <w:footnote w:id="65">
    <w:p w14:paraId="00000101" w14:textId="3A436D61" w:rsidR="00634184" w:rsidRDefault="00000000">
      <w:pPr>
        <w:spacing w:line="240" w:lineRule="auto"/>
        <w:rPr>
          <w:sz w:val="20"/>
          <w:szCs w:val="20"/>
        </w:rPr>
      </w:pPr>
      <w:r>
        <w:rPr>
          <w:vertAlign w:val="superscript"/>
        </w:rPr>
        <w:footnoteRef/>
      </w:r>
      <w:r>
        <w:rPr>
          <w:sz w:val="20"/>
          <w:szCs w:val="20"/>
        </w:rPr>
        <w:t xml:space="preserve">Tim Wu, "The Attention Merchants: The Epic Scramble to Get Inside Our Heads," Atlantic, November 2016, </w:t>
      </w:r>
      <w:hyperlink r:id="rId23">
        <w:r>
          <w:rPr>
            <w:color w:val="1155CC"/>
            <w:sz w:val="20"/>
            <w:szCs w:val="20"/>
            <w:u w:val="single"/>
          </w:rPr>
          <w:t>https://www.theatlantic.com/magazine/archive/2016/11/the-attention-merchants/501145/</w:t>
        </w:r>
      </w:hyperlink>
      <w:r>
        <w:rPr>
          <w:sz w:val="20"/>
          <w:szCs w:val="20"/>
        </w:rPr>
        <w:t>.</w:t>
      </w:r>
    </w:p>
  </w:footnote>
  <w:footnote w:id="66">
    <w:p w14:paraId="13B8CEDA" w14:textId="5345DD30" w:rsidR="00F05C32" w:rsidRPr="00F05C32" w:rsidRDefault="00F05C32">
      <w:pPr>
        <w:pStyle w:val="FootnoteText"/>
        <w:rPr>
          <w:lang w:val="en-US"/>
        </w:rPr>
      </w:pPr>
      <w:r>
        <w:rPr>
          <w:rStyle w:val="FootnoteReference"/>
        </w:rPr>
        <w:footnoteRef/>
      </w:r>
      <w:r w:rsidRPr="00F05C32">
        <w:rPr>
          <w:color w:val="000000"/>
        </w:rPr>
        <w:t>Nick Bostrom, "The Wisdom of Nature: An Evolutionary Heuristic for Human Enhancement," in Human Enhancement, eds. Julian Savulescu and Nick Bostrom (Oxford: Oxford University Press, 2009), 375.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5D98"/>
    <w:multiLevelType w:val="multilevel"/>
    <w:tmpl w:val="A8B011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25A645D"/>
    <w:multiLevelType w:val="multilevel"/>
    <w:tmpl w:val="0A70A9A4"/>
    <w:lvl w:ilvl="0">
      <w:start w:val="1"/>
      <w:numFmt w:val="upperLetter"/>
      <w:lvlText w:val="%1."/>
      <w:lvlJc w:val="left"/>
      <w:pPr>
        <w:ind w:left="720" w:hanging="360"/>
      </w:pPr>
      <w:rPr>
        <w:i/>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8C35BE8"/>
    <w:multiLevelType w:val="multilevel"/>
    <w:tmpl w:val="216EC2B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9742A18"/>
    <w:multiLevelType w:val="multilevel"/>
    <w:tmpl w:val="1116D39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47E3676"/>
    <w:multiLevelType w:val="multilevel"/>
    <w:tmpl w:val="3724BE3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9D9159A"/>
    <w:multiLevelType w:val="multilevel"/>
    <w:tmpl w:val="C4E8826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84645866">
    <w:abstractNumId w:val="3"/>
  </w:num>
  <w:num w:numId="2" w16cid:durableId="2078087208">
    <w:abstractNumId w:val="1"/>
  </w:num>
  <w:num w:numId="3" w16cid:durableId="143082894">
    <w:abstractNumId w:val="5"/>
  </w:num>
  <w:num w:numId="4" w16cid:durableId="1217472178">
    <w:abstractNumId w:val="0"/>
  </w:num>
  <w:num w:numId="5" w16cid:durableId="622541339">
    <w:abstractNumId w:val="4"/>
  </w:num>
  <w:num w:numId="6" w16cid:durableId="16356778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184"/>
    <w:rsid w:val="00053A03"/>
    <w:rsid w:val="00074B68"/>
    <w:rsid w:val="000A29A8"/>
    <w:rsid w:val="00114FFF"/>
    <w:rsid w:val="00264BDB"/>
    <w:rsid w:val="00295563"/>
    <w:rsid w:val="002A2765"/>
    <w:rsid w:val="00392979"/>
    <w:rsid w:val="003E725F"/>
    <w:rsid w:val="00444F6A"/>
    <w:rsid w:val="00460B13"/>
    <w:rsid w:val="00603125"/>
    <w:rsid w:val="00634184"/>
    <w:rsid w:val="006425F8"/>
    <w:rsid w:val="0074448B"/>
    <w:rsid w:val="00815625"/>
    <w:rsid w:val="008D5D21"/>
    <w:rsid w:val="008E46DB"/>
    <w:rsid w:val="00995630"/>
    <w:rsid w:val="009B49BD"/>
    <w:rsid w:val="00A42119"/>
    <w:rsid w:val="00A53E1B"/>
    <w:rsid w:val="00C0769C"/>
    <w:rsid w:val="00C5218D"/>
    <w:rsid w:val="00CC3911"/>
    <w:rsid w:val="00D04375"/>
    <w:rsid w:val="00D22392"/>
    <w:rsid w:val="00D26DF6"/>
    <w:rsid w:val="00D75787"/>
    <w:rsid w:val="00E1333A"/>
    <w:rsid w:val="00E604B4"/>
    <w:rsid w:val="00EA4CEA"/>
    <w:rsid w:val="00EF2542"/>
    <w:rsid w:val="00F05C32"/>
    <w:rsid w:val="00F61AB7"/>
    <w:rsid w:val="00F94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4C7AE1"/>
  <w15:docId w15:val="{503707E6-E221-6C4E-8AF5-A3BAFC8C5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F05C32"/>
    <w:pPr>
      <w:spacing w:line="240" w:lineRule="auto"/>
    </w:pPr>
    <w:rPr>
      <w:sz w:val="20"/>
      <w:szCs w:val="20"/>
    </w:rPr>
  </w:style>
  <w:style w:type="character" w:customStyle="1" w:styleId="FootnoteTextChar">
    <w:name w:val="Footnote Text Char"/>
    <w:basedOn w:val="DefaultParagraphFont"/>
    <w:link w:val="FootnoteText"/>
    <w:uiPriority w:val="99"/>
    <w:semiHidden/>
    <w:rsid w:val="00F05C32"/>
    <w:rPr>
      <w:sz w:val="20"/>
      <w:szCs w:val="20"/>
    </w:rPr>
  </w:style>
  <w:style w:type="character" w:styleId="FootnoteReference">
    <w:name w:val="footnote reference"/>
    <w:basedOn w:val="DefaultParagraphFont"/>
    <w:uiPriority w:val="99"/>
    <w:semiHidden/>
    <w:unhideWhenUsed/>
    <w:rsid w:val="00F05C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8785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126/science.1059487" TargetMode="External"/><Relationship Id="rId13" Type="http://schemas.openxmlformats.org/officeDocument/2006/relationships/hyperlink" Target="https://doi.org/10.1073/pnas.1416382111" TargetMode="External"/><Relationship Id="rId18" Type="http://schemas.openxmlformats.org/officeDocument/2006/relationships/hyperlink" Target="https://doi.org/10.1038/nature14258" TargetMode="External"/><Relationship Id="rId26" Type="http://schemas.openxmlformats.org/officeDocument/2006/relationships/hyperlink" Target="https://youtu.be/MtdupS0gRt0?si=mEwEU2x_VDOxdoKq" TargetMode="External"/><Relationship Id="rId3" Type="http://schemas.openxmlformats.org/officeDocument/2006/relationships/styles" Target="styles.xml"/><Relationship Id="rId21" Type="http://schemas.openxmlformats.org/officeDocument/2006/relationships/hyperlink" Target="https://doi.org/10.1017/S0033583500000615" TargetMode="External"/><Relationship Id="rId7" Type="http://schemas.openxmlformats.org/officeDocument/2006/relationships/endnotes" Target="endnotes.xml"/><Relationship Id="rId12" Type="http://schemas.openxmlformats.org/officeDocument/2006/relationships/hyperlink" Target="https://www.euronews.com/next/2024/05/10/elon-musk-predicts-ai-will-overtake-humans-to-the-point-that-biological-intelligence-will-" TargetMode="External"/><Relationship Id="rId17" Type="http://schemas.openxmlformats.org/officeDocument/2006/relationships/hyperlink" Target="https://youtu.be/U93x9AWeuOA?si=hbpoALt80MdhBugY" TargetMode="External"/><Relationship Id="rId25" Type="http://schemas.openxmlformats.org/officeDocument/2006/relationships/hyperlink" Target="https://www.pbs.org/wgbh/nova/einstein/tiny-answers.html" TargetMode="External"/><Relationship Id="rId2" Type="http://schemas.openxmlformats.org/officeDocument/2006/relationships/numbering" Target="numbering.xml"/><Relationship Id="rId16" Type="http://schemas.openxmlformats.org/officeDocument/2006/relationships/hyperlink" Target="https://doi.org/10.1126/science.1260352" TargetMode="External"/><Relationship Id="rId20" Type="http://schemas.openxmlformats.org/officeDocument/2006/relationships/hyperlink" Target="https://www.nytimes.com/2006/04/11/books/the-omnivores-dilemma-a-natural-history-of-four-meals.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edit-suisse.com/media/assets/corporate/docs/about-us/research/publications/global-wealth-report-2021-en.pdf" TargetMode="External"/><Relationship Id="rId24" Type="http://schemas.openxmlformats.org/officeDocument/2006/relationships/hyperlink" Target="https://www.theatlantic.com/magazine/archive/2016/11/the-attention-merchants/501145/" TargetMode="External"/><Relationship Id="rId5" Type="http://schemas.openxmlformats.org/officeDocument/2006/relationships/webSettings" Target="webSettings.xml"/><Relationship Id="rId15" Type="http://schemas.openxmlformats.org/officeDocument/2006/relationships/hyperlink" Target="https://doi.org/10.1017/S0140525X00071235" TargetMode="External"/><Relationship Id="rId23" Type="http://schemas.openxmlformats.org/officeDocument/2006/relationships/hyperlink" Target="https://www.sipri.org/media/press-release/2021/world-military-spending-rises-almost-2-trillion-2020" TargetMode="External"/><Relationship Id="rId28" Type="http://schemas.openxmlformats.org/officeDocument/2006/relationships/fontTable" Target="fontTable.xml"/><Relationship Id="rId10" Type="http://schemas.openxmlformats.org/officeDocument/2006/relationships/hyperlink" Target="https://doi.org/10.1017/s0140525x03000062" TargetMode="External"/><Relationship Id="rId19" Type="http://schemas.openxmlformats.org/officeDocument/2006/relationships/hyperlink" Target="https://doi.org/10.1002/(SICI)1096-8644(199701)102:1%3c91::AID-AJPA8%3e3.0.CO;2-G" TargetMode="External"/><Relationship Id="rId4" Type="http://schemas.openxmlformats.org/officeDocument/2006/relationships/settings" Target="settings.xml"/><Relationship Id="rId9" Type="http://schemas.openxmlformats.org/officeDocument/2006/relationships/hyperlink" Target="https://doi.org/10.1111/j.1749-6632.1988.tb50853.x" TargetMode="External"/><Relationship Id="rId14" Type="http://schemas.openxmlformats.org/officeDocument/2006/relationships/hyperlink" Target="http://dx.doi.org/10.1098/rstb.2015.0164" TargetMode="External"/><Relationship Id="rId22" Type="http://schemas.openxmlformats.org/officeDocument/2006/relationships/hyperlink" Target="http://www.jstor.org/stable/2265052"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1002/(SICI)1096-8644(199701)102:1%3C91::AID-AJPA8%3E3.0.CO;2-G" TargetMode="External"/><Relationship Id="rId13" Type="http://schemas.openxmlformats.org/officeDocument/2006/relationships/hyperlink" Target="https://www.credit-suisse.com/media/assets/corporate/docs/about-us/research/publications/global-wealth-report-2021-en.pdf" TargetMode="External"/><Relationship Id="rId18" Type="http://schemas.openxmlformats.org/officeDocument/2006/relationships/hyperlink" Target="https://www.pbs.org/wgbh/nova/einstein/tiny-answers.html" TargetMode="External"/><Relationship Id="rId3" Type="http://schemas.openxmlformats.org/officeDocument/2006/relationships/hyperlink" Target="https://doi.org/10.1073/pnas.1416382111" TargetMode="External"/><Relationship Id="rId21" Type="http://schemas.openxmlformats.org/officeDocument/2006/relationships/hyperlink" Target="https://www.euronews.com/next/2024/05/10/elon-musk-predicts-ai-will-overtake-humans-to-the-point-that-biological-intelligence-will-" TargetMode="External"/><Relationship Id="rId7" Type="http://schemas.openxmlformats.org/officeDocument/2006/relationships/hyperlink" Target="https://doi.org/10.1017/s0140525x03000062" TargetMode="External"/><Relationship Id="rId12" Type="http://schemas.openxmlformats.org/officeDocument/2006/relationships/hyperlink" Target="https://doi.org/10.1126/science.1260352" TargetMode="External"/><Relationship Id="rId17" Type="http://schemas.openxmlformats.org/officeDocument/2006/relationships/hyperlink" Target="https://doi.org/10.1111/j.1749-6632.1988.tb50853.x" TargetMode="External"/><Relationship Id="rId2" Type="http://schemas.openxmlformats.org/officeDocument/2006/relationships/hyperlink" Target="http://dx.doi.org/10.1098/rstb.2015.0164" TargetMode="External"/><Relationship Id="rId16" Type="http://schemas.openxmlformats.org/officeDocument/2006/relationships/hyperlink" Target="https://www.nytimes.com/2006/04/11/books/the-omnivores-dilemma-a-natural-history-of-four-meals.html" TargetMode="External"/><Relationship Id="rId20" Type="http://schemas.openxmlformats.org/officeDocument/2006/relationships/hyperlink" Target="https://www.euronews.com/next/2024/05/10/elon-musk-predicts-ai-will-overtake-humans-to-the-point-that-biological-intelligence-will-" TargetMode="External"/><Relationship Id="rId1" Type="http://schemas.openxmlformats.org/officeDocument/2006/relationships/hyperlink" Target="https://doi.org/10.1126/science.1059487" TargetMode="External"/><Relationship Id="rId6" Type="http://schemas.openxmlformats.org/officeDocument/2006/relationships/hyperlink" Target="https://doi.org/10.1017/s0140525x03000062" TargetMode="External"/><Relationship Id="rId11" Type="http://schemas.openxmlformats.org/officeDocument/2006/relationships/hyperlink" Target="https://doi.org/10.1038/nature14258" TargetMode="External"/><Relationship Id="rId5" Type="http://schemas.openxmlformats.org/officeDocument/2006/relationships/hyperlink" Target="https://doi.org/10.1017/S0140525X00071235" TargetMode="External"/><Relationship Id="rId15" Type="http://schemas.openxmlformats.org/officeDocument/2006/relationships/hyperlink" Target="https://doi.org/10.1016/0091-3057(81)90211-2" TargetMode="External"/><Relationship Id="rId23" Type="http://schemas.openxmlformats.org/officeDocument/2006/relationships/hyperlink" Target="https://www.theatlantic.com/magazine/archive/2016/11/the-attention-merchants/501145/" TargetMode="External"/><Relationship Id="rId10" Type="http://schemas.openxmlformats.org/officeDocument/2006/relationships/hyperlink" Target="https://doi.org/10.1017/S0033583500000615" TargetMode="External"/><Relationship Id="rId19" Type="http://schemas.openxmlformats.org/officeDocument/2006/relationships/hyperlink" Target="https://www.sipri.org/media/press-release/2021/world-military-spending-rises-almost-2-trillion-2020" TargetMode="External"/><Relationship Id="rId4" Type="http://schemas.openxmlformats.org/officeDocument/2006/relationships/hyperlink" Target="https://doi.org/10.1017/S0140525X00071235" TargetMode="External"/><Relationship Id="rId9" Type="http://schemas.openxmlformats.org/officeDocument/2006/relationships/hyperlink" Target="https://youtu.be/U93x9AWeuOA?si=gjB7jCwLBF9JvH_v" TargetMode="External"/><Relationship Id="rId14" Type="http://schemas.openxmlformats.org/officeDocument/2006/relationships/hyperlink" Target="http://www.jstor.org/stable/2265052" TargetMode="External"/><Relationship Id="rId22" Type="http://schemas.openxmlformats.org/officeDocument/2006/relationships/hyperlink" Target="https://youtu.be/MtdupS0gRt0?si=mEwEU2x_VDOxdoK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693D9-6FED-FD44-9A54-67DD814D3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55</Pages>
  <Words>15163</Words>
  <Characters>86432</Characters>
  <Application>Microsoft Office Word</Application>
  <DocSecurity>0</DocSecurity>
  <Lines>720</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Claudia Saucier</cp:lastModifiedBy>
  <cp:revision>5</cp:revision>
  <dcterms:created xsi:type="dcterms:W3CDTF">2024-05-21T21:20:00Z</dcterms:created>
  <dcterms:modified xsi:type="dcterms:W3CDTF">2024-05-21T21:33:00Z</dcterms:modified>
</cp:coreProperties>
</file>